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2026-03-13</w:t>
      </w:r>
    </w:p>
    <w:p>
      <w:pPr>
        <w:spacing w:before="160" w:after="120"/>
      </w:pPr>
      <w:r>
        <w:rPr>
          <w:b/>
          <w:sz w:val="28"/>
        </w:rPr>
        <w:t>【光伏】</w:t>
      </w:r>
    </w:p>
    <w:p>
      <w:pPr>
        <w:spacing w:before="160" w:after="40" w:line="240" w:lineRule="auto"/>
      </w:pPr>
      <w:r>
        <w:rPr>
          <w:b/>
        </w:rPr>
        <w:t xml:space="preserve">[1] </w:t>
      </w:r>
      <w:hyperlink r:id="rId9">
        <w:r>
          <w:rPr>
            <w:color w:val="1155CC"/>
            <w:u w:val="single"/>
          </w:rPr>
          <w:t>光伏面板清洁机器人的关键技术和发展趋势综述</w:t>
        </w:r>
      </w:hyperlink>
    </w:p>
    <w:p>
      <w:pPr>
        <w:spacing w:before="0" w:after="80"/>
      </w:pPr>
      <w:r>
        <w:rPr>
          <w:i/>
          <w:sz w:val="20"/>
        </w:rPr>
        <w:t>EN: Review of key technologies and development trends of photovoltaic panel cleaning robots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对“设计完全非融合体异质结以实现高效低成本有机光伏”的更正</w:t>
        </w:r>
      </w:hyperlink>
    </w:p>
    <w:p>
      <w:pPr>
        <w:spacing w:before="0" w:after="80"/>
      </w:pPr>
      <w:r>
        <w:rPr>
          <w:i/>
          <w:sz w:val="20"/>
        </w:rPr>
        <w:t>EN: Correction to “Design of a Fully Non‐Fused Bulk Heterojunction Toward Efficient and Low‐Cost Organic Photovoltaics”</w:t>
      </w:r>
    </w:p>
    <w:p>
      <w:pPr>
        <w:spacing w:before="0" w:after="120"/>
      </w:pPr>
      <w:r>
        <w:rPr>
          <w:b/>
        </w:rPr>
        <w:t xml:space="preserve">Source: </w:t>
      </w:r>
      <w:r>
        <w:t>Wiley: Angewandte Chemie International Edition: Table of Contents</w:t>
      </w:r>
      <w:r>
        <w:t xml:space="preserve">    </w:t>
      </w:r>
      <w:r>
        <w:rPr>
          <w:b/>
        </w:rPr>
        <w:t xml:space="preserve">Pub date: </w:t>
      </w:r>
      <w:r>
        <w:t>2026-03-07 06:52:18+00:00</w:t>
      </w:r>
      <w:r>
        <w:t xml:space="preserve">    </w:t>
      </w:r>
      <w:r>
        <w:rPr>
          <w:b/>
        </w:rPr>
        <w:t xml:space="preserve">DOI: </w:t>
      </w:r>
      <w:hyperlink r:id="rId11">
        <w:r>
          <w:rPr>
            <w:color w:val="1155CC"/>
            <w:u w:val="single"/>
          </w:rPr>
          <w:t>10.1002/anie.5549964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
        <w:r>
          <w:rPr>
            <w:color w:val="1155CC"/>
            <w:u w:val="single"/>
          </w:rPr>
          <w:t>外部烷基链分支比例对A-DA′D-A型小分子受体的包封效果和电荷传输的影响</w:t>
        </w:r>
      </w:hyperlink>
    </w:p>
    <w:p>
      <w:pPr>
        <w:spacing w:before="0" w:after="80"/>
      </w:pPr>
      <w:r>
        <w:rPr>
          <w:i/>
          <w:sz w:val="20"/>
        </w:rPr>
        <w:t>EN: Effect of Branching Proportion of Outer Alkyl‐Chains on Encapsulation Effect and Charge Transport of A‐DA′D‐A Type Small Molecule Acceptors</w:t>
      </w:r>
    </w:p>
    <w:p>
      <w:pPr>
        <w:spacing w:before="0" w:after="120"/>
      </w:pPr>
      <w:r>
        <w:rPr>
          <w:b/>
        </w:rPr>
        <w:t xml:space="preserve">Source: </w:t>
      </w:r>
      <w:r>
        <w:t>Wiley: Advanced Materials: Table of Contents</w:t>
      </w:r>
      <w:r>
        <w:t xml:space="preserve">    </w:t>
      </w:r>
      <w:r>
        <w:rPr>
          <w:b/>
        </w:rPr>
        <w:t xml:space="preserve">Pub date: </w:t>
      </w:r>
      <w:r>
        <w:t>2026-03-07 07:17:19+00:00</w:t>
      </w:r>
      <w:r>
        <w:t xml:space="preserve">    </w:t>
      </w:r>
      <w:r>
        <w:rPr>
          <w:b/>
        </w:rPr>
        <w:t xml:space="preserve">DOI: </w:t>
      </w:r>
      <w:hyperlink r:id="rId13">
        <w:r>
          <w:rPr>
            <w:color w:val="1155CC"/>
            <w:u w:val="single"/>
          </w:rPr>
          <w:t>10.1002/adma.72692</w:t>
        </w:r>
      </w:hyperlink>
    </w:p>
    <w:p>
      <w:pPr>
        <w:spacing w:before="0" w:after="120"/>
      </w:pPr>
      <w:r>
        <w:rPr>
          <w:b/>
        </w:rPr>
        <w:t xml:space="preserve">Notes: </w:t>
      </w:r>
      <w:r>
        <w:t>abstract_source=pubmed</w:t>
      </w:r>
    </w:p>
    <w:p>
      <w:pPr>
        <w:spacing w:before="0" w:after="80" w:lineRule="auto" w:line="276"/>
      </w:pPr>
      <w:r>
        <w:rPr>
          <w:b/>
        </w:rPr>
        <w:t xml:space="preserve">摘要（ZH）: </w:t>
      </w:r>
      <w:r>
        <w:t>有机太阳能电池（OSCs）的快速发展与活性层光伏材料的进步密切相关，特别是A-DA'D-A型小分子受体（SMAs）。尽管对SMAs进行了广泛研究，但某些关键因素影响其分子特性仍未得到充分探索。在此，我们识别出SMAs中一个先前被忽视的烷基链包封效应，其中共轭骨架被周围的烷基链部分包封，从而阻碍了分子间的π-π相互作用并破坏了导电网络。为减轻这一效应，我们提出通过精确控制外部烷基链的分支比例来改变分子堆积模式的策略。系统研究表明，非分支的外部烷基链</w:t>
      </w:r>
    </w:p>
    <w:p>
      <w:pPr>
        <w:spacing w:before="0" w:after="200" w:lineRule="auto" w:line="276"/>
      </w:pPr>
      <w:r>
        <w:rPr>
          <w:b/>
        </w:rPr>
        <w:t xml:space="preserve">Abstract (EN): </w:t>
      </w:r>
      <w:r>
        <w:t>The rapid development of organic solar cells (OSCs) is closely linked to advances in active layer photovoltaic materials, particularly A-DA'D-A type small molecule acceptors (SMAs). Despite extensive studies on SMAs, certain critical factors governing their molecular properties remain insufficiently explored. Here, we identify a previously overlooked alkyl-chain encapsulation effect in SMAs, where the conjugated backbone is partially encapsulated by surrounding alkyl-chains, thereby hindering intermolecular π-π interactions and fragmenting conductive networks. To mitigate this effect, we propose a strategy of altering the molecular stacking mode through precise control of the branching proportion of the outer alkyl-chains. Systematic investigations reveal that non-branched outer alkyl-chains lead to a pronounced encapsulation effect, whereas high branching proportion enlarges intermolecular distances, impairs electronic coupling, and induces blue-shifted absorption. In contrast, a moderate branching proportion effectively suppresses the encapsulation effect without significantly compromising intermolecular electronic coupling, enabling more coherent conductive networks and enhanced electron mobility. Consequently, the optimized SMA BT15-F delivers a power conversion efficiency of 20.53% in binary OSCs, ranking among the highest values reported for binary OSCs. This work establishes suppression of the alkyl-chain encapsulation effect as a key consideration in SMA molecular design and highlights the importance of alkyl-chain structure-property relationships for high-performance OSCs.</w:t>
      </w:r>
    </w:p>
    <w:p>
      <w:pPr>
        <w:spacing w:before="120" w:after="120"/>
      </w:pPr>
      <w:r>
        <w:rPr>
          <w:sz w:val="18"/>
        </w:rPr>
        <w:t>——————————————————————————————————————————————————————————————————————</w:t>
      </w:r>
    </w:p>
    <w:p>
      <w:pPr>
        <w:spacing w:before="160" w:after="40" w:line="240" w:lineRule="auto"/>
      </w:pPr>
      <w:r>
        <w:rPr>
          <w:b/>
        </w:rPr>
        <w:t xml:space="preserve">[4] </w:t>
      </w:r>
      <w:hyperlink r:id="rId14">
        <w:r>
          <w:rPr>
            <w:color w:val="1155CC"/>
            <w:u w:val="single"/>
          </w:rPr>
          <w:t>具有化学稳健性和辐射硬度的InGaP/GaAs/InGaAs多结柔性光伏，用于无辅助电催化和空间应用</w:t>
        </w:r>
      </w:hyperlink>
    </w:p>
    <w:p>
      <w:pPr>
        <w:spacing w:before="0" w:after="80"/>
      </w:pPr>
      <w:r>
        <w:rPr>
          <w:i/>
          <w:sz w:val="20"/>
        </w:rPr>
        <w:t>EN: InGaP/GaAs/InGaAs Multijunction Flexible Photovoltaics With Chemical Robustness and Radiation Hardness for Unassisted Electrocatalysis and Space Applications</w:t>
      </w:r>
    </w:p>
    <w:p>
      <w:pPr>
        <w:spacing w:before="0" w:after="120"/>
      </w:pPr>
      <w:r>
        <w:rPr>
          <w:b/>
        </w:rPr>
        <w:t xml:space="preserve">Source: </w:t>
      </w:r>
      <w:r>
        <w:t>Wiley: Advanced Energy Materials: Table of Contents</w:t>
      </w:r>
      <w:r>
        <w:t xml:space="preserve">    </w:t>
      </w:r>
      <w:r>
        <w:rPr>
          <w:b/>
        </w:rPr>
        <w:t xml:space="preserve">Pub date: </w:t>
      </w:r>
      <w:r>
        <w:t>2026-03-07 07:39:12+00:00</w:t>
      </w:r>
      <w:r>
        <w:t xml:space="preserve">    </w:t>
      </w:r>
      <w:r>
        <w:rPr>
          <w:b/>
        </w:rPr>
        <w:t xml:space="preserve">DOI: </w:t>
      </w:r>
      <w:hyperlink r:id="rId15">
        <w:r>
          <w:rPr>
            <w:color w:val="1155CC"/>
            <w:u w:val="single"/>
          </w:rPr>
          <w:t>10.1002/aenm.202506763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片III-V多结光伏器件是空间电力系统和太阳能到化学能量转换的有前途的候选者，但它们在灵活、化学侵蚀性和辐射丰富的环境中的部署需要同时控制外延质量、可塑性和屏障特性。在此，我们提出了一种灵活的InGaP/GaAs/InGaAs三结平台，在单一器件架构中满足这些要求。优化的外延堆叠及其生长过程使得几乎完全放松的子电池具有低位错密度，支持在AM1.5G下超过33%和在AM0下约31%的功率转换效率，即使在将外延堆叠转移到薄塑料基板以改善机械顺应性之后。</w:t>
      </w:r>
    </w:p>
    <w:p>
      <w:pPr>
        <w:spacing w:before="0" w:after="200" w:lineRule="auto" w:line="276"/>
      </w:pPr>
      <w:r>
        <w:rPr>
          <w:b/>
        </w:rPr>
        <w:t xml:space="preserve">Abstract (EN): </w:t>
      </w:r>
      <w:r>
        <w:t>Monolithic III–V multijunction photovoltaics are promising candidates for both space power systems and solar‐to‐chemical energy conversion, yet their deployment in flexible, chemically aggressive, and radiation‐rich environments requires simultaneous control of epitaxial quality, conformability, and barrier properties. Here, we present a flexible InGaP/GaAs/InGaAs triple‐junction platform that addresses these requirements within a single device architecture. The optimized epitaxial stack and its growth process enable almost fully relaxed subcells with low dislocation density, supporting power conversion efficiencies above 33% under AM1.5G and ∼31% under AM0, even after transferring the epitaxial stack to a thin plastic substrate to improve mechanical compliance. To ensure environmental robustness, the flexible triple‐junction cells are encapsulated with an ultrathin glass sheet that provides strong protection against aqueous and strongly alkaline conditions, as well as against high‐energy proton and electron irradiation. By exploiting the high output voltage and durability of this platform, bias‐free electrocatalysis with formate as the predominant product is demonstrated using a simple electrocatalyst configuration. These results establish a unified III–V multijunction photovoltaic architecture that couples space‐relevant efficiency, flexibility, and radiation hardness with chemical durability suitable for unassisted solar‐to‐chemical conversion, offering a versatile route toward next‐generation terrestrial and space energy systems.</w:t>
      </w:r>
    </w:p>
    <w:p>
      <w:pPr>
        <w:spacing w:before="120" w:after="120"/>
      </w:pPr>
      <w:r>
        <w:rPr>
          <w:sz w:val="18"/>
        </w:rPr>
        <w:t>——————————————————————————————————————————————————————————————————————</w:t>
      </w:r>
    </w:p>
    <w:p>
      <w:pPr>
        <w:spacing w:before="160" w:after="40" w:line="240" w:lineRule="auto"/>
      </w:pPr>
      <w:r>
        <w:rPr>
          <w:b/>
        </w:rPr>
        <w:t xml:space="preserve">[5] </w:t>
      </w:r>
      <w:hyperlink r:id="rId16">
        <w:r>
          <w:rPr>
            <w:color w:val="1155CC"/>
            <w:u w:val="single"/>
          </w:rPr>
          <w:t>具有化学稳健性和辐射硬度的InGaP/GaAs/InGaAs多结柔性光伏，用于无辅助电催化和空间应用</w:t>
        </w:r>
      </w:hyperlink>
    </w:p>
    <w:p>
      <w:pPr>
        <w:spacing w:before="0" w:after="80"/>
      </w:pPr>
      <w:r>
        <w:rPr>
          <w:i/>
          <w:sz w:val="20"/>
        </w:rPr>
        <w:t>EN: InGaP/GaAs/InGaAs Multijunction Flexible Photovoltaics With Chemical Robustness and Radiation Hardness for Unassisted Electrocatalysis and Space Applications</w:t>
      </w:r>
    </w:p>
    <w:p>
      <w:pPr>
        <w:spacing w:before="0" w:after="120"/>
      </w:pPr>
      <w:r>
        <w:rPr>
          <w:b/>
        </w:rPr>
        <w:t xml:space="preserve">Source: </w:t>
      </w:r>
      <w:r>
        <w:t>Wiley: Advanced Energy Materials: Table of Contents</w:t>
      </w:r>
      <w:r>
        <w:t xml:space="preserve">    </w:t>
      </w:r>
      <w:r>
        <w:rPr>
          <w:b/>
        </w:rPr>
        <w:t xml:space="preserve">Pub date: </w:t>
      </w:r>
      <w:r>
        <w:t>2026-03-07 07:39:12+00:00</w:t>
      </w:r>
      <w:r>
        <w:t xml:space="preserve">    </w:t>
      </w:r>
      <w:r>
        <w:rPr>
          <w:b/>
        </w:rPr>
        <w:t xml:space="preserve">DOI: </w:t>
      </w:r>
      <w:hyperlink r:id="rId15">
        <w:r>
          <w:rPr>
            <w:color w:val="1155CC"/>
            <w:u w:val="single"/>
          </w:rPr>
          <w:t>10.1002/aenm.202506763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
        <w:r>
          <w:rPr>
            <w:color w:val="1155CC"/>
            <w:u w:val="single"/>
          </w:rPr>
          <w:t>光伏板终端处理的技术路线：从循环经济和能源系统角度的系统综述</w:t>
        </w:r>
      </w:hyperlink>
    </w:p>
    <w:p>
      <w:pPr>
        <w:spacing w:before="0" w:after="80"/>
      </w:pPr>
      <w:r>
        <w:rPr>
          <w:i/>
          <w:sz w:val="20"/>
        </w:rPr>
        <w:t>EN: Technological routes for end-of-life photovoltaic panels: a systematic review from a circular economy and energy systems perspective</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8">
        <w:r>
          <w:rPr>
            <w:color w:val="1155CC"/>
            <w:u w:val="single"/>
          </w:rPr>
          <w:t>钙钛矿太阳能模块长期运行的挑战、技术路径和权衡</w:t>
        </w:r>
      </w:hyperlink>
    </w:p>
    <w:p>
      <w:pPr>
        <w:spacing w:before="0" w:after="80"/>
      </w:pPr>
      <w:r>
        <w:rPr>
          <w:i/>
          <w:sz w:val="20"/>
        </w:rPr>
        <w:t>EN: Challenges, technological pathways and trade-offs of perovskite solar modules for long-term operation</w:t>
      </w:r>
    </w:p>
    <w:p>
      <w:pPr>
        <w:spacing w:before="0" w:after="120"/>
      </w:pPr>
      <w:r>
        <w:rPr>
          <w:b/>
        </w:rPr>
        <w:t xml:space="preserve">Source: </w:t>
      </w:r>
      <w:r>
        <w:t>Nature Energy</w:t>
      </w:r>
      <w:r>
        <w:t xml:space="preserve">    </w:t>
      </w:r>
      <w:r>
        <w:rPr>
          <w:b/>
        </w:rPr>
        <w:t xml:space="preserve">Pub date: </w:t>
      </w:r>
      <w:r>
        <w:t>2026-03-09 00:00:00+00:00</w:t>
      </w:r>
      <w:r>
        <w:t xml:space="preserve">    </w:t>
      </w:r>
      <w:r>
        <w:rPr>
          <w:b/>
        </w:rPr>
        <w:t xml:space="preserve">DOI: </w:t>
      </w:r>
      <w:hyperlink r:id="rId19">
        <w:r>
          <w:rPr>
            <w:color w:val="1155CC"/>
            <w:u w:val="single"/>
          </w:rPr>
          <w:t>10.1038/s41560-026-01969-z</w:t>
        </w:r>
      </w:hyperlink>
    </w:p>
    <w:p>
      <w:pPr>
        <w:spacing w:before="0" w:after="120"/>
      </w:pPr>
      <w:r>
        <w:rPr>
          <w:b/>
        </w:rPr>
        <w:t xml:space="preserve">Notes: </w:t>
      </w:r>
      <w:r>
        <w:t>abstract_source=nature_html</w:t>
      </w:r>
    </w:p>
    <w:p>
      <w:pPr>
        <w:spacing w:before="0" w:after="80" w:lineRule="auto" w:line="276"/>
      </w:pPr>
      <w:r>
        <w:rPr>
          <w:b/>
        </w:rPr>
        <w:t xml:space="preserve">摘要（ZH）: </w:t>
      </w:r>
      <w:r>
        <w:t>钙钛矿太阳能模块（PSMs）由于其高效率、低制造成本以及与轻量和柔性应用的兼容性，已成为一种有前途的光伏技术。然而，确保在真实环境条件下的长期可靠性能仍然是商业化的关键障碍。PSMs的降解机制与硅等成熟技术的降解机制有显著不同，特别是在紫外光、氧气、温度循环和反向偏压等环境应力下。在这里，我们提供了对钙钛矿模块特定降解路径的分析，并讨论了为什么标准加速测试往往无法预测户外性能。我们在材料、器件和模块层面概念化挑战</w:t>
      </w:r>
    </w:p>
    <w:p>
      <w:pPr>
        <w:spacing w:before="0" w:after="200" w:lineRule="auto" w:line="276"/>
      </w:pPr>
      <w:r>
        <w:rPr>
          <w:b/>
        </w:rPr>
        <w:t xml:space="preserve">Abstract (EN): </w:t>
      </w:r>
      <w:r>
        <w:t>Perovskite solar modules (PSMs) have emerged as a promising photovoltaic technology due to their high efficiency, low fabrication cost and compatibility with lightweight and flexible applications. However, ensuring long-term reliable performance under real-world conditions remains a critical barrier to commercialization. PSMs degrade through mechanisms that differ substantially from those affecting established technologies such as silicon, particularly under environmental stressors like ultraviolet light, oxygen, temperature cycling and reverse bias. Here we provide an analysis of the degradation pathways specific to perovskite modules and discuss why standard accelerated tests often fail to predict outdoor performance. We conceptualize challenges across material, device and module levels and evaluate strategies to mitigate ion migration, interfacial breakdown and encapsulation failure. By highlighting the need for realistic testing protocols and durable materials, we propose a framework highlighting key challenges, technological pathways and the trade-offs required to extend perovskite module lifetimes towards long-term operation, aiming to guide the development of PSMs capable of a 30-year operational lifetime.</w:t>
      </w:r>
    </w:p>
    <w:p>
      <w:pPr>
        <w:spacing w:before="120" w:after="120"/>
      </w:pPr>
      <w:r>
        <w:rPr>
          <w:sz w:val="18"/>
        </w:rPr>
        <w:t>——————————————————————————————————————————————————————————————————————</w:t>
      </w:r>
    </w:p>
    <w:p>
      <w:pPr>
        <w:spacing w:before="160" w:after="40" w:line="240" w:lineRule="auto"/>
      </w:pPr>
      <w:r>
        <w:rPr>
          <w:b/>
        </w:rPr>
        <w:t xml:space="preserve">[8] </w:t>
      </w:r>
      <w:hyperlink r:id="rId20">
        <w:r>
          <w:rPr>
            <w:color w:val="1155CC"/>
            <w:u w:val="single"/>
          </w:rPr>
          <w:t>考虑天气变化的日前和辅助服务联合市场中风-光伏-储能集成系统的运行决策</w:t>
        </w:r>
      </w:hyperlink>
    </w:p>
    <w:p>
      <w:pPr>
        <w:spacing w:before="0" w:after="80"/>
      </w:pPr>
      <w:r>
        <w:rPr>
          <w:i/>
          <w:sz w:val="20"/>
        </w:rPr>
        <w:t>EN: Operational decision of wind–photovoltaic–energy storage integrated system in day-ahead and ancillary service joint market considering weather variability</w:t>
      </w:r>
    </w:p>
    <w:p>
      <w:pPr>
        <w:spacing w:before="0" w:after="120"/>
      </w:pPr>
      <w:r>
        <w:rPr>
          <w:b/>
        </w:rPr>
        <w:t xml:space="preserve">Source: </w:t>
      </w:r>
      <w:r>
        <w:t>ScienceDirect Publication: Applied Energy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1">
        <w:r>
          <w:rPr>
            <w:color w:val="1155CC"/>
            <w:u w:val="single"/>
          </w:rPr>
          <w:t>最大化混合背接触硅太阳能电池的载流子提取</w:t>
        </w:r>
      </w:hyperlink>
    </w:p>
    <w:p>
      <w:pPr>
        <w:spacing w:before="0" w:after="80"/>
      </w:pPr>
      <w:r>
        <w:rPr>
          <w:i/>
          <w:sz w:val="20"/>
        </w:rPr>
        <w:t>EN: Maximizing carrier extraction in hybrid back-contact silicon solar cells</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22">
        <w:r>
          <w:rPr>
            <w:color w:val="1155CC"/>
            <w:u w:val="single"/>
          </w:rPr>
          <w:t>10.1038/s41586-026-10351-8</w:t>
        </w:r>
      </w:hyperlink>
    </w:p>
    <w:p>
      <w:pPr>
        <w:spacing w:before="0" w:after="120"/>
      </w:pPr>
      <w:r>
        <w:rPr>
          <w:b/>
        </w:rPr>
        <w:t xml:space="preserve">Notes: </w:t>
      </w:r>
      <w:r>
        <w:t>abstract_source=nature_html</w:t>
      </w:r>
    </w:p>
    <w:p>
      <w:pPr>
        <w:spacing w:before="0" w:after="80" w:lineRule="auto" w:line="276"/>
      </w:pPr>
      <w:r>
        <w:rPr>
          <w:b/>
        </w:rPr>
        <w:t xml:space="preserve">摘要（ZH）: </w:t>
      </w:r>
      <w:r>
        <w:t>混合背接触（BC）硅太阳能电池1-3结合了TOPCon衍生的4-7 n型接触、SHJ衍生的8-12 p型接触和交指型BC（IBC）13,14器件结构的优势。尽管已经展示了27.8%效率的高性能，1但对混合BC架构相对于传统BC电池（例如消除前表面金属化遮光3）的基本优势的理解仍未被探索。在此，我们利用混合BC架构的设计灵活性，使用多功能前层进行光捕获和钝化。同时，我们改进了后载流子选择性接触的载流子收集和工艺兼容性。我们还显示出最佳c-Si吸收体厚度增加到160微米，铅</w:t>
      </w:r>
    </w:p>
    <w:p>
      <w:pPr>
        <w:spacing w:before="0" w:after="200" w:lineRule="auto" w:line="276"/>
      </w:pPr>
      <w:r>
        <w:rPr>
          <w:b/>
        </w:rPr>
        <w:t xml:space="preserve">Abstract (EN): </w:t>
      </w:r>
      <w:r>
        <w:t>Hybrid back-contact (BC) silicon solar cells 1-3 combine the strengths of TOPCon-derived 4-7 n-type contacts, SHJ-derived 8-12 p-type contacts, and interdigitated BC (IBC)13,14 device structures. Though high performance in the form of 27.8% efficiency has been demonstrated,1 the understanding of the fundamental advantages of the hybrid BC architecture over conventional BC cells (e.g. eliminating front-surface metallization shading 3) remains unexplored. Here we take advantage of the design flexibility of the hybrid BC architecture to use a multifunctional front layer for both light trapping and passivation. Meanwhile, we improved carrier collection and process compatibility of the rear carrier-selective contacts. We also show the optimal c-Si absorber thickness is increased to 160-μm, leading to a certified efficiency of 27.62% for industrially compatible c-Si solar cells.</w:t>
      </w:r>
    </w:p>
    <w:p>
      <w:pPr>
        <w:spacing w:before="120" w:after="120"/>
      </w:pPr>
      <w:r>
        <w:rPr>
          <w:sz w:val="18"/>
        </w:rPr>
        <w:t>——————————————————————————————————————————————————————————————————————</w:t>
      </w:r>
    </w:p>
    <w:p>
      <w:pPr>
        <w:spacing w:before="160" w:after="40" w:line="240" w:lineRule="auto"/>
      </w:pPr>
      <w:r>
        <w:rPr>
          <w:b/>
        </w:rPr>
        <w:t xml:space="preserve">[10] </w:t>
      </w:r>
      <w:hyperlink r:id="rId23">
        <w:r>
          <w:rPr>
            <w:color w:val="1155CC"/>
            <w:u w:val="single"/>
          </w:rPr>
          <w:t>协同钝化实现22.76%效率的准二维钙钛矿太阳能电池</w:t>
        </w:r>
      </w:hyperlink>
    </w:p>
    <w:p>
      <w:pPr>
        <w:spacing w:before="0" w:after="80"/>
      </w:pPr>
      <w:r>
        <w:rPr>
          <w:i/>
          <w:sz w:val="20"/>
        </w:rPr>
        <w:t>EN: Synergistic Passivation Enables 22.76%‐Efficiency Quasi‐2D Perovskite Solar Cells</w:t>
      </w:r>
    </w:p>
    <w:p>
      <w:pPr>
        <w:spacing w:before="0" w:after="120"/>
      </w:pPr>
      <w:r>
        <w:rPr>
          <w:b/>
        </w:rPr>
        <w:t xml:space="preserve">Source: </w:t>
      </w:r>
      <w:r>
        <w:t>Wiley: Advanced Materials: Table of Contents</w:t>
      </w:r>
      <w:r>
        <w:t xml:space="preserve">    </w:t>
      </w:r>
      <w:r>
        <w:rPr>
          <w:b/>
        </w:rPr>
        <w:t xml:space="preserve">Pub date: </w:t>
      </w:r>
      <w:r>
        <w:t>2026-03-10 04:42:41+00:00</w:t>
      </w:r>
      <w:r>
        <w:t xml:space="preserve">    </w:t>
      </w:r>
      <w:r>
        <w:rPr>
          <w:b/>
        </w:rPr>
        <w:t xml:space="preserve">DOI: </w:t>
      </w:r>
      <w:hyperlink r:id="rId24">
        <w:r>
          <w:rPr>
            <w:color w:val="1155CC"/>
            <w:u w:val="single"/>
          </w:rPr>
          <w:t>10.1002/adma.72756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准二维（quasi‐2D）钙钛矿太阳能电池（PSCs）由于其疏水间隔层，具有内在增强的环境稳定性，但相关的未配位位点和离子空位作为严重的非辐射复合中心，限制了进一步的效率提升。在此，我们引入乙酸酐（Ac</w:t>
      </w:r>
      <w:r>
        <w:rPr>
          <w:vertAlign w:val="subscript"/>
        </w:rPr>
        <w:t>2</w:t>
      </w:r>
      <w:r>
        <w:t>O）作为准二维交替阳离子层（ACI）钙钛矿的多功能添加剂。光谱分析和密度泛函理论计算表明，Ac</w:t>
      </w:r>
      <w:r>
        <w:rPr>
          <w:vertAlign w:val="subscript"/>
        </w:rPr>
        <w:t>2</w:t>
      </w:r>
      <w:r>
        <w:t>O中的羰基同时与未配位的Pb</w:t>
      </w:r>
      <w:r>
        <w:t xml:space="preserve"> </w:t>
      </w:r>
      <w:r>
        <w:t>2+</w:t>
      </w:r>
      <w:r>
        <w:t xml:space="preserve"> </w:t>
      </w:r>
      <w:r>
        <w:t>离子结合，并与胍形成氢键。</w:t>
      </w:r>
    </w:p>
    <w:p>
      <w:pPr>
        <w:spacing w:before="0" w:after="200" w:lineRule="auto" w:line="276"/>
      </w:pPr>
      <w:r>
        <w:rPr>
          <w:b/>
        </w:rPr>
        <w:t xml:space="preserve">Abstract (EN): </w:t>
      </w:r>
      <w:r>
        <w:t>Quasi‐two‐dimensional (quasi‐2D) perovskite solar cells (PSCs) offer intrinsically enhanced environmental stability owing to their hydrophobic spacer layers, but the associated uncoordinated sites and ionic vacancies act as severe non‐radiative recombination centers that limit further efficiency gains. Here, we introduce acetic anhydride (Ac</w:t>
      </w:r>
      <w:r>
        <w:rPr>
          <w:vertAlign w:val="subscript"/>
        </w:rPr>
        <w:t>2</w:t>
      </w:r>
      <w:r>
        <w:t>O) as a multifunctional additive for quasi‐2D alternating‐cation‐interlayer (ACI) perovskites. Spectroscopic analysis and density‐functional theory calculations reveal that the carbonyl groups in Ac</w:t>
      </w:r>
      <w:r>
        <w:rPr>
          <w:vertAlign w:val="subscript"/>
        </w:rPr>
        <w:t>2</w:t>
      </w:r>
      <w:r>
        <w:t>O simultaneously to undercoordinated Pb</w:t>
      </w:r>
      <w:r>
        <w:t xml:space="preserve"> </w:t>
      </w:r>
      <w:r>
        <w:t>2+</w:t>
      </w:r>
      <w:r>
        <w:t xml:space="preserve"> </w:t>
      </w:r>
      <w:r>
        <w:t>ions and form hydrogen bonds with guanidinium cations (GA</w:t>
      </w:r>
      <w:r>
        <w:t xml:space="preserve"> </w:t>
      </w:r>
      <w:r>
        <w:t>+</w:t>
      </w:r>
      <w:r>
        <w:t xml:space="preserve"> </w:t>
      </w:r>
      <w:r>
        <w:t>). This synergistic interaction slows down crystallization, yielding films with improved crystallinity, enlarged grain size, and markedly reduced defect‐state density. In parallel, Ac</w:t>
      </w:r>
      <w:r>
        <w:rPr>
          <w:vertAlign w:val="subscript"/>
        </w:rPr>
        <w:t>2</w:t>
      </w:r>
      <w:r>
        <w:t>O‐induced passivation shifts the Fermi level upward, strengthening the built‐in electric field and thereby promoting faster charge separation and extraction. As a result, the optimized quasi‐2D PSCs achieve a champion power conversion efficiency of 22.76% (certified 21.69%), representing a record among reported quasi‐2D PSCs. Encapsulated devices retain 96% of their initial efficiency after 2000 h of continuous maximum‐power‐point operation, underscoring the effectiveness of this simple additive strategy in simultaneously advancing both efficiency and operational stability in quasi‐2D perovskite photovoltaics.</w:t>
      </w:r>
    </w:p>
    <w:p>
      <w:pPr>
        <w:spacing w:before="120" w:after="120"/>
      </w:pPr>
      <w:r>
        <w:rPr>
          <w:sz w:val="18"/>
        </w:rPr>
        <w:t>——————————————————————————————————————————————————————————————————————</w:t>
      </w:r>
    </w:p>
    <w:p>
      <w:pPr>
        <w:spacing w:before="160" w:after="40" w:line="240" w:lineRule="auto"/>
      </w:pPr>
      <w:r>
        <w:rPr>
          <w:b/>
        </w:rPr>
        <w:t xml:space="preserve">[11] </w:t>
      </w:r>
      <w:hyperlink r:id="rId25">
        <w:r>
          <w:rPr>
            <w:color w:val="1155CC"/>
            <w:u w:val="single"/>
          </w:rPr>
          <w:t>表面偶极子在CsPbI₃钙钛矿太阳能电池中的关键作用</w:t>
        </w:r>
      </w:hyperlink>
    </w:p>
    <w:p>
      <w:pPr>
        <w:spacing w:before="0" w:after="80"/>
      </w:pPr>
      <w:r>
        <w:rPr>
          <w:i/>
          <w:sz w:val="20"/>
        </w:rPr>
        <w:t>EN: The Critical Role of Surface Dipoles in CsPbI₃ Perovskite Solar Cells</w:t>
      </w:r>
    </w:p>
    <w:p>
      <w:pPr>
        <w:spacing w:before="0" w:after="120"/>
      </w:pPr>
      <w:r>
        <w:rPr>
          <w:b/>
        </w:rPr>
        <w:t xml:space="preserve">Source: </w:t>
      </w:r>
      <w:r>
        <w:t>RSC - Energy Environ. Sci. latest articles</w:t>
      </w:r>
      <w:r>
        <w:t xml:space="preserve">    </w:t>
      </w:r>
      <w:r>
        <w:rPr>
          <w:b/>
        </w:rPr>
        <w:t xml:space="preserve">Pub date: </w:t>
      </w:r>
      <w:r>
        <w:t>2026-03-11 00:00:00+00:00</w:t>
      </w:r>
    </w:p>
    <w:p>
      <w:pPr>
        <w:spacing w:before="0" w:after="120"/>
      </w:pPr>
      <w:r>
        <w:rPr>
          <w:b/>
        </w:rPr>
        <w:t xml:space="preserve">Notes: </w:t>
      </w:r>
      <w:r>
        <w:t>abstract_source=rsc_html</w:t>
      </w:r>
    </w:p>
    <w:p>
      <w:pPr>
        <w:spacing w:before="0" w:after="80" w:lineRule="auto" w:line="276"/>
      </w:pPr>
      <w:r>
        <w:rPr>
          <w:b/>
        </w:rPr>
        <w:t xml:space="preserve">摘要（ZH）: </w:t>
      </w:r>
      <w:r>
        <w:t>界面修饰是提高钙钛矿光伏器件性能的关键策略。然而，通常情况下，通过钙钛矿活性层的表面处理来提高器件性能被归因于缺陷钝化。同时，这种处理也可能导致在钙钛矿活性层表面形成偶极子。在这项工作中，我们证明了改变CsPbI3钙钛矿表面化学计量的处理可以导致有效的缺陷钝化，但同时也会形成相反方向的表面偶极子，这些偶极子调节了CsPbI3的功函数，范围超过2 eV。这些偶极子影响了器件的内建电势和CsPbI3中的界面电荷转移效率</w:t>
      </w:r>
    </w:p>
    <w:p>
      <w:pPr>
        <w:spacing w:before="0" w:after="200" w:lineRule="auto" w:line="276"/>
      </w:pPr>
      <w:r>
        <w:rPr>
          <w:b/>
        </w:rPr>
        <w:t xml:space="preserve">Abstract (EN): </w:t>
      </w:r>
      <w:r>
        <w:t>Interfacial modification is a key strategy for improving the performance of perovskite photovoltaic devices. However, most commonly, improvements in device performance through surface treatments of the perovskite active layer are attributed to defect passivation. At the same time, such treatments may also lead to the formation of a dipole at the surface of the perovskite active layer. In this work, we demonstrate that treatments that modify the surface stoichiometry of CsPbI3 perovskites can lead to effective defect passivation, yet result in the formation of surface dipoles of opposing directions that modulate the work function of CsPbI3 over a range of more than 2 eV. Such dipoles influence the built-in potential of the devices and the efficiency of interfacial charge transfer in CsPbI3 solar cells, resulting in power conversion efficiencies that increase from below 10% to ⁓20% depending on the surface dipole. The surface stoichiometry also has a strong influence on device stability, where initially high-performing devices are found to be prone to a more rapid degradation. These results highlight that the formation of surface dipoles plays a crucial role in impacting the performance and stability of CsPbI3 solar cells, making the choice of device architecture particularly important.</w:t>
      </w:r>
    </w:p>
    <w:p>
      <w:pPr>
        <w:spacing w:before="120" w:after="120"/>
      </w:pPr>
      <w:r>
        <w:rPr>
          <w:sz w:val="18"/>
        </w:rPr>
        <w:t>——————————————————————————————————————————————————————————————————————</w:t>
      </w:r>
    </w:p>
    <w:p>
      <w:pPr>
        <w:spacing w:before="160" w:after="40" w:line="240" w:lineRule="auto"/>
      </w:pPr>
      <w:r>
        <w:rPr>
          <w:b/>
        </w:rPr>
        <w:t xml:space="preserve">[12] </w:t>
      </w:r>
      <w:hyperlink r:id="rId26">
        <w:r>
          <w:rPr>
            <w:color w:val="1155CC"/>
            <w:u w:val="single"/>
          </w:rPr>
          <w:t>使用多功能磺酰铵添加剂协同调控Cs x FA 1-x PbI 3钙钛矿光伏的结晶和埋界面</w:t>
        </w:r>
      </w:hyperlink>
    </w:p>
    <w:p>
      <w:pPr>
        <w:spacing w:before="0" w:after="80"/>
      </w:pPr>
      <w:r>
        <w:rPr>
          <w:i/>
          <w:sz w:val="20"/>
        </w:rPr>
        <w:t>EN: Synergistic regulation of crystallization and buried-interface in Cs x FA 1-x PbI 3 perovskite photovoltaics using a multifunctional sulfonyl-ammonium additive</w:t>
      </w:r>
    </w:p>
    <w:p>
      <w:pPr>
        <w:spacing w:before="0" w:after="120"/>
      </w:pPr>
      <w:r>
        <w:rPr>
          <w:b/>
        </w:rPr>
        <w:t xml:space="preserve">Source: </w:t>
      </w:r>
      <w:r>
        <w:t>RSC - Energy Environ. Sci. latest articles</w:t>
      </w:r>
      <w:r>
        <w:t xml:space="preserve">    </w:t>
      </w:r>
      <w:r>
        <w:rPr>
          <w:b/>
        </w:rPr>
        <w:t xml:space="preserve">Pub date: </w:t>
      </w:r>
      <w:r>
        <w:t>2026-03-11 00:00:00+00:00</w:t>
      </w:r>
    </w:p>
    <w:p>
      <w:pPr>
        <w:spacing w:before="0" w:after="120"/>
      </w:pPr>
      <w:r>
        <w:rPr>
          <w:b/>
        </w:rPr>
        <w:t xml:space="preserve">Notes: </w:t>
      </w:r>
      <w:r>
        <w:t>abstract_source=rsc_html</w:t>
      </w:r>
    </w:p>
    <w:p>
      <w:pPr>
        <w:spacing w:before="0" w:after="80" w:lineRule="auto" w:line="276"/>
      </w:pPr>
      <w:r>
        <w:rPr>
          <w:b/>
        </w:rPr>
        <w:t xml:space="preserve">摘要（ZH）: </w:t>
      </w:r>
      <w:r>
        <w:t>高质量Cs x FA 1-x PbI 3基钙钛矿薄膜的制造通常受到不均匀结晶和随之而来的众多缺陷的限制。在此，我们将2-氨基乙基甲基砜盐酸盐（AEMS）作为多功能配体引入钙钛矿前驱体溶液中以缓解这些问题。研究表明，AEMS中的O=S=O和NH 3 ⁺基团与钙钛矿组分强烈相互作用，拓宽了加工窗口并促进了优先（100）取向的晶体生长，从而显著提高了Cs x FA 1-x PbI 3薄膜的结晶度。此外，AEMS自发聚集在埋藏界面处，在那里选择性钝化界面缺陷，优化能级对齐，并抑制非辐射复合。因此，</w:t>
      </w:r>
    </w:p>
    <w:p>
      <w:pPr>
        <w:spacing w:before="0" w:after="200" w:lineRule="auto" w:line="276"/>
      </w:pPr>
      <w:r>
        <w:rPr>
          <w:b/>
        </w:rPr>
        <w:t xml:space="preserve">Abstract (EN): </w:t>
      </w:r>
      <w:r>
        <w:t>The fabrication of high-quality Cs x FA 1-x PbI 3 -based perovskite films is often limited by inhomogeneous crystallization and concomitant numerous defects. Here, we introduce 2-aminoethylmethylsulfone hydrochloride (AEMS) as a multifunctional ligand into the perovskite precursor solution to mitigate these issues. It is demonstrated that the O=S=O and NH 3 ⁺ groups in AEMS strongly interact with perovskite components, broadening the processing window and promoting preferentially (100)oriented crystal growth, which significantly enhances the crystallinity of Cs x FA 1-x PbI 3 films. Furthermore, AEMS spontaneously aggregates at the buried interface, where it selectively passivates interfacial defects, optimizes energy level alignment, and suppresses nonradiative recombination. As a result, Cs 0.05 FA 0.95 PbI 3 -based inverted perovskite solar cells achieve a power conversion efficiency (PCE) of 26.91% (certified 26.80%). The strategy also demonstrates excellent adaptability, yielding outstanding PCEs of 23.24% for mini-modules (aperture area of 11.1 cm 2 ) and 24.90% for flexible devices. Crucially, the encapsulated devices maintain 93% of their initial PCEs after 2,500 h of 1-sun operation at 65 °C in ambient air.</w:t>
      </w:r>
    </w:p>
    <w:p>
      <w:pPr>
        <w:spacing w:before="120" w:after="120"/>
      </w:pPr>
      <w:r>
        <w:rPr>
          <w:sz w:val="18"/>
        </w:rPr>
        <w:t>——————————————————————————————————————————————————————————————————————</w:t>
      </w:r>
    </w:p>
    <w:p>
      <w:pPr>
        <w:spacing w:before="160" w:after="40" w:line="240" w:lineRule="auto"/>
      </w:pPr>
      <w:r>
        <w:rPr>
          <w:b/>
        </w:rPr>
        <w:t xml:space="preserve">[13] </w:t>
      </w:r>
      <w:hyperlink r:id="rId27">
        <w:r>
          <w:rPr>
            <w:color w:val="1155CC"/>
            <w:u w:val="single"/>
          </w:rPr>
          <w:t>1.7 eV带隙硫属化物太阳能电池的体和界面工程实现创纪录的效率</w:t>
        </w:r>
      </w:hyperlink>
    </w:p>
    <w:p>
      <w:pPr>
        <w:spacing w:before="0" w:after="80"/>
      </w:pPr>
      <w:r>
        <w:rPr>
          <w:i/>
          <w:sz w:val="20"/>
        </w:rPr>
        <w:t>EN: Bulk and interface engineering of 1.7 eV–bandgap chalcogenide solar cells enabling record efficiency</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28">
        <w:r>
          <w:rPr>
            <w:color w:val="1155CC"/>
            <w:u w:val="single"/>
          </w:rPr>
          <w:t>10.1126/sciadv.aed4703</w:t>
        </w:r>
      </w:hyperlink>
    </w:p>
    <w:p>
      <w:pPr>
        <w:spacing w:before="0" w:after="120"/>
      </w:pPr>
      <w:r>
        <w:rPr>
          <w:b/>
        </w:rPr>
        <w:t xml:space="preserve">Notes: </w:t>
      </w:r>
      <w:r>
        <w:t>abstract_source=crossref</w:t>
      </w:r>
    </w:p>
    <w:p>
      <w:pPr>
        <w:spacing w:before="0" w:after="80" w:lineRule="auto" w:line="276"/>
      </w:pPr>
      <w:r>
        <w:rPr>
          <w:b/>
        </w:rPr>
        <w:t xml:space="preserve">摘要（ZH）: </w:t>
      </w:r>
      <w:r>
        <w:t>宽带隙硫属化物光伏技术为串联太阳能电池和通过水分解产生太阳能驱动的氢气提供了强大的潜力，但其性能仍受持续的界面和体缺陷的限制。在此，我们通过铝（Al）合金化和铷（Rb）掺入展示了1.7电子伏特CuGaSe</w:t>
      </w:r>
      <w:r>
        <w:rPr>
          <w:vertAlign w:val="subscript"/>
        </w:rPr>
        <w:t>2</w:t>
      </w:r>
      <w:r>
        <w:t>薄膜太阳能电池的效率提升。Al和Rb修饰的CuGaSe</w:t>
      </w:r>
      <w:r>
        <w:rPr>
          <w:vertAlign w:val="subscript"/>
        </w:rPr>
        <w:t>2</w:t>
      </w:r>
      <w:r>
        <w:t>吸收层在界面化学、结构特性和亚稳态缺陷行为方面与传统的窄带隙Cu（In,Ga）Se</w:t>
      </w:r>
      <w:r>
        <w:rPr>
          <w:vertAlign w:val="subscript"/>
        </w:rPr>
        <w:t>2</w:t>
      </w:r>
      <w:r>
        <w:t>太阳能电池相比具有根本不同。此外，我们展示了引入陡峭的Al浓度梯度</w:t>
      </w:r>
    </w:p>
    <w:p>
      <w:pPr>
        <w:spacing w:before="0" w:after="200" w:lineRule="auto" w:line="276"/>
      </w:pPr>
      <w:r>
        <w:rPr>
          <w:b/>
        </w:rPr>
        <w:t xml:space="preserve">Abstract (EN): </w:t>
      </w:r>
      <w:r>
        <w:t>Wide-bandgap chalcogenide photovoltaics offer strong potential for tandem solar cells and solar-driven hydrogen generation via water splitting, yet their performance remains limited by persistent interfacial and bulk defects. Here, we demonstrate enhanced efficiency in 1.7–electron volt CuGaSe</w:t>
      </w:r>
      <w:r>
        <w:rPr>
          <w:vertAlign w:val="subscript"/>
        </w:rPr>
        <w:t>2</w:t>
      </w:r>
      <w:r>
        <w:t>thin-film solar cells through aluminum (Al) alloying and rubidium (Rb) incorporation. The Al- and Rb-modified CuGaSe</w:t>
      </w:r>
      <w:r>
        <w:rPr>
          <w:vertAlign w:val="subscript"/>
        </w:rPr>
        <w:t>2</w:t>
      </w:r>
      <w:r>
        <w:t>absorber exhibits fundamentally distinct interfacial chemistry, structural properties, and metastable defect behavior compared with conventional narrow-bandgap Cu (In,Ga)Se</w:t>
      </w:r>
      <w:r>
        <w:rPr>
          <w:vertAlign w:val="subscript"/>
        </w:rPr>
        <w:t>2</w:t>
      </w:r>
      <w:r>
        <w:t>solar cells. Moreover, we demonstrate that introducing a steep Al concentration gradient to engineer a back-surface electric field is a highly effective means of boosting device performance, even at an Al content of approximately 1 atomic % or less. By integrating these strategies, we achieve a higher open-circuit voltage without compromising photovoltaic efficiency, establishing a performance benchmark for wide-bandgap (1.65 to 1.75 electron volts) chalcogenides. These findings highlight the unique characteristics of wide-bandgap chalcopyrites and suggest a promising pathway toward next-generation, high-efficiency photovoltaic technologies.</w:t>
      </w:r>
    </w:p>
    <w:p>
      <w:pPr>
        <w:spacing w:before="120" w:after="120"/>
      </w:pPr>
      <w:r>
        <w:rPr>
          <w:sz w:val="18"/>
        </w:rPr>
        <w:t>——————————————————————————————————————————————————————————————————————</w:t>
      </w:r>
    </w:p>
    <w:p>
      <w:pPr>
        <w:spacing w:before="160" w:after="40" w:line="240" w:lineRule="auto"/>
      </w:pPr>
      <w:r>
        <w:rPr>
          <w:b/>
        </w:rPr>
        <w:t xml:space="preserve">[14] </w:t>
      </w:r>
      <w:hyperlink r:id="rId29">
        <w:r>
          <w:rPr>
            <w:color w:val="1155CC"/>
            <w:u w:val="single"/>
          </w:rPr>
          <w:t>轻量化光伏模块可能释放欧洲超过85 GW未开发的屋顶潜力</w:t>
        </w:r>
      </w:hyperlink>
    </w:p>
    <w:p>
      <w:pPr>
        <w:spacing w:before="0" w:after="80"/>
      </w:pPr>
      <w:r>
        <w:rPr>
          <w:i/>
          <w:sz w:val="20"/>
        </w:rPr>
        <w:t>EN: Lightweight PV modules could unlock more than 85 GW of untapped rooftop potential in Europe</w:t>
      </w:r>
    </w:p>
    <w:p>
      <w:pPr>
        <w:spacing w:before="0" w:after="120"/>
      </w:pPr>
      <w:r>
        <w:rPr>
          <w:b/>
        </w:rPr>
        <w:t xml:space="preserve">Source: </w:t>
      </w:r>
      <w:r>
        <w:t>Commercial &amp; Industrial PV – pv magazine International</w:t>
      </w:r>
      <w:r>
        <w:t xml:space="preserve">    </w:t>
      </w:r>
      <w:r>
        <w:rPr>
          <w:b/>
        </w:rPr>
        <w:t xml:space="preserve">Pub date: </w:t>
      </w:r>
      <w:r>
        <w:t>2026-03-11 09:27:19+00:00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0">
        <w:r>
          <w:rPr>
            <w:color w:val="1155CC"/>
            <w:u w:val="single"/>
          </w:rPr>
          <w:t>手性分子工程用于协同缺陷钝化和相稳定化，实现22.19%效率的无机钙钛矿太阳能电池</w:t>
        </w:r>
      </w:hyperlink>
    </w:p>
    <w:p>
      <w:pPr>
        <w:spacing w:before="0" w:after="80"/>
      </w:pPr>
      <w:r>
        <w:rPr>
          <w:i/>
          <w:sz w:val="20"/>
        </w:rPr>
        <w:t>EN: Chiral Molecular Engineering for Synergistic Defect Passivation and Phase Stabilization Enables 22.19%‐Efficient Inorganic Perovskite Solar Cells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1">
        <w:r>
          <w:rPr>
            <w:color w:val="1155CC"/>
            <w:u w:val="single"/>
          </w:rPr>
          <w:t>在分子平台上的自适应O2活化：促进Spiro-OMeTAD掺杂以提高碳基钙钛矿太阳能电池的效率</w:t>
        </w:r>
      </w:hyperlink>
    </w:p>
    <w:p>
      <w:pPr>
        <w:spacing w:before="0" w:after="80"/>
      </w:pPr>
      <w:r>
        <w:rPr>
          <w:i/>
          <w:sz w:val="20"/>
        </w:rPr>
        <w:t>EN: Adaptive O2 Activation on a Molecular Platform: Promoting Spiro‐OMeTAD Doping for High Efficiency Carbon‐Based Perovskite Solar Cells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2">
        <w:r>
          <w:rPr>
            <w:color w:val="1155CC"/>
            <w:u w:val="single"/>
          </w:rPr>
          <w:t>一种双分子共锚定策略用于构建氢网络以稳定钙钛矿太阳能电池</w:t>
        </w:r>
      </w:hyperlink>
    </w:p>
    <w:p>
      <w:pPr>
        <w:spacing w:before="0" w:after="80"/>
      </w:pPr>
      <w:r>
        <w:rPr>
          <w:i/>
          <w:sz w:val="20"/>
        </w:rPr>
        <w:t>EN: A Bimolecular Co‐Anchoring Strategy for Constructing Hydrogen Networks to Stabilize Perovskite Solar Cells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33">
        <w:r>
          <w:rPr>
            <w:color w:val="1155CC"/>
            <w:u w:val="single"/>
          </w:rPr>
          <w:t>随着屋顶太阳能的回升，澳大利亚的家庭电池需求创下新高</w:t>
        </w:r>
      </w:hyperlink>
    </w:p>
    <w:p>
      <w:pPr>
        <w:spacing w:before="0" w:after="80"/>
      </w:pPr>
      <w:r>
        <w:rPr>
          <w:i/>
          <w:sz w:val="20"/>
        </w:rPr>
        <w:t>EN: Home battery demand hits record in Australia as rooftop solar rebounds</w:t>
      </w:r>
    </w:p>
    <w:p>
      <w:pPr>
        <w:spacing w:before="0" w:after="120"/>
      </w:pPr>
      <w:r>
        <w:rPr>
          <w:b/>
        </w:rPr>
        <w:t xml:space="preserve">Source: </w:t>
      </w:r>
      <w:r>
        <w:t>Latest news about ESS Projects &amp; Applications | ESS News</w:t>
      </w:r>
      <w:r>
        <w:t xml:space="preserve">    </w:t>
      </w:r>
      <w:r>
        <w:rPr>
          <w:b/>
        </w:rPr>
        <w:t xml:space="preserve">Pub date: </w:t>
      </w:r>
      <w:r>
        <w:t>2026-03-11 12:11:00+00:00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34">
        <w:r>
          <w:rPr>
            <w:color w:val="1155CC"/>
            <w:u w:val="single"/>
          </w:rPr>
          <w:t>Aiko推出545 W背接触太阳能组件，效率达25%</w:t>
        </w:r>
      </w:hyperlink>
    </w:p>
    <w:p>
      <w:pPr>
        <w:spacing w:before="0" w:after="80"/>
      </w:pPr>
      <w:r>
        <w:rPr>
          <w:i/>
          <w:sz w:val="20"/>
        </w:rPr>
        <w:t>EN: Aiko launches 545 W back-contact solar module with 25% efficiency</w:t>
      </w:r>
    </w:p>
    <w:p>
      <w:pPr>
        <w:spacing w:before="0" w:after="120"/>
      </w:pPr>
      <w:r>
        <w:rPr>
          <w:b/>
        </w:rPr>
        <w:t xml:space="preserve">Source: </w:t>
      </w:r>
      <w:r>
        <w:t>Commercial &amp; Industrial PV – pv magazine International</w:t>
      </w:r>
      <w:r>
        <w:t xml:space="preserve">    </w:t>
      </w:r>
      <w:r>
        <w:rPr>
          <w:b/>
        </w:rPr>
        <w:t xml:space="preserve">Pub date: </w:t>
      </w:r>
      <w:r>
        <w:t>2026-03-11 15:05:27+00:00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5">
        <w:r>
          <w:rPr>
            <w:color w:val="1155CC"/>
            <w:u w:val="single"/>
          </w:rPr>
          <w:t>卤化物钙钛矿中热载流子的光学探针</w:t>
        </w:r>
      </w:hyperlink>
    </w:p>
    <w:p>
      <w:pPr>
        <w:spacing w:before="0" w:after="80"/>
      </w:pPr>
      <w:r>
        <w:rPr>
          <w:i/>
          <w:sz w:val="20"/>
        </w:rPr>
        <w:t>EN: Optical probes of hot carriers in halide perovskites</w:t>
      </w:r>
    </w:p>
    <w:p>
      <w:pPr>
        <w:spacing w:before="0" w:after="120"/>
      </w:pPr>
      <w:r>
        <w:rPr>
          <w:b/>
        </w:rPr>
        <w:t xml:space="preserve">Source: </w:t>
      </w:r>
      <w:r>
        <w:t>RSC - Chem. Soc. Rev. latest articles</w:t>
      </w:r>
      <w:r>
        <w:t xml:space="preserve">    </w:t>
      </w:r>
      <w:r>
        <w:rPr>
          <w:b/>
        </w:rPr>
        <w:t xml:space="preserve">Pub date: </w:t>
      </w:r>
      <w:r>
        <w:t>2026-03-12 00:00:00+00:00</w:t>
      </w:r>
    </w:p>
    <w:p>
      <w:pPr>
        <w:spacing w:before="0" w:after="120"/>
      </w:pPr>
      <w:r>
        <w:rPr>
          <w:b/>
        </w:rPr>
        <w:t xml:space="preserve">Notes: </w:t>
      </w:r>
      <w:r>
        <w:t>abstract_source=rsc_html</w:t>
      </w:r>
    </w:p>
    <w:p>
      <w:pPr>
        <w:spacing w:before="0" w:after="80" w:lineRule="auto" w:line="276"/>
      </w:pPr>
      <w:r>
        <w:rPr>
          <w:b/>
        </w:rPr>
        <w:t xml:space="preserve">摘要（ZH）: </w:t>
      </w:r>
      <w:r>
        <w:t>卤化物钙钛矿中热载流子（HCs）的异常缓慢冷却为收集多余载流子能量并超越单结钙钛矿太阳能电池的Shockley–Queisser（SQ）效率极限提供了一条有前景的途径。对HC动力学的光谱学探测是深入理解这些材料中HC特性和潜在冷却机制的关键步骤。多种光谱技术——尤其是泵浦-探测（或瞬态吸收（TA））光谱、泵浦-推-探测光谱、稳态光致发光（PL）和时间分辨PL光谱——已被用于研究HC行为。然而，实验实施和数据分析的差异可能导致相互矛盾甚至错误的解释，阻碍了有意义的c</w:t>
      </w:r>
    </w:p>
    <w:p>
      <w:pPr>
        <w:spacing w:before="0" w:after="200" w:lineRule="auto" w:line="276"/>
      </w:pPr>
      <w:r>
        <w:rPr>
          <w:b/>
        </w:rPr>
        <w:t xml:space="preserve">Abstract (EN): </w:t>
      </w:r>
      <w:r>
        <w:t>The unusual slow cooling of hot carriers (HCs) in halide perovskites presents a promising route to harvest the excess carrier energy and exceed the Shockley–Queisser (SQ) efficiency limit of single-junction perovskite solar cells. Spectroscopic interrogation of HC dynamics is a crucial step toward an in-depth understanding of the HC properties and underlying cooling mechanisms in these materials. A range of spectroscopy techniques – most notably pump–probe (or transient absorption (TA)) spectroscopy, pump–push–probe spectroscopy, steady-state photoluminescence (PL) and time-resolved PL spectroscopy – have been employed to study HC behaviour. However, variations in experimental implementations and data analyses can lead to conflicting or even erroneous interpretations, impeding meaningful comparisons across studies and hindering progress in the field. This tutorial review provides an overview of the most commonly used optical spectroscopy techniques for probing HC dynamics in the representative halide perovskite systems, detailing the underlying physical principles and models used to extract HC temperatures and cooling rates. We also discuss best practices for experimental design and data interpretation, aiming to minimize methodological pitfalls. By consolidating current approaches and offering guidance for their application, this tutorial serves as a resource for researchers seeking to explore HC phenomena and advance HC-based optoelectronic technologies in emergent semiconductor systems.</w:t>
      </w:r>
    </w:p>
    <w:p>
      <w:pPr>
        <w:spacing w:before="120" w:after="120"/>
      </w:pPr>
      <w:r>
        <w:rPr>
          <w:sz w:val="18"/>
        </w:rPr>
        <w:t>——————————————————————————————————————————————————————————————————————</w:t>
      </w:r>
    </w:p>
    <w:p>
      <w:pPr>
        <w:spacing w:before="160" w:after="40" w:line="240" w:lineRule="auto"/>
      </w:pPr>
      <w:r>
        <w:rPr>
          <w:b/>
        </w:rPr>
        <w:t xml:space="preserve">[21] </w:t>
      </w:r>
      <w:hyperlink r:id="rId36">
        <w:r>
          <w:rPr>
            <w:color w:val="1155CC"/>
            <w:u w:val="single"/>
          </w:rPr>
          <w:t>通过逐步三氟甲基取代实现协同位阻-偶极调制，使有机光伏器件的活性层分层组装和&gt;20%功率转换效率成为可能</w:t>
        </w:r>
      </w:hyperlink>
    </w:p>
    <w:p>
      <w:pPr>
        <w:spacing w:before="0" w:after="80"/>
      </w:pPr>
      <w:r>
        <w:rPr>
          <w:i/>
          <w:sz w:val="20"/>
        </w:rPr>
        <w:t>EN: Synergistic Steric-Dipole Modulation via Stepwise Trifluoromethyl Substitution Enables Active-Layer Hierarchical Assembly and &gt;20% Power Conversion Efficiency in Organic Photovoltaic Devices</w:t>
      </w:r>
    </w:p>
    <w:p>
      <w:pPr>
        <w:spacing w:before="0" w:after="120"/>
      </w:pPr>
      <w:r>
        <w:rPr>
          <w:b/>
        </w:rPr>
        <w:t xml:space="preserve">Source: </w:t>
      </w:r>
      <w:r>
        <w:t>RSC - Energy Environ. Sci. latest articles</w:t>
      </w:r>
      <w:r>
        <w:t xml:space="preserve">    </w:t>
      </w:r>
      <w:r>
        <w:rPr>
          <w:b/>
        </w:rPr>
        <w:t xml:space="preserve">Pub date: </w:t>
      </w:r>
      <w:r>
        <w:t>2026-03-12 00:00:00+00:00</w:t>
      </w:r>
    </w:p>
    <w:p>
      <w:pPr>
        <w:spacing w:before="0" w:after="120"/>
      </w:pPr>
      <w:r>
        <w:rPr>
          <w:b/>
        </w:rPr>
        <w:t xml:space="preserve">Notes: </w:t>
      </w:r>
      <w:r>
        <w:t>abstract_source=rsc_html</w:t>
      </w:r>
    </w:p>
    <w:p>
      <w:pPr>
        <w:spacing w:before="0" w:after="80" w:lineRule="auto" w:line="276"/>
      </w:pPr>
      <w:r>
        <w:rPr>
          <w:b/>
        </w:rPr>
        <w:t xml:space="preserve">摘要（ZH）: </w:t>
      </w:r>
      <w:r>
        <w:t>合理的分子设计可以有效优化有机太阳能电池（OSCs）的相分离细度和垂直相梯度，从而提高激子解离动力学和器件效率。-CF3的"C δ⁺ -F δ⁻ "极性促进了多种非共价相互作用，为活性层形貌的有序组装提供了关键驱动力。在此，通过逐步-CF3功能化CHE-Me合成了三个受体（命名为CHE-nF n = 3, 6, 9），逐步增强了空间位阻和分子偶极效应，同时不断降低表面能。研究表明，增加的空间位阻抑制了受体的过度聚集，从而优化了域尺寸。增强的偶极子加强了供体/受体（D/A）相互作用，缩短了π-π堆积距离。</w:t>
      </w:r>
    </w:p>
    <w:p>
      <w:pPr>
        <w:spacing w:before="0" w:after="200" w:lineRule="auto" w:line="276"/>
      </w:pPr>
      <w:r>
        <w:rPr>
          <w:b/>
        </w:rPr>
        <w:t xml:space="preserve">Abstract (EN): </w:t>
      </w:r>
      <w:r>
        <w:t>Rational molecular design can effectively optimize the fineness of phase separation and vertical phase gradients of organic solar cells (OSCs), thereby boosting exciton dissociation kinetics and device efficiency. The "C δ⁺ -F δ⁻ " polarity of -CF3 promotes diverse noncovalent interactions, providing a key driving force for ordered assembly of active layer morphology. Herein, three acceptors (named CHE-nF n = 3, 6, 9) were synthesized by stepwise -CF3 functionalization of CHE-Me, progressively enhancing steric and molecular dipole effects, while continuously reducing surface energy. Research indicates that increased steric hindrance suppresses acceptor over-aggregation, thereby optimizing domain size. Enhanced dipoles strengthen donor/acceptor (D/A) interactions, shorten π-π stacking distances, accelerate exciton dissociation, and mitigate trapassisted recombination; while minimized surface energy induces vertical phase gradients that facilitate charge transport.The steric-dipole-surface energy synergistic regulation strategy yielded an optimized morphology, delivering a power conversion efficiency (PCE) of 19.32% (fill factor (FF) of 82.06%) for the CHE-9F device, 20.30% for the ternary device, and 16.69% for the module. This work establishes a molecular steric-dipole regulation strategy for the precise control of phase separation and vertical composition gradients in photoactive layers, providing an effective pathway for high-performance OSCs.</w:t>
      </w:r>
    </w:p>
    <w:p>
      <w:pPr>
        <w:spacing w:before="120" w:after="120"/>
      </w:pPr>
      <w:r>
        <w:rPr>
          <w:sz w:val="18"/>
        </w:rPr>
        <w:t>——————————————————————————————————————————————————————————————————————</w:t>
      </w:r>
    </w:p>
    <w:p>
      <w:pPr>
        <w:spacing w:before="160" w:after="40" w:line="240" w:lineRule="auto"/>
      </w:pPr>
      <w:r>
        <w:rPr>
          <w:b/>
        </w:rPr>
        <w:t xml:space="preserve">[22] </w:t>
      </w:r>
      <w:hyperlink r:id="rId37">
        <w:r>
          <w:rPr>
            <w:color w:val="1155CC"/>
            <w:u w:val="single"/>
          </w:rPr>
          <w:t>图表显示未来1年太阳能容量增加的高低情景与基准情况</w:t>
        </w:r>
      </w:hyperlink>
    </w:p>
    <w:p>
      <w:pPr>
        <w:spacing w:before="0" w:after="80"/>
      </w:pPr>
      <w:r>
        <w:rPr>
          <w:i/>
          <w:sz w:val="20"/>
        </w:rPr>
        <w:t>EN: Chart showing high and low scenarios alongside the base case for the next 1 years of solar capacity additions</w:t>
      </w:r>
    </w:p>
    <w:p>
      <w:pPr>
        <w:spacing w:before="0" w:after="120"/>
      </w:pPr>
      <w:r>
        <w:rPr>
          <w:b/>
        </w:rPr>
        <w:t xml:space="preserve">Source: </w:t>
      </w:r>
      <w:r>
        <w:t>Commercial &amp; Industrial PV – pv magazine International</w:t>
      </w:r>
      <w:r>
        <w:t xml:space="preserve">    </w:t>
      </w:r>
      <w:r>
        <w:rPr>
          <w:b/>
        </w:rPr>
        <w:t xml:space="preserve">Pub date: </w:t>
      </w:r>
      <w:r>
        <w:t>2026-03-12 07:45:22+00:00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8">
        <w:r>
          <w:rPr>
            <w:color w:val="1155CC"/>
            <w:u w:val="single"/>
          </w:rPr>
          <w:t>阿肯色州2.5 GW太阳能、2.9 GWh电池储能项目易手</w:t>
        </w:r>
      </w:hyperlink>
    </w:p>
    <w:p>
      <w:pPr>
        <w:spacing w:before="0" w:after="80"/>
      </w:pPr>
      <w:r>
        <w:rPr>
          <w:i/>
          <w:sz w:val="20"/>
        </w:rPr>
        <w:t>EN: Arkansas 2.5 GW solar, 2.9 GWh battery storage project changes hands</w:t>
      </w:r>
    </w:p>
    <w:p>
      <w:pPr>
        <w:spacing w:before="0" w:after="120"/>
      </w:pPr>
      <w:r>
        <w:rPr>
          <w:b/>
        </w:rPr>
        <w:t xml:space="preserve">Source: </w:t>
      </w:r>
      <w:r>
        <w:t>Latest news about ESS Projects &amp; Applications | ESS News</w:t>
      </w:r>
      <w:r>
        <w:t xml:space="preserve">    </w:t>
      </w:r>
      <w:r>
        <w:rPr>
          <w:b/>
        </w:rPr>
        <w:t xml:space="preserve">Pub date: </w:t>
      </w:r>
      <w:r>
        <w:t>2026-03-12 10:25:00+00:00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9">
        <w:r>
          <w:rPr>
            <w:color w:val="1155CC"/>
            <w:u w:val="single"/>
          </w:rPr>
          <w:t>俄罗斯在2025年增加约100 MW的太阳能</w:t>
        </w:r>
      </w:hyperlink>
    </w:p>
    <w:p>
      <w:pPr>
        <w:spacing w:before="0" w:after="80"/>
      </w:pPr>
      <w:r>
        <w:rPr>
          <w:i/>
          <w:sz w:val="20"/>
        </w:rPr>
        <w:t>EN: Russia adds around 100 MW of solar in 2025</w:t>
      </w:r>
    </w:p>
    <w:p>
      <w:pPr>
        <w:spacing w:before="0" w:after="120"/>
      </w:pPr>
      <w:r>
        <w:rPr>
          <w:b/>
        </w:rPr>
        <w:t xml:space="preserve">Source: </w:t>
      </w:r>
      <w:r>
        <w:t>Commercial &amp; Industrial PV – pv magazine International</w:t>
      </w:r>
      <w:r>
        <w:t xml:space="preserve">    </w:t>
      </w:r>
      <w:r>
        <w:rPr>
          <w:b/>
        </w:rPr>
        <w:t xml:space="preserve">Pub date: </w:t>
      </w:r>
      <w:r>
        <w:t>2026-03-12 11:34:27+00:00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40">
        <w:r>
          <w:rPr>
            <w:color w:val="1155CC"/>
            <w:u w:val="single"/>
          </w:rPr>
          <w:t>研究表明传统太阳能阵列可以支持牲畜放牧</w:t>
        </w:r>
      </w:hyperlink>
    </w:p>
    <w:p>
      <w:pPr>
        <w:spacing w:before="0" w:after="80"/>
      </w:pPr>
      <w:r>
        <w:rPr>
          <w:i/>
          <w:sz w:val="20"/>
        </w:rPr>
        <w:t>EN: Research shows conventional solar arrays can support livestock grazing</w:t>
      </w:r>
    </w:p>
    <w:p>
      <w:pPr>
        <w:spacing w:before="0" w:after="120"/>
      </w:pPr>
      <w:r>
        <w:rPr>
          <w:b/>
        </w:rPr>
        <w:t xml:space="preserve">Source: </w:t>
      </w:r>
      <w:r>
        <w:t>Commercial &amp; Industrial PV – pv magazine International</w:t>
      </w:r>
      <w:r>
        <w:t xml:space="preserve">    </w:t>
      </w:r>
      <w:r>
        <w:rPr>
          <w:b/>
        </w:rPr>
        <w:t xml:space="preserve">Pub date: </w:t>
      </w:r>
      <w:r>
        <w:t>2026-03-12 12:00:57+00:00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41">
        <w:r>
          <w:rPr>
            <w:color w:val="1155CC"/>
            <w:u w:val="single"/>
          </w:rPr>
          <w:t>日本为农业光伏设立国家基准，随着场地扩展</w:t>
        </w:r>
      </w:hyperlink>
    </w:p>
    <w:p>
      <w:pPr>
        <w:spacing w:before="0" w:after="80"/>
      </w:pPr>
      <w:r>
        <w:rPr>
          <w:i/>
          <w:sz w:val="20"/>
        </w:rPr>
        <w:t>EN: Japan establishes national benchmarks for agrivoltaics as sites expand</w:t>
      </w:r>
    </w:p>
    <w:p>
      <w:pPr>
        <w:spacing w:before="0" w:after="120"/>
      </w:pPr>
      <w:r>
        <w:rPr>
          <w:b/>
        </w:rPr>
        <w:t xml:space="preserve">Source: </w:t>
      </w:r>
      <w:r>
        <w:t>Commercial &amp; Industrial PV – pv magazine International</w:t>
      </w:r>
      <w:r>
        <w:t xml:space="preserve">    </w:t>
      </w:r>
      <w:r>
        <w:rPr>
          <w:b/>
        </w:rPr>
        <w:t xml:space="preserve">Pub date: </w:t>
      </w:r>
      <w:r>
        <w:t>2026-03-12 16:15:44+00:00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2">
        <w:r>
          <w:rPr>
            <w:color w:val="1155CC"/>
            <w:u w:val="single"/>
          </w:rPr>
          <w:t>高电压和稳定的无钴LiNiO2正极用于硫化物基全固态电池</w:t>
        </w:r>
      </w:hyperlink>
    </w:p>
    <w:p>
      <w:pPr>
        <w:spacing w:before="0" w:after="80"/>
      </w:pPr>
      <w:r>
        <w:rPr>
          <w:i/>
          <w:sz w:val="20"/>
        </w:rPr>
        <w:t>EN: High-voltage and stable co-free LiNiO2 positive electrode for sulfide-based all-solid-state batteries</w:t>
      </w:r>
    </w:p>
    <w:p>
      <w:pPr>
        <w:spacing w:before="0" w:after="120"/>
      </w:pPr>
      <w:r>
        <w:rPr>
          <w:b/>
        </w:rPr>
        <w:t xml:space="preserve">Source: </w:t>
      </w:r>
      <w:r>
        <w:t>Nature Communications</w:t>
      </w:r>
      <w:r>
        <w:t xml:space="preserve">    </w:t>
      </w:r>
      <w:r>
        <w:rPr>
          <w:b/>
        </w:rPr>
        <w:t xml:space="preserve">Pub date: </w:t>
      </w:r>
      <w:r>
        <w:t>2026-03-08 00:00:00+00:00</w:t>
      </w:r>
      <w:r>
        <w:t xml:space="preserve">    </w:t>
      </w:r>
      <w:r>
        <w:rPr>
          <w:b/>
        </w:rPr>
        <w:t xml:space="preserve">DOI: </w:t>
      </w:r>
      <w:hyperlink r:id="rId43">
        <w:r>
          <w:rPr>
            <w:color w:val="1155CC"/>
            <w:u w:val="single"/>
          </w:rPr>
          <w:t>10.1038/s41467-026-70405-3</w:t>
        </w:r>
      </w:hyperlink>
    </w:p>
    <w:p>
      <w:pPr>
        <w:spacing w:before="0" w:after="120"/>
      </w:pPr>
      <w:r>
        <w:rPr>
          <w:b/>
        </w:rPr>
        <w:t xml:space="preserve">Notes: </w:t>
      </w:r>
      <w:r>
        <w:t>abstract_source=nature_html</w:t>
      </w:r>
    </w:p>
    <w:p>
      <w:pPr>
        <w:spacing w:before="0" w:after="80" w:lineRule="auto" w:line="276"/>
      </w:pPr>
      <w:r>
        <w:rPr>
          <w:b/>
        </w:rPr>
        <w:t xml:space="preserve">摘要（ZH）: </w:t>
      </w:r>
      <w:r>
        <w:t>高电压LiNiO2的发展对于实现高能量密度全固态锂离子电池至关重要。然而，其实际应用受到结构疲劳和与固体电解质界面不兼容的阻碍。在此，提出了一种通用的异相重构策略来设计稳定的LiNiO2基正极（LiNi0.964Al0.03W0.006O2）。在这种结构中，高价W促进了具有良好界面兼容性的表面尖晶石相的形成，而低价Al通过强Al–O键抑制Li/Ni阳离子无序，稳定了层状结构。W和Al的协同作用增强了具有增强机械和化学完整性的稳定层状-尖晶石框架</w:t>
      </w:r>
    </w:p>
    <w:p>
      <w:pPr>
        <w:spacing w:before="0" w:after="200" w:lineRule="auto" w:line="276"/>
      </w:pPr>
      <w:r>
        <w:rPr>
          <w:b/>
        </w:rPr>
        <w:t xml:space="preserve">Abstract (EN): </w:t>
      </w:r>
      <w:r>
        <w:t>The development of high-voltage LiNiO2 is critical for achieving high-energy-density all-solid-state Lithium-ion batteries. However, their practical application is hindered by structural fatigue and interfacial incompatibility with solid electrolytes. Here, a universal heterophase reconstruction strategy is proposed to engineer a stable LiNiO2-based positive electrode (LiNi0.964Al0.03W0.006O2). In this architecture, high-valence W facilitates the formation of a robust surface spinel phase that exhibits good interfacial compatibility with sulfide electrolytes, while low-valence Al suppresses Li/Ni cation disorder through strong Al–O bonding, stabilizing the layered structure. The synergy of W and Al reinforces a stable layered-spinel framework with enhanced mechanical and chemical integrity, mitigates lattice strain and suppresses the detrimental rock-salt phase and microcracks. Operating up to 4.5 V, LiNi0.964Al0.03W0.006O2 delivers a high capacity of 187.6 mAh g-1 at 0.5 C and maintains 122.1 mAh g-1 even after 720 cycles. This heterophase reconstruction strategy concept is further validated in LiNiO2-based systems (LiNi0.964Al0.03Mo0.006O2, LiNi0.964B0.03W0.006O2, and LiNi0.964B0.03Nb0.006O2), confirming a general, scalable design rule for advancing cobalt-free, high-energy and long-life all-solid-state Lithium-ion batteries.</w:t>
      </w:r>
    </w:p>
    <w:p>
      <w:pPr>
        <w:spacing w:before="120" w:after="120"/>
      </w:pPr>
      <w:r>
        <w:rPr>
          <w:sz w:val="18"/>
        </w:rPr>
        <w:t>——————————————————————————————————————————————————————————————————————</w:t>
      </w:r>
    </w:p>
    <w:p>
      <w:pPr>
        <w:spacing w:before="160" w:after="40" w:line="240" w:lineRule="auto"/>
      </w:pPr>
      <w:r>
        <w:rPr>
          <w:b/>
        </w:rPr>
        <w:t xml:space="preserve">[2] </w:t>
      </w:r>
      <w:hyperlink r:id="rId44">
        <w:r>
          <w:rPr>
            <w:color w:val="1155CC"/>
            <w:u w:val="single"/>
          </w:rPr>
          <w:t>用于下一代全有机电池的共轭微孔聚合物基分级多孔阴极、隔膜和阳极</w:t>
        </w:r>
      </w:hyperlink>
    </w:p>
    <w:p>
      <w:pPr>
        <w:spacing w:before="0" w:after="80"/>
      </w:pPr>
      <w:r>
        <w:rPr>
          <w:i/>
          <w:sz w:val="20"/>
        </w:rPr>
        <w:t>EN: Conjugated Microporous Polymer‐Based Hierarchical Porous Cathode, Separator, and Anode for Next‐Generation All‐Organic Batteries</w:t>
      </w:r>
    </w:p>
    <w:p>
      <w:pPr>
        <w:spacing w:before="0" w:after="120"/>
      </w:pPr>
      <w:r>
        <w:rPr>
          <w:b/>
        </w:rPr>
        <w:t xml:space="preserve">Source: </w:t>
      </w:r>
      <w:r>
        <w:t>Wiley: Advanced Energy Materials: Table of Contents</w:t>
      </w:r>
      <w:r>
        <w:t xml:space="preserve">    </w:t>
      </w:r>
      <w:r>
        <w:rPr>
          <w:b/>
        </w:rPr>
        <w:t xml:space="preserve">Pub date: </w:t>
      </w:r>
      <w:r>
        <w:t>2026-03-09 06:50:48+00:00</w:t>
      </w:r>
      <w:r>
        <w:t xml:space="preserve">    </w:t>
      </w:r>
      <w:r>
        <w:rPr>
          <w:b/>
        </w:rPr>
        <w:t xml:space="preserve">DOI: </w:t>
      </w:r>
      <w:hyperlink r:id="rId45">
        <w:r>
          <w:rPr>
            <w:color w:val="1155CC"/>
            <w:u w:val="single"/>
          </w:rPr>
          <w:t>10.1002/aenm.202506712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兴技术对具有高能量密度、超快充电和长寿命的锂离子电池的需求日益增加。全有机电池（AOBs）由轻质、可调节和可持续的材料构建，作为有前途的替代品吸引了越来越多的关注。在此，我们提出了一种新型的全层次共轭微孔聚合物（CMP）电池（AHCB），其特点是基于聚三苯胺（PTPA）的层次多孔阴极、阳极和隔膜。由PTPA/还原氧化石墨烯复合材料构建的阴极（PTPAG）提供了增强的电子导电性和离子扩散。阳极（PTAA）提供了基于偶氮苯的Li</w:t>
      </w:r>
      <w:r>
        <w:t xml:space="preserve"> </w:t>
      </w:r>
      <w:r>
        <w:t>+</w:t>
      </w:r>
      <w:r>
        <w:t xml:space="preserve"> </w:t>
      </w:r>
      <w:r>
        <w:t>结合位点，并加速了电荷传输和氧化还原动力学。</w:t>
      </w:r>
    </w:p>
    <w:p>
      <w:pPr>
        <w:spacing w:before="0" w:after="200" w:lineRule="auto" w:line="276"/>
      </w:pPr>
      <w:r>
        <w:rPr>
          <w:b/>
        </w:rPr>
        <w:t xml:space="preserve">Abstract (EN): </w:t>
      </w:r>
      <w:r>
        <w:t>Emerging technologies increasingly demand lithium‐ion batteries with high energy density, ultrafast charging, and long life. All‐organic batteries (AOBs), built from lightweight, tunable, and sustainable materials, are attracting growing interest as promising alternatives. Herein, we present a novel all‐hierarchical conjugated microporous polymer (CMP) battery (AHCB) featuring polytriphenylamine (PTPA)‐based hierarchical porous cathode, anode, and separator. The cathode (PTPAG) constructed from PTPA/reduced graphene oxide composites offers enhanced electronic conductivity and ion diffusion. The anode (PTAA) provides azobenzene‐based Li</w:t>
      </w:r>
      <w:r>
        <w:t xml:space="preserve"> </w:t>
      </w:r>
      <w:r>
        <w:t>+</w:t>
      </w:r>
      <w:r>
        <w:t xml:space="preserve"> </w:t>
      </w:r>
      <w:r>
        <w:t>‐binding sites and accelerates charge transport and redox kinetics. The PTPA‐based nanofiber separator delivers high ionic conductivity and efficient mass transport through its hierarchical porous structure. Benefiting from their synergy, the AHCB delivers a high energy density of 220 Wh kg</w:t>
      </w:r>
      <w:r>
        <w:t xml:space="preserve"> </w:t>
      </w:r>
      <w:r>
        <w:t>−1</w:t>
      </w:r>
      <w:r>
        <w:t xml:space="preserve"> </w:t>
      </w:r>
      <w:r>
        <w:t>and a remarkable power density of 26.5 kW kg</w:t>
      </w:r>
      <w:r>
        <w:t xml:space="preserve"> </w:t>
      </w:r>
      <w:r>
        <w:t>−1</w:t>
      </w:r>
      <w:r>
        <w:t xml:space="preserve"> </w:t>
      </w:r>
      <w:r>
        <w:t>, requiring only 20 s to achieve ultrafast charging. At a high current density of 20 A g</w:t>
      </w:r>
      <w:r>
        <w:t xml:space="preserve"> </w:t>
      </w:r>
      <w:r>
        <w:t>−1</w:t>
      </w:r>
      <w:r>
        <w:t xml:space="preserve"> </w:t>
      </w:r>
      <w:r>
        <w:t>(180 C), it still delivers 120 mAh g</w:t>
      </w:r>
      <w:r>
        <w:t xml:space="preserve"> </w:t>
      </w:r>
      <w:r>
        <w:t>−1</w:t>
      </w:r>
      <w:r>
        <w:t xml:space="preserve"> </w:t>
      </w:r>
      <w:r>
        <w:t>and maintains 74% of initial capacity after 20,000 cycles. Notably, the assembled pouch cell shows excellent electrochemical properties and operates stably under mechanical stresses. This work highlights CMPs as a versatile platform for next‐generation fast‐charging and high‐energy‐density AOBs.</w:t>
      </w:r>
    </w:p>
    <w:p>
      <w:pPr>
        <w:spacing w:before="120" w:after="120"/>
      </w:pPr>
      <w:r>
        <w:rPr>
          <w:sz w:val="18"/>
        </w:rPr>
        <w:t>——————————————————————————————————————————————————————————————————————</w:t>
      </w:r>
    </w:p>
    <w:p>
      <w:pPr>
        <w:spacing w:before="160" w:after="40" w:line="240" w:lineRule="auto"/>
      </w:pPr>
      <w:r>
        <w:rPr>
          <w:b/>
        </w:rPr>
        <w:t xml:space="preserve">[3] </w:t>
      </w:r>
      <w:hyperlink r:id="rId46">
        <w:r>
          <w:rPr>
            <w:color w:val="1155CC"/>
            <w:u w:val="single"/>
          </w:rPr>
          <w:t>双氧化还原共轭双极性共价有机框架实现高电压对称质子电池</w:t>
        </w:r>
      </w:hyperlink>
    </w:p>
    <w:p>
      <w:pPr>
        <w:spacing w:before="0" w:after="80"/>
      </w:pPr>
      <w:r>
        <w:rPr>
          <w:i/>
          <w:sz w:val="20"/>
        </w:rPr>
        <w:t>EN: Dual‐Redox Conjugated Bipolar Covalent Organic Framework Enables High‐Voltage Symmetric Proton Batteries</w:t>
      </w:r>
    </w:p>
    <w:p>
      <w:pPr>
        <w:spacing w:before="0" w:after="120"/>
      </w:pPr>
      <w:r>
        <w:rPr>
          <w:b/>
        </w:rPr>
        <w:t xml:space="preserve">Source: </w:t>
      </w:r>
      <w:r>
        <w:t>Wiley: Angewandte Chemie International Edition: Table of Contents</w:t>
      </w:r>
      <w:r>
        <w:t xml:space="preserve">    </w:t>
      </w:r>
      <w:r>
        <w:rPr>
          <w:b/>
        </w:rPr>
        <w:t xml:space="preserve">Pub date: </w:t>
      </w:r>
      <w:r>
        <w:t>2026-03-09 06:58:55+00:00</w:t>
      </w:r>
      <w:r>
        <w:t xml:space="preserve">    </w:t>
      </w:r>
      <w:r>
        <w:rPr>
          <w:b/>
        </w:rPr>
        <w:t xml:space="preserve">DOI: </w:t>
      </w:r>
      <w:hyperlink r:id="rId47">
        <w:r>
          <w:rPr>
            <w:color w:val="1155CC"/>
            <w:u w:val="single"/>
          </w:rPr>
          <w:t>10.1002/anie.9770638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称全有机质子电池（SAOPBs）因其安全和优越的倍率性能而在大规模储能中受到越来越多的关注，但由于缺乏合适的双极电极材料，这些材料在单一结构中集成了可逆的双氧化还原活性和高工作电压，严重限制了其应用。在此，我们报告了一种双极共价有机框架（TAPT‐HAT‐COF），作为对称质子电池的阴极和阳极。在这个COF中，电子缺乏的吡嗪/羰基单元和电子丰富的苯亚胺基团建立了两个独立且可逆的氧化还原对，实现了高达0.83 V的高工作电压。结合原位FTIR光谱和理论计算，TAPT‐HAT‐COF显示出</w:t>
      </w:r>
    </w:p>
    <w:p>
      <w:pPr>
        <w:spacing w:before="0" w:after="200" w:lineRule="auto" w:line="276"/>
      </w:pPr>
      <w:r>
        <w:rPr>
          <w:b/>
        </w:rPr>
        <w:t xml:space="preserve">Abstract (EN): </w:t>
      </w:r>
      <w:r>
        <w:t>Symmetric all‐organic proton batteries (SAOPBs) attract increasing attention for large‐scale energy storage due to their safe and superior rate performance, which is severely limited by the lack of suitable bipolar electrode materials that integrate reversible dual‐redox activity and high operating voltage within a single structure. Herein, we report a bipolar covalent organic framework (TAPT‐HAT‐COF) as both cathode and anode in symmetric proton battery. In this COF, the electron‐deficient pyrazine/carbonyl units and electron‐rich phenylimine groups establish two independent and reversible redox couples, achieving a high operating voltage of up to 0.83 V. Combined with in situ FTIR spectroscopy and theoretical calculations, TAPT‐HAT‐COF shows bipolar charge storage mechanism with the C═N and C═O groups served as reversible redox centers. Benefiting from the fully conjugated structure and abundant active sites, the assembled SAOPB exhibits high specific capacity of 108.5 mAh g</w:t>
      </w:r>
      <w:r>
        <w:t xml:space="preserve"> </w:t>
      </w:r>
      <w:r>
        <w:t>−1</w:t>
      </w:r>
      <w:r>
        <w:t xml:space="preserve"> </w:t>
      </w:r>
      <w:r>
        <w:t>under 5 A g</w:t>
      </w:r>
      <w:r>
        <w:t xml:space="preserve"> </w:t>
      </w:r>
      <w:r>
        <w:t>−1</w:t>
      </w:r>
      <w:r>
        <w:t xml:space="preserve"> </w:t>
      </w:r>
      <w:r>
        <w:t>with stable cycling over 3000 cycles. Moreover, when applied in a practical pouch cell, which delivers a specific capacity of 145.8 mAh g</w:t>
      </w:r>
      <w:r>
        <w:t xml:space="preserve"> </w:t>
      </w:r>
      <w:r>
        <w:t>−1</w:t>
      </w:r>
      <w:r>
        <w:t xml:space="preserve"> </w:t>
      </w:r>
      <w:r>
        <w:t>at 0.5 A g</w:t>
      </w:r>
      <w:r>
        <w:t xml:space="preserve"> </w:t>
      </w:r>
      <w:r>
        <w:t>−1</w:t>
      </w:r>
      <w:r>
        <w:t xml:space="preserve"> </w:t>
      </w:r>
      <w:r>
        <w:t>, confirming the material's potential for practical applications. The work can provide viable design strategy and model of bipolar COF materials for symmetric energy storage systems.</w:t>
      </w:r>
    </w:p>
    <w:p>
      <w:pPr>
        <w:spacing w:before="120" w:after="120"/>
      </w:pPr>
      <w:r>
        <w:rPr>
          <w:sz w:val="18"/>
        </w:rPr>
        <w:t>——————————————————————————————————————————————————————————————————————</w:t>
      </w:r>
    </w:p>
    <w:p>
      <w:pPr>
        <w:spacing w:before="160" w:after="40" w:line="240" w:lineRule="auto"/>
      </w:pPr>
      <w:r>
        <w:rPr>
          <w:b/>
        </w:rPr>
        <w:t xml:space="preserve">[4] </w:t>
      </w:r>
      <w:hyperlink r:id="rId48">
        <w:r>
          <w:rPr>
            <w:color w:val="1155CC"/>
            <w:u w:val="single"/>
          </w:rPr>
          <w:t>弥合实验室级钠离子纽扣电池与实际软包电池之间的差距</w:t>
        </w:r>
      </w:hyperlink>
    </w:p>
    <w:p>
      <w:pPr>
        <w:spacing w:before="0" w:after="80"/>
      </w:pPr>
      <w:r>
        <w:rPr>
          <w:i/>
          <w:sz w:val="20"/>
        </w:rPr>
        <w:t>EN: Bridge the Gaps Between Lab‐Level Sodium‐Ion Coin Cells and Practical Pouch Cells</w:t>
      </w:r>
    </w:p>
    <w:p>
      <w:pPr>
        <w:spacing w:before="0" w:after="120"/>
      </w:pPr>
      <w:r>
        <w:rPr>
          <w:b/>
        </w:rPr>
        <w:t xml:space="preserve">Source: </w:t>
      </w:r>
      <w:r>
        <w:t>Wiley: Advanced Materials: Table of Contents</w:t>
      </w:r>
      <w:r>
        <w:t xml:space="preserve">    </w:t>
      </w:r>
      <w:r>
        <w:rPr>
          <w:b/>
        </w:rPr>
        <w:t xml:space="preserve">Pub date: </w:t>
      </w:r>
      <w:r>
        <w:t>2026-03-09 13:21:04+00:00</w:t>
      </w:r>
      <w:r>
        <w:t xml:space="preserve">    </w:t>
      </w:r>
      <w:r>
        <w:rPr>
          <w:b/>
        </w:rPr>
        <w:t xml:space="preserve">DOI: </w:t>
      </w:r>
      <w:hyperlink r:id="rId49">
        <w:r>
          <w:rPr>
            <w:color w:val="1155CC"/>
            <w:u w:val="single"/>
          </w:rPr>
          <w:t>10.1002/adma.202521756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SIBs）因钠（Na）资源丰富、制造工艺与锂离子电池（LIBs）相似以及高低温抗性和速率能力而在学术界和工业界引起了广泛关注。最近，为推进钠离子软包电池的实际应用进行了大量努力；然而，从实验室研究到市场实施的过渡因实验室级纽扣电池与实际软包电池之间的相关性不明确而受到阻碍。在此，系统分析并揭示了钠离子软包电池与纽扣电池之间的能量密度和循环寿命的差异及其众多根本原因</w:t>
      </w:r>
    </w:p>
    <w:p>
      <w:pPr>
        <w:spacing w:before="0" w:after="200" w:lineRule="auto" w:line="276"/>
      </w:pPr>
      <w:r>
        <w:rPr>
          <w:b/>
        </w:rPr>
        <w:t xml:space="preserve">Abstract (EN): </w:t>
      </w:r>
      <w:r>
        <w:t>Sodium‐ion batteries (SIBs) have garnered extensive interest in the academic and industrial sectors, primarily because of the abundance of sodium (Na) resources, manufacturing processes similar to those of lithium‐ion batteries (LIBs), and high low‐temperature resistance and rate capability. Recently, considerable efforts have been directed toward advancing the practical application of sodium‐ion pouch cells; however, the transition from laboratory research to market implementation is hindered by an unclear understanding of the correlation between lab‐level coin cells and practical pouch cells. Herein, the difference in energy density and cycle life between sodium‐ion pouch cells and coin cells, and their numerous root causes are systematically analyzed and revealed. Then, the intrinsic defects in materials and interface instability issues associated with sodium‐ion pouch cells are analyzed, and the research progress focusing on the cathode, anode, and electrolyte components is summarized. Finally, the standardization of assembly and testing to bridge the gap between the sodium‐ion pouch cells and the coin cells is proposed for the SIB community. This review aims to provide valuable insights and support for promoting the development of SIBs from laboratory samples to industrial products.</w:t>
      </w:r>
    </w:p>
    <w:p>
      <w:pPr>
        <w:spacing w:before="120" w:after="120"/>
      </w:pPr>
      <w:r>
        <w:rPr>
          <w:sz w:val="18"/>
        </w:rPr>
        <w:t>——————————————————————————————————————————————————————————————————————</w:t>
      </w:r>
    </w:p>
    <w:p>
      <w:pPr>
        <w:spacing w:before="160" w:after="40" w:line="240" w:lineRule="auto"/>
      </w:pPr>
      <w:r>
        <w:rPr>
          <w:b/>
        </w:rPr>
        <w:t xml:space="preserve">[5] </w:t>
      </w:r>
      <w:hyperlink r:id="rId50">
        <w:r>
          <w:rPr>
            <w:color w:val="1155CC"/>
            <w:u w:val="single"/>
          </w:rPr>
          <w:t>封面文章：高速率和高电压锂离子电池的氧氯化物界面的原子级制造</w:t>
        </w:r>
      </w:hyperlink>
    </w:p>
    <w:p>
      <w:pPr>
        <w:spacing w:before="0" w:after="80"/>
      </w:pPr>
      <w:r>
        <w:rPr>
          <w:i/>
          <w:sz w:val="20"/>
        </w:rPr>
        <w:t>EN: Frontispiece: Atomic Level Fabrication of Oxychloride Interface for High‐Rate and High‐Voltage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2026-03-09 14:39:25+00:00</w:t>
      </w:r>
      <w:r>
        <w:t xml:space="preserve">    </w:t>
      </w:r>
      <w:r>
        <w:rPr>
          <w:b/>
        </w:rPr>
        <w:t xml:space="preserve">DOI: </w:t>
      </w:r>
      <w:hyperlink r:id="rId51">
        <w:r>
          <w:rPr>
            <w:color w:val="1155CC"/>
            <w:u w:val="single"/>
          </w:rPr>
          <w:t>10.1002/anie.2026-m1902093600</w:t>
        </w:r>
      </w:hyperlink>
    </w:p>
    <w:p>
      <w:pPr>
        <w:spacing w:before="0" w:after="120"/>
      </w:pPr>
      <w:r>
        <w:rPr>
          <w:b/>
        </w:rPr>
        <w:t xml:space="preserve">Notes: </w:t>
      </w:r>
      <w:r>
        <w:t>abstract_source=openalex</w:t>
      </w:r>
    </w:p>
    <w:p>
      <w:pPr>
        <w:spacing w:before="0" w:after="80" w:lineRule="auto" w:line="276"/>
      </w:pPr>
      <w:r>
        <w:rPr>
          <w:b/>
        </w:rPr>
        <w:t xml:space="preserve">摘要（ZH）: </w:t>
      </w:r>
      <w:r>
        <w:t>在研究文章（e17806）中，王长虹、孙雪良及其合作者报道了一种自限性气相化学反应路线，以原子级精度在阴极材料上合成氧氯化物涂层。沉积的氧氯化物优越的锂离子导电性和出色的高电压稳定性在维持阴极结构完整性方面起着关键作用，同时确保锂离子电池的优异高倍率和高电压性能。</w:t>
      </w:r>
    </w:p>
    <w:p>
      <w:pPr>
        <w:spacing w:before="0" w:after="200" w:lineRule="auto" w:line="276"/>
      </w:pPr>
      <w:r>
        <w:rPr>
          <w:b/>
        </w:rPr>
        <w:t xml:space="preserve">Abstract (EN): </w:t>
      </w:r>
      <w:r>
        <w:t>In the Research Article (e17806), Changhong Wang, Xueliang Sun, and co-workers report a self-limiting vapor-phase chemical reaction route to precisely synthesize oxychloride coating at atomic level on cathode materials. The superior lithium ionic conducting nature and outstanding high voltage stability of the deposited oxychloride play a critical role in maintaining cathode structural integrity, while ensuring excellent high-rate and high-voltage performance for lithium-ion batteries.</w:t>
      </w:r>
    </w:p>
    <w:p>
      <w:pPr>
        <w:spacing w:before="120" w:after="120"/>
      </w:pPr>
      <w:r>
        <w:rPr>
          <w:sz w:val="18"/>
        </w:rPr>
        <w:t>——————————————————————————————————————————————————————————————————————</w:t>
      </w:r>
    </w:p>
    <w:p>
      <w:pPr>
        <w:spacing w:before="160" w:after="40" w:line="240" w:lineRule="auto"/>
      </w:pPr>
      <w:r>
        <w:rPr>
          <w:b/>
        </w:rPr>
        <w:t xml:space="preserve">[6] </w:t>
      </w:r>
      <w:hyperlink r:id="rId52">
        <w:r>
          <w:rPr>
            <w:color w:val="1155CC"/>
            <w:u w:val="single"/>
          </w:rPr>
          <w:t>重建R 3¯${\mathrm{\bar{3}}}$ m无序相均匀化Li+分布以缓解LiNi0.95Co0.02Mn0.03O2中的H2-H3相变</w:t>
        </w:r>
      </w:hyperlink>
    </w:p>
    <w:p>
      <w:pPr>
        <w:spacing w:before="0" w:after="80"/>
      </w:pPr>
      <w:r>
        <w:rPr>
          <w:i/>
          <w:sz w:val="20"/>
        </w:rPr>
        <w:t>EN: Reconstruction of R 3¯${\mathrm{\bar{3}}}$ m Disordered Phase Homogenizing Li+ Distribution Toward Mitigating H2‐H3 Phase Transition in LiNi0.95Co0.02Mn0.03O2</w:t>
      </w:r>
    </w:p>
    <w:p>
      <w:pPr>
        <w:spacing w:before="0" w:after="120"/>
      </w:pPr>
      <w:r>
        <w:rPr>
          <w:b/>
        </w:rPr>
        <w:t xml:space="preserve">Source: </w:t>
      </w:r>
      <w:r>
        <w:t>Wiley: Advanced Materials: Table of Contents</w:t>
      </w:r>
      <w:r>
        <w:t xml:space="preserve">    </w:t>
      </w:r>
      <w:r>
        <w:rPr>
          <w:b/>
        </w:rPr>
        <w:t xml:space="preserve">Pub date: </w:t>
      </w:r>
      <w:r>
        <w:t>2026-03-10 03:52:53+00:00</w:t>
      </w:r>
      <w:r>
        <w:t xml:space="preserve">    </w:t>
      </w:r>
      <w:r>
        <w:rPr>
          <w:b/>
        </w:rPr>
        <w:t xml:space="preserve">DOI: </w:t>
      </w:r>
      <w:hyperlink r:id="rId53">
        <w:r>
          <w:rPr>
            <w:color w:val="1155CC"/>
            <w:u w:val="single"/>
          </w:rPr>
          <w:t>10.1002/adma.202523158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电化学机械耦合失效严重恶化了LiNi</w:t>
      </w:r>
      <w:r>
        <w:t xml:space="preserve"> </w:t>
      </w:r>
      <w:r>
        <w:t>0.95</w:t>
      </w:r>
      <w:r>
        <w:t xml:space="preserve"> </w:t>
      </w:r>
      <w:r>
        <w:t>Co</w:t>
      </w:r>
      <w:r>
        <w:t xml:space="preserve"> </w:t>
      </w:r>
      <w:r>
        <w:t>0.02</w:t>
      </w:r>
      <w:r>
        <w:t xml:space="preserve"> </w:t>
      </w:r>
      <w:r>
        <w:t>Mn</w:t>
      </w:r>
      <w:r>
        <w:t xml:space="preserve"> </w:t>
      </w:r>
      <w:r>
        <w:t>0.03</w:t>
      </w:r>
      <w:r>
        <w:t xml:space="preserve"> </w:t>
      </w:r>
      <w:r>
        <w:t>O</w:t>
      </w:r>
      <w:r>
        <w:rPr>
          <w:vertAlign w:val="subscript"/>
        </w:rPr>
        <w:t>2</w:t>
      </w:r>
      <w:r>
        <w:t>（NCM95）的循环性能，这源于高电荷状态下不均匀的锂离子分布，以及剧烈相变中的晶格失配。为了解决这一挑战，在这项工作中，通过界面锂和氧空位诱导了一种原位R m型无序相，表现出与NCM95的底层层状框架的优异动态晶格匹配。关键的是，与先前报道的惰性NiO岩盐不同，最佳</w:t>
      </w:r>
    </w:p>
    <w:p>
      <w:pPr>
        <w:spacing w:before="0" w:after="200" w:lineRule="auto" w:line="276"/>
      </w:pPr>
      <w:r>
        <w:rPr>
          <w:b/>
        </w:rPr>
        <w:t xml:space="preserve">Abstract (EN): </w:t>
      </w:r>
      <w:r>
        <w:t>Electro‐chemo‐mechanical coupling failure severely deteriorates the cycling performance of LiNi</w:t>
      </w:r>
      <w:r>
        <w:t xml:space="preserve"> </w:t>
      </w:r>
      <w:r>
        <w:t>0.95</w:t>
      </w:r>
      <w:r>
        <w:t xml:space="preserve"> </w:t>
      </w:r>
      <w:r>
        <w:t>Co</w:t>
      </w:r>
      <w:r>
        <w:t xml:space="preserve"> </w:t>
      </w:r>
      <w:r>
        <w:t>0.02</w:t>
      </w:r>
      <w:r>
        <w:t xml:space="preserve"> </w:t>
      </w:r>
      <w:r>
        <w:t>Mn</w:t>
      </w:r>
      <w:r>
        <w:t xml:space="preserve"> </w:t>
      </w:r>
      <w:r>
        <w:t>0.03</w:t>
      </w:r>
      <w:r>
        <w:t xml:space="preserve"> </w:t>
      </w:r>
      <w:r>
        <w:t>O</w:t>
      </w:r>
      <w:r>
        <w:rPr>
          <w:vertAlign w:val="subscript"/>
        </w:rPr>
        <w:t>2</w:t>
      </w:r>
      <w:r>
        <w:t>(NCM95), which results from the inhomogeneous lithium‐ion distribution at high charge states, coupled with lattice mismatch in drastic phase transformation. To mitigate this challenge, in this work, an in‐situ R  m‑type disordered phase was induced by interfacial lithium and oxygen vacancies, exhibiting excellent dynamic lattice matching with the underlying layered framework of NCM95. Crucially, differing from the previously reported inert NiO rock salt, the optimal disordered phase possesses redox activity and undergoes thermodynamically driven delithiation reconstruction process. The reconstructed disordered phase homogenizes the lithium‐ion distribution and mitigates deep delithiation along with drastic H2‐H3 phase transition to promote structural integrity of NCM95. Concurrently, the electrode/electrolyte interface is stabilized by lowering the nickel oxidation state and inhibiting gradual defect formation within the layered lattice. As a result of the structural stability effect, the modified NCM95 exhibits a capacity retention of 99% after 100 cycles at 50 mA g</w:t>
      </w:r>
      <w:r>
        <w:t xml:space="preserve"> </w:t>
      </w:r>
      <w:r>
        <w:t>−1</w:t>
      </w:r>
      <w:r>
        <w:t xml:space="preserve"> </w:t>
      </w:r>
      <w:r>
        <w:t>, 80% after 400 cycles at 250 mA g</w:t>
      </w:r>
      <w:r>
        <w:t xml:space="preserve"> </w:t>
      </w:r>
      <w:r>
        <w:t>−1</w:t>
      </w:r>
      <w:r>
        <w:t xml:space="preserve"> </w:t>
      </w:r>
      <w:r>
        <w:t>, and 83% after 900 cycles in all‐solid‐state battery system. This work clarifies the “double‐edged” nature of cation disorder and provides a structurally stable, lattice‐matched interface design scheme for ultrahigh nickel content layered cathodes.</w:t>
      </w:r>
    </w:p>
    <w:p>
      <w:pPr>
        <w:spacing w:before="120" w:after="120"/>
      </w:pPr>
      <w:r>
        <w:rPr>
          <w:sz w:val="18"/>
        </w:rPr>
        <w:t>——————————————————————————————————————————————————————————————————————</w:t>
      </w:r>
    </w:p>
    <w:p>
      <w:pPr>
        <w:spacing w:before="160" w:after="40" w:line="240" w:lineRule="auto"/>
      </w:pPr>
      <w:r>
        <w:rPr>
          <w:b/>
        </w:rPr>
        <w:t xml:space="preserve">[7] </w:t>
      </w:r>
      <w:hyperlink r:id="rId54">
        <w:r>
          <w:rPr>
            <w:color w:val="1155CC"/>
            <w:u w:val="single"/>
          </w:rPr>
          <w:t>揭示多阴离子阴极材料Na4M3(PO4)2P2O7中过渡金属影响的综述：动力学、机制和优化策略</w:t>
        </w:r>
      </w:hyperlink>
    </w:p>
    <w:p>
      <w:pPr>
        <w:spacing w:before="0" w:after="80"/>
      </w:pPr>
      <w:r>
        <w:rPr>
          <w:i/>
          <w:sz w:val="20"/>
        </w:rPr>
        <w:t>EN: A Review of Revealing the Impact of Transition Metals in Polyanionic Cathode Material Na4M3(PO4)2P2O7: Kinetic, Mechanisms and Optimization Strategies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55">
        <w:r>
          <w:rPr>
            <w:color w:val="1155CC"/>
            <w:u w:val="single"/>
          </w:rPr>
          <w:t>原子级调控Gibbs自由能以热力学抑制V6O13阴极中钒溶解实现稳定的锌存储</w:t>
        </w:r>
      </w:hyperlink>
    </w:p>
    <w:p>
      <w:pPr>
        <w:spacing w:before="0" w:after="80"/>
      </w:pPr>
      <w:r>
        <w:rPr>
          <w:i/>
          <w:sz w:val="20"/>
        </w:rPr>
        <w:t>EN: Atomic‐Level Regulation of Gibbs Free Energy for Thermodynamically Suppressing Vanadium Dissolution in V6O13 Cathode Toward Stable Zinc Storage</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56">
        <w:r>
          <w:rPr>
            <w:color w:val="1155CC"/>
            <w:u w:val="single"/>
          </w:rPr>
          <w:t>通过在层状过渡氧化物阴极上的软离子通道实现超快速充电的水系锂离子电池</w:t>
        </w:r>
      </w:hyperlink>
    </w:p>
    <w:p>
      <w:pPr>
        <w:spacing w:before="0" w:after="80"/>
      </w:pPr>
      <w:r>
        <w:rPr>
          <w:i/>
          <w:sz w:val="20"/>
        </w:rPr>
        <w:t>EN: Ultrafast Charging Enabled by Soft Ion Channels on Layered Transition Oxide Cathodes in Aqueous Li‐Ion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57">
        <w:r>
          <w:rPr>
            <w:color w:val="1155CC"/>
            <w:u w:val="single"/>
          </w:rPr>
          <w:t>单原子Fe-S3-Mo位点触发的快速氧化还原转换在锂硫电池中</w:t>
        </w:r>
      </w:hyperlink>
    </w:p>
    <w:p>
      <w:pPr>
        <w:spacing w:before="0" w:after="80"/>
      </w:pPr>
      <w:r>
        <w:rPr>
          <w:i/>
          <w:sz w:val="20"/>
        </w:rPr>
        <w:t>EN: Single‐Atomic Fe‐S3‐Mo Sites Triggered Fast Redox Conversion in Li‐S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58">
        <w:r>
          <w:rPr>
            <w:color w:val="1155CC"/>
            <w:u w:val="single"/>
          </w:rPr>
          <w:t>[ASAP] 调节局部电负性以实现钠层状氧化物中的可逆氧化还原</w:t>
        </w:r>
      </w:hyperlink>
    </w:p>
    <w:p>
      <w:pPr>
        <w:spacing w:before="0" w:after="80"/>
      </w:pPr>
      <w:r>
        <w:rPr>
          <w:i/>
          <w:sz w:val="20"/>
        </w:rPr>
        <w:t>EN: [ASAP] Tuning Local Electronegativity for Reversible Oxygen Redox in Sodium Layered Oxides</w:t>
      </w:r>
    </w:p>
    <w:p>
      <w:pPr>
        <w:spacing w:before="0" w:after="120"/>
      </w:pPr>
      <w:r>
        <w:rPr>
          <w:b/>
        </w:rPr>
        <w:t xml:space="preserve">Source: </w:t>
      </w:r>
      <w:r>
        <w:t>ACS Energy Letters: Latest Articles (ACS Publications)</w:t>
      </w:r>
      <w:r>
        <w:t xml:space="preserve">    </w:t>
      </w:r>
      <w:r>
        <w:rPr>
          <w:b/>
        </w:rPr>
        <w:t xml:space="preserve">Pub date: </w:t>
      </w:r>
      <w:r>
        <w:t>2026-03-11 12:35:39+00:00</w:t>
      </w:r>
      <w:r>
        <w:t xml:space="preserve">    </w:t>
      </w:r>
      <w:r>
        <w:rPr>
          <w:b/>
        </w:rPr>
        <w:t xml:space="preserve">DOI: </w:t>
      </w:r>
      <w:hyperlink r:id="rId59">
        <w:r>
          <w:rPr>
            <w:color w:val="1155CC"/>
            <w:u w:val="single"/>
          </w:rPr>
          <w:t>10.1021/acsenergylett.5c04336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0">
        <w:r>
          <w:rPr>
            <w:color w:val="1155CC"/>
            <w:u w:val="single"/>
          </w:rPr>
          <w:t>钠离子电池硬碳负极的进展：理解缺陷-孔相互作用和界面演变、降解机制、原位/操作分析</w:t>
        </w:r>
      </w:hyperlink>
    </w:p>
    <w:p>
      <w:pPr>
        <w:spacing w:before="0" w:after="80"/>
      </w:pPr>
      <w:r>
        <w:rPr>
          <w:i/>
          <w:sz w:val="20"/>
        </w:rPr>
        <w:t>EN: Advances in hard carbon anodes for sodium-ion batteries: understanding defect-pore interactions and interphase evolution, degradation mechanisms, operando/in-situ analysis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44">
        <w:r>
          <w:rPr>
            <w:color w:val="1155CC"/>
            <w:u w:val="single"/>
          </w:rPr>
          <w:t>用于下一代全有机电池的共轭微孔聚合物基分级多孔阴极、隔膜和阳极</w:t>
        </w:r>
      </w:hyperlink>
    </w:p>
    <w:p>
      <w:pPr>
        <w:spacing w:before="0" w:after="80"/>
      </w:pPr>
      <w:r>
        <w:rPr>
          <w:i/>
          <w:sz w:val="20"/>
        </w:rPr>
        <w:t>EN: Conjugated Microporous Polymer‐Based Hierarchical Porous Cathode, Separator, and Anode for Next‐Generation All‐Organic Batteries</w:t>
      </w:r>
    </w:p>
    <w:p>
      <w:pPr>
        <w:spacing w:before="0" w:after="120"/>
      </w:pPr>
      <w:r>
        <w:rPr>
          <w:b/>
        </w:rPr>
        <w:t xml:space="preserve">Source: </w:t>
      </w:r>
      <w:r>
        <w:t>Wiley: Advanced Energy Materials: Table of Contents</w:t>
      </w:r>
      <w:r>
        <w:t xml:space="preserve">    </w:t>
      </w:r>
      <w:r>
        <w:rPr>
          <w:b/>
        </w:rPr>
        <w:t xml:space="preserve">Pub date: </w:t>
      </w:r>
      <w:r>
        <w:t>2026-03-09 06:50:48+00:00</w:t>
      </w:r>
      <w:r>
        <w:t xml:space="preserve">    </w:t>
      </w:r>
      <w:r>
        <w:rPr>
          <w:b/>
        </w:rPr>
        <w:t xml:space="preserve">DOI: </w:t>
      </w:r>
      <w:hyperlink r:id="rId45">
        <w:r>
          <w:rPr>
            <w:color w:val="1155CC"/>
            <w:u w:val="single"/>
          </w:rPr>
          <w:t>10.1002/aenm.202506712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兴技术对具有高能量密度、超快充电和长寿命的锂离子电池的需求日益增加。全有机电池（AOBs）由轻质、可调节和可持续的材料构建，作为有前途的替代品吸引了越来越多的关注。在此，我们提出了一种新型的全层次共轭微孔聚合物（CMP）电池（AHCB），其特点是基于聚三苯胺（PTPA）的层次多孔阴极、阳极和隔膜。由PTPA/还原氧化石墨烯复合材料构建的阴极（PTPAG）提供了增强的电子导电性和离子扩散。阳极（PTAA）提供了基于偶氮苯的Li</w:t>
      </w:r>
      <w:r>
        <w:t xml:space="preserve"> </w:t>
      </w:r>
      <w:r>
        <w:t>+</w:t>
      </w:r>
      <w:r>
        <w:t xml:space="preserve"> </w:t>
      </w:r>
      <w:r>
        <w:t>结合位点，并加速了电荷传输和氧化还原动力学。</w:t>
      </w:r>
    </w:p>
    <w:p>
      <w:pPr>
        <w:spacing w:before="0" w:after="200" w:lineRule="auto" w:line="276"/>
      </w:pPr>
      <w:r>
        <w:rPr>
          <w:b/>
        </w:rPr>
        <w:t xml:space="preserve">Abstract (EN): </w:t>
      </w:r>
      <w:r>
        <w:t>Emerging technologies increasingly demand lithium‐ion batteries with high energy density, ultrafast charging, and long life. All‐organic batteries (AOBs), built from lightweight, tunable, and sustainable materials, are attracting growing interest as promising alternatives. Herein, we present a novel all‐hierarchical conjugated microporous polymer (CMP) battery (AHCB) featuring polytriphenylamine (PTPA)‐based hierarchical porous cathode, anode, and separator. The cathode (PTPAG) constructed from PTPA/reduced graphene oxide composites offers enhanced electronic conductivity and ion diffusion. The anode (PTAA) provides azobenzene‐based Li</w:t>
      </w:r>
      <w:r>
        <w:t xml:space="preserve"> </w:t>
      </w:r>
      <w:r>
        <w:t>+</w:t>
      </w:r>
      <w:r>
        <w:t xml:space="preserve"> </w:t>
      </w:r>
      <w:r>
        <w:t>‐binding sites and accelerates charge transport and redox kinetics. The PTPA‐based nanofiber separator delivers high ionic conductivity and efficient mass transport through its hierarchical porous structure. Benefiting from their synergy, the AHCB delivers a high energy density of 220 Wh kg</w:t>
      </w:r>
      <w:r>
        <w:t xml:space="preserve"> </w:t>
      </w:r>
      <w:r>
        <w:t>−1</w:t>
      </w:r>
      <w:r>
        <w:t xml:space="preserve"> </w:t>
      </w:r>
      <w:r>
        <w:t>and a remarkable power density of 26.5 kW kg</w:t>
      </w:r>
      <w:r>
        <w:t xml:space="preserve"> </w:t>
      </w:r>
      <w:r>
        <w:t>−1</w:t>
      </w:r>
      <w:r>
        <w:t xml:space="preserve"> </w:t>
      </w:r>
      <w:r>
        <w:t>, requiring only 20 s to achieve ultrafast charging. At a high current density of 20 A g</w:t>
      </w:r>
      <w:r>
        <w:t xml:space="preserve"> </w:t>
      </w:r>
      <w:r>
        <w:t>−1</w:t>
      </w:r>
      <w:r>
        <w:t xml:space="preserve"> </w:t>
      </w:r>
      <w:r>
        <w:t>(180 C), it still delivers 120 mAh g</w:t>
      </w:r>
      <w:r>
        <w:t xml:space="preserve"> </w:t>
      </w:r>
      <w:r>
        <w:t>−1</w:t>
      </w:r>
      <w:r>
        <w:t xml:space="preserve"> </w:t>
      </w:r>
      <w:r>
        <w:t>and maintains 74% of initial capacity after 20,000 cycles. Notably, the assembled pouch cell shows excellent electrochemical properties and operates stably under mechanical stresses. This work highlights CMPs as a versatile platform for next‐generation fast‐charging and high‐energy‐density AOBs.</w:t>
      </w:r>
    </w:p>
    <w:p>
      <w:pPr>
        <w:spacing w:before="120" w:after="120"/>
      </w:pPr>
      <w:r>
        <w:rPr>
          <w:sz w:val="18"/>
        </w:rPr>
        <w:t>——————————————————————————————————————————————————————————————————————</w:t>
      </w:r>
    </w:p>
    <w:p>
      <w:pPr>
        <w:spacing w:before="160" w:after="40" w:line="240" w:lineRule="auto"/>
      </w:pPr>
      <w:r>
        <w:rPr>
          <w:b/>
        </w:rPr>
        <w:t xml:space="preserve">[3] </w:t>
      </w:r>
      <w:hyperlink r:id="rId46">
        <w:r>
          <w:rPr>
            <w:color w:val="1155CC"/>
            <w:u w:val="single"/>
          </w:rPr>
          <w:t>双氧化还原共轭双极性共价有机框架实现高电压对称质子电池</w:t>
        </w:r>
      </w:hyperlink>
    </w:p>
    <w:p>
      <w:pPr>
        <w:spacing w:before="0" w:after="80"/>
      </w:pPr>
      <w:r>
        <w:rPr>
          <w:i/>
          <w:sz w:val="20"/>
        </w:rPr>
        <w:t>EN: Dual‐Redox Conjugated Bipolar Covalent Organic Framework Enables High‐Voltage Symmetric Proton Batteries</w:t>
      </w:r>
    </w:p>
    <w:p>
      <w:pPr>
        <w:spacing w:before="0" w:after="120"/>
      </w:pPr>
      <w:r>
        <w:rPr>
          <w:b/>
        </w:rPr>
        <w:t xml:space="preserve">Source: </w:t>
      </w:r>
      <w:r>
        <w:t>Wiley: Angewandte Chemie International Edition: Table of Contents</w:t>
      </w:r>
      <w:r>
        <w:t xml:space="preserve">    </w:t>
      </w:r>
      <w:r>
        <w:rPr>
          <w:b/>
        </w:rPr>
        <w:t xml:space="preserve">Pub date: </w:t>
      </w:r>
      <w:r>
        <w:t>2026-03-09 06:58:55+00:00</w:t>
      </w:r>
      <w:r>
        <w:t xml:space="preserve">    </w:t>
      </w:r>
      <w:r>
        <w:rPr>
          <w:b/>
        </w:rPr>
        <w:t xml:space="preserve">DOI: </w:t>
      </w:r>
      <w:hyperlink r:id="rId47">
        <w:r>
          <w:rPr>
            <w:color w:val="1155CC"/>
            <w:u w:val="single"/>
          </w:rPr>
          <w:t>10.1002/anie.9770638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称全有机质子电池（SAOPBs）因其安全和优越的倍率性能而在大规模储能中受到越来越多的关注，但由于缺乏合适的双极电极材料，这些材料在单一结构中集成了可逆的双氧化还原活性和高工作电压，严重限制了其应用。在此，我们报告了一种双极共价有机框架（TAPT‐HAT‐COF），作为对称质子电池的阴极和阳极。在这个COF中，电子缺乏的吡嗪/羰基单元和电子丰富的苯亚胺基团建立了两个独立且可逆的氧化还原对，实现了高达0.83 V的高工作电压。结合原位FTIR光谱和理论计算，TAPT‐HAT‐COF显示出</w:t>
      </w:r>
    </w:p>
    <w:p>
      <w:pPr>
        <w:spacing w:before="0" w:after="200" w:lineRule="auto" w:line="276"/>
      </w:pPr>
      <w:r>
        <w:rPr>
          <w:b/>
        </w:rPr>
        <w:t xml:space="preserve">Abstract (EN): </w:t>
      </w:r>
      <w:r>
        <w:t>Symmetric all‐organic proton batteries (SAOPBs) attract increasing attention for large‐scale energy storage due to their safe and superior rate performance, which is severely limited by the lack of suitable bipolar electrode materials that integrate reversible dual‐redox activity and high operating voltage within a single structure. Herein, we report a bipolar covalent organic framework (TAPT‐HAT‐COF) as both cathode and anode in symmetric proton battery. In this COF, the electron‐deficient pyrazine/carbonyl units and electron‐rich phenylimine groups establish two independent and reversible redox couples, achieving a high operating voltage of up to 0.83 V. Combined with in situ FTIR spectroscopy and theoretical calculations, TAPT‐HAT‐COF shows bipolar charge storage mechanism with the C═N and C═O groups served as reversible redox centers. Benefiting from the fully conjugated structure and abundant active sites, the assembled SAOPB exhibits high specific capacity of 108.5 mAh g</w:t>
      </w:r>
      <w:r>
        <w:t xml:space="preserve"> </w:t>
      </w:r>
      <w:r>
        <w:t>−1</w:t>
      </w:r>
      <w:r>
        <w:t xml:space="preserve"> </w:t>
      </w:r>
      <w:r>
        <w:t>under 5 A g</w:t>
      </w:r>
      <w:r>
        <w:t xml:space="preserve"> </w:t>
      </w:r>
      <w:r>
        <w:t>−1</w:t>
      </w:r>
      <w:r>
        <w:t xml:space="preserve"> </w:t>
      </w:r>
      <w:r>
        <w:t>with stable cycling over 3000 cycles. Moreover, when applied in a practical pouch cell, which delivers a specific capacity of 145.8 mAh g</w:t>
      </w:r>
      <w:r>
        <w:t xml:space="preserve"> </w:t>
      </w:r>
      <w:r>
        <w:t>−1</w:t>
      </w:r>
      <w:r>
        <w:t xml:space="preserve"> </w:t>
      </w:r>
      <w:r>
        <w:t>at 0.5 A g</w:t>
      </w:r>
      <w:r>
        <w:t xml:space="preserve"> </w:t>
      </w:r>
      <w:r>
        <w:t>−1</w:t>
      </w:r>
      <w:r>
        <w:t xml:space="preserve"> </w:t>
      </w:r>
      <w:r>
        <w:t>, confirming the material's potential for practical applications. The work can provide viable design strategy and model of bipolar COF materials for symmetric energy storage systems.</w:t>
      </w:r>
    </w:p>
    <w:p>
      <w:pPr>
        <w:spacing w:before="120" w:after="120"/>
      </w:pPr>
      <w:r>
        <w:rPr>
          <w:sz w:val="18"/>
        </w:rPr>
        <w:t>——————————————————————————————————————————————————————————————————————</w:t>
      </w:r>
    </w:p>
    <w:p>
      <w:pPr>
        <w:spacing w:before="160" w:after="40" w:line="240" w:lineRule="auto"/>
      </w:pPr>
      <w:r>
        <w:rPr>
          <w:b/>
        </w:rPr>
        <w:t xml:space="preserve">[4] </w:t>
      </w:r>
      <w:hyperlink r:id="rId61">
        <w:r>
          <w:rPr>
            <w:color w:val="1155CC"/>
            <w:u w:val="single"/>
          </w:rPr>
          <w:t>分子描述符指导的沥青衍生硬碳微结构调控用于先进钠离子电池</w:t>
        </w:r>
      </w:hyperlink>
    </w:p>
    <w:p>
      <w:pPr>
        <w:spacing w:before="0" w:after="80"/>
      </w:pPr>
      <w:r>
        <w:rPr>
          <w:i/>
          <w:sz w:val="20"/>
        </w:rPr>
        <w:t>EN: Molecular Descriptor‐Directed Microstructural Regulation of Asphalt‐Derived Hard Carbons for Advanced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2026-03-09 07:23:46+00:00</w:t>
      </w:r>
      <w:r>
        <w:t xml:space="preserve">    </w:t>
      </w:r>
      <w:r>
        <w:rPr>
          <w:b/>
        </w:rPr>
        <w:t xml:space="preserve">DOI: </w:t>
      </w:r>
      <w:hyperlink r:id="rId62">
        <w:r>
          <w:rPr>
            <w:color w:val="1155CC"/>
            <w:u w:val="single"/>
          </w:rPr>
          <w:t>10.1002/anie.202522001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沥青由于其低成本和高碳产量，是钠离子电池硬碳负极的有前途的前体。然而，其复杂的分子组成导致碳化不受控制和电化学性能不可预测。在此，我们引入了两个定量分子描述符：芳香取代指数（fas）和短链取代指数（R），使得前体分子拓扑结构与硬碳微观结构之间的精确关联成为可能。通过系统的溶剂分级和多尺度表征，我们发现具有高</w:t>
      </w:r>
    </w:p>
    <w:p>
      <w:pPr>
        <w:spacing w:before="0" w:after="200" w:lineRule="auto" w:line="276"/>
      </w:pPr>
      <w:r>
        <w:rPr>
          <w:b/>
        </w:rPr>
        <w:t xml:space="preserve">Abstract (EN): </w:t>
      </w:r>
      <w:r>
        <w:t>Asphalt is a promising precursor for hard carbon anode in sodium‐ion batteries, owing to its low cost and high carbon yield. However, its complex molecular composition leads to uncontrolled carbonization and unpredictable electrochemical performance. Here, we introduce two quantitative molecular descriptors: the aromatic substitution index (</w:t>
      </w:r>
      <w:r>
        <w:t xml:space="preserve"> </w:t>
      </w:r>
      <w:r>
        <w:t>f</w:t>
      </w:r>
      <w:r>
        <w:t xml:space="preserve"> </w:t>
      </w:r>
      <w:r>
        <w:t>a</w:t>
      </w:r>
      <w:r>
        <w:t xml:space="preserve"> </w:t>
      </w:r>
      <w:r>
        <w:t>s</w:t>
      </w:r>
      <w:r>
        <w:t xml:space="preserve"> </w:t>
      </w:r>
      <w:r>
        <w:t>) and short‐chain substitution index (</w:t>
      </w:r>
      <w:r>
        <w:t xml:space="preserve"> </w:t>
      </w:r>
      <w:r>
        <w:t>R</w:t>
      </w:r>
      <w:r>
        <w:t xml:space="preserve"> </w:t>
      </w:r>
      <w:r>
        <w:t>) that enable precise correlation between precursor molecular topology and hard carbon microstructure. Through systematic solvent fractionation and multi‐scale characterization, we discover that short‐chain pendant alkyl groups with high</w:t>
      </w:r>
      <w:r>
        <w:t xml:space="preserve"> </w:t>
      </w:r>
      <w:r>
        <w:t>R</w:t>
      </w:r>
      <w:r>
        <w:t xml:space="preserve"> </w:t>
      </w:r>
      <w:r>
        <w:t>values enhance oxidative crosslinking to suppress graphitization, while high‐degree aromatic substitution with high</w:t>
      </w:r>
      <w:r>
        <w:t xml:space="preserve"> </w:t>
      </w:r>
      <w:r>
        <w:t>f</w:t>
      </w:r>
      <w:r>
        <w:t xml:space="preserve"> </w:t>
      </w:r>
      <w:r>
        <w:t>a</w:t>
      </w:r>
      <w:r>
        <w:t xml:space="preserve"> </w:t>
      </w:r>
      <w:r>
        <w:t>s</w:t>
      </w:r>
      <w:r>
        <w:t xml:space="preserve"> </w:t>
      </w:r>
      <w:r>
        <w:t>values promotes the formation of uniform closed pores and optimizes structural disorder. The optimized hard carbon achieves superior sodium storage performance (326 mAh g</w:t>
      </w:r>
      <w:r>
        <w:t xml:space="preserve"> </w:t>
      </w:r>
      <w:r>
        <w:t>−1</w:t>
      </w:r>
      <w:r>
        <w:t xml:space="preserve"> </w:t>
      </w:r>
      <w:r>
        <w:t>, 93% capacity retention after 500 cycles, 204 mAh g</w:t>
      </w:r>
      <w:r>
        <w:t xml:space="preserve"> </w:t>
      </w:r>
      <w:r>
        <w:t>−1</w:t>
      </w:r>
      <w:r>
        <w:t xml:space="preserve"> </w:t>
      </w:r>
      <w:r>
        <w:t>at 5 A g</w:t>
      </w:r>
      <w:r>
        <w:t xml:space="preserve"> </w:t>
      </w:r>
      <w:r>
        <w:t>−1</w:t>
      </w:r>
      <w:r>
        <w:t xml:space="preserve"> </w:t>
      </w:r>
      <w:r>
        <w:t>) with exceptional rate capability. This descriptor‐based approach provides both fundamental insights into microstructure formation and a practical strategy for precursor selection, paving the way for rationally designed high‐performance hard carbon anodes.</w:t>
      </w:r>
    </w:p>
    <w:p>
      <w:pPr>
        <w:spacing w:before="120" w:after="120"/>
      </w:pPr>
      <w:r>
        <w:rPr>
          <w:sz w:val="18"/>
        </w:rPr>
        <w:t>——————————————————————————————————————————————————————————————————————</w:t>
      </w:r>
    </w:p>
    <w:p>
      <w:pPr>
        <w:spacing w:before="160" w:after="40" w:line="240" w:lineRule="auto"/>
      </w:pPr>
      <w:r>
        <w:rPr>
          <w:b/>
        </w:rPr>
        <w:t xml:space="preserve">[5] </w:t>
      </w:r>
      <w:hyperlink r:id="rId48">
        <w:r>
          <w:rPr>
            <w:color w:val="1155CC"/>
            <w:u w:val="single"/>
          </w:rPr>
          <w:t>弥合实验室级钠离子纽扣电池与实际软包电池之间的差距</w:t>
        </w:r>
      </w:hyperlink>
    </w:p>
    <w:p>
      <w:pPr>
        <w:spacing w:before="0" w:after="80"/>
      </w:pPr>
      <w:r>
        <w:rPr>
          <w:i/>
          <w:sz w:val="20"/>
        </w:rPr>
        <w:t>EN: Bridge the Gaps Between Lab‐Level Sodium‐Ion Coin Cells and Practical Pouch Cells</w:t>
      </w:r>
    </w:p>
    <w:p>
      <w:pPr>
        <w:spacing w:before="0" w:after="120"/>
      </w:pPr>
      <w:r>
        <w:rPr>
          <w:b/>
        </w:rPr>
        <w:t xml:space="preserve">Source: </w:t>
      </w:r>
      <w:r>
        <w:t>Wiley: Advanced Materials: Table of Contents</w:t>
      </w:r>
      <w:r>
        <w:t xml:space="preserve">    </w:t>
      </w:r>
      <w:r>
        <w:rPr>
          <w:b/>
        </w:rPr>
        <w:t xml:space="preserve">Pub date: </w:t>
      </w:r>
      <w:r>
        <w:t>2026-03-09 13:21:04+00:00</w:t>
      </w:r>
      <w:r>
        <w:t xml:space="preserve">    </w:t>
      </w:r>
      <w:r>
        <w:rPr>
          <w:b/>
        </w:rPr>
        <w:t xml:space="preserve">DOI: </w:t>
      </w:r>
      <w:hyperlink r:id="rId49">
        <w:r>
          <w:rPr>
            <w:color w:val="1155CC"/>
            <w:u w:val="single"/>
          </w:rPr>
          <w:t>10.1002/adma.202521756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SIBs）因钠（Na）资源丰富、制造工艺与锂离子电池（LIBs）相似以及高低温抗性和速率能力而在学术界和工业界引起了广泛关注。最近，为推进钠离子软包电池的实际应用进行了大量努力；然而，从实验室研究到市场实施的过渡因实验室级纽扣电池与实际软包电池之间的相关性不明确而受到阻碍。在此，系统分析并揭示了钠离子软包电池与纽扣电池之间的能量密度和循环寿命的差异及其众多根本原因</w:t>
      </w:r>
    </w:p>
    <w:p>
      <w:pPr>
        <w:spacing w:before="0" w:after="200" w:lineRule="auto" w:line="276"/>
      </w:pPr>
      <w:r>
        <w:rPr>
          <w:b/>
        </w:rPr>
        <w:t xml:space="preserve">Abstract (EN): </w:t>
      </w:r>
      <w:r>
        <w:t>Sodium‐ion batteries (SIBs) have garnered extensive interest in the academic and industrial sectors, primarily because of the abundance of sodium (Na) resources, manufacturing processes similar to those of lithium‐ion batteries (LIBs), and high low‐temperature resistance and rate capability. Recently, considerable efforts have been directed toward advancing the practical application of sodium‐ion pouch cells; however, the transition from laboratory research to market implementation is hindered by an unclear understanding of the correlation between lab‐level coin cells and practical pouch cells. Herein, the difference in energy density and cycle life between sodium‐ion pouch cells and coin cells, and their numerous root causes are systematically analyzed and revealed. Then, the intrinsic defects in materials and interface instability issues associated with sodium‐ion pouch cells are analyzed, and the research progress focusing on the cathode, anode, and electrolyte components is summarized. Finally, the standardization of assembly and testing to bridge the gap between the sodium‐ion pouch cells and the coin cells is proposed for the SIB community. This review aims to provide valuable insights and support for promoting the development of SIBs from laboratory samples to industrial products.</w:t>
      </w:r>
    </w:p>
    <w:p>
      <w:pPr>
        <w:spacing w:before="120" w:after="120"/>
      </w:pPr>
      <w:r>
        <w:rPr>
          <w:sz w:val="18"/>
        </w:rPr>
        <w:t>——————————————————————————————————————————————————————————————————————</w:t>
      </w:r>
    </w:p>
    <w:p>
      <w:pPr>
        <w:spacing w:before="160" w:after="40" w:line="240" w:lineRule="auto"/>
      </w:pPr>
      <w:r>
        <w:rPr>
          <w:b/>
        </w:rPr>
        <w:t xml:space="preserve">[6] </w:t>
      </w:r>
      <w:hyperlink r:id="rId63">
        <w:r>
          <w:rPr>
            <w:color w:val="1155CC"/>
            <w:u w:val="single"/>
          </w:rPr>
          <w:t>[ASAP] 具有无机富集界面的预钠化硬碳负极用于固态钠电池</w:t>
        </w:r>
      </w:hyperlink>
    </w:p>
    <w:p>
      <w:pPr>
        <w:spacing w:before="0" w:after="80"/>
      </w:pPr>
      <w:r>
        <w:rPr>
          <w:i/>
          <w:sz w:val="20"/>
        </w:rPr>
        <w:t>EN: [ASAP] Presodiated Hard Carbon Anode with an Inorganic-Rich Interphase for Solid-State Sodium Batteries</w:t>
      </w:r>
    </w:p>
    <w:p>
      <w:pPr>
        <w:spacing w:before="0" w:after="120"/>
      </w:pPr>
      <w:r>
        <w:rPr>
          <w:b/>
        </w:rPr>
        <w:t xml:space="preserve">Source: </w:t>
      </w:r>
      <w:r>
        <w:t>ACS Energy Letters: Latest Articles (ACS Publications)</w:t>
      </w:r>
      <w:r>
        <w:t xml:space="preserve">    </w:t>
      </w:r>
      <w:r>
        <w:rPr>
          <w:b/>
        </w:rPr>
        <w:t xml:space="preserve">Pub date: </w:t>
      </w:r>
      <w:r>
        <w:t>2026-03-09 14:14:38+00:00</w:t>
      </w:r>
      <w:r>
        <w:t xml:space="preserve">    </w:t>
      </w:r>
      <w:r>
        <w:rPr>
          <w:b/>
        </w:rPr>
        <w:t xml:space="preserve">DOI: </w:t>
      </w:r>
      <w:hyperlink r:id="rId64">
        <w:r>
          <w:rPr>
            <w:color w:val="1155CC"/>
            <w:u w:val="single"/>
          </w:rPr>
          <w:t>10.1021/acsenergylett.5c03584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65">
        <w:r>
          <w:rPr>
            <w:color w:val="1155CC"/>
            <w:u w:val="single"/>
          </w:rPr>
          <w:t>超越不完美匹配：用于高能量密度锂离子电池的硅/石墨混合负极</w:t>
        </w:r>
      </w:hyperlink>
    </w:p>
    <w:p>
      <w:pPr>
        <w:spacing w:before="0" w:after="80"/>
      </w:pPr>
      <w:r>
        <w:rPr>
          <w:i/>
          <w:sz w:val="20"/>
        </w:rPr>
        <w:t>EN: Beyond Imperfect Match: Silicon/Graphite Hybrid Anodes for High‐Energy–Density Lithium‐Ion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66">
        <w:r>
          <w:rPr>
            <w:color w:val="1155CC"/>
            <w:u w:val="single"/>
          </w:rPr>
          <w:t>钠离子电池用钛基负极的最新进展</w:t>
        </w:r>
      </w:hyperlink>
    </w:p>
    <w:p>
      <w:pPr>
        <w:spacing w:before="0" w:after="80"/>
      </w:pPr>
      <w:r>
        <w:rPr>
          <w:i/>
          <w:sz w:val="20"/>
        </w:rPr>
        <w:t>EN: Recent Advances in Ti‐Based Anodes for Sodium‐Ion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67">
        <w:r>
          <w:rPr>
            <w:color w:val="1155CC"/>
            <w:u w:val="single"/>
          </w:rPr>
          <w:t>高导电性和无枝晶的Li–Ga化合物阳极用于高性能全固态锂电池（Adv. Energy Mater. 10/2026）</w:t>
        </w:r>
      </w:hyperlink>
    </w:p>
    <w:p>
      <w:pPr>
        <w:spacing w:before="0" w:after="80"/>
      </w:pPr>
      <w:r>
        <w:rPr>
          <w:i/>
          <w:sz w:val="20"/>
        </w:rPr>
        <w:t>EN: Highly Conductive and Dendrite‐Free Li–Ga Compound Anodes for High‐Performance Lithium All‐Solid‐State Batteries (Adv. Energy Mater. 10/2026)</w:t>
      </w:r>
    </w:p>
    <w:p>
      <w:pPr>
        <w:spacing w:before="0" w:after="120"/>
      </w:pPr>
      <w:r>
        <w:rPr>
          <w:b/>
        </w:rPr>
        <w:t xml:space="preserve">Source: </w:t>
      </w:r>
      <w:r>
        <w:t>Wiley: Advanced Energy Materials: Table of Contents</w:t>
      </w:r>
      <w:r>
        <w:t xml:space="preserve">    </w:t>
      </w:r>
      <w:r>
        <w:rPr>
          <w:b/>
        </w:rPr>
        <w:t xml:space="preserve">Pub date: </w:t>
      </w:r>
      <w:r>
        <w:t>2026-03-11 10:42:56+00:00</w:t>
      </w:r>
      <w:r>
        <w:t xml:space="preserve">    </w:t>
      </w:r>
      <w:r>
        <w:rPr>
          <w:b/>
        </w:rPr>
        <w:t xml:space="preserve">DOI: </w:t>
      </w:r>
      <w:hyperlink r:id="rId68">
        <w:r>
          <w:rPr>
            <w:color w:val="1155CC"/>
            <w:u w:val="single"/>
          </w:rPr>
          <w:t>10.1002/aenm.70732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69">
        <w:r>
          <w:rPr>
            <w:color w:val="1155CC"/>
            <w:u w:val="single"/>
          </w:rPr>
          <w:t>解锁硬碳阳极的动力学限制以实现实用的快速充电钠离子电池</w:t>
        </w:r>
      </w:hyperlink>
    </w:p>
    <w:p>
      <w:pPr>
        <w:spacing w:before="0" w:after="80"/>
      </w:pPr>
      <w:r>
        <w:rPr>
          <w:i/>
          <w:sz w:val="20"/>
        </w:rPr>
        <w:t>EN: Unlocking Kinetic Limitations in Hard‐Carbon Anodes to Enable Practical Fast‐Charging Sodium‐Ion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70">
        <w:r>
          <w:rPr>
            <w:color w:val="1155CC"/>
            <w:u w:val="single"/>
          </w:rPr>
          <w:t>解决钠|Na3PS4界面的电化学机械耦合失效以实现耐用的全固态钠金属电池</w:t>
        </w:r>
      </w:hyperlink>
    </w:p>
    <w:p>
      <w:pPr>
        <w:spacing w:before="0" w:after="80"/>
      </w:pPr>
      <w:r>
        <w:rPr>
          <w:i/>
          <w:sz w:val="20"/>
        </w:rPr>
        <w:t>EN: Addressing Electro‐Chemo‐Mechanical Coupling Failure at the Sodium|Na3PS4 Interface towards Durable All‐Solid‐State Sodium Metal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71">
        <w:r>
          <w:rPr>
            <w:color w:val="1155CC"/>
            <w:u w:val="single"/>
          </w:rPr>
          <w:t>高导电性和无枝晶的Li–Ga化合物阳极用于高性能全固态锂电池</w:t>
        </w:r>
      </w:hyperlink>
    </w:p>
    <w:p>
      <w:pPr>
        <w:spacing w:before="0" w:after="80"/>
      </w:pPr>
      <w:r>
        <w:rPr>
          <w:i/>
          <w:sz w:val="20"/>
        </w:rPr>
        <w:t>EN: Highly Conductive and Dendrite‐Free Li–Ga Compound Anodes for High‐Performance Lithium All‐Solid‐State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72">
        <w:r>
          <w:rPr>
            <w:color w:val="1155CC"/>
            <w:u w:val="single"/>
          </w:rPr>
          <w:t>通过工艺结构优化策略研究硅基圆柱电池的循环性能</w:t>
        </w:r>
      </w:hyperlink>
    </w:p>
    <w:p>
      <w:pPr>
        <w:spacing w:before="0" w:after="80"/>
      </w:pPr>
      <w:r>
        <w:rPr>
          <w:i/>
          <w:sz w:val="20"/>
        </w:rPr>
        <w:t>EN: Study on the cycling performance of silicon-based cylindrical batteries via process-structure optimization strategy</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73">
        <w:r>
          <w:rPr>
            <w:color w:val="1155CC"/>
            <w:u w:val="single"/>
          </w:rPr>
          <w:t>锌离子电池中调节阳极/电解质界面的原位策略研究进展</w:t>
        </w:r>
      </w:hyperlink>
    </w:p>
    <w:p>
      <w:pPr>
        <w:spacing w:before="0" w:after="80"/>
      </w:pPr>
      <w:r>
        <w:rPr>
          <w:i/>
          <w:sz w:val="20"/>
        </w:rPr>
        <w:t>EN: Research progress on in-situ strategies for modulating the anode/electrolyte interface in zinc-ion batteries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4">
        <w:r>
          <w:rPr>
            <w:color w:val="1155CC"/>
            <w:u w:val="single"/>
          </w:rPr>
          <w:t>卤化物固态电解质中全固态电池的通用氧氯化策略</w:t>
        </w:r>
      </w:hyperlink>
    </w:p>
    <w:p>
      <w:pPr>
        <w:spacing w:before="0" w:after="80"/>
      </w:pPr>
      <w:r>
        <w:rPr>
          <w:i/>
          <w:sz w:val="20"/>
        </w:rPr>
        <w:t>EN: Universal Oxychlorination Strategy in Halide Solid Electrolytes for All‐Solid‐State Batteries</w:t>
      </w:r>
    </w:p>
    <w:p>
      <w:pPr>
        <w:spacing w:before="0" w:after="120"/>
      </w:pPr>
      <w:r>
        <w:rPr>
          <w:b/>
        </w:rPr>
        <w:t xml:space="preserve">Source: </w:t>
      </w:r>
      <w:r>
        <w:t>Wiley: Advanced Energy Materials: Table of Contents</w:t>
      </w:r>
      <w:r>
        <w:t xml:space="preserve">    </w:t>
      </w:r>
      <w:r>
        <w:rPr>
          <w:b/>
        </w:rPr>
        <w:t xml:space="preserve">Pub date: </w:t>
      </w:r>
      <w:r>
        <w:t>2026-03-07 06:35:42+00:00</w:t>
      </w:r>
      <w:r>
        <w:t xml:space="preserve">    </w:t>
      </w:r>
      <w:r>
        <w:rPr>
          <w:b/>
        </w:rPr>
        <w:t xml:space="preserve">DOI: </w:t>
      </w:r>
      <w:hyperlink r:id="rId75">
        <w:r>
          <w:rPr>
            <w:color w:val="1155CC"/>
            <w:u w:val="single"/>
          </w:rPr>
          <w:t>10.1002/aenm.202506744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76">
        <w:r>
          <w:rPr>
            <w:color w:val="1155CC"/>
            <w:u w:val="single"/>
          </w:rPr>
          <w:t>卤化物固态电解质中全固态电池的通用氧氯化策略</w:t>
        </w:r>
      </w:hyperlink>
    </w:p>
    <w:p>
      <w:pPr>
        <w:spacing w:before="0" w:after="80"/>
      </w:pPr>
      <w:r>
        <w:rPr>
          <w:i/>
          <w:sz w:val="20"/>
        </w:rPr>
        <w:t>EN: Universal Oxychlorination Strategy in Halide Solid Electrolytes for All‐Solid‐State Batteries</w:t>
      </w:r>
    </w:p>
    <w:p>
      <w:pPr>
        <w:spacing w:before="0" w:after="120"/>
      </w:pPr>
      <w:r>
        <w:rPr>
          <w:b/>
        </w:rPr>
        <w:t xml:space="preserve">Source: </w:t>
      </w:r>
      <w:r>
        <w:t>Wiley: Advanced Energy Materials: Table of Contents</w:t>
      </w:r>
      <w:r>
        <w:t xml:space="preserve">    </w:t>
      </w:r>
      <w:r>
        <w:rPr>
          <w:b/>
        </w:rPr>
        <w:t xml:space="preserve">Pub date: </w:t>
      </w:r>
      <w:r>
        <w:t>2026-03-07 06:35:42+00:00</w:t>
      </w:r>
      <w:r>
        <w:t xml:space="preserve">    </w:t>
      </w:r>
      <w:r>
        <w:rPr>
          <w:b/>
        </w:rPr>
        <w:t xml:space="preserve">DOI: </w:t>
      </w:r>
      <w:hyperlink r:id="rId75">
        <w:r>
          <w:rPr>
            <w:color w:val="1155CC"/>
            <w:u w:val="single"/>
          </w:rPr>
          <w:t>10.1002/aenm.202506744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由于卤化物固体电解质具有高离子电导率、氧化稳定性和延展性，研究已日益加强，但其密堆积的阴离子框架提供了有限的结构可调性，阻碍了体相Li</w:t>
      </w:r>
      <w:r>
        <w:t xml:space="preserve"> </w:t>
      </w:r>
      <w:r>
        <w:t>+</w:t>
      </w:r>
      <w:r>
        <w:t xml:space="preserve"> </w:t>
      </w:r>
      <w:r>
        <w:t>导电性的进一步增强。在此，我们展示了一种普遍的体相氧掺入策略用于卤化物固体电解质，使用WO</w:t>
      </w:r>
      <w:r>
        <w:rPr>
          <w:vertAlign w:val="subscript"/>
        </w:rPr>
        <w:t>2</w:t>
      </w:r>
      <w:r>
        <w:t>Cl</w:t>
      </w:r>
      <w:r>
        <w:rPr>
          <w:vertAlign w:val="subscript"/>
        </w:rPr>
        <w:t>2</w:t>
      </w:r>
      <w:r>
        <w:t>实现氧的可控引入到多种Li</w:t>
      </w:r>
      <w:r>
        <w:t xml:space="preserve"> </w:t>
      </w:r>
      <w:r>
        <w:t>x</w:t>
      </w:r>
      <w:r>
        <w:t xml:space="preserve"> </w:t>
      </w:r>
      <w:r>
        <w:t>MCl</w:t>
      </w:r>
      <w:r>
        <w:rPr>
          <w:vertAlign w:val="subscript"/>
        </w:rPr>
        <w:t>6</w:t>
      </w:r>
      <w:r>
        <w:t>（M = Zr, Y, Er, 和 In）晶格中，有效增强Li</w:t>
      </w:r>
    </w:p>
    <w:p>
      <w:pPr>
        <w:spacing w:before="0" w:after="200" w:lineRule="auto" w:line="276"/>
      </w:pPr>
      <w:r>
        <w:rPr>
          <w:b/>
        </w:rPr>
        <w:t xml:space="preserve">Abstract (EN): </w:t>
      </w:r>
      <w:r>
        <w:t>Research into halide solid electrolytes has intensified due to their high ionic conductivity, oxidation stability and ductility, yet their close‐packed anion frameworks offer limited structural tunability, hindering further enhancement of bulk Li</w:t>
      </w:r>
      <w:r>
        <w:t xml:space="preserve"> </w:t>
      </w:r>
      <w:r>
        <w:t>+</w:t>
      </w:r>
      <w:r>
        <w:t xml:space="preserve"> </w:t>
      </w:r>
      <w:r>
        <w:t>conduction. Here, we demonstrate a universal bulk oxygen incorporation strategy for halide solid electrolytes, using WO</w:t>
      </w:r>
      <w:r>
        <w:rPr>
          <w:vertAlign w:val="subscript"/>
        </w:rPr>
        <w:t>2</w:t>
      </w:r>
      <w:r>
        <w:t>Cl</w:t>
      </w:r>
      <w:r>
        <w:rPr>
          <w:vertAlign w:val="subscript"/>
        </w:rPr>
        <w:t>2</w:t>
      </w:r>
      <w:r>
        <w:t>to enable controlled introduction of oxygen into diverse Li</w:t>
      </w:r>
      <w:r>
        <w:t xml:space="preserve"> </w:t>
      </w:r>
      <w:r>
        <w:t>x</w:t>
      </w:r>
      <w:r>
        <w:t xml:space="preserve"> </w:t>
      </w:r>
      <w:r>
        <w:t>MCl</w:t>
      </w:r>
      <w:r>
        <w:rPr>
          <w:vertAlign w:val="subscript"/>
        </w:rPr>
        <w:t>6</w:t>
      </w:r>
      <w:r>
        <w:t>(M = Zr, Y, Er, and In) lattices, effectively enhancing Li</w:t>
      </w:r>
      <w:r>
        <w:t xml:space="preserve"> </w:t>
      </w:r>
      <w:r>
        <w:t>+</w:t>
      </w:r>
      <w:r>
        <w:t xml:space="preserve"> </w:t>
      </w:r>
      <w:r>
        <w:t>conduction. Complementary structural, spatial, and vibrational analyses, including synchrotron X‐ray techniques, depth‐resolved spectroscopy, and Raman measurements, confirm oxygen incorporation via the [WO</w:t>
      </w:r>
      <w:r>
        <w:rPr>
          <w:vertAlign w:val="subscript"/>
        </w:rPr>
        <w:t>2</w:t>
      </w:r>
      <w:r>
        <w:t>Cl</w:t>
      </w:r>
      <w:r>
        <w:rPr>
          <w:vertAlign w:val="subscript"/>
        </w:rPr>
        <w:t>4</w:t>
      </w:r>
      <w:r>
        <w:t>]</w:t>
      </w:r>
      <w:r>
        <w:t xml:space="preserve"> </w:t>
      </w:r>
      <w:r>
        <w:t>2−</w:t>
      </w:r>
      <w:r>
        <w:t>polyhedral unit, validating the structural integrity of the modified halides. First‐principles calculations reveal that the anchored oxygen flattens the Li</w:t>
      </w:r>
      <w:r>
        <w:t xml:space="preserve"> </w:t>
      </w:r>
      <w:r>
        <w:t>+</w:t>
      </w:r>
      <w:r>
        <w:t xml:space="preserve"> </w:t>
      </w:r>
      <w:r>
        <w:t>migration energy landscape by diversifying Li sites and weakening Li–Cl interactions, accounting for the observed conductivity enhancement. In addition, the alleviation of the thermodynamic driving force for hydrolysis improves air and moisture stability, and the enhancement in ionic conductivity leads to improved electrochemical performance. These oxygen‐anchored oxychlorides offer lattice‐level regulation principles that underpin conventional halide design, ensuring both practicality and broad applicability.</w:t>
      </w:r>
    </w:p>
    <w:p>
      <w:pPr>
        <w:spacing w:before="120" w:after="120"/>
      </w:pPr>
      <w:r>
        <w:rPr>
          <w:sz w:val="18"/>
        </w:rPr>
        <w:t>——————————————————————————————————————————————————————————————————————</w:t>
      </w:r>
    </w:p>
    <w:p>
      <w:pPr>
        <w:spacing w:before="160" w:after="40" w:line="240" w:lineRule="auto"/>
      </w:pPr>
      <w:r>
        <w:rPr>
          <w:b/>
        </w:rPr>
        <w:t xml:space="preserve">[3] </w:t>
      </w:r>
      <w:hyperlink r:id="rId77">
        <w:r>
          <w:rPr>
            <w:color w:val="1155CC"/>
            <w:u w:val="single"/>
          </w:rPr>
          <w:t>宿主与电解质的协同耦合在无阳极锂金属电池中实现1270 Wh L−1（Adv. Mater. 14/2026）</w:t>
        </w:r>
      </w:hyperlink>
    </w:p>
    <w:p>
      <w:pPr>
        <w:spacing w:before="0" w:after="80"/>
      </w:pPr>
      <w:r>
        <w:rPr>
          <w:i/>
          <w:sz w:val="20"/>
        </w:rPr>
        <w:t>EN: Synergistic Coupling of Host and Electrolyte Achieving 1270 Wh L−1 in Anode‐Free Lithium Metal Batteries (Adv. Mater. 14/2026)</w:t>
      </w:r>
    </w:p>
    <w:p>
      <w:pPr>
        <w:spacing w:before="0" w:after="120"/>
      </w:pPr>
      <w:r>
        <w:rPr>
          <w:b/>
        </w:rPr>
        <w:t xml:space="preserve">Source: </w:t>
      </w:r>
      <w:r>
        <w:t>Wiley: Advanced Materials: Table of Contents</w:t>
      </w:r>
      <w:r>
        <w:t xml:space="preserve">    </w:t>
      </w:r>
      <w:r>
        <w:rPr>
          <w:b/>
        </w:rPr>
        <w:t xml:space="preserve">Pub date: </w:t>
      </w:r>
      <w:r>
        <w:t>2026-03-07 10:11:54+00:00</w:t>
      </w:r>
      <w:r>
        <w:t xml:space="preserve">    </w:t>
      </w:r>
      <w:r>
        <w:rPr>
          <w:b/>
        </w:rPr>
        <w:t xml:space="preserve">DOI: </w:t>
      </w:r>
      <w:hyperlink r:id="rId78">
        <w:r>
          <w:rPr>
            <w:color w:val="1155CC"/>
            <w:u w:val="single"/>
          </w:rPr>
          <w:t>10.1002/adma.72537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8">
        <w:r>
          <w:rPr>
            <w:color w:val="1155CC"/>
            <w:u w:val="single"/>
          </w:rPr>
          <w:t>弥合实验室级钠离子纽扣电池与实际软包电池之间的差距</w:t>
        </w:r>
      </w:hyperlink>
    </w:p>
    <w:p>
      <w:pPr>
        <w:spacing w:before="0" w:after="80"/>
      </w:pPr>
      <w:r>
        <w:rPr>
          <w:i/>
          <w:sz w:val="20"/>
        </w:rPr>
        <w:t>EN: Bridge the Gaps Between Lab‐Level Sodium‐Ion Coin Cells and Practical Pouch Cells</w:t>
      </w:r>
    </w:p>
    <w:p>
      <w:pPr>
        <w:spacing w:before="0" w:after="120"/>
      </w:pPr>
      <w:r>
        <w:rPr>
          <w:b/>
        </w:rPr>
        <w:t xml:space="preserve">Source: </w:t>
      </w:r>
      <w:r>
        <w:t>Wiley: Advanced Materials: Table of Contents</w:t>
      </w:r>
      <w:r>
        <w:t xml:space="preserve">    </w:t>
      </w:r>
      <w:r>
        <w:rPr>
          <w:b/>
        </w:rPr>
        <w:t xml:space="preserve">Pub date: </w:t>
      </w:r>
      <w:r>
        <w:t>2026-03-09 13:21:04+00:00</w:t>
      </w:r>
      <w:r>
        <w:t xml:space="preserve">    </w:t>
      </w:r>
      <w:r>
        <w:rPr>
          <w:b/>
        </w:rPr>
        <w:t xml:space="preserve">DOI: </w:t>
      </w:r>
      <w:hyperlink r:id="rId49">
        <w:r>
          <w:rPr>
            <w:color w:val="1155CC"/>
            <w:u w:val="single"/>
          </w:rPr>
          <w:t>10.1002/adma.202521756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SIBs）因钠（Na）资源丰富、制造工艺与锂离子电池（LIBs）相似以及高低温抗性和速率能力而在学术界和工业界引起了广泛关注。最近，为推进钠离子软包电池的实际应用进行了大量努力；然而，从实验室研究到市场实施的过渡因实验室级纽扣电池与实际软包电池之间的相关性不明确而受到阻碍。在此，系统分析并揭示了钠离子软包电池与纽扣电池之间的能量密度和循环寿命的差异及其众多根本原因</w:t>
      </w:r>
    </w:p>
    <w:p>
      <w:pPr>
        <w:spacing w:before="0" w:after="200" w:lineRule="auto" w:line="276"/>
      </w:pPr>
      <w:r>
        <w:rPr>
          <w:b/>
        </w:rPr>
        <w:t xml:space="preserve">Abstract (EN): </w:t>
      </w:r>
      <w:r>
        <w:t>Sodium‐ion batteries (SIBs) have garnered extensive interest in the academic and industrial sectors, primarily because of the abundance of sodium (Na) resources, manufacturing processes similar to those of lithium‐ion batteries (LIBs), and high low‐temperature resistance and rate capability. Recently, considerable efforts have been directed toward advancing the practical application of sodium‐ion pouch cells; however, the transition from laboratory research to market implementation is hindered by an unclear understanding of the correlation between lab‐level coin cells and practical pouch cells. Herein, the difference in energy density and cycle life between sodium‐ion pouch cells and coin cells, and their numerous root causes are systematically analyzed and revealed. Then, the intrinsic defects in materials and interface instability issues associated with sodium‐ion pouch cells are analyzed, and the research progress focusing on the cathode, anode, and electrolyte components is summarized. Finally, the standardization of assembly and testing to bridge the gap between the sodium‐ion pouch cells and the coin cells is proposed for the SIB community. This review aims to provide valuable insights and support for promoting the development of SIBs from laboratory samples to industrial products.</w:t>
      </w:r>
    </w:p>
    <w:p>
      <w:pPr>
        <w:spacing w:before="120" w:after="120"/>
      </w:pPr>
      <w:r>
        <w:rPr>
          <w:sz w:val="18"/>
        </w:rPr>
        <w:t>——————————————————————————————————————————————————————————————————————</w:t>
      </w:r>
    </w:p>
    <w:p>
      <w:pPr>
        <w:spacing w:before="160" w:after="40" w:line="240" w:lineRule="auto"/>
      </w:pPr>
      <w:r>
        <w:rPr>
          <w:b/>
        </w:rPr>
        <w:t xml:space="preserve">[5] </w:t>
      </w:r>
      <w:hyperlink r:id="rId79">
        <w:r>
          <w:rPr>
            <w:color w:val="1155CC"/>
            <w:u w:val="single"/>
          </w:rPr>
          <w:t>可充电镁电池的电解质</w:t>
        </w:r>
      </w:hyperlink>
    </w:p>
    <w:p>
      <w:pPr>
        <w:spacing w:before="0" w:after="80"/>
      </w:pPr>
      <w:r>
        <w:rPr>
          <w:i/>
          <w:sz w:val="20"/>
        </w:rPr>
        <w:t>EN: Electrolytes for rechargeable magnesium batteries</w:t>
      </w:r>
    </w:p>
    <w:p>
      <w:pPr>
        <w:spacing w:before="0" w:after="120"/>
      </w:pPr>
      <w:r>
        <w:rPr>
          <w:b/>
        </w:rPr>
        <w:t xml:space="preserve">Source: </w:t>
      </w:r>
      <w:r>
        <w:t>Nature Reviews Clean Technology</w:t>
      </w:r>
      <w:r>
        <w:t xml:space="preserve">    </w:t>
      </w:r>
      <w:r>
        <w:rPr>
          <w:b/>
        </w:rPr>
        <w:t xml:space="preserve">Pub date: </w:t>
      </w:r>
      <w:r>
        <w:t>2026-03-11 00:00:00+00:00</w:t>
      </w:r>
      <w:r>
        <w:t xml:space="preserve">    </w:t>
      </w:r>
      <w:r>
        <w:rPr>
          <w:b/>
        </w:rPr>
        <w:t xml:space="preserve">DOI: </w:t>
      </w:r>
      <w:hyperlink r:id="rId80">
        <w:r>
          <w:rPr>
            <w:color w:val="1155CC"/>
            <w:u w:val="single"/>
          </w:rPr>
          <w:t>10.1038/s44359-026-00153-6</w:t>
        </w:r>
      </w:hyperlink>
    </w:p>
    <w:p>
      <w:pPr>
        <w:spacing w:before="0" w:after="120"/>
      </w:pPr>
      <w:r>
        <w:rPr>
          <w:b/>
        </w:rPr>
        <w:t xml:space="preserve">Notes: </w:t>
      </w:r>
      <w:r>
        <w:t>abstract_source=nature_html</w:t>
      </w:r>
    </w:p>
    <w:p>
      <w:pPr>
        <w:spacing w:before="0" w:after="80" w:lineRule="auto" w:line="276"/>
      </w:pPr>
      <w:r>
        <w:rPr>
          <w:b/>
        </w:rPr>
        <w:t xml:space="preserve">摘要（ZH）: </w:t>
      </w:r>
      <w:r>
        <w:t>全球对可充电储能的需求不断加速，以及锂离子电池相关的原材料限制，推动了对替代电池化学的探索。在这些替代方案中，可充电镁电池（RMBs）因其高体积容量（3,833 mAh cm−3）以及镁的自然丰富性和安全性优势而成为候选者。然而，RMBs的发展仍然受到缺乏可行电解质的阻碍，因为传统锂离子电池电解质配方的镁类似物无法支持可逆的镁沉积。在本综述中，我们考察了RMB电解质的演变，从早期的Grignard基复合物到新兴的单盐电解质，并讨论了基本的设计原则。</w:t>
      </w:r>
    </w:p>
    <w:p>
      <w:pPr>
        <w:spacing w:before="0" w:after="200" w:lineRule="auto" w:line="276"/>
      </w:pPr>
      <w:r>
        <w:rPr>
          <w:b/>
        </w:rPr>
        <w:t xml:space="preserve">Abstract (EN): </w:t>
      </w:r>
      <w:r>
        <w:t>The accelerating global demand for rechargeable energy storage and the raw-material constraints associated with lithium-ion batteries have catalysed the search for alternative battery chemistries. Among them, rechargeable magnesium batteries (RMBs) have emerged as a candidate owing to their high volumetric capacity (3,833 mAh cm−3) and the natural abundance and safety benefits of magnesium. However, the development of RMBs remains hindered by the lack of viable electrolytes, as magnesium analogues of conventional lithium-ion battery electrolyte formulations fail to support reversible magnesium deposition. In this Review, we examine the evolution of RMB electrolytes, from early Grignard-based complexes to emerging single-salt electrolytes, and discuss the fundamental design principles that have driven breakthroughs in electrolyte performance, stability and compatibility. Electrolyte chemistry dictates interfacial behaviour and dendrite formation, yet key knowledge gaps in understanding electrode–electrolyte interphases and magnesium-plating mechanisms continue to limit battery performance. Addressing supply-chain vulnerabilities will improve RMB production reliability, whereas minimizing hazardous electrolyte components strengthens its viability as a next-generation clean-energy-storage technology. By articulating a clear roadmap grounded in both mechanistic understanding and materials innovation, future electrolyte development can be guided towards the commercialization of RMBs.</w:t>
      </w:r>
    </w:p>
    <w:p>
      <w:pPr>
        <w:spacing w:before="120" w:after="120"/>
      </w:pPr>
      <w:r>
        <w:rPr>
          <w:sz w:val="18"/>
        </w:rPr>
        <w:t>——————————————————————————————————————————————————————————————————————</w:t>
      </w:r>
    </w:p>
    <w:p>
      <w:pPr>
        <w:spacing w:before="160" w:after="40" w:line="240" w:lineRule="auto"/>
      </w:pPr>
      <w:r>
        <w:rPr>
          <w:b/>
        </w:rPr>
        <w:t xml:space="preserve">[6] </w:t>
      </w:r>
      <w:hyperlink r:id="rId81">
        <w:r>
          <w:rPr>
            <w:color w:val="1155CC"/>
            <w:u w:val="single"/>
          </w:rPr>
          <w:t>一种持久范围的氢键凝胶聚合物电解质，支持宽温度和可回收的锂金属电池</w:t>
        </w:r>
      </w:hyperlink>
    </w:p>
    <w:p>
      <w:pPr>
        <w:spacing w:before="0" w:after="80"/>
      </w:pPr>
      <w:r>
        <w:rPr>
          <w:i/>
          <w:sz w:val="20"/>
        </w:rPr>
        <w:t>EN: A persistent-range hydrogen-bonded gel polymer electrolyte enabling wide-temperature and recyclable lithium metal batteries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2">
        <w:r>
          <w:rPr>
            <w:color w:val="1155CC"/>
            <w:u w:val="single"/>
          </w:rPr>
          <w:t>10.1126/sciadv.adz1014</w:t>
        </w:r>
      </w:hyperlink>
    </w:p>
    <w:p>
      <w:pPr>
        <w:spacing w:before="0" w:after="120"/>
      </w:pPr>
      <w:r>
        <w:rPr>
          <w:b/>
        </w:rPr>
        <w:t xml:space="preserve">Notes: </w:t>
      </w:r>
      <w:r>
        <w:t>abstract_source=crossref</w:t>
      </w:r>
    </w:p>
    <w:p>
      <w:pPr>
        <w:spacing w:before="0" w:after="80" w:lineRule="auto" w:line="276"/>
      </w:pPr>
      <w:r>
        <w:rPr>
          <w:b/>
        </w:rPr>
        <w:t xml:space="preserve">摘要（ZH）: </w:t>
      </w:r>
      <w:r>
        <w:t>尽管能量密度和循环稳定性仍然是锂金属电池（LMB）研究的核心，特别是在固态系统中，但两个关键但被低估的挑战是宽温度操作性和可回收性。这些关键参数从根本上由电解质设计决定。在此，我们介绍了一种用于LMB的持久范围氢键（PHB）凝胶聚合物电解质（GPE）。通过全氟化支链与氟化聚氨酯骨架上的─NH─基团之间的连续氢键相互作用构建，这种动态网络结构协同了看似不兼容的特性：化学交联水平的机械强度和化学稳定性，以及物理交联水平的动态性和离子电导率（8.6 mS cm</w:t>
      </w:r>
    </w:p>
    <w:p>
      <w:pPr>
        <w:spacing w:before="0" w:after="200" w:lineRule="auto" w:line="276"/>
      </w:pPr>
      <w:r>
        <w:rPr>
          <w:b/>
        </w:rPr>
        <w:t xml:space="preserve">Abstract (EN): </w:t>
      </w:r>
      <w:r>
        <w:t>Although energy density and cycling stability remain central to lithium metal battery (LMB) research, particularly in solid-state systems, two critical yet underappreciated challenges are wide-temperature operability and recyclability. These key parameters are fundamentally governed by electrolyte design. Here, we introduce a persistent-range hydrogen-bonded (PHB) gel polymer electrolyte (GPE) for LMBs. Constructed via continuous hydrogen-bonding interactions between perfluorinated branches and ─NH─ groups on fluorinated polyurethane backbones, this dynamic network architecture synergizes seemingly incompatible properties: chemically cross-linked–level mechanical robustness and chemical stability, alongside physically cross-linked–level dynamicity and ionic conductivity (8.6 mS cm</w:t>
      </w:r>
      <w:r>
        <w:t xml:space="preserve"> </w:t>
      </w:r>
      <w:r>
        <w:t>−1</w:t>
      </w:r>
      <w:r>
        <w:t xml:space="preserve"> </w:t>
      </w:r>
      <w:r>
        <w:t>in regular carbonate electrolytes). The resulting PHB-GPE endows Li-metal pouch cells with stable cycling across a −60° to 100°C temperature range. Moreover, PHB-GPE exhibits recyclability potential, enabling the reuse of the Li salt and polymer at the end of battery life. These findings provide transformative insights into designing multifunctional GPE structures for next-generation LMBs, addressing both performance and sustainability imperatives.</w:t>
      </w:r>
    </w:p>
    <w:p>
      <w:pPr>
        <w:spacing w:before="120" w:after="120"/>
      </w:pPr>
      <w:r>
        <w:rPr>
          <w:sz w:val="18"/>
        </w:rPr>
        <w:t>——————————————————————————————————————————————————————————————————————</w:t>
      </w:r>
    </w:p>
    <w:p>
      <w:pPr>
        <w:spacing w:before="160" w:after="40" w:line="240" w:lineRule="auto"/>
      </w:pPr>
      <w:r>
        <w:rPr>
          <w:b/>
        </w:rPr>
        <w:t xml:space="preserve">[7] </w:t>
      </w:r>
      <w:hyperlink r:id="rId83">
        <w:r>
          <w:rPr>
            <w:color w:val="1155CC"/>
            <w:u w:val="single"/>
          </w:rPr>
          <w:t>氟化溶剂的分子工程实现实用的锂金属电池</w:t>
        </w:r>
      </w:hyperlink>
    </w:p>
    <w:p>
      <w:pPr>
        <w:spacing w:before="0" w:after="80"/>
      </w:pPr>
      <w:r>
        <w:rPr>
          <w:i/>
          <w:sz w:val="20"/>
        </w:rPr>
        <w:t>EN: Molecular Engineering of Fluorinated Solvents Enables Practical Lithium Metal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84">
        <w:r>
          <w:rPr>
            <w:color w:val="1155CC"/>
            <w:u w:val="single"/>
          </w:rPr>
          <w:t>一种用于无枝晶和耐用锂金属电池的稳健分子桥接混合界面</w:t>
        </w:r>
      </w:hyperlink>
    </w:p>
    <w:p>
      <w:pPr>
        <w:spacing w:before="0" w:after="80"/>
      </w:pPr>
      <w:r>
        <w:rPr>
          <w:i/>
          <w:sz w:val="20"/>
        </w:rPr>
        <w:t>EN: A Robust Molecular‐Bridged Hybrid Interphase for Dendrite‐Free and Durable Lithium Metal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70">
        <w:r>
          <w:rPr>
            <w:color w:val="1155CC"/>
            <w:u w:val="single"/>
          </w:rPr>
          <w:t>解决钠|Na3PS4界面的电化学机械耦合失效以实现耐用的全固态钠金属电池</w:t>
        </w:r>
      </w:hyperlink>
    </w:p>
    <w:p>
      <w:pPr>
        <w:spacing w:before="0" w:after="80"/>
      </w:pPr>
      <w:r>
        <w:rPr>
          <w:i/>
          <w:sz w:val="20"/>
        </w:rPr>
        <w:t>EN: Addressing Electro‐Chemo‐Mechanical Coupling Failure at the Sodium|Na3PS4 Interface towards Durable All‐Solid‐State Sodium Metal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85">
        <w:r>
          <w:rPr>
            <w:color w:val="1155CC"/>
            <w:u w:val="single"/>
          </w:rPr>
          <w:t>通过机器学习加速高导电性玻璃电解质的发现</w:t>
        </w:r>
      </w:hyperlink>
    </w:p>
    <w:p>
      <w:pPr>
        <w:spacing w:before="0" w:after="80"/>
      </w:pPr>
      <w:r>
        <w:rPr>
          <w:i/>
          <w:sz w:val="20"/>
        </w:rPr>
        <w:t>EN: Accelerating the Discovery of High‐Conductivity Glass Electrolytes via Machine Learning</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86">
        <w:r>
          <w:rPr>
            <w:color w:val="1155CC"/>
            <w:u w:val="single"/>
          </w:rPr>
          <w:t>[ASAP] 钠离子电池快速充电用弱溶剂电解质的空间信息定性设计</w:t>
        </w:r>
      </w:hyperlink>
    </w:p>
    <w:p>
      <w:pPr>
        <w:spacing w:before="0" w:after="80"/>
      </w:pPr>
      <w:r>
        <w:rPr>
          <w:i/>
          <w:sz w:val="20"/>
        </w:rPr>
        <w:t>EN: [ASAP] Spatially Informed Qualitative Design of Weakly Solvating Electrolytes for Fast-Charging Sodium-Ion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2026-03-11 11:07:45+00:00</w:t>
      </w:r>
      <w:r>
        <w:t xml:space="preserve">    </w:t>
      </w:r>
      <w:r>
        <w:rPr>
          <w:b/>
        </w:rPr>
        <w:t xml:space="preserve">DOI: </w:t>
      </w:r>
      <w:hyperlink r:id="rId87">
        <w:r>
          <w:rPr>
            <w:color w:val="1155CC"/>
            <w:u w:val="single"/>
          </w:rPr>
          <w:t>10.1021/jacs.5c23021</w:t>
        </w:r>
      </w:hyperlink>
    </w:p>
    <w:p>
      <w:pPr>
        <w:spacing w:before="0" w:after="120"/>
      </w:pPr>
      <w:r>
        <w:rPr>
          <w:b/>
        </w:rPr>
        <w:t xml:space="preserve">Notes: </w:t>
      </w:r>
      <w:r>
        <w:t>abstract_source=openalex</w:t>
      </w:r>
    </w:p>
    <w:p>
      <w:pPr>
        <w:spacing w:before="0" w:after="80" w:lineRule="auto" w:line="276"/>
      </w:pPr>
      <w:r>
        <w:rPr>
          <w:b/>
        </w:rPr>
        <w:t xml:space="preserve">摘要（ZH）: </w:t>
      </w:r>
      <w:r>
        <w:t>硬碳（HC）负极在低钠化平台电位下的快速充电性能关键取决于Na&lt;sup&gt;+&lt;/sup&gt;在电解质内和电极-电解质界面上的传输。已知阴离子衍生的固体电解质界面（SEIs）可以降低界面电阻并促进快速离子传输。在溶剂中引入空间位阻可以削弱阳离子-溶剂配位并促进阴离子衍生SEIs的形成。然而，比较溶剂空间效应的通用策略仍然难以捉摸。在此，使用摩尔体积和Sterimol参数来定性评估烷基单腈中的空间效应，这是一类能够支持高离子导电性电解质的溶剂。使用这种方法，三甲基乙腈（</w:t>
      </w:r>
    </w:p>
    <w:p>
      <w:pPr>
        <w:spacing w:before="0" w:after="200" w:lineRule="auto" w:line="276"/>
      </w:pPr>
      <w:r>
        <w:rPr>
          <w:b/>
        </w:rPr>
        <w:t xml:space="preserve">Abstract (EN): </w:t>
      </w:r>
      <w:r>
        <w:t>The fast-charging performance of hard carbon (HC) anodes with low sodiation plateau potentials critically depends on Na&lt;sup&gt;+&lt;/sup&gt; transport within the electrolyte and across the electrode-electrolyte interface. Anion-derived solid electrolyte interphases (SEIs) are known to reduce interfacial resistance and facilitate rapid ion transport. Introducing steric hindrance in solvents can weaken cation-solvent coordination and promote the formation of anion-derived SEIs. However, a universal strategy for comparing solvent steric effects remains elusive. Herein, Molar volume and Sterimol parameters are employed to qualitatively assess steric effects in alkyl mononitriles, a class of solvents capable of supporting high-ionic-conductivity electrolytes. Using this approach, trimethylacetonitrile (TMAN) is identified as a sterically hindered solvent with weak coordinating ability. TMAN-based electrolytes reduce Na&lt;sup&gt;+&lt;/sup&gt; desolvation energy and enhance anion participation in the primary solvation shell, yielding compact, low-impedance SEIs on HC anodes. Consequently, a simple electrolyte of 1 M sodium bis(fluorosulfonyl)imide in TMAN enables HC fast charging at 3C without sodium plating, while Ah-level HC||NaNi&lt;sub&gt;1/3&lt;/sub&gt;Fe&lt;sub&gt;1/3&lt;/sub&gt;Mn&lt;sub&gt;1/3&lt;/sub&gt;O&lt;sub&gt;2&lt;/sub&gt; pouch cells retain 93.1% of their capacity after 3000 cycles at 1C, and 91.7% after 1300 cycles at 3C charging rate. This study established a generalizable solvent screening strategy, laying the foundation for the efficient development of electrolytes.</w:t>
      </w:r>
    </w:p>
    <w:p>
      <w:pPr>
        <w:spacing w:before="120" w:after="120"/>
      </w:pPr>
      <w:r>
        <w:rPr>
          <w:sz w:val="18"/>
        </w:rPr>
        <w:t>——————————————————————————————————————————————————————————————————————</w:t>
      </w:r>
    </w:p>
    <w:p>
      <w:pPr>
        <w:spacing w:before="160" w:after="40" w:line="240" w:lineRule="auto"/>
      </w:pPr>
      <w:r>
        <w:rPr>
          <w:b/>
        </w:rPr>
        <w:t xml:space="preserve">[12] </w:t>
      </w:r>
      <w:hyperlink r:id="rId88">
        <w:r>
          <w:rPr>
            <w:color w:val="1155CC"/>
            <w:u w:val="single"/>
          </w:rPr>
          <w:t>全环状溶剂电解质设计实现超低温和快速充电的钠离子电池</w:t>
        </w:r>
      </w:hyperlink>
    </w:p>
    <w:p>
      <w:pPr>
        <w:spacing w:before="0" w:after="80"/>
      </w:pPr>
      <w:r>
        <w:rPr>
          <w:i/>
          <w:sz w:val="20"/>
        </w:rPr>
        <w:t>EN: All‐Cyclic‐Solvent Electrolyte Design Enables Ultra‐Low‐Temperature and Fast‐Charging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2026-03-11 14:00:56+00:00</w:t>
      </w:r>
      <w:r>
        <w:t xml:space="preserve">    </w:t>
      </w:r>
      <w:r>
        <w:rPr>
          <w:b/>
        </w:rPr>
        <w:t xml:space="preserve">DOI: </w:t>
      </w:r>
      <w:hyperlink r:id="rId89">
        <w:r>
          <w:rPr>
            <w:color w:val="1155CC"/>
            <w:u w:val="single"/>
          </w:rPr>
          <w:t>10.1002/anie.202521433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传统的钠离子电池（SIB）电解质通常由混合的环状和线性碳酸酯组成，在低温下面临关键挑战，包括溶剂结晶和缓慢的Na</w:t>
      </w:r>
      <w:r>
        <w:t xml:space="preserve"> </w:t>
      </w:r>
      <w:r>
        <w:t>+</w:t>
      </w:r>
      <w:r>
        <w:t xml:space="preserve"> </w:t>
      </w:r>
      <w:r>
        <w:t>传输。在这项工作中，我们开发了一种低成本的全环状溶剂电解质，其中环醚、四氢呋喃（THF）和环戊基甲醚（CPME）逐步引入高极性环状碳酸酯，丙烯碳酸酯（PC）和乙烯碳酸酯（EC），系统地重构Na</w:t>
      </w:r>
      <w:r>
        <w:t xml:space="preserve"> </w:t>
      </w:r>
      <w:r>
        <w:t>+</w:t>
      </w:r>
      <w:r>
        <w:t xml:space="preserve"> </w:t>
      </w:r>
      <w:r>
        <w:t>溶剂化结构。高极性环状碳酸酯和低极性环状醚之间的竞争性配位产生</w:t>
      </w:r>
    </w:p>
    <w:p>
      <w:pPr>
        <w:spacing w:before="0" w:after="200" w:lineRule="auto" w:line="276"/>
      </w:pPr>
      <w:r>
        <w:rPr>
          <w:b/>
        </w:rPr>
        <w:t xml:space="preserve">Abstract (EN): </w:t>
      </w:r>
      <w:r>
        <w:t>Conventional sodium‐ion battery (SIB) electrolytes are typically composed of mixed cyclic and linear carbonates, which face critical challenges at low temperatures, including solvent crystallization and sluggish Na</w:t>
      </w:r>
      <w:r>
        <w:t xml:space="preserve"> </w:t>
      </w:r>
      <w:r>
        <w:t>+</w:t>
      </w:r>
      <w:r>
        <w:t xml:space="preserve"> </w:t>
      </w:r>
      <w:r>
        <w:t>transport. In this work, we developed a low‐cost, all‐cyclic‐solvent electrolyte in which cyclic ethers, tetrahydrofuran (THF) and cyclopentyl methyl ether (CPME), are gradually introduced into the high‐polarity cyclic carbonates, propylene carbonate (PC) and ethylene carbonate (EC), systematically reconstructing the Na</w:t>
      </w:r>
      <w:r>
        <w:t xml:space="preserve"> </w:t>
      </w:r>
      <w:r>
        <w:t>+</w:t>
      </w:r>
      <w:r>
        <w:t xml:space="preserve"> </w:t>
      </w:r>
      <w:r>
        <w:t>solvation structure. Competitive coordination between the high‐polarity cyclic carbonates and low‐polarity cyclic ethers generates an anion‐rich solvation environment, simultaneously suppressing electrolyte crystallization and lowering Na</w:t>
      </w:r>
      <w:r>
        <w:t xml:space="preserve"> </w:t>
      </w:r>
      <w:r>
        <w:t>+</w:t>
      </w:r>
      <w:r>
        <w:t xml:space="preserve"> </w:t>
      </w:r>
      <w:r>
        <w:t>desolvation energy. The optimized electrolyte exhibits high ionic conductivity, an ultralow freezing point (&amp;lt; −130°C), and excellent interfacial stability, enabling outstanding performance, including ultra‐fast charging (89.9 mAh g</w:t>
      </w:r>
      <w:r>
        <w:t xml:space="preserve"> </w:t>
      </w:r>
      <w:r>
        <w:t>−</w:t>
      </w:r>
      <w:r>
        <w:rPr>
          <w:vertAlign w:val="subscript"/>
        </w:rPr>
        <w:t>1</w:t>
      </w:r>
      <w:r>
        <w:t>at 50 C), extreme low‐temperature operation (57% capacity retention at −70°C), and ultra‐long cycling stability (&amp;gt;10000 cycles). Its practical applicability was further validated using 26700 cylindrical cells, which demonstrated stable cycling for over 2000 cycles at room temperature and maintained stable performance at −40°C. The cells exhibited high safety under abuse conditions, including thermal abuse and nail penetration. This design strategy can be generalized to other all‐cyclic‐solvent systems, providing a universal approach for low‐cost, fast‐charging, ultralow‐temperature SIBs.</w:t>
      </w:r>
    </w:p>
    <w:p>
      <w:pPr>
        <w:spacing w:before="120" w:after="120"/>
      </w:pPr>
      <w:r>
        <w:rPr>
          <w:sz w:val="18"/>
        </w:rPr>
        <w:t>——————————————————————————————————————————————————————————————————————</w:t>
      </w:r>
    </w:p>
    <w:p>
      <w:pPr>
        <w:spacing w:before="160" w:after="40" w:line="240" w:lineRule="auto"/>
      </w:pPr>
      <w:r>
        <w:rPr>
          <w:b/>
        </w:rPr>
        <w:t xml:space="preserve">[13] </w:t>
      </w:r>
      <w:hyperlink r:id="rId90">
        <w:r>
          <w:rPr>
            <w:color w:val="1155CC"/>
            <w:u w:val="single"/>
          </w:rPr>
          <w:t>[ASAP] 利用聚合电解质的时空动态以实现耐用的高压锂金属电池</w:t>
        </w:r>
      </w:hyperlink>
    </w:p>
    <w:p>
      <w:pPr>
        <w:spacing w:before="0" w:after="80"/>
      </w:pPr>
      <w:r>
        <w:rPr>
          <w:i/>
          <w:sz w:val="20"/>
        </w:rPr>
        <w:t>EN: [ASAP] Harnessing Spatiotemporal Dynamics of Polymerized Electrolytes for Durable High-Voltage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2026-03-11 17:17:06+00:00</w:t>
      </w:r>
      <w:r>
        <w:t xml:space="preserve">    </w:t>
      </w:r>
      <w:r>
        <w:rPr>
          <w:b/>
        </w:rPr>
        <w:t xml:space="preserve">DOI: </w:t>
      </w:r>
      <w:hyperlink r:id="rId91">
        <w:r>
          <w:rPr>
            <w:color w:val="1155CC"/>
            <w:u w:val="single"/>
          </w:rPr>
          <w:t>10.1021/jacs.5c20571</w:t>
        </w:r>
      </w:hyperlink>
    </w:p>
    <w:p>
      <w:pPr>
        <w:spacing w:before="0" w:after="120"/>
      </w:pPr>
      <w:r>
        <w:rPr>
          <w:b/>
        </w:rPr>
        <w:t xml:space="preserve">Notes: </w:t>
      </w:r>
      <w:r>
        <w:t>abstract_source=pubmed</w:t>
      </w:r>
    </w:p>
    <w:p>
      <w:pPr>
        <w:spacing w:before="0" w:after="80" w:lineRule="auto" w:line="276"/>
      </w:pPr>
      <w:r>
        <w:rPr>
          <w:b/>
        </w:rPr>
        <w:t xml:space="preserve">摘要（ZH）: </w:t>
      </w:r>
      <w:r>
        <w:t>尽管在固态和准固态锂金属电池（LMBs）中提供了共形界面，但原位聚合电解质在高电压LMBs中由于缓慢的Li+传输动力学和化学活性界面而导致电解质分解和寄生副反应。本文报道了时空工程化的原位聚合电解质（S-IPEs），同时解决了这两个挑战，实现了耐用的高电压高镍阴极全电池性能。基于理论和实验分析，我们证明了硝酸盐离子、氟聚合物和聚酯基电解质的空间编程成分分布驱动自优化的时空界面化学。在氟聚合物框架内，阴离子-</w:t>
      </w:r>
    </w:p>
    <w:p>
      <w:pPr>
        <w:spacing w:before="0" w:after="200" w:lineRule="auto" w:line="276"/>
      </w:pPr>
      <w:r>
        <w:rPr>
          <w:b/>
        </w:rPr>
        <w:t xml:space="preserve">Abstract (EN): </w:t>
      </w:r>
      <w:r>
        <w:t>Despite affording conformal interfaces in solid-state and quasi-solid-state Li metal batteries (LMBs), in situ polymerized electrolytes suffer from sluggish Li+-transport kinetics and chemically reactive interphases that promote electrolyte decomposition and parasitic side reactions in high-voltage LMBs. Herein, we report spatiotemporally engineered in situ polymerized electrolytes (S-IPEs) that simultaneously resolve both challenges, enabling durable high-voltage high-Ni-cathode-based full-cell performance. Based on theoretical and experimental analyses, we demonstrate that spatially programmed component distributions of nitrate ions, fluoropolymer, and polymeric ester-based electrolyte drive self-optimized spatiotemporal interfacial chemistry. Within the fluoropolymer framework, anion-preferential adsorption establishes durable anion-rich and polymeric-electrolyte-lean interfacial dynamic reconstruction, achieving robust antioxidative interface. At the same time, persistent nitrate release from the cathode side decouples bulk Li+ transport from the polymer matrix, affording fast ion-transport kinetics and sustained optimization of the Li-metal anode interface. The resultant S-IPEs realize stable electrochemical performance at high current densities and cathode loadings (2 mA cm-2; high-voltage LiNi0.8Co0.1Mn0.1O2 cathodes of 3.31 mAh cm-2). This work establishes an effective spatiotemporal regulation of interfacial chemistry and bulk ion-transport kinetics, providing a new benchmark for the practical realization of solid-state LMBs.</w:t>
      </w:r>
    </w:p>
    <w:p>
      <w:pPr>
        <w:spacing w:before="120" w:after="120"/>
      </w:pPr>
      <w:r>
        <w:rPr>
          <w:sz w:val="18"/>
        </w:rPr>
        <w:t>——————————————————————————————————————————————————————————————————————</w:t>
      </w:r>
    </w:p>
    <w:p>
      <w:pPr>
        <w:spacing w:before="160" w:after="40" w:line="240" w:lineRule="auto"/>
      </w:pPr>
      <w:r>
        <w:rPr>
          <w:b/>
        </w:rPr>
        <w:t xml:space="preserve">[14] </w:t>
      </w:r>
      <w:hyperlink r:id="rId92">
        <w:r>
          <w:rPr>
            <w:color w:val="1155CC"/>
            <w:u w:val="single"/>
          </w:rPr>
          <w:t>[ASAP] 从界面到界面：揭示锂金属负极在高温下界面电解质配置和固态电解质界面相的动态演变</w:t>
        </w:r>
      </w:hyperlink>
    </w:p>
    <w:p>
      <w:pPr>
        <w:spacing w:before="0" w:after="80"/>
      </w:pPr>
      <w:r>
        <w:rPr>
          <w:i/>
          <w:sz w:val="20"/>
        </w:rPr>
        <w:t>EN: [ASAP] From Interphase to Interface: Revealing the Dynamic Evolution of Interfacial Electrolyte Configuration and Solid Electrolyte Interphase on Lithium Metal Anode at Elevated Temperature</w:t>
      </w:r>
    </w:p>
    <w:p>
      <w:pPr>
        <w:spacing w:before="0" w:after="120"/>
      </w:pPr>
      <w:r>
        <w:rPr>
          <w:b/>
        </w:rPr>
        <w:t xml:space="preserve">Source: </w:t>
      </w:r>
      <w:r>
        <w:t>Journal of the American Chemical Society: Latest Articles (ACS Publications)</w:t>
      </w:r>
      <w:r>
        <w:t xml:space="preserve">    </w:t>
      </w:r>
      <w:r>
        <w:rPr>
          <w:b/>
        </w:rPr>
        <w:t xml:space="preserve">Pub date: </w:t>
      </w:r>
      <w:r>
        <w:t>2026-03-11 17:17:49+00:00</w:t>
      </w:r>
      <w:r>
        <w:t xml:space="preserve">    </w:t>
      </w:r>
      <w:r>
        <w:rPr>
          <w:b/>
        </w:rPr>
        <w:t xml:space="preserve">DOI: </w:t>
      </w:r>
      <w:hyperlink r:id="rId93">
        <w:r>
          <w:rPr>
            <w:color w:val="1155CC"/>
            <w:u w:val="single"/>
          </w:rPr>
          <w:t>10.1021/jacs.5c23075</w:t>
        </w:r>
      </w:hyperlink>
    </w:p>
    <w:p>
      <w:pPr>
        <w:spacing w:before="0" w:after="120"/>
      </w:pPr>
      <w:r>
        <w:rPr>
          <w:b/>
        </w:rPr>
        <w:t xml:space="preserve">Notes: </w:t>
      </w:r>
      <w:r>
        <w:t>abstract_source=pubmed</w:t>
      </w:r>
    </w:p>
    <w:p>
      <w:pPr>
        <w:spacing w:before="0" w:after="80" w:lineRule="auto" w:line="276"/>
      </w:pPr>
      <w:r>
        <w:rPr>
          <w:b/>
        </w:rPr>
        <w:t xml:space="preserve">摘要（ZH）: </w:t>
      </w:r>
      <w:r>
        <w:t>在高温下实现锂金属电池的耐久循环需要稳健的界面环境。然而，对高温如何控制界面电解质配置和固态电解质界面（SEI）动态演变的机制理解有限，阻碍了合理的电解质设计。在此，通过使用表面敏感的原位红外光谱，我们直接观察到阴离子从界面逃逸的过程，这是由溶剂化过程中界面电荷不平衡驱动的。这一现象导致形成阴离子贫乏、溶剂丰富的界面，并且在高温下这一过程显著加速和加剧。因此，更多的溶剂衍生和更少的阴离子衍生SE</w:t>
      </w:r>
    </w:p>
    <w:p>
      <w:pPr>
        <w:spacing w:before="0" w:after="200" w:lineRule="auto" w:line="276"/>
      </w:pPr>
      <w:r>
        <w:rPr>
          <w:b/>
        </w:rPr>
        <w:t xml:space="preserve">Abstract (EN): </w:t>
      </w:r>
      <w:r>
        <w:t>Achieving durable cycling in lithium metal batteries at elevated temperature necessitates a robust interfacial environment. However, the mechanistic understanding of how elevated temperature governs the dynamic evolution of the interfacial electrolyte configuration and the solid electrolyte interphase (SEI) remains limited, hindering rational electrolyte design. Herein, by using surface-sensitive in situ infrared spectroscopies, we directly visualize the escape of anions from the interface, a process driven by interfacial charge imbalance during desolvation. This phenomenon results in the formation of an anion-lean, solvent-rich interface, with the process being significantly accelerated and exacerbated at elevated temperatures. Consequently, more solvent-derived and fewer anion-derived SEI components are formed, resulting in aggravated interfacial resistance and compromised interfacial stability. In this case, both reducing the anion transference number and introducing adsorbed inert cations can mitigate the elevated temperature-aggravated anion escaping from the interface, leading to the restoration of anion-derived LiF components in the SEI, culminating in enhanced interfacial stability and improved cycling behavior. After revealing the correlation between the dynamic evolution of interfacial electrolyte configuration and SEI fabrication, this work enables the precise tuning of electrolyte and interfacial engineering, shifting the focus from empirically modifying the interphase to fundamentally regulating the interface as the origin of SEI formation.</w:t>
      </w:r>
    </w:p>
    <w:p>
      <w:pPr>
        <w:spacing w:before="120" w:after="120"/>
      </w:pPr>
      <w:r>
        <w:rPr>
          <w:sz w:val="18"/>
        </w:rPr>
        <w:t>——————————————————————————————————————————————————————————————————————</w:t>
      </w:r>
    </w:p>
    <w:p>
      <w:pPr>
        <w:spacing w:before="160" w:after="40" w:line="240" w:lineRule="auto"/>
      </w:pPr>
      <w:r>
        <w:rPr>
          <w:b/>
        </w:rPr>
        <w:t xml:space="preserve">[15] </w:t>
      </w:r>
      <w:hyperlink r:id="rId94">
        <w:r>
          <w:rPr>
            <w:color w:val="1155CC"/>
            <w:u w:val="single"/>
          </w:rPr>
          <w:t>[ASAP] 基于NaDFOB的单盐聚合物电解质用于长寿命和宽温度钠金属电池</w:t>
        </w:r>
      </w:hyperlink>
    </w:p>
    <w:p>
      <w:pPr>
        <w:spacing w:before="0" w:after="80"/>
      </w:pPr>
      <w:r>
        <w:rPr>
          <w:i/>
          <w:sz w:val="20"/>
        </w:rPr>
        <w:t>EN: [ASAP] NaDFOB-Based Single-Salt Polymer Electrolyte for Long-Lifespan and Wide-Temperature Sodium–Metal Batteries</w:t>
      </w:r>
    </w:p>
    <w:p>
      <w:pPr>
        <w:spacing w:before="0" w:after="120"/>
      </w:pPr>
      <w:r>
        <w:rPr>
          <w:b/>
        </w:rPr>
        <w:t xml:space="preserve">Source: </w:t>
      </w:r>
      <w:r>
        <w:t>ACS Energy Letters: Latest Articles (ACS Publications)</w:t>
      </w:r>
      <w:r>
        <w:t xml:space="preserve">    </w:t>
      </w:r>
      <w:r>
        <w:rPr>
          <w:b/>
        </w:rPr>
        <w:t xml:space="preserve">Pub date: </w:t>
      </w:r>
      <w:r>
        <w:t>2026-03-11 17:44:18+00:00</w:t>
      </w:r>
      <w:r>
        <w:t xml:space="preserve">    </w:t>
      </w:r>
      <w:r>
        <w:rPr>
          <w:b/>
        </w:rPr>
        <w:t xml:space="preserve">DOI: </w:t>
      </w:r>
      <w:hyperlink r:id="rId95">
        <w:r>
          <w:rPr>
            <w:color w:val="1155CC"/>
            <w:u w:val="single"/>
          </w:rPr>
          <w:t>10.1021/acsenergylett.6c00051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73">
        <w:r>
          <w:rPr>
            <w:color w:val="1155CC"/>
            <w:u w:val="single"/>
          </w:rPr>
          <w:t>锌离子电池中调节阳极/电解质界面的原位策略研究进展</w:t>
        </w:r>
      </w:hyperlink>
    </w:p>
    <w:p>
      <w:pPr>
        <w:spacing w:before="0" w:after="80"/>
      </w:pPr>
      <w:r>
        <w:rPr>
          <w:i/>
          <w:sz w:val="20"/>
        </w:rPr>
        <w:t>EN: Research progress on in-situ strategies for modulating the anode/electrolyte interface in zinc-ion batteries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96">
        <w:r>
          <w:rPr>
            <w:color w:val="1155CC"/>
            <w:u w:val="single"/>
          </w:rPr>
          <w:t>强而脆的锂枝晶</w:t>
        </w:r>
      </w:hyperlink>
    </w:p>
    <w:p>
      <w:pPr>
        <w:spacing w:before="0" w:after="80"/>
      </w:pPr>
      <w:r>
        <w:rPr>
          <w:i/>
          <w:sz w:val="20"/>
        </w:rPr>
        <w:t>EN: Strong and brittle lithium dendrites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7">
        <w:r>
          <w:rPr>
            <w:color w:val="1155CC"/>
            <w:u w:val="single"/>
          </w:rPr>
          <w:t>10.1126/science.adu9988</w:t>
        </w:r>
      </w:hyperlink>
    </w:p>
    <w:p>
      <w:pPr>
        <w:spacing w:before="0" w:after="120"/>
      </w:pPr>
      <w:r>
        <w:rPr>
          <w:b/>
        </w:rPr>
        <w:t xml:space="preserve">Notes: </w:t>
      </w:r>
      <w:r>
        <w:t>abstract_source=crossref</w:t>
      </w:r>
    </w:p>
    <w:p>
      <w:pPr>
        <w:spacing w:before="0" w:after="80" w:lineRule="auto" w:line="276"/>
      </w:pPr>
      <w:r>
        <w:rPr>
          <w:b/>
        </w:rPr>
        <w:t xml:space="preserve">摘要（ZH）: </w:t>
      </w:r>
      <w:r>
        <w:t>锂枝晶通过电解质和隔膜的生长和渗透仍然是实现高能量密度锂金属电池的关键挑战。使用机械强度高的电解质和隔膜被认为是一种有前途的策略，基于人们普遍认为锂的柔软性。然而，枝晶在坚硬的固体电解质中仍然形成，表明存在不同的机械行为。我们使用无空气协议测量了单个锂枝晶的机械性能。我们发现锂枝晶出乎意料地强且脆，断裂应力大于~150兆帕，与延展性块状金属不同。低温透射电子显微镜和机械建模显示，这种行为源于固体电解质界面</w:t>
      </w:r>
    </w:p>
    <w:p>
      <w:pPr>
        <w:spacing w:before="0" w:after="200" w:lineRule="auto" w:line="276"/>
      </w:pPr>
      <w:r>
        <w:rPr>
          <w:b/>
        </w:rPr>
        <w:t xml:space="preserve">Abstract (EN): </w:t>
      </w:r>
      <w:r>
        <w:t>The growth and penetration of lithium dendrites through electrolytes and separators remain key challenges to realizing high–energy density lithium-metal batteries. Using mechanically strong electrolytes and separators has been considered a promising strategy based on the commonly believed softness of lithium. However, dendrite formation persists in stiff solid electrolytes, suggesting distinct mechanical behaviors. We measured the mechanical properties of individual lithium dendrites using an air-free protocol. We found that lithium dendrites are unexpectedly strong and brittle, with fracture stress greater than ~150 megapascals, unlike the ductile bulk metal. Cryo–transmission electron microscopy and mechanical modeling showed that this behavior arises from solid electrolyte interface constraints and nanoscale strengthening. These findings provide alternative mechanisms for dendrite penetration and dead lithium formation as well as guidance for design strategies for lithium-metal batteries.</w:t>
      </w:r>
    </w:p>
    <w:p>
      <w:pPr>
        <w:spacing w:before="120" w:after="120"/>
      </w:pPr>
      <w:r>
        <w:rPr>
          <w:sz w:val="18"/>
        </w:rPr>
        <w:t>——————————————————————————————————————————————————————————————————————</w:t>
      </w:r>
    </w:p>
    <w:p>
      <w:pPr>
        <w:spacing w:before="160" w:after="40" w:line="240" w:lineRule="auto"/>
      </w:pPr>
      <w:r>
        <w:rPr>
          <w:b/>
        </w:rPr>
        <w:t xml:space="preserve">[18] </w:t>
      </w:r>
      <w:hyperlink r:id="rId98">
        <w:r>
          <w:rPr>
            <w:color w:val="1155CC"/>
            <w:u w:val="single"/>
          </w:rPr>
          <w:t>阴离子介导的溶剂化结构和水系锌离子电解质的嵌入化学</w:t>
        </w:r>
      </w:hyperlink>
    </w:p>
    <w:p>
      <w:pPr>
        <w:spacing w:before="0" w:after="80"/>
      </w:pPr>
      <w:r>
        <w:rPr>
          <w:i/>
          <w:sz w:val="20"/>
        </w:rPr>
        <w:t>EN: Anion-mediated solvation structures and intercalation chemistry of aqueous zinc-ion electrolytes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99">
        <w:r>
          <w:rPr>
            <w:color w:val="1155CC"/>
            <w:u w:val="single"/>
          </w:rPr>
          <w:t>10.1073/pnas.2524561123</w:t>
        </w:r>
      </w:hyperlink>
    </w:p>
    <w:p>
      <w:pPr>
        <w:spacing w:before="0" w:after="120"/>
      </w:pPr>
      <w:r>
        <w:rPr>
          <w:b/>
        </w:rPr>
        <w:t xml:space="preserve">Notes: </w:t>
      </w:r>
      <w:r>
        <w:t>abstract_source=crossref</w:t>
      </w:r>
    </w:p>
    <w:p>
      <w:pPr>
        <w:spacing w:before="0" w:after="80" w:lineRule="auto" w:line="276"/>
      </w:pPr>
      <w:r>
        <w:rPr>
          <w:b/>
        </w:rPr>
        <w:t xml:space="preserve">摘要（ZH）: </w:t>
      </w:r>
      <w:r>
        <w:t>理解溶剂/溶质携带的配位结构及其对电极嵌入化学的影响对于高性能电解质的合理设计至关重要。然而，控制溶剂化结构的阴离子配位机制及其对水系锌离子电解质中电化学性质的影响仍未得到充分探索。在这项工作中，我们系统地阐明了含有三种不同锌盐（Zn(OTf)</w:t>
      </w:r>
      <w:r>
        <w:rPr>
          <w:vertAlign w:val="subscript"/>
        </w:rPr>
        <w:t>2</w:t>
      </w:r>
      <w:r>
        <w:t>、ZnCl</w:t>
      </w:r>
      <w:r>
        <w:rPr>
          <w:vertAlign w:val="subscript"/>
        </w:rPr>
        <w:t>2</w:t>
      </w:r>
      <w:r>
        <w:t>和Zn(Ac)</w:t>
      </w:r>
      <w:r>
        <w:rPr>
          <w:vertAlign w:val="subscript"/>
        </w:rPr>
        <w:t>2</w:t>
      </w:r>
      <w:r>
        <w:t>）的稀水系锌离子电解质中的Zn</w:t>
      </w:r>
      <w:r>
        <w:t xml:space="preserve"> </w:t>
      </w:r>
      <w:r>
        <w:t>2+</w:t>
      </w:r>
      <w:r>
        <w:t xml:space="preserve"> </w:t>
      </w:r>
      <w:r>
        <w:t>配位环境，使用X射线吸收精细结构（XAFS）光谱和元动力学。</w:t>
      </w:r>
    </w:p>
    <w:p>
      <w:pPr>
        <w:spacing w:before="0" w:after="200" w:lineRule="auto" w:line="276"/>
      </w:pPr>
      <w:r>
        <w:rPr>
          <w:b/>
        </w:rPr>
        <w:t xml:space="preserve">Abstract (EN): </w:t>
      </w:r>
      <w:r>
        <w:t>Understanding solvent/solute-borne coordination structures and their impact on electrode intercalation chemistry is crucial for the rational design of high-performance electrolytes. Nevertheless, the anion coordination mechanisms governing solvation structures and their influence on electrochemical properties within aqueous zinc-ion electrolytes remain insufficiently explored. In this work, we systematically elucidate the Zn</w:t>
      </w:r>
      <w:r>
        <w:t xml:space="preserve"> </w:t>
      </w:r>
      <w:r>
        <w:t>2+</w:t>
      </w:r>
      <w:r>
        <w:t xml:space="preserve"> </w:t>
      </w:r>
      <w:r>
        <w:t>coordination environments in dilute aqueous zinc-ion electrolytes containing three different Zn salts (Zn(OTf)</w:t>
      </w:r>
      <w:r>
        <w:rPr>
          <w:vertAlign w:val="subscript"/>
        </w:rPr>
        <w:t>2</w:t>
      </w:r>
      <w:r>
        <w:t>, ZnCl</w:t>
      </w:r>
      <w:r>
        <w:rPr>
          <w:vertAlign w:val="subscript"/>
        </w:rPr>
        <w:t>2</w:t>
      </w:r>
      <w:r>
        <w:t>, and Zn(Ac)</w:t>
      </w:r>
      <w:r>
        <w:rPr>
          <w:vertAlign w:val="subscript"/>
        </w:rPr>
        <w:t>2</w:t>
      </w:r>
      <w:r>
        <w:t>) using X-ray absorption fine structure (XAFS) spectroscopy and metadynamics simulations. Our results identify distinct average Zn</w:t>
      </w:r>
      <w:r>
        <w:t xml:space="preserve"> </w:t>
      </w:r>
      <w:r>
        <w:t>2+</w:t>
      </w:r>
      <w:r>
        <w:t xml:space="preserve"> </w:t>
      </w:r>
      <w:r>
        <w:t>coordination species: [Zn(H</w:t>
      </w:r>
      <w:r>
        <w:rPr>
          <w:vertAlign w:val="subscript"/>
        </w:rPr>
        <w:t>2</w:t>
      </w:r>
      <w:r>
        <w:t>O)</w:t>
      </w:r>
      <w:r>
        <w:rPr>
          <w:vertAlign w:val="subscript"/>
        </w:rPr>
        <w:t>6</w:t>
      </w:r>
      <w:r>
        <w:t>]</w:t>
      </w:r>
      <w:r>
        <w:t xml:space="preserve"> </w:t>
      </w:r>
      <w:r>
        <w:t>2+</w:t>
      </w:r>
      <w:r>
        <w:t xml:space="preserve"> </w:t>
      </w:r>
      <w:r>
        <w:t>in Zn(OTf)</w:t>
      </w:r>
      <w:r>
        <w:rPr>
          <w:vertAlign w:val="subscript"/>
        </w:rPr>
        <w:t>2</w:t>
      </w:r>
      <w:r>
        <w:t>, [Zn(H</w:t>
      </w:r>
      <w:r>
        <w:rPr>
          <w:vertAlign w:val="subscript"/>
        </w:rPr>
        <w:t>2</w:t>
      </w:r>
      <w:r>
        <w:t>O)</w:t>
      </w:r>
      <w:r>
        <w:rPr>
          <w:vertAlign w:val="subscript"/>
        </w:rPr>
        <w:t>5</w:t>
      </w:r>
      <w:r>
        <w:t>Cl]</w:t>
      </w:r>
      <w:r>
        <w:t xml:space="preserve"> </w:t>
      </w:r>
      <w:r>
        <w:t>+</w:t>
      </w:r>
      <w:r>
        <w:t xml:space="preserve"> </w:t>
      </w:r>
      <w:r>
        <w:t>in ZnCl</w:t>
      </w:r>
      <w:r>
        <w:rPr>
          <w:vertAlign w:val="subscript"/>
        </w:rPr>
        <w:t>2</w:t>
      </w:r>
      <w:r>
        <w:t>, and [Zn(H</w:t>
      </w:r>
      <w:r>
        <w:rPr>
          <w:vertAlign w:val="subscript"/>
        </w:rPr>
        <w:t>2</w:t>
      </w:r>
      <w:r>
        <w:t>O)</w:t>
      </w:r>
      <w:r>
        <w:rPr>
          <w:vertAlign w:val="subscript"/>
        </w:rPr>
        <w:t>4</w:t>
      </w:r>
      <w:r>
        <w:t>(Ac)]</w:t>
      </w:r>
      <w:r>
        <w:t xml:space="preserve"> </w:t>
      </w:r>
      <w:r>
        <w:t>+</w:t>
      </w:r>
      <w:r>
        <w:t xml:space="preserve"> </w:t>
      </w:r>
      <w:r>
        <w:t>in Zn(Ac)</w:t>
      </w:r>
      <w:r>
        <w:rPr>
          <w:vertAlign w:val="subscript"/>
        </w:rPr>
        <w:t>2</w:t>
      </w:r>
      <w:r>
        <w:t>. Further employing synchrotron-based spectroscopy and in situ synchrotron radiation X-ray diffraction (SRXRD), we reveal that the electrode operating in Zn(OTf)</w:t>
      </w:r>
      <w:r>
        <w:rPr>
          <w:vertAlign w:val="subscript"/>
        </w:rPr>
        <w:t>2</w:t>
      </w:r>
      <w:r>
        <w:t>electrolyte exhibits minimal crystal lattice distortion upon Zn</w:t>
      </w:r>
      <w:r>
        <w:t xml:space="preserve"> </w:t>
      </w:r>
      <w:r>
        <w:t>2+</w:t>
      </w:r>
      <w:r>
        <w:t xml:space="preserve"> </w:t>
      </w:r>
      <w:r>
        <w:t>de/intercalation cycling, thereby delivering highly reversible electronic structure evolution and zinc-ion electrochemistry. In stark contrast, pronounced structural shape-shifting is observed in ZnCl</w:t>
      </w:r>
      <w:r>
        <w:rPr>
          <w:vertAlign w:val="subscript"/>
        </w:rPr>
        <w:t>2</w:t>
      </w:r>
      <w:r>
        <w:t>and Zn(Ac)</w:t>
      </w:r>
      <w:r>
        <w:rPr>
          <w:vertAlign w:val="subscript"/>
        </w:rPr>
        <w:t>2</w:t>
      </w:r>
      <w:r>
        <w:t>electrolytes, attributed to electrode dissolution and acetate anion coinsertion, respectively. These processes induce significant structural deterioration during cycling and compromise electrochemical reversibility. This study provides critical insights into the anion coordination chemistry within aqueous electrolytes and its profound influence on electrode intercalation behaviors, offering essential guidance for developing advanced high-performance aqueous batteries.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00">
        <w:r>
          <w:rPr>
            <w:color w:val="1155CC"/>
            <w:u w:val="single"/>
          </w:rPr>
          <w:t>关于锂离子电池中PFAS的关键综述：应用、监测、暴露和健康风险</w:t>
        </w:r>
      </w:hyperlink>
    </w:p>
    <w:p>
      <w:pPr>
        <w:spacing w:before="0" w:after="80"/>
      </w:pPr>
      <w:r>
        <w:rPr>
          <w:i/>
          <w:sz w:val="20"/>
        </w:rPr>
        <w:t>EN: A Critical Review on PFAS in Lithium-Ion Batteries: Application, Monitoring, Exposure and Health Risk</w:t>
      </w:r>
    </w:p>
    <w:p>
      <w:pPr>
        <w:spacing w:before="0" w:after="120"/>
      </w:pPr>
      <w:r>
        <w:rPr>
          <w:b/>
        </w:rPr>
        <w:t xml:space="preserve">Source: </w:t>
      </w:r>
      <w:r>
        <w:t>RSC - Energy Environ. Sci. latest articles</w:t>
      </w:r>
      <w:r>
        <w:t xml:space="preserve">    </w:t>
      </w:r>
      <w:r>
        <w:rPr>
          <w:b/>
        </w:rPr>
        <w:t xml:space="preserve">Pub date: </w:t>
      </w:r>
      <w:r>
        <w:t>2026-03-07 00:00:00+00:00</w:t>
      </w:r>
    </w:p>
    <w:p>
      <w:pPr>
        <w:spacing w:before="0" w:after="120"/>
      </w:pPr>
      <w:r>
        <w:rPr>
          <w:b/>
        </w:rPr>
        <w:t xml:space="preserve">Notes: </w:t>
      </w:r>
      <w:r>
        <w:t>abstract_source=rsc_html</w:t>
      </w:r>
    </w:p>
    <w:p>
      <w:pPr>
        <w:spacing w:before="0" w:after="80" w:lineRule="auto" w:line="276"/>
      </w:pPr>
      <w:r>
        <w:rPr>
          <w:b/>
        </w:rPr>
        <w:t xml:space="preserve">摘要（ZH）: </w:t>
      </w:r>
      <w:r>
        <w:t>锂离子电池（LiBs）是满足现代社会高能量需求的主要电源和能量存储工具。全氟和多氟烷基物质（PFAS）是LiBs结构中作为电解质、添加剂和阻燃剂等的重要组成部分，以提高电池性能和能量密度。然而，在整个LiB制造、使用、处置和回收生命周期中，这些高度持久和有害物质的释放存在显著风险。随着LiBs生产随着向便携设备、电动汽车和可再生能源存储的不可避免的转变而加速，LiB衍生的PFAS令人担忧，应该得到解决。为此目的，我们系统地总结了典型的PFAS来源于</w:t>
      </w:r>
    </w:p>
    <w:p>
      <w:pPr>
        <w:spacing w:before="0" w:after="200" w:lineRule="auto" w:line="276"/>
      </w:pPr>
      <w:r>
        <w:rPr>
          <w:b/>
        </w:rPr>
        <w:t xml:space="preserve">Abstract (EN): </w:t>
      </w:r>
      <w:r>
        <w:t>Lithium-ion batteries (LiBs) are the primary power supply and energy storage tools to meet modern society’s high energy demands. Per- and polyfluoroalkyl substances (PFAS) are important components integrated into the architecture of LiBs as electrolytes, additives, and fire retardants, etc. to enhance battery performance and energy density. However, there is a significant risk of releasing these highly persistent and harmful substances through the entire LiB manufacturing, usage, disposal, and recycling life cycle. As the production of LiBs escalates with the inevitable shift to portable devices, electric vehicles, and renewable energy storage, LiB-derived PFAS are of concern and should be addressed. To serve this purpose, we have systematically summarized the typical PFAS originated from LiBs, and the analytical techniques and methods to monitor their emission routes, environmental occurrences, and global distributions. Their human exposures, toxic effects, and health risks have then been discussed intensively, especially for the commonly detected LiB-derived bis-perfluoroalkyl sulfonimides (bis-FASIs). The information presented here aims to reveal the current status on LiB-derived PFAS research, and provide a necessary scientific foundation for managing LiB associated risk, implementing stringent monitoring protocol, formulating effective regulatory policy, and promoting effective treatment techniques and safer PFAS-free alternatives. Ultimately, this review seeks to make a vital contribution to mitigating the environmental and public health impacts of the fast-growing LiB industry and fostering a greener energy future and sustainable development.</w:t>
      </w:r>
    </w:p>
    <w:p>
      <w:pPr>
        <w:spacing w:before="120" w:after="120"/>
      </w:pPr>
      <w:r>
        <w:rPr>
          <w:sz w:val="18"/>
        </w:rPr>
        <w:t>——————————————————————————————————————————————————————————————————————</w:t>
      </w:r>
    </w:p>
    <w:p>
      <w:pPr>
        <w:spacing w:before="160" w:after="40" w:line="240" w:lineRule="auto"/>
      </w:pPr>
      <w:r>
        <w:rPr>
          <w:b/>
        </w:rPr>
        <w:t xml:space="preserve">[2] </w:t>
      </w:r>
      <w:hyperlink r:id="rId101">
        <w:r>
          <w:rPr>
            <w:color w:val="1155CC"/>
            <w:u w:val="single"/>
          </w:rPr>
          <w:t>分子定制的双功能深共晶溶剂增强废旧锂离子电池正极的剥离和再生</w:t>
        </w:r>
      </w:hyperlink>
    </w:p>
    <w:p>
      <w:pPr>
        <w:spacing w:before="0" w:after="80"/>
      </w:pPr>
      <w:r>
        <w:rPr>
          <w:i/>
          <w:sz w:val="20"/>
        </w:rPr>
        <w:t>EN: Molecularly Tailored Dual‐Function Deep Eutectic Solvent Enhances Spent Lithium‐Ion Battery Cathode Delamination and Regeneration</w:t>
      </w:r>
    </w:p>
    <w:p>
      <w:pPr>
        <w:spacing w:before="0" w:after="120"/>
      </w:pPr>
      <w:r>
        <w:rPr>
          <w:b/>
        </w:rPr>
        <w:t xml:space="preserve">Source: </w:t>
      </w:r>
      <w:r>
        <w:t>Wiley: Angewandte Chemie International Edition: Table of Contents</w:t>
      </w:r>
      <w:r>
        <w:t xml:space="preserve">    </w:t>
      </w:r>
      <w:r>
        <w:rPr>
          <w:b/>
        </w:rPr>
        <w:t xml:space="preserve">Pub date: </w:t>
      </w:r>
      <w:r>
        <w:t>2026-03-07 07:01:13+00:00</w:t>
      </w:r>
      <w:r>
        <w:t xml:space="preserve">    </w:t>
      </w:r>
      <w:r>
        <w:rPr>
          <w:b/>
        </w:rPr>
        <w:t xml:space="preserve">DOI: </w:t>
      </w:r>
      <w:hyperlink r:id="rId102">
        <w:r>
          <w:rPr>
            <w:color w:val="1155CC"/>
            <w:u w:val="single"/>
          </w:rPr>
          <w:t>10.1002/anie.8828799</w:t>
        </w:r>
      </w:hyperlink>
    </w:p>
    <w:p>
      <w:pPr>
        <w:spacing w:before="0" w:after="120"/>
      </w:pPr>
      <w:r>
        <w:rPr>
          <w:b/>
        </w:rPr>
        <w:t xml:space="preserve">Notes: </w:t>
      </w:r>
      <w:r>
        <w:t>abstract_source=pubmed</w:t>
      </w:r>
    </w:p>
    <w:p>
      <w:pPr>
        <w:spacing w:before="0" w:after="80" w:lineRule="auto" w:line="276"/>
      </w:pPr>
      <w:r>
        <w:rPr>
          <w:b/>
        </w:rPr>
        <w:t xml:space="preserve">摘要（ZH）: </w:t>
      </w:r>
      <w:r>
        <w:t>深共熔溶剂（DES）由于其高溶解性和可调节的特性，在从废旧锂离子电池中分离阴极材料和电流收集器方面非常有效。然而，它们存在反应动力学缓慢（&gt;30分钟）和高温要求（&gt;120°C）的缺点。在此，设计了一种由二乙基（羟甲基）膦酸酯（DHP）和丙二酸（MA）组成的双功能DES，具有低温和更快的动力学。DHP和MA上的亲核基团（─OH和烷氧基）创造了广泛的负静电势区域，促进了聚偏二氟乙烯（PVDF）粘合剂在低温下的降解。同时，形成的氢键网络削弱了分子间相互作用，降低了粘度并增强了传质。对于LiCoO2，</w:t>
      </w:r>
    </w:p>
    <w:p>
      <w:pPr>
        <w:spacing w:before="0" w:after="200" w:lineRule="auto" w:line="276"/>
      </w:pPr>
      <w:r>
        <w:rPr>
          <w:b/>
        </w:rPr>
        <w:t xml:space="preserve">Abstract (EN): </w:t>
      </w:r>
      <w:r>
        <w:t>Deep eutectic solvents (DES) are efficient for separating cathode materials and current collectors from spent lithium-ion batteries due to their high solubility and tunable properties. However, they suffer from slow reaction kinetics (&gt;30 min) and high-temperature requirement (&gt;120°C). Herein, a dual-function DES composed of diethyl (hydroxymethyl) phosphonate (DHP) and malonic acid (MA) with low temperature and faster kinetics was designed. The nucleophilic groups (─OH and alkoxy) on DHP and MA created extensive negative electrostatic potential regions, facilitating the degradation of polyvinylidene fluoride (PVDF) binder at low temperatures. Concurrently, the formed hydrogen-bonding network weakened intermolecular interactions, reducing viscosity and enhancing mass transfer. For LiCoO2, a separation efficiency of &gt;99% was achieved within 15 min at 60°C. Separation mechanism confirmed that PVDF degradation was triggered by the reaction of DHP-MA molecules with H-atoms, forming solvent channels. Furthermore, with the penetration of H+ and MA towards channels, the activation of the corrosion-passivation reaction brought about the accelerated cathode material detachment. The separated material exhibited low impurity content (&lt;0.026 wt%), minimal metal loss (&lt;2 wt%), and a well-preserved crystal structure, conducing to the repair of high-performance materials. Similar results were achieved for LiFePO4 and LiNi0.3Co0.3Mn0.3O2, offering a universal strategy for high-quality cathode materials recycling.</w:t>
      </w:r>
    </w:p>
    <w:p>
      <w:pPr>
        <w:spacing w:before="120" w:after="120"/>
      </w:pPr>
      <w:r>
        <w:rPr>
          <w:sz w:val="18"/>
        </w:rPr>
        <w:t>——————————————————————————————————————————————————————————————————————</w:t>
      </w:r>
    </w:p>
    <w:p>
      <w:pPr>
        <w:spacing w:before="160" w:after="40" w:line="240" w:lineRule="auto"/>
      </w:pPr>
      <w:r>
        <w:rPr>
          <w:b/>
        </w:rPr>
        <w:t xml:space="preserve">[3] </w:t>
      </w:r>
      <w:hyperlink r:id="rId103">
        <w:r>
          <w:rPr>
            <w:color w:val="1155CC"/>
            <w:u w:val="single"/>
          </w:rPr>
          <w:t>锂离子电池热失控前兆的操作解码：从多模态传感到智能预警</w:t>
        </w:r>
      </w:hyperlink>
    </w:p>
    <w:p>
      <w:pPr>
        <w:spacing w:before="0" w:after="80"/>
      </w:pPr>
      <w:r>
        <w:rPr>
          <w:i/>
          <w:sz w:val="20"/>
        </w:rPr>
        <w:t>EN: Operando decoding of thermal runaway precursors in lithium-ion batteries: from multimodal sensing to intelligent early warning</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4">
        <w:r>
          <w:rPr>
            <w:color w:val="1155CC"/>
            <w:u w:val="single"/>
          </w:rPr>
          <w:t>定义电池状态估计的精度极限</w:t>
        </w:r>
      </w:hyperlink>
    </w:p>
    <w:p>
      <w:pPr>
        <w:spacing w:before="0" w:after="80"/>
      </w:pPr>
      <w:r>
        <w:rPr>
          <w:i/>
          <w:sz w:val="20"/>
        </w:rPr>
        <w:t>EN: Defining an accuracy limit in battery state estimation</w:t>
      </w:r>
    </w:p>
    <w:p>
      <w:pPr>
        <w:spacing w:before="0" w:after="120"/>
      </w:pPr>
      <w:r>
        <w:rPr>
          <w:b/>
        </w:rPr>
        <w:t xml:space="preserve">Source: </w:t>
      </w:r>
      <w:r>
        <w:t>Joule</w:t>
      </w:r>
      <w:r>
        <w:t xml:space="preserve">    </w:t>
      </w:r>
      <w:r>
        <w:rPr>
          <w:b/>
        </w:rPr>
        <w:t xml:space="preserve">Pub date: </w:t>
      </w:r>
      <w:r>
        <w:t>2026-03-10 00:00:00+00:00</w:t>
      </w:r>
      <w:r>
        <w:t xml:space="preserve">    </w:t>
      </w:r>
      <w:r>
        <w:rPr>
          <w:b/>
        </w:rPr>
        <w:t xml:space="preserve">DOI: </w:t>
      </w:r>
      <w:hyperlink r:id="rId105">
        <w:r>
          <w:rPr>
            <w:color w:val="1155CC"/>
            <w:u w:val="single"/>
          </w:rPr>
          <w:t>10.1016/j.joule.2026.102342</w:t>
        </w:r>
      </w:hyperlink>
    </w:p>
    <w:p>
      <w:pPr>
        <w:spacing w:before="0" w:after="120"/>
      </w:pPr>
      <w:r>
        <w:rPr>
          <w:b/>
        </w:rPr>
        <w:t xml:space="preserve">Notes: </w:t>
      </w:r>
      <w:r>
        <w:t>abstract_source=rss_cell</w:t>
      </w:r>
    </w:p>
    <w:p>
      <w:pPr>
        <w:spacing w:before="0" w:after="80" w:lineRule="auto" w:line="276"/>
      </w:pPr>
      <w:r>
        <w:rPr>
          <w:b/>
        </w:rPr>
        <w:t xml:space="preserve">摘要（ZH）: </w:t>
      </w:r>
      <w:r>
        <w:t>电池的荷电状态 (SOC) 和健康状态 (SOH) 是电池管理的核心，估算方法多年来不断改进。然而，用于评估 SOC/SOH 的手工制作的“真实值”标签本身容易出错，并且强烈依赖于测试协议。本文评论量化了标签错误的关键来源，建立了一个实用的准确性限制，并主张优先考虑稳健性、适当的模型复杂性和相对准确性（与限制的距离），而不是追求低于标签错误底线的越来越小的错误。</w:t>
      </w:r>
    </w:p>
    <w:p>
      <w:pPr>
        <w:spacing w:before="0" w:after="200" w:lineRule="auto" w:line="276"/>
      </w:pPr>
      <w:r>
        <w:rPr>
          <w:b/>
        </w:rPr>
        <w:t xml:space="preserve">Abstract (EN): </w:t>
      </w:r>
      <w:r>
        <w:t>Battery state of charge (SOC) and state of health (SOH) are central to battery management, and estimation methods continue to improve over the years. However, the hand-crafted “ground-truth” labels used to evaluate SOC/SOH are themselves prone to errors and depend strongly on test protocols. This commentary quantifies key sources of label errors, establishes a practical accuracy limit, and argues for prioritizing robustness, appropriate model complexity, and relative accuracy (distance to the limit) over chasing ever-smaller errors below the label-error floor.</w:t>
      </w:r>
    </w:p>
    <w:p>
      <w:pPr>
        <w:spacing w:before="120" w:after="120"/>
      </w:pPr>
      <w:r>
        <w:rPr>
          <w:sz w:val="18"/>
        </w:rPr>
        <w:t>——————————————————————————————————————————————————————————————————————</w:t>
      </w:r>
    </w:p>
    <w:p>
      <w:pPr>
        <w:spacing w:before="160" w:after="40" w:line="240" w:lineRule="auto"/>
      </w:pPr>
      <w:r>
        <w:rPr>
          <w:b/>
        </w:rPr>
        <w:t xml:space="preserve">[5] </w:t>
      </w:r>
      <w:hyperlink r:id="rId106">
        <w:r>
          <w:rPr>
            <w:color w:val="1155CC"/>
            <w:u w:val="single"/>
          </w:rPr>
          <w:t>设计很重要：电池技术的电池结构如何影响性能、成本和环境影响</w:t>
        </w:r>
      </w:hyperlink>
    </w:p>
    <w:p>
      <w:pPr>
        <w:spacing w:before="0" w:after="80"/>
      </w:pPr>
      <w:r>
        <w:rPr>
          <w:i/>
          <w:sz w:val="20"/>
        </w:rPr>
        <w:t>EN: Design Matters: How Cell Architecture Shapes the Performance, Cost, and Environmental Impact of Battery Technologies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07">
        <w:r>
          <w:rPr>
            <w:color w:val="1155CC"/>
            <w:u w:val="single"/>
          </w:rPr>
          <w:t>通过从2D图像生成随机3D微结构揭示电池聚合物隔膜的微观结构和电化学性质（Adv. Energy Mater. 10/2026）</w:t>
        </w:r>
      </w:hyperlink>
    </w:p>
    <w:p>
      <w:pPr>
        <w:spacing w:before="0" w:after="80"/>
      </w:pPr>
      <w:r>
        <w:rPr>
          <w:i/>
          <w:sz w:val="20"/>
        </w:rPr>
        <w:t>EN: Unveiling the Microstructural and Electrochemical Properties of Polymeric Separators for Batteries Through Generating Stochastic 3D Microstructures From 2D Images (Adv. Energy Mater. 10/2026)</w:t>
      </w:r>
    </w:p>
    <w:p>
      <w:pPr>
        <w:spacing w:before="0" w:after="120"/>
      </w:pPr>
      <w:r>
        <w:rPr>
          <w:b/>
        </w:rPr>
        <w:t xml:space="preserve">Source: </w:t>
      </w:r>
      <w:r>
        <w:t>Wiley: Advanced Energy Materials: Table of Contents</w:t>
      </w:r>
      <w:r>
        <w:t xml:space="preserve">    </w:t>
      </w:r>
      <w:r>
        <w:rPr>
          <w:b/>
        </w:rPr>
        <w:t xml:space="preserve">Pub date: </w:t>
      </w:r>
      <w:r>
        <w:t>2026-03-11 10:42:56+00:00</w:t>
      </w:r>
      <w:r>
        <w:t xml:space="preserve">    </w:t>
      </w:r>
      <w:r>
        <w:rPr>
          <w:b/>
        </w:rPr>
        <w:t xml:space="preserve">DOI: </w:t>
      </w:r>
      <w:hyperlink r:id="rId108">
        <w:r>
          <w:rPr>
            <w:color w:val="1155CC"/>
            <w:u w:val="single"/>
          </w:rPr>
          <w:t>10.1002/aenm.70730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09">
        <w:r>
          <w:rPr>
            <w:color w:val="1155CC"/>
            <w:u w:val="single"/>
          </w:rPr>
          <w:t>极性-非极性协同三元共聚物实现超薄硫化物基膜用于高能量密度和低成本全固态电池</w:t>
        </w:r>
      </w:hyperlink>
    </w:p>
    <w:p>
      <w:pPr>
        <w:spacing w:before="0" w:after="80"/>
      </w:pPr>
      <w:r>
        <w:rPr>
          <w:i/>
          <w:sz w:val="20"/>
        </w:rPr>
        <w:t>EN: Polar–Nonpolar Synergistic Terpolymer Enables Ultra‐Thin Sulfide‐Based Membrane for High‐Energy‐Density and Low‐Cost All‐Solid‐State Batteries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10">
        <w:r>
          <w:rPr>
            <w:color w:val="1155CC"/>
            <w:u w:val="single"/>
          </w:rPr>
          <w:t>通过从2D图像生成随机3D微结构揭示电池用聚合物隔膜的微观结构和电化学性质</w:t>
        </w:r>
      </w:hyperlink>
    </w:p>
    <w:p>
      <w:pPr>
        <w:spacing w:before="0" w:after="80"/>
      </w:pPr>
      <w:r>
        <w:rPr>
          <w:i/>
          <w:sz w:val="20"/>
        </w:rPr>
        <w:t>EN: Unveiling the Microstructural and Electrochemical Properties of Polymeric Separators for Batteries Through Generating Stochastic 3D Microstructures From 2D Images</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11">
        <w:r>
          <w:rPr>
            <w:color w:val="1155CC"/>
            <w:u w:val="single"/>
          </w:rPr>
          <w:t>AIT优化高性能电池组以用于重型运输</w:t>
        </w:r>
      </w:hyperlink>
    </w:p>
    <w:p>
      <w:pPr>
        <w:spacing w:before="0" w:after="80"/>
      </w:pPr>
      <w:r>
        <w:rPr>
          <w:i/>
          <w:sz w:val="20"/>
        </w:rPr>
        <w:t>EN: AIT optimizes high-performance battery packs for heavy-duty transport</w:t>
      </w:r>
    </w:p>
    <w:p>
      <w:pPr>
        <w:spacing w:before="0" w:after="120"/>
      </w:pPr>
      <w:r>
        <w:rPr>
          <w:b/>
        </w:rPr>
        <w:t xml:space="preserve">Source: </w:t>
      </w:r>
      <w:r>
        <w:t>Batteries News</w:t>
      </w:r>
      <w:r>
        <w:t xml:space="preserve">    </w:t>
      </w:r>
      <w:r>
        <w:rPr>
          <w:b/>
        </w:rPr>
        <w:t xml:space="preserve">Pub date: </w:t>
      </w:r>
      <w:r>
        <w:t>2026-03-11 23:00:46+00:00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12">
        <w:r>
          <w:rPr>
            <w:color w:val="1155CC"/>
            <w:u w:val="single"/>
          </w:rPr>
          <w:t>Vianode签署条款清单以供应北美电网储能的先进电池材料</w:t>
        </w:r>
      </w:hyperlink>
    </w:p>
    <w:p>
      <w:pPr>
        <w:spacing w:before="0" w:after="80"/>
      </w:pPr>
      <w:r>
        <w:rPr>
          <w:i/>
          <w:sz w:val="20"/>
        </w:rPr>
        <w:t>EN: Vianode signs term sheet to supply advanced battery materials for North American grid energy storage</w:t>
      </w:r>
    </w:p>
    <w:p>
      <w:pPr>
        <w:spacing w:before="0" w:after="120"/>
      </w:pPr>
      <w:r>
        <w:rPr>
          <w:b/>
        </w:rPr>
        <w:t xml:space="preserve">Source: </w:t>
      </w:r>
      <w:r>
        <w:t>Batteries News</w:t>
      </w:r>
      <w:r>
        <w:t xml:space="preserve">    </w:t>
      </w:r>
      <w:r>
        <w:rPr>
          <w:b/>
        </w:rPr>
        <w:t xml:space="preserve">Pub date: </w:t>
      </w:r>
      <w:r>
        <w:t>2026-03-11 23:01:01+00:00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13">
        <w:r>
          <w:rPr>
            <w:color w:val="1155CC"/>
            <w:u w:val="single"/>
          </w:rPr>
          <w:t>U POWER的电动重型卡车通过全面运营测试和电池更换系统的全栈集成；1,000辆将在泰国推出</w:t>
        </w:r>
      </w:hyperlink>
    </w:p>
    <w:p>
      <w:pPr>
        <w:spacing w:before="0" w:after="80"/>
      </w:pPr>
      <w:r>
        <w:rPr>
          <w:i/>
          <w:sz w:val="20"/>
        </w:rPr>
        <w:t>EN: U POWER’s Electric Heavy Trucks Pass Comprehensive Operational Testing and Full-Stack Integration of Battery Swapping System; 1,000 Units Set for Thailand Rollout</w:t>
      </w:r>
    </w:p>
    <w:p>
      <w:pPr>
        <w:spacing w:before="0" w:after="120"/>
      </w:pPr>
      <w:r>
        <w:rPr>
          <w:b/>
        </w:rPr>
        <w:t xml:space="preserve">Source: </w:t>
      </w:r>
      <w:r>
        <w:t>Batteries News</w:t>
      </w:r>
      <w:r>
        <w:t xml:space="preserve">    </w:t>
      </w:r>
      <w:r>
        <w:rPr>
          <w:b/>
        </w:rPr>
        <w:t xml:space="preserve">Pub date: </w:t>
      </w:r>
      <w:r>
        <w:t>2026-03-11 23:04:54+00:00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14">
        <w:r>
          <w:rPr>
            <w:color w:val="1155CC"/>
            <w:u w:val="single"/>
          </w:rPr>
          <w:t>Rio Tinto为阿根廷Rincon锂项目获得11.75亿美元融资方案</w:t>
        </w:r>
      </w:hyperlink>
    </w:p>
    <w:p>
      <w:pPr>
        <w:spacing w:before="0" w:after="80"/>
      </w:pPr>
      <w:r>
        <w:rPr>
          <w:i/>
          <w:sz w:val="20"/>
        </w:rPr>
        <w:t>EN: Rio Tinto secures $1,175 billion financing package for Rincon lithium project in Argentina</w:t>
      </w:r>
    </w:p>
    <w:p>
      <w:pPr>
        <w:spacing w:before="0" w:after="120"/>
      </w:pPr>
      <w:r>
        <w:rPr>
          <w:b/>
        </w:rPr>
        <w:t xml:space="preserve">Source: </w:t>
      </w:r>
      <w:r>
        <w:t>Batteries News</w:t>
      </w:r>
      <w:r>
        <w:t xml:space="preserve">    </w:t>
      </w:r>
      <w:r>
        <w:rPr>
          <w:b/>
        </w:rPr>
        <w:t xml:space="preserve">Pub date: </w:t>
      </w:r>
      <w:r>
        <w:t>2026-03-11 23:09:11+00:00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5">
        <w:r>
          <w:rPr>
            <w:color w:val="1155CC"/>
            <w:u w:val="single"/>
          </w:rPr>
          <w:t>[ASAP] 动态合金共沉积/共剥离用于无枝晶多价金属电池</w:t>
        </w:r>
      </w:hyperlink>
    </w:p>
    <w:p>
      <w:pPr>
        <w:spacing w:before="0" w:after="80"/>
      </w:pPr>
      <w:r>
        <w:rPr>
          <w:i/>
          <w:sz w:val="20"/>
        </w:rPr>
        <w:t>EN: [ASAP] Dynamic Alloying Codeposition/Costripping for Dendrite-Less Multivalent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2026-03-08 15:49:26+00:00</w:t>
      </w:r>
      <w:r>
        <w:t xml:space="preserve">    </w:t>
      </w:r>
      <w:r>
        <w:rPr>
          <w:b/>
        </w:rPr>
        <w:t xml:space="preserve">DOI: </w:t>
      </w:r>
      <w:hyperlink r:id="rId116">
        <w:r>
          <w:rPr>
            <w:color w:val="1155CC"/>
            <w:u w:val="single"/>
          </w:rPr>
          <w:t>10.1021/jacs.5c21905</w:t>
        </w:r>
      </w:hyperlink>
    </w:p>
    <w:p>
      <w:pPr>
        <w:spacing w:before="0" w:after="120"/>
      </w:pPr>
      <w:r>
        <w:rPr>
          <w:b/>
        </w:rPr>
        <w:t xml:space="preserve">Notes: </w:t>
      </w:r>
      <w:r>
        <w:t>abstract_source=pubmed</w:t>
      </w:r>
    </w:p>
    <w:p>
      <w:pPr>
        <w:spacing w:before="0" w:after="80" w:lineRule="auto" w:line="276"/>
      </w:pPr>
      <w:r>
        <w:rPr>
          <w:b/>
        </w:rPr>
        <w:t xml:space="preserve">摘要（ZH）: </w:t>
      </w:r>
      <w:r>
        <w:t>多价金属电池由于这些金属的高丰度和低成本而被认为是下一代大规模储能的有前途的选择。使用熔盐电解质运行的铝金属电池因其快速脱溶而受到特别关注，但在实际温度和电流密度/容量下仍受到树枝状铝生长的阻碍。在此，我们描述了一种电化学驱动的动态合金共沉积/共剥离策略，以在这些实际条件下抑制铝树枝状物。通过在氯铝酸盐电解质中形成独特的双金属Al-Mn-Cl活性簇，我们实现了以置换固溶体和Al6Mn金属间化合物形式的动态Al-Mn共沉积，重要的是，可逆和动态的Al-Mn共</w:t>
      </w:r>
    </w:p>
    <w:p>
      <w:pPr>
        <w:spacing w:before="0" w:after="200" w:lineRule="auto" w:line="276"/>
      </w:pPr>
      <w:r>
        <w:rPr>
          <w:b/>
        </w:rPr>
        <w:t xml:space="preserve">Abstract (EN): </w:t>
      </w:r>
      <w:r>
        <w:t>Multivalent metal batteries are promising for next-generation large-scale energy storage due to the high abundance and low cost of these metals. Aluminum metal batteries operating with molten salt electrolytes are gaining particular traction for the rapid desolvation but are still hindered by dendritic aluminum growth at practical temperatures and current densities/capacities. Here, we describe an electrochemically driven dynamic alloying codeposition/costripping strategy to suppress aluminum dendrites at these practical conditions. Enabled by the formation of unique bimetal Al-Mn-Cl-active clusters in the chloroaluminate electrolyte, we realize dynamic Al-Mn codeposition in the form of substitutional solid solution and Al6Mn intermetallic, and importantly, reversible and dynamic Al-Mn costripping. As opposed to the conventional sequential deposition mechanism, the dynamic codeposition/costripping serves to reduce the surface energy and facilitates adatom diffusion constantly at the dynamic front of the reaction, instead of merely at the initiation of deposition, therefore enabling a smooth, dendrite-free aluminum anode at high current and capacity. As a result, the Al metal anode exhibits unprecedented cycling stability over 1000 h with a high current density of 10 mA cm-2 and an areal capacity of 20 mA h cm-2, and the Al|graphite cells achieve 4000-cycle life with a current of 24.6 mA cm-2. Our strategy here paints a rational path for designing stable, high-rate, and dendrite-less multivalent metal anodes.</w:t>
      </w:r>
    </w:p>
    <w:p>
      <w:pPr>
        <w:spacing w:before="120" w:after="120"/>
      </w:pPr>
      <w:r>
        <w:rPr>
          <w:sz w:val="18"/>
        </w:rPr>
        <w:t>——————————————————————————————————————————————————————————————————————</w:t>
      </w:r>
    </w:p>
    <w:p>
      <w:pPr>
        <w:spacing w:before="160" w:after="40" w:line="240" w:lineRule="auto"/>
      </w:pPr>
      <w:r>
        <w:rPr>
          <w:b/>
        </w:rPr>
        <w:t xml:space="preserve">[2] </w:t>
      </w:r>
      <w:hyperlink r:id="rId117">
        <w:r>
          <w:rPr>
            <w:color w:val="1155CC"/>
            <w:u w:val="single"/>
          </w:rPr>
          <w:t>低维MOF纳米构筑学：MOF-2D材料混合结构在能量转换和存储中的进展</w:t>
        </w:r>
      </w:hyperlink>
    </w:p>
    <w:p>
      <w:pPr>
        <w:spacing w:before="0" w:after="80"/>
      </w:pPr>
      <w:r>
        <w:rPr>
          <w:i/>
          <w:sz w:val="20"/>
        </w:rPr>
        <w:t>EN: Low‐Dimensional MOF Nanoarchitectonics: Progress in MOF‐2D Material Hybrid Architectures for Energy Conversion and Storage</w:t>
      </w:r>
    </w:p>
    <w:p>
      <w:pPr>
        <w:spacing w:before="0" w:after="120"/>
      </w:pPr>
      <w:r>
        <w:rPr>
          <w:b/>
        </w:rPr>
        <w:t xml:space="preserve">Source: </w:t>
      </w:r>
      <w:r>
        <w:t>Wiley: Advanced Materials: Table of Contents</w:t>
      </w:r>
      <w:r>
        <w:t xml:space="preserve">    </w:t>
      </w:r>
      <w:r>
        <w:rPr>
          <w:b/>
        </w:rPr>
        <w:t xml:space="preserve">Pub date: </w:t>
      </w:r>
      <w:r>
        <w:t>2026-03-10 03:40:56+00:00</w:t>
      </w:r>
      <w:r>
        <w:t xml:space="preserve">    </w:t>
      </w:r>
      <w:r>
        <w:rPr>
          <w:b/>
        </w:rPr>
        <w:t xml:space="preserve">DOI: </w:t>
      </w:r>
      <w:hyperlink r:id="rId118">
        <w:r>
          <w:rPr>
            <w:color w:val="1155CC"/>
            <w:u w:val="single"/>
          </w:rPr>
          <w:t>10.1002/adma.202521053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s）和二维（2D）材料的整合是一种强大且快速发展的策略，用于创造多功能混合材料。要释放其全部潜力，需要克服每个组件的固有限制，特别是MOFs的电导率差和2D纳米片的重叠。本综述系统地概述了维度界面工程在解决这一挑战中的关键作用。系统分析了合成方法，包括直接生长、封装、逐层组装和MOF衍生转化，将结构控制与支配质量传输的基本结构-性能关系相关联，e</w:t>
      </w:r>
    </w:p>
    <w:p>
      <w:pPr>
        <w:spacing w:before="0" w:after="200" w:lineRule="auto" w:line="276"/>
      </w:pPr>
      <w:r>
        <w:rPr>
          <w:b/>
        </w:rPr>
        <w:t xml:space="preserve">Abstract (EN): </w:t>
      </w:r>
      <w:r>
        <w:t>The integration of metal‐organic frameworks (MOFs) and two‐dimensional (2D) materials is a powerful and rapidly advancing strategy for creating multifunctional hybrid materials. Unlocking their full potential requires overcoming the intrinsic limitations of each component, specifically the poor electrical conductivity of MOFs and the restacking of 2D nanosheets. This review provides a systematic overview of the pivotal role of dimensional interface engineering in addressing this challenge. A systematic analysis of synthesis methodologies is presented, including direct growth, encapsulation, layer‐by‐layer assembly, and MOF‐derived transformations, correlating architectural control with the fundamental structure–property relationships that govern mass transport, electronic coupling, and defect chemistry. The remarkable impact of these engineered hybrids is then highlighted across key applications in high‐performance electrocatalysis for crucial energy conversion reactions and in advanced energy storage systems such as batteries and supercapacitors. A central theme is that the deliberate manipulation of the interface is the critical determinant for unlocking synergistic enhancements in charge and mass transport, structural stability, and redox activity. Finally, this review concludes by critically assessing persistent challenges in scalability, stability, and atomic‐level precision, while outlining the future opportunities poised to propel MOF‐2D hybrids from laboratory innovations to transformative technologies.</w:t>
      </w:r>
    </w:p>
    <w:p>
      <w:pPr>
        <w:spacing w:before="120" w:after="120"/>
      </w:pPr>
      <w:r>
        <w:rPr>
          <w:sz w:val="18"/>
        </w:rPr>
        <w:t>——————————————————————————————————————————————————————————————————————</w:t>
      </w:r>
    </w:p>
    <w:p>
      <w:pPr>
        <w:spacing w:before="160" w:after="40" w:line="240" w:lineRule="auto"/>
      </w:pPr>
      <w:r>
        <w:rPr>
          <w:b/>
        </w:rPr>
        <w:t xml:space="preserve">[3] </w:t>
      </w:r>
      <w:hyperlink r:id="rId119">
        <w:r>
          <w:rPr>
            <w:color w:val="1155CC"/>
            <w:u w:val="single"/>
          </w:rPr>
          <w:t>反极性破坏引发反铁电陶瓷中的巨能量存储</w:t>
        </w:r>
      </w:hyperlink>
    </w:p>
    <w:p>
      <w:pPr>
        <w:spacing w:before="0" w:after="80"/>
      </w:pPr>
      <w:r>
        <w:rPr>
          <w:i/>
          <w:sz w:val="20"/>
        </w:rPr>
        <w:t>EN: Antipolar-breaking eliciting giant energy storage in antiferroelectric ceramics</w:t>
      </w:r>
    </w:p>
    <w:p>
      <w:pPr>
        <w:spacing w:before="0" w:after="120"/>
      </w:pPr>
      <w:r>
        <w:rPr>
          <w:b/>
        </w:rPr>
        <w:t xml:space="preserve">Source: </w:t>
      </w:r>
      <w:r>
        <w:t>Joule</w:t>
      </w:r>
      <w:r>
        <w:t xml:space="preserve">    </w:t>
      </w:r>
      <w:r>
        <w:rPr>
          <w:b/>
        </w:rPr>
        <w:t xml:space="preserve">Pub date: </w:t>
      </w:r>
      <w:r>
        <w:t>2026-03-11 00:00:00+00:00</w:t>
      </w:r>
      <w:r>
        <w:t xml:space="preserve">    </w:t>
      </w:r>
      <w:r>
        <w:rPr>
          <w:b/>
        </w:rPr>
        <w:t xml:space="preserve">DOI: </w:t>
      </w:r>
      <w:hyperlink r:id="rId120">
        <w:r>
          <w:rPr>
            <w:color w:val="1155CC"/>
            <w:u w:val="single"/>
          </w:rPr>
          <w:t>10.1016/j.joule.2026.102346</w:t>
        </w:r>
      </w:hyperlink>
    </w:p>
    <w:p>
      <w:pPr>
        <w:spacing w:before="0" w:after="120"/>
      </w:pPr>
      <w:r>
        <w:rPr>
          <w:b/>
        </w:rPr>
        <w:t xml:space="preserve">Notes: </w:t>
      </w:r>
      <w:r>
        <w:t>abstract_source=rss_cell</w:t>
      </w:r>
    </w:p>
    <w:p>
      <w:pPr>
        <w:spacing w:before="0" w:after="80" w:lineRule="auto" w:line="276"/>
      </w:pPr>
      <w:r>
        <w:rPr>
          <w:b/>
        </w:rPr>
        <w:t xml:space="preserve">摘要（ZH）: </w:t>
      </w:r>
      <w:r>
        <w:t>在基于PbZrO3的AFE材料中，反极性破坏策略可以大幅推迟相变场并最小化电滞后，从而显著增强整体储能能力。这一策略将加速AFE相关高性能器件的研究和应用进程，所实现的储能性能及其潜在机制为开发高性能多层陶瓷电容器提供了宝贵的设计指导。</w:t>
      </w:r>
    </w:p>
    <w:p>
      <w:pPr>
        <w:spacing w:before="0" w:after="200" w:lineRule="auto" w:line="276"/>
      </w:pPr>
      <w:r>
        <w:rPr>
          <w:b/>
        </w:rPr>
        <w:t xml:space="preserve">Abstract (EN): </w:t>
      </w:r>
      <w:r>
        <w:t>The antipolar-breaking strategy in PbZrO3-based AFE materials can substantially postpone the phase-transition field and minimize electric hysteresis, thereby markedly enhancing overall energy-storage capabilities. This strategy will accelerate progress of the research and application in AFE-related high-performance devices, the achieved energy-storage performance, and the underlying mechanism establishes valuable design guidelines for developing high-performance multiplayer ceramic capacitors.</w:t>
      </w:r>
    </w:p>
    <w:p>
      <w:pPr>
        <w:spacing w:before="120" w:after="120"/>
      </w:pPr>
      <w:r>
        <w:rPr>
          <w:sz w:val="18"/>
        </w:rPr>
        <w:t>——————————————————————————————————————————————————————————————————————</w:t>
      </w:r>
    </w:p>
    <w:p>
      <w:pPr>
        <w:spacing w:before="160" w:after="40" w:line="240" w:lineRule="auto"/>
      </w:pPr>
      <w:r>
        <w:rPr>
          <w:b/>
        </w:rPr>
        <w:t xml:space="preserve">[4] </w:t>
      </w:r>
      <w:hyperlink r:id="rId121">
        <w:r>
          <w:rPr>
            <w:color w:val="1155CC"/>
            <w:u w:val="single"/>
          </w:rPr>
          <w:t>Peak Energy签署协议部署MISO的首个低成本钠离子电网储能电池</w:t>
        </w:r>
      </w:hyperlink>
    </w:p>
    <w:p>
      <w:pPr>
        <w:spacing w:before="0" w:after="80"/>
      </w:pPr>
      <w:r>
        <w:rPr>
          <w:i/>
          <w:sz w:val="20"/>
        </w:rPr>
        <w:t>EN: Peak Energy Signs Agreement to Deploy MISO’s First Low-Cost Sodium-Ion Grid Storage Battery</w:t>
      </w:r>
    </w:p>
    <w:p>
      <w:pPr>
        <w:spacing w:before="0" w:after="120"/>
      </w:pPr>
      <w:r>
        <w:rPr>
          <w:b/>
        </w:rPr>
        <w:t xml:space="preserve">Source: </w:t>
      </w:r>
      <w:r>
        <w:t>Batteries News</w:t>
      </w:r>
      <w:r>
        <w:t xml:space="preserve">    </w:t>
      </w:r>
      <w:r>
        <w:rPr>
          <w:b/>
        </w:rPr>
        <w:t xml:space="preserve">Pub date: </w:t>
      </w:r>
      <w:r>
        <w:t>2026-03-11 23:04:42+00:00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22">
        <w:r>
          <w:rPr>
            <w:color w:val="1155CC"/>
            <w:u w:val="single"/>
          </w:rPr>
          <w:t>MXene-聚合物复合材料在尖端超级电容器和电磁干扰屏蔽应用中的进展</w:t>
        </w:r>
      </w:hyperlink>
    </w:p>
    <w:p>
      <w:pPr>
        <w:spacing w:before="0" w:after="80"/>
      </w:pPr>
      <w:r>
        <w:rPr>
          <w:i/>
          <w:sz w:val="20"/>
        </w:rPr>
        <w:t>EN: Advances in MXene-Polymer Composites for Cutting-edge Supercapacitor and EMI Shielding Applications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23">
        <w:r>
          <w:rPr>
            <w:color w:val="1155CC"/>
            <w:u w:val="single"/>
          </w:rPr>
          <w:t>Soret效应诱导的热电材料：应对效率瓶颈</w:t>
        </w:r>
      </w:hyperlink>
    </w:p>
    <w:p>
      <w:pPr>
        <w:spacing w:before="0" w:after="80"/>
      </w:pPr>
      <w:r>
        <w:rPr>
          <w:i/>
          <w:sz w:val="20"/>
        </w:rPr>
        <w:t>EN: Soret-effect induced thermoelectrics: confronting the efficiency bottleneck</w:t>
      </w:r>
    </w:p>
    <w:p>
      <w:pPr>
        <w:spacing w:before="0" w:after="120"/>
      </w:pPr>
      <w:r>
        <w:rPr>
          <w:b/>
        </w:rPr>
        <w:t xml:space="preserve">Source: </w:t>
      </w:r>
      <w:r>
        <w:t>National Science Review Advance Access</w:t>
      </w:r>
      <w:r>
        <w:t xml:space="preserve">    </w:t>
      </w:r>
      <w:r>
        <w:rPr>
          <w:b/>
        </w:rPr>
        <w:t xml:space="preserve">Pub date: </w:t>
      </w:r>
      <w:r>
        <w:t>2026-03-09 00:00:00+00:00</w:t>
      </w:r>
      <w:r>
        <w:t xml:space="preserve">    </w:t>
      </w:r>
      <w:r>
        <w:rPr>
          <w:b/>
        </w:rPr>
        <w:t xml:space="preserve">DOI: </w:t>
      </w:r>
      <w:hyperlink r:id="rId124">
        <w:r>
          <w:rPr>
            <w:color w:val="1155CC"/>
            <w:u w:val="single"/>
          </w:rPr>
          <w:t>10.1093/nsr/nwag138</w:t>
        </w:r>
      </w:hyperlink>
    </w:p>
    <w:p>
      <w:pPr>
        <w:spacing w:before="0" w:after="120"/>
      </w:pPr>
      <w:r>
        <w:rPr>
          <w:b/>
        </w:rPr>
        <w:t xml:space="preserve">Notes: </w:t>
      </w:r>
      <w:r>
        <w:t>abstract_source=crossref</w:t>
      </w:r>
    </w:p>
    <w:p>
      <w:pPr>
        <w:spacing w:before="0" w:after="80" w:lineRule="auto" w:line="276"/>
      </w:pPr>
      <w:r>
        <w:rPr>
          <w:b/>
        </w:rPr>
        <w:t xml:space="preserve">摘要（ZH）: </w:t>
      </w:r>
      <w:r>
        <w:t>这篇观点文章解释了为什么离子热电设备产生大的热电压但在实践中未能利用大部分输入热量，并概述了提高整体能量转换效率的策略。</w:t>
      </w:r>
    </w:p>
    <w:p>
      <w:pPr>
        <w:spacing w:before="0" w:after="200" w:lineRule="auto" w:line="276"/>
      </w:pPr>
      <w:r>
        <w:rPr>
          <w:b/>
        </w:rPr>
        <w:t xml:space="preserve">Abstract (EN): </w:t>
      </w:r>
      <w:r>
        <w:t>This Perspective explains why ionic thermoelectric devices generate large thermal voltages yet fail to utilize most input heat in practice, and outlines strategies to improve overall energy-conversion efficiency.</w:t>
      </w:r>
    </w:p>
    <w:p>
      <w:pPr>
        <w:spacing w:before="120" w:after="120"/>
      </w:pPr>
      <w:r>
        <w:rPr>
          <w:sz w:val="18"/>
        </w:rPr>
        <w:t>——————————————————————————————————————————————————————————————————————</w:t>
      </w:r>
    </w:p>
    <w:p>
      <w:pPr>
        <w:spacing w:before="160" w:after="40" w:line="240" w:lineRule="auto"/>
      </w:pPr>
      <w:r>
        <w:rPr>
          <w:b/>
        </w:rPr>
        <w:t xml:space="preserve">[2] </w:t>
      </w:r>
      <w:hyperlink r:id="rId125">
        <w:r>
          <w:rPr>
            <w:color w:val="1155CC"/>
            <w:u w:val="single"/>
          </w:rPr>
          <w:t>通过亚稳态Leidenfrost效应进行低品位热量收集的自推进发电机</w:t>
        </w:r>
      </w:hyperlink>
    </w:p>
    <w:p>
      <w:pPr>
        <w:spacing w:before="0" w:after="80"/>
      </w:pPr>
      <w:r>
        <w:rPr>
          <w:i/>
          <w:sz w:val="20"/>
        </w:rPr>
        <w:t>EN: Self-propelled generator for low-grade heat harvesting via metastable Leidenfrost effect</w:t>
      </w:r>
    </w:p>
    <w:p>
      <w:pPr>
        <w:spacing w:before="0" w:after="120"/>
      </w:pPr>
      <w:r>
        <w:rPr>
          <w:b/>
        </w:rPr>
        <w:t xml:space="preserve">Source: </w:t>
      </w:r>
      <w:r>
        <w:t>Joule</w:t>
      </w:r>
      <w:r>
        <w:t xml:space="preserve">    </w:t>
      </w:r>
      <w:r>
        <w:rPr>
          <w:b/>
        </w:rPr>
        <w:t xml:space="preserve">Pub date: </w:t>
      </w:r>
      <w:r>
        <w:t>2026-03-09 00:00:00+00:00</w:t>
      </w:r>
      <w:r>
        <w:t xml:space="preserve">    </w:t>
      </w:r>
      <w:r>
        <w:rPr>
          <w:b/>
        </w:rPr>
        <w:t xml:space="preserve">DOI: </w:t>
      </w:r>
      <w:hyperlink r:id="rId126">
        <w:r>
          <w:rPr>
            <w:color w:val="1155CC"/>
            <w:u w:val="single"/>
          </w:rPr>
          <w:t>10.1016/j.joule.2026.102320</w:t>
        </w:r>
      </w:hyperlink>
    </w:p>
    <w:p>
      <w:pPr>
        <w:spacing w:before="0" w:after="120"/>
      </w:pPr>
      <w:r>
        <w:rPr>
          <w:b/>
        </w:rPr>
        <w:t xml:space="preserve">Notes: </w:t>
      </w:r>
      <w:r>
        <w:t>abstract_source=rss_cell</w:t>
      </w:r>
    </w:p>
    <w:p>
      <w:pPr>
        <w:spacing w:before="0" w:after="80" w:lineRule="auto" w:line="276"/>
      </w:pPr>
      <w:r>
        <w:rPr>
          <w:b/>
        </w:rPr>
        <w:t xml:space="preserve">摘要（ZH）: </w:t>
      </w:r>
      <w:r>
        <w:t>热电厂废热和水蒸气的协调收集具有重要价值。提出了一种基于亚稳态莱顿弗罗斯特效应的自推进三相界面发电机，并建立了一个水循环能量转换回路，以扩展传统热电厂。</w:t>
      </w:r>
    </w:p>
    <w:p>
      <w:pPr>
        <w:spacing w:before="0" w:after="200" w:lineRule="auto" w:line="276"/>
      </w:pPr>
      <w:r>
        <w:rPr>
          <w:b/>
        </w:rPr>
        <w:t xml:space="preserve">Abstract (EN): </w:t>
      </w:r>
      <w:r>
        <w:t>The coordinated collection of waste heat and water vapor from thermal power plants is of great value. A self-propelled triple-phase interface generator based on the metastable Leidenfrost effect is proposed, and a water-circulating energy conversion loop is established to extend traditional thermal power plants.</w:t>
      </w:r>
    </w:p>
    <w:p>
      <w:pPr>
        <w:spacing w:before="120" w:after="120"/>
      </w:pPr>
      <w:r>
        <w:rPr>
          <w:sz w:val="18"/>
        </w:rPr>
        <w:t>——————————————————————————————————————————————————————————————————————</w:t>
      </w:r>
    </w:p>
    <w:p>
      <w:pPr>
        <w:spacing w:before="160" w:after="40" w:line="240" w:lineRule="auto"/>
      </w:pPr>
      <w:r>
        <w:rPr>
          <w:b/>
        </w:rPr>
        <w:t xml:space="preserve">[3] </w:t>
      </w:r>
      <w:hyperlink r:id="rId127">
        <w:r>
          <w:rPr>
            <w:color w:val="1155CC"/>
            <w:u w:val="single"/>
          </w:rPr>
          <w:t>用于自主系统的热电发电机</w:t>
        </w:r>
      </w:hyperlink>
    </w:p>
    <w:p>
      <w:pPr>
        <w:spacing w:before="0" w:after="80"/>
      </w:pPr>
      <w:r>
        <w:rPr>
          <w:i/>
          <w:sz w:val="20"/>
        </w:rPr>
        <w:t>EN: Pyroelectric power generator for autonomous systems</w:t>
      </w:r>
    </w:p>
    <w:p>
      <w:pPr>
        <w:spacing w:before="0" w:after="120"/>
      </w:pPr>
      <w:r>
        <w:rPr>
          <w:b/>
        </w:rPr>
        <w:t xml:space="preserve">Source: </w:t>
      </w:r>
      <w:r>
        <w:t>Joule</w:t>
      </w:r>
      <w:r>
        <w:t xml:space="preserve">    </w:t>
      </w:r>
      <w:r>
        <w:rPr>
          <w:b/>
        </w:rPr>
        <w:t xml:space="preserve">Pub date: </w:t>
      </w:r>
      <w:r>
        <w:t>2026-03-09 00:00:00+00:00</w:t>
      </w:r>
      <w:r>
        <w:t xml:space="preserve">    </w:t>
      </w:r>
      <w:r>
        <w:rPr>
          <w:b/>
        </w:rPr>
        <w:t xml:space="preserve">DOI: </w:t>
      </w:r>
      <w:hyperlink r:id="rId128">
        <w:r>
          <w:rPr>
            <w:color w:val="1155CC"/>
            <w:u w:val="single"/>
          </w:rPr>
          <w:t>10.1016/j.joule.2026.102340</w:t>
        </w:r>
      </w:hyperlink>
    </w:p>
    <w:p>
      <w:pPr>
        <w:spacing w:before="0" w:after="120"/>
      </w:pPr>
      <w:r>
        <w:rPr>
          <w:b/>
        </w:rPr>
        <w:t xml:space="preserve">Notes: </w:t>
      </w:r>
      <w:r>
        <w:t>abstract_source=rss_cell</w:t>
      </w:r>
    </w:p>
    <w:p>
      <w:pPr>
        <w:spacing w:before="0" w:after="80" w:lineRule="auto" w:line="276"/>
      </w:pPr>
      <w:r>
        <w:rPr>
          <w:b/>
        </w:rPr>
        <w:t xml:space="preserve">摘要（ZH）: </w:t>
      </w:r>
      <w:r>
        <w:t>Song等人展示了一种基于铅钪钽酸盐多层电容器的非线性热电发电机，其热力学循环频率高达0.2 Hz，实现了20倍的功率提升和400 W L−1的功率密度。自动发电机能够驱动通信模块并表现出可扩展性，为大规模废热回收提供了一条实用途径。</w:t>
      </w:r>
    </w:p>
    <w:p>
      <w:pPr>
        <w:spacing w:before="0" w:after="200" w:lineRule="auto" w:line="276"/>
      </w:pPr>
      <w:r>
        <w:rPr>
          <w:b/>
        </w:rPr>
        <w:t xml:space="preserve">Abstract (EN): </w:t>
      </w:r>
      <w:r>
        <w:t>Song et al. demonstrate a nonlinear pyroelectric generator based on lead scandium tantalate multilayer capacitors with a fast thermodynamic cycle frequency up to 0.2 Hz, achieving a 20-fold power increase and a 400 W L−1 power density. The automatic generator enables driving a communication module and exhibits scalability, offering a practical route to large-scale waste heat recovery.</w:t>
      </w:r>
    </w:p>
    <w:p>
      <w:pPr>
        <w:spacing w:before="120" w:after="120"/>
      </w:pPr>
      <w:r>
        <w:rPr>
          <w:sz w:val="18"/>
        </w:rPr>
        <w:t>——————————————————————————————————————————————————————————————————————</w:t>
      </w:r>
    </w:p>
    <w:p>
      <w:pPr>
        <w:spacing w:before="160" w:after="40" w:line="240" w:lineRule="auto"/>
      </w:pPr>
      <w:r>
        <w:rPr>
          <w:b/>
        </w:rPr>
        <w:t xml:space="preserve">[4] </w:t>
      </w:r>
      <w:hyperlink r:id="rId129">
        <w:r>
          <w:rPr>
            <w:color w:val="1155CC"/>
            <w:u w:val="single"/>
          </w:rPr>
          <w:t>[ASAP] 工程化MXenes用于热催化和光热催化</w:t>
        </w:r>
      </w:hyperlink>
    </w:p>
    <w:p>
      <w:pPr>
        <w:spacing w:before="0" w:after="80"/>
      </w:pPr>
      <w:r>
        <w:rPr>
          <w:i/>
          <w:sz w:val="20"/>
        </w:rPr>
        <w:t>EN: [ASAP] Engineering MXenes for Thermal and Photothermal Catalysis</w:t>
      </w:r>
    </w:p>
    <w:p>
      <w:pPr>
        <w:spacing w:before="0" w:after="120"/>
      </w:pPr>
      <w:r>
        <w:rPr>
          <w:b/>
        </w:rPr>
        <w:t xml:space="preserve">Source: </w:t>
      </w:r>
      <w:r>
        <w:t>Chemical Reviews: Latest Articles (ACS Publications)</w:t>
      </w:r>
      <w:r>
        <w:t xml:space="preserve">    </w:t>
      </w:r>
      <w:r>
        <w:rPr>
          <w:b/>
        </w:rPr>
        <w:t xml:space="preserve">Pub date: </w:t>
      </w:r>
      <w:r>
        <w:t>2026-03-09 17:38:45+00:00</w:t>
      </w:r>
      <w:r>
        <w:t xml:space="preserve">    </w:t>
      </w:r>
      <w:r>
        <w:rPr>
          <w:b/>
        </w:rPr>
        <w:t xml:space="preserve">DOI: </w:t>
      </w:r>
      <w:hyperlink r:id="rId130">
        <w:r>
          <w:rPr>
            <w:color w:val="1155CC"/>
            <w:u w:val="single"/>
          </w:rPr>
          <w:t>10.1021/acs.chemrev.5c00705</w:t>
        </w:r>
      </w:hyperlink>
    </w:p>
    <w:p>
      <w:pPr>
        <w:spacing w:before="0" w:after="120"/>
      </w:pPr>
      <w:r>
        <w:rPr>
          <w:b/>
        </w:rPr>
        <w:t xml:space="preserve">Notes: </w:t>
      </w:r>
      <w:r>
        <w:t>abstract_source=pubmed</w:t>
      </w:r>
    </w:p>
    <w:p>
      <w:pPr>
        <w:spacing w:before="0" w:after="80" w:lineRule="auto" w:line="276"/>
      </w:pPr>
      <w:r>
        <w:rPr>
          <w:b/>
        </w:rPr>
        <w:t xml:space="preserve">摘要（ZH）: </w:t>
      </w:r>
      <w:r>
        <w:t>异相催化依赖于先进的、可调的材料，这些材料提供结构上定义的活性位点和大的可接触表面积。在各种材料类型中，具有高纵横比的二维纳米材料具有高比例的暴露原子，因此实现了高效的原子利用率。自首次报道MXene合成以来的十多年中，这些由交替的单原子厚金属和碳化物/氮化物层组成的二维过渡金属碳化物和氮化物，已在多种催化领域中找到应用。本综述重点介绍MXenes作为固体催化剂在热或光热反应中的应用，而电催化和光催化则被排除在外，因为它们已在其他地方被广泛综述。第2节简要</w:t>
      </w:r>
    </w:p>
    <w:p>
      <w:pPr>
        <w:spacing w:before="0" w:after="200" w:lineRule="auto" w:line="276"/>
      </w:pPr>
      <w:r>
        <w:rPr>
          <w:b/>
        </w:rPr>
        <w:t xml:space="preserve">Abstract (EN): </w:t>
      </w:r>
      <w:r>
        <w:t>Heterogeneous catalysis relies on advanced, tunable materials offering structurally defined active sites and large accessible surface areas. Among the various material types, two-dimensional nanomaterials with high aspect ratios feature a high fraction of exposed atoms and thus efficient atom utilization. After more than a decade since the first report of MXene synthesis, these two-dimensional transition-metal carbides and nitrides, composed of alternating one-atom-thick metal and carbide/nitride layers with surface terminations, have found applications in diverse catalytic areas. This review focuses on the use of MXenes as solid catalysts in thermal or photothermal reactions, while electro- and photocatalysis are excluded as they have been extensively reviewed elsewhere. Section 2 briefly summarizes MXene synthesis and structural features, followed by Section 3 describing the nature and characterization of catalytically active sites, including surface groups, vacancies, and metal-support interfaces that arise from the synthesis conditions. Section 4 emphasizes best practices for ensuring reproducible and stable catalytic performance, with turnover frequency as a key comparative metric. Sections 5 and 6 highlight some representative thermal and photothermal reactions, underscoring the high light-to-heat conversion efficiency of MXenes. This review concludes with current challenges and future prospects, anticipating rapid progress with MXene-based heterogeneous catalysis.</w:t>
      </w:r>
    </w:p>
    <w:p>
      <w:pPr>
        <w:spacing w:before="120" w:after="120"/>
      </w:pPr>
      <w:r>
        <w:rPr>
          <w:sz w:val="18"/>
        </w:rPr>
        <w:t>——————————————————————————————————————————————————————————————————————</w:t>
      </w:r>
    </w:p>
    <w:p>
      <w:pPr>
        <w:spacing w:before="160" w:after="40" w:line="240" w:lineRule="auto"/>
      </w:pPr>
      <w:r>
        <w:rPr>
          <w:b/>
        </w:rPr>
        <w:t xml:space="preserve">[5] </w:t>
      </w:r>
      <w:hyperlink r:id="rId131">
        <w:r>
          <w:rPr>
            <w:color w:val="1155CC"/>
            <w:u w:val="single"/>
          </w:rPr>
          <w:t>吸附驱动的溶解制冷循环与热存储</w:t>
        </w:r>
      </w:hyperlink>
    </w:p>
    <w:p>
      <w:pPr>
        <w:spacing w:before="0" w:after="80"/>
      </w:pPr>
      <w:r>
        <w:rPr>
          <w:i/>
          <w:sz w:val="20"/>
        </w:rPr>
        <w:t>EN: Sorption-driven dissolution refrigeration cycle with thermal storage</w:t>
      </w:r>
    </w:p>
    <w:p>
      <w:pPr>
        <w:spacing w:before="0" w:after="120"/>
      </w:pPr>
      <w:r>
        <w:rPr>
          <w:b/>
        </w:rPr>
        <w:t xml:space="preserve">Source: </w:t>
      </w:r>
      <w:r>
        <w:t>Nature Energy</w:t>
      </w:r>
      <w:r>
        <w:t xml:space="preserve">    </w:t>
      </w:r>
      <w:r>
        <w:rPr>
          <w:b/>
        </w:rPr>
        <w:t xml:space="preserve">Pub date: </w:t>
      </w:r>
      <w:r>
        <w:t>2026-03-10 00:00:00+00:00</w:t>
      </w:r>
      <w:r>
        <w:t xml:space="preserve">    </w:t>
      </w:r>
      <w:r>
        <w:rPr>
          <w:b/>
        </w:rPr>
        <w:t xml:space="preserve">DOI: </w:t>
      </w:r>
      <w:hyperlink r:id="rId132">
        <w:r>
          <w:rPr>
            <w:color w:val="1155CC"/>
            <w:u w:val="single"/>
          </w:rPr>
          <w:t>10.1038/s41560-026-01992-0</w:t>
        </w:r>
      </w:hyperlink>
    </w:p>
    <w:p>
      <w:pPr>
        <w:spacing w:before="0" w:after="120"/>
      </w:pPr>
      <w:r>
        <w:rPr>
          <w:b/>
        </w:rPr>
        <w:t xml:space="preserve">Notes: </w:t>
      </w:r>
      <w:r>
        <w:t>abstract_source=nature_html</w:t>
      </w:r>
    </w:p>
    <w:p>
      <w:pPr>
        <w:spacing w:before="0" w:after="80" w:lineRule="auto" w:line="276"/>
      </w:pPr>
      <w:r>
        <w:rPr>
          <w:b/>
        </w:rPr>
        <w:t xml:space="preserve">摘要（ZH）: </w:t>
      </w:r>
      <w:r>
        <w:t>开发节能和环保的制冷技术是应对气候变化的迫切需求。新兴的基于热效应的制冷技术，如磁热、电热和离子热效应，具有前景，但存在驱动场强大、绝热温度变化小或功率密度不足的问题。我们在此提出一种具有可扩展热存储功能的吸附驱动溶解制冷循环。理论和实验结果表明，与固态热效应相比，使用中低品位热（80–150 °C）作为循环驱动能量时，绝热温度变化更大。我们展示了使用这种循环的实际系统的可行性，实验结果显示绝热温度变化为3</w:t>
      </w:r>
    </w:p>
    <w:p>
      <w:pPr>
        <w:spacing w:before="0" w:after="200" w:lineRule="auto" w:line="276"/>
      </w:pPr>
      <w:r>
        <w:rPr>
          <w:b/>
        </w:rPr>
        <w:t xml:space="preserve">Abstract (EN): </w:t>
      </w:r>
      <w:r>
        <w:t>Developing energy-efficient and environmentally friendly refrigeration technology is highly desired to tackle climate change. Emerging caloric effect-based cooling technologies such as magneto-, electro- and ionocaloric effects are promising but suffer from large driving field strengths, low adiabatic temperature change or insufficient power density. Here we propose a sorption-driven dissolution refrigeration cycle with an extendable thermal storage function. Theoretical and experimental results show larger adiabatic temperature change compared with solid-state caloric effects by using medium- or low-grade heat (80–150 °C) as the cyclic driving energy. We demonstrated the viability of a practical system using such a cycle, with experimental results showing adiabatic temperature change of 37 K and a minimum cooling temperature of −25.4 °C. Importantly, the sorption process allows the heat storage and flexible cold and heat supply to adapt to the diverse and complex application scenarios. This work shines light on the exploitation of renewable energy for efficient cooling and heating.</w:t>
      </w:r>
    </w:p>
    <w:p>
      <w:pPr>
        <w:spacing w:before="120" w:after="120"/>
      </w:pPr>
      <w:r>
        <w:rPr>
          <w:sz w:val="18"/>
        </w:rPr>
        <w:t>——————————————————————————————————————————————————————————————————————</w:t>
      </w:r>
    </w:p>
    <w:p>
      <w:pPr>
        <w:spacing w:before="160" w:after="40" w:line="240" w:lineRule="auto"/>
      </w:pPr>
      <w:r>
        <w:rPr>
          <w:b/>
        </w:rPr>
        <w:t xml:space="preserve">[6] </w:t>
      </w:r>
      <w:hyperlink r:id="rId133">
        <w:r>
          <w:rPr>
            <w:color w:val="1155CC"/>
            <w:u w:val="single"/>
          </w:rPr>
          <w:t>建筑中冷水机组和热泵系统的建模方法：数字孪生应用背景下的系统综述</w:t>
        </w:r>
      </w:hyperlink>
    </w:p>
    <w:p>
      <w:pPr>
        <w:spacing w:before="0" w:after="80"/>
      </w:pPr>
      <w:r>
        <w:rPr>
          <w:i/>
          <w:sz w:val="20"/>
        </w:rPr>
        <w:t>EN: Modeling methods for chiller and heat pump systems in buildings: A systematic review in the context of digital twin applications</w:t>
      </w:r>
    </w:p>
    <w:p>
      <w:pPr>
        <w:spacing w:before="0" w:after="120"/>
      </w:pPr>
      <w:r>
        <w:rPr>
          <w:b/>
        </w:rPr>
        <w:t xml:space="preserve">Source: </w:t>
      </w:r>
      <w:r>
        <w:t>ScienceDirect Publication: Applied Energy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34">
        <w:r>
          <w:rPr>
            <w:color w:val="1155CC"/>
            <w:u w:val="single"/>
          </w:rPr>
          <w:t>作者更正：含水层热能存储部署的公众态度和偏好异质性</w:t>
        </w:r>
      </w:hyperlink>
    </w:p>
    <w:p>
      <w:pPr>
        <w:spacing w:before="0" w:after="80"/>
      </w:pPr>
      <w:r>
        <w:rPr>
          <w:i/>
          <w:sz w:val="20"/>
        </w:rPr>
        <w:t>EN: Author Correction: Heterogeneity in public attitudes and preferences for the deployment of aquifer thermal energy storage</w:t>
      </w:r>
    </w:p>
    <w:p>
      <w:pPr>
        <w:spacing w:before="0" w:after="120"/>
      </w:pPr>
      <w:r>
        <w:rPr>
          <w:b/>
        </w:rPr>
        <w:t xml:space="preserve">Source: </w:t>
      </w:r>
      <w:r>
        <w:t>Nature Energy</w:t>
      </w:r>
      <w:r>
        <w:t xml:space="preserve">    </w:t>
      </w:r>
      <w:r>
        <w:rPr>
          <w:b/>
        </w:rPr>
        <w:t xml:space="preserve">Pub date: </w:t>
      </w:r>
      <w:r>
        <w:t>2026-03-11 00:00:00+00:00</w:t>
      </w:r>
      <w:r>
        <w:t xml:space="preserve">    </w:t>
      </w:r>
      <w:r>
        <w:rPr>
          <w:b/>
        </w:rPr>
        <w:t xml:space="preserve">DOI: </w:t>
      </w:r>
      <w:hyperlink r:id="rId135">
        <w:r>
          <w:rPr>
            <w:color w:val="1155CC"/>
            <w:u w:val="single"/>
          </w:rPr>
          <w:t>10.1038/s41560-026-02034-5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36">
        <w:r>
          <w:rPr>
            <w:color w:val="1155CC"/>
            <w:u w:val="single"/>
          </w:rPr>
          <w:t>通过仿生蜂窝工程克服气凝胶封装相变复合材料的机械-热权衡</w:t>
        </w:r>
      </w:hyperlink>
    </w:p>
    <w:p>
      <w:pPr>
        <w:spacing w:before="0" w:after="80"/>
      </w:pPr>
      <w:r>
        <w:rPr>
          <w:i/>
          <w:sz w:val="20"/>
        </w:rPr>
        <w:t>EN: Overcoming Mechanical‐Thermal Trade‐Off in Aerogel‐Encapsulated Phase Change Composites via Biomimetic Honeycomb Engineering</w:t>
      </w:r>
    </w:p>
    <w:p>
      <w:pPr>
        <w:spacing w:before="0" w:after="120"/>
      </w:pPr>
      <w:r>
        <w:rPr>
          <w:b/>
        </w:rPr>
        <w:t xml:space="preserve">Source: </w:t>
      </w:r>
      <w:r>
        <w:t>Wiley: Advanced Materials: Table of Contents</w:t>
      </w:r>
      <w:r>
        <w:t xml:space="preserve">    </w:t>
      </w:r>
      <w:r>
        <w:rPr>
          <w:b/>
        </w:rPr>
        <w:t xml:space="preserve">Pub date: </w:t>
      </w:r>
      <w:r>
        <w:t>2026-03-11 13:30:12+00:00</w:t>
      </w:r>
      <w:r>
        <w:t xml:space="preserve">    </w:t>
      </w:r>
      <w:r>
        <w:rPr>
          <w:b/>
        </w:rPr>
        <w:t xml:space="preserve">DOI: </w:t>
      </w:r>
      <w:hyperlink r:id="rId137">
        <w:r>
          <w:rPr>
            <w:color w:val="1155CC"/>
            <w:u w:val="single"/>
          </w:rPr>
          <w:t>10.1002/adma.202515304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相变材料（PCMs）的被动热管理系统在解决电子过热问题上显示出显著潜力，但其低热导率和液态PCM泄漏阻碍了实际应用。气凝胶封装可以解决这些技术限制，但气凝胶在热机械应力下表现出结构崩溃。在本研究中，提出了一种仿生蜂窝策略，用于制造机械稳健且导热的蜂窝石墨烯/海藻酸钙气凝胶，用于PCM封装。仿生结构和成分增强的协同作用提供了一种具有19.2 k特定强度的蜂窝气凝胶</w:t>
      </w:r>
    </w:p>
    <w:p>
      <w:pPr>
        <w:spacing w:before="0" w:after="200" w:lineRule="auto" w:line="276"/>
      </w:pPr>
      <w:r>
        <w:rPr>
          <w:b/>
        </w:rPr>
        <w:t xml:space="preserve">Abstract (EN): </w:t>
      </w:r>
      <w:r>
        <w:t>Passive thermal management systems that utilize phase change materials (PCMs) demonstrate significant potential in addressing the challenges of electronic overheating, but the low associated thermal conductivity and liquid PCM leakage hinder practical applications. Aerogel encapsulation can deal with these technical limitations, but the aerogels exhibit structural collapse under thermal‐mechanical stress. In this study, a biomimetic honeycomb strategy is proposed for the fabrication of mechanically robust and thermally conductive honeycomb graphene/calcium alginate aerogels used in PCM encapsulation. The synergy associated with biomimetic structure and compositional strengthening delivers a honeycomb aerogel with a specific strength of 19.2 kN m kg</w:t>
      </w:r>
      <w:r>
        <w:t xml:space="preserve"> </w:t>
      </w:r>
      <w:r>
        <w:t>−1</w:t>
      </w:r>
      <w:r>
        <w:t xml:space="preserve"> </w:t>
      </w:r>
      <w:r>
        <w:t>at 20% strain. The deposition of a continuous graphene layer on the honeycomb walls generates efficient thermal conductive pathways. Following paraffin encapsulation, the phase change composite demonstrates a post‐phase‐change compressive strength of 2.49 MPa, an enhanced thermal conductivity (4.18 W m</w:t>
      </w:r>
      <w:r>
        <w:t xml:space="preserve"> </w:t>
      </w:r>
      <w:r>
        <w:t>−1</w:t>
      </w:r>
      <w:r>
        <w:t xml:space="preserve"> </w:t>
      </w:r>
      <w:r>
        <w:t>K</w:t>
      </w:r>
      <w:r>
        <w:t xml:space="preserve"> </w:t>
      </w:r>
      <w:r>
        <w:t>−1</w:t>
      </w:r>
      <w:r>
        <w:t xml:space="preserve"> </w:t>
      </w:r>
      <w:r>
        <w:t>), and a high melting enthalpy (199.0 J g</w:t>
      </w:r>
      <w:r>
        <w:t xml:space="preserve"> </w:t>
      </w:r>
      <w:r>
        <w:t>−1</w:t>
      </w:r>
      <w:r>
        <w:t xml:space="preserve"> </w:t>
      </w:r>
      <w:r>
        <w:t>). The resultant composite exhibits a multifunctional synergy in mechanical support, thermal conduction, and heat storage. The proposed biomimetic honeycomb strategy can serve as a controllable and flexible approach to constructing aerogels with coupled mechanical robustness and multifunctional capabilities.</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38">
        <w:r>
          <w:rPr>
            <w:color w:val="1155CC"/>
            <w:u w:val="single"/>
          </w:rPr>
          <w:t>通过优化设计氢基础设施增强能源社区的去化石化</w:t>
        </w:r>
      </w:hyperlink>
    </w:p>
    <w:p>
      <w:pPr>
        <w:spacing w:before="0" w:after="80"/>
      </w:pPr>
      <w:r>
        <w:rPr>
          <w:i/>
          <w:sz w:val="20"/>
        </w:rPr>
        <w:t>EN: Enhancing defossilization through optimal design of hydrogen infrastructures in energy communities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9">
        <w:r>
          <w:rPr>
            <w:color w:val="1155CC"/>
            <w:u w:val="single"/>
          </w:rPr>
          <w:t>集成深度堆叠自编码器–BiLSTM网络和在线几何电化学阻抗谱数据用于PEMFCs的实时故障诊断和健康评估</w:t>
        </w:r>
      </w:hyperlink>
    </w:p>
    <w:p>
      <w:pPr>
        <w:spacing w:before="0" w:after="80"/>
      </w:pPr>
      <w:r>
        <w:rPr>
          <w:i/>
          <w:sz w:val="20"/>
        </w:rPr>
        <w:t>EN: Integrated deep stacked autoencoder–BiLSTM networks and online geometric electrochemical impedance spectroscopy data for real-time fault diagnosis and health assessment of PEMFCs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0">
        <w:r>
          <w:rPr>
            <w:color w:val="1155CC"/>
            <w:u w:val="single"/>
          </w:rPr>
          <w:t>变废为宝：以生物炭为中心机制的农废增值以增强生物氢生产</w:t>
        </w:r>
      </w:hyperlink>
    </w:p>
    <w:p>
      <w:pPr>
        <w:spacing w:before="0" w:after="80"/>
      </w:pPr>
      <w:r>
        <w:rPr>
          <w:i/>
          <w:sz w:val="20"/>
        </w:rPr>
        <w:t>EN: Turning trash into treasure: Agro-waste valorization for enhanced biohydrogen production with special focus on biochar-centric mechanisms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1">
        <w:r>
          <w:rPr>
            <w:color w:val="1155CC"/>
            <w:u w:val="single"/>
          </w:rPr>
          <w:t>基于约束等效电路的精细电极过程量化及其在小型和大型堆燃料电池和电解池中的应用</w:t>
        </w:r>
      </w:hyperlink>
    </w:p>
    <w:p>
      <w:pPr>
        <w:spacing w:before="0" w:after="80"/>
      </w:pPr>
      <w:r>
        <w:rPr>
          <w:i/>
          <w:sz w:val="20"/>
        </w:rPr>
        <w:t>EN: Refined electrode process quantization based on constrained equivalent circuit and its application on fuel cell and electrolysis cell in small and large stack</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2">
        <w:r>
          <w:rPr>
            <w:color w:val="1155CC"/>
            <w:u w:val="single"/>
          </w:rPr>
          <w:t>基于多智能体强化学习的燃料电池混合动力电动车能量管理与空气供应控制协调优化的新型集成策略</w:t>
        </w:r>
      </w:hyperlink>
    </w:p>
    <w:p>
      <w:pPr>
        <w:spacing w:before="0" w:after="80"/>
      </w:pPr>
      <w:r>
        <w:rPr>
          <w:i/>
          <w:sz w:val="20"/>
        </w:rPr>
        <w:t>EN: A novel integrated strategy for coordinated optimization of energy management and air supply control based on multi-agent reinforcement learning for fuel cell hybrid electric vehicle</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3">
        <w:r>
          <w:rPr>
            <w:color w:val="1155CC"/>
            <w:u w:val="single"/>
          </w:rPr>
          <w:t>主族镁单原子路易斯酸位点：一种提高碱性氢氧化反应耐CO性能的助推器</w:t>
        </w:r>
      </w:hyperlink>
    </w:p>
    <w:p>
      <w:pPr>
        <w:spacing w:before="0" w:after="80"/>
      </w:pPr>
      <w:r>
        <w:rPr>
          <w:i/>
          <w:sz w:val="20"/>
        </w:rPr>
        <w:t>EN: Main‐Group Magnesium Single‐Atom Lewis Acid Sites: A CO‐Tolerance Booster for Alkaline Hydrogen Oxidation Reaction</w:t>
      </w:r>
    </w:p>
    <w:p>
      <w:pPr>
        <w:spacing w:before="0" w:after="120"/>
      </w:pPr>
      <w:r>
        <w:rPr>
          <w:b/>
        </w:rPr>
        <w:t xml:space="preserve">Source: </w:t>
      </w:r>
      <w:r>
        <w:t>Wiley: Angewandte Chemie International Edition: Table of Contents</w:t>
      </w:r>
      <w:r>
        <w:t xml:space="preserve">    </w:t>
      </w:r>
      <w:r>
        <w:rPr>
          <w:b/>
        </w:rPr>
        <w:t xml:space="preserve">Pub date: </w:t>
      </w:r>
      <w:r>
        <w:t>2026-03-07 11:14:02+00:00</w:t>
      </w:r>
      <w:r>
        <w:t xml:space="preserve">    </w:t>
      </w:r>
      <w:r>
        <w:rPr>
          <w:b/>
        </w:rPr>
        <w:t xml:space="preserve">DOI: </w:t>
      </w:r>
      <w:hyperlink r:id="rId144">
        <w:r>
          <w:rPr>
            <w:color w:val="1155CC"/>
            <w:u w:val="single"/>
          </w:rPr>
          <w:t>10.1002/anie.9761633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中毒对贵金属基氢氧化反应（HOR）电催化剂来说是一个臭名昭著的难题，这对阴离子交换膜燃料电池（AEMFCs）构成了重要的技术障碍。在此，我们分别构建了用于CO氧化的路易斯酸位点，这些位点可以独立催化CO的氧化，最大化Ru活性位点用于HOR。此外，由于Mg单原子在碳基底上的稳定锚定效应，超小的Ru纳米颗粒即使在循环后也不会发生聚集或结构变化，保持了优异的材料结构稳定性。因此，Ru/Mg</w:t>
      </w:r>
      <w:r>
        <w:t xml:space="preserve"> </w:t>
      </w:r>
      <w:r>
        <w:t>s</w:t>
      </w:r>
      <w:r>
        <w:t xml:space="preserve"> </w:t>
      </w:r>
      <w:r>
        <w:t>/C催化剂保持了高CO耐受性和优异的HOR性能。</w:t>
      </w:r>
    </w:p>
    <w:p>
      <w:pPr>
        <w:spacing w:before="0" w:after="200" w:lineRule="auto" w:line="276"/>
      </w:pPr>
      <w:r>
        <w:rPr>
          <w:b/>
        </w:rPr>
        <w:t xml:space="preserve">Abstract (EN): </w:t>
      </w:r>
      <w:r>
        <w:t>CO poisoning is notoriously intolerable for precious metal‐based hydrogen oxidation reaction (HOR) electrocatalysts, which are significant technical barriers for anion exchange membrane fuel cells (AEMFCs). Herein, we separately constructed Lewis acid sites for CO oxidation, which can independently catalyze the oxidation of CO, maximizing the number of Ru active sites for HOR. Moreover, owing to the stable anchoring effect of Mg single atoms on the carbon substrate, ultra‐small Ru nanoparticles exhibit no agglomeration or structural changes even after cycling, maintaining excellent material structural stability. Consequently, the Ru/Mg</w:t>
      </w:r>
      <w:r>
        <w:t xml:space="preserve"> </w:t>
      </w:r>
      <w:r>
        <w:t>s</w:t>
      </w:r>
      <w:r>
        <w:t xml:space="preserve"> </w:t>
      </w:r>
      <w:r>
        <w:t>/C catalyst maintains high CO tolerance and excellent HOR performance. Excellent CO tolerance and recoverable performance (90% of initial activity) were demonstrated in fuel cell tests. In situ infrared spectroscopy and theoretical calculations collectively suggest that Mg single atoms, which function as Lewis acid sites, can favorably interact with Lewis base molecules such as CO and OH</w:t>
      </w:r>
      <w:r>
        <w:t xml:space="preserve"> </w:t>
      </w:r>
      <w:r>
        <w:t>−</w:t>
      </w:r>
      <w:r>
        <w:t>via Lewis acid–base interactions, boosting the electro‐oxidation of CO and resulting in significantly enhanced HOR activity and resistance to CO‐poisoning. When assembled in AEMFCs, its specific power density is as high as 4.11 W mg</w:t>
      </w:r>
      <w:r>
        <w:t xml:space="preserve"> </w:t>
      </w:r>
      <w:r>
        <w:t>−1</w:t>
      </w:r>
      <w:r>
        <w:t xml:space="preserve"> </w:t>
      </w:r>
      <w:r>
        <w:t>metal</w:t>
      </w:r>
      <w:r>
        <w:t xml:space="preserve"> </w:t>
      </w:r>
      <w:r>
        <w:t>with only 0.38 mg cm</w:t>
      </w:r>
      <w:r>
        <w:t xml:space="preserve"> </w:t>
      </w:r>
      <w:r>
        <w:t>−2</w:t>
      </w:r>
      <w:r>
        <w:t xml:space="preserve"> </w:t>
      </w:r>
      <w:r>
        <w:t>total platinum group metal (PGM) utilization. It also demonstrates competitive performance with ultralow precious metal loading (0.125 mg cm</w:t>
      </w:r>
      <w:r>
        <w:t xml:space="preserve"> </w:t>
      </w:r>
      <w:r>
        <w:t>−2</w:t>
      </w:r>
      <w:r>
        <w:t xml:space="preserve"> </w:t>
      </w:r>
      <w:r>
        <w:t>).</w:t>
      </w:r>
    </w:p>
    <w:p>
      <w:pPr>
        <w:spacing w:before="120" w:after="120"/>
      </w:pPr>
      <w:r>
        <w:rPr>
          <w:sz w:val="18"/>
        </w:rPr>
        <w:t>——————————————————————————————————————————————————————————————————————</w:t>
      </w:r>
    </w:p>
    <w:p>
      <w:pPr>
        <w:spacing w:before="160" w:after="40" w:line="240" w:lineRule="auto"/>
      </w:pPr>
      <w:r>
        <w:rPr>
          <w:b/>
        </w:rPr>
        <w:t xml:space="preserve">[7] </w:t>
      </w:r>
      <w:hyperlink r:id="rId145">
        <w:r>
          <w:rPr>
            <w:color w:val="1155CC"/>
            <w:u w:val="single"/>
          </w:rPr>
          <w:t>[ASAP] 双齿氢键分子钳激活界面水用于通用氢电催化</w:t>
        </w:r>
      </w:hyperlink>
    </w:p>
    <w:p>
      <w:pPr>
        <w:spacing w:before="0" w:after="80"/>
      </w:pPr>
      <w:r>
        <w:rPr>
          <w:i/>
          <w:sz w:val="20"/>
        </w:rPr>
        <w:t>EN: [ASAP] A Bidentate Hydrogen-Bond Molecular Vise Activates Interfacial Water for Universal Hydrogen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2026-03-07 16:12:12+00:00</w:t>
      </w:r>
      <w:r>
        <w:t xml:space="preserve">    </w:t>
      </w:r>
      <w:r>
        <w:rPr>
          <w:b/>
        </w:rPr>
        <w:t xml:space="preserve">DOI: </w:t>
      </w:r>
      <w:hyperlink r:id="rId146">
        <w:r>
          <w:rPr>
            <w:color w:val="1155CC"/>
            <w:u w:val="single"/>
          </w:rPr>
          <w:t>10.1021/jacs.5c15554</w:t>
        </w:r>
      </w:hyperlink>
    </w:p>
    <w:p>
      <w:pPr>
        <w:spacing w:before="0" w:after="120"/>
      </w:pPr>
      <w:r>
        <w:rPr>
          <w:b/>
        </w:rPr>
        <w:t xml:space="preserve">Notes: </w:t>
      </w:r>
      <w:r>
        <w:t>abstract_source=pubmed</w:t>
      </w:r>
    </w:p>
    <w:p>
      <w:pPr>
        <w:spacing w:before="0" w:after="80" w:lineRule="auto" w:line="276"/>
      </w:pPr>
      <w:r>
        <w:rPr>
          <w:b/>
        </w:rPr>
        <w:t xml:space="preserve">摘要（ZH）: </w:t>
      </w:r>
      <w:r>
        <w:t>越来越多的证据表明，调节催化剂表面微环境提供了一种优化电催化性能的有效途径，是对传统电子效应强调的有价值补充。然而，尽管在低质子条件下探测界面水活化方面取得了进展，我们对这一过程的理解仍远未完整。在此，我们选择了2,6-二乙酰吡啶（DAcPy），这是一种具有显著电催化增强效应的代表性分子，系统阐明界面水活化的机制。DAcPy普遍增强了在Pt和Cu表面上多种氢电催化系统的反应动力学。结合扫描隧道显微镜（STM）成像和理论计算</w:t>
      </w:r>
    </w:p>
    <w:p>
      <w:pPr>
        <w:spacing w:before="0" w:after="200" w:lineRule="auto" w:line="276"/>
      </w:pPr>
      <w:r>
        <w:rPr>
          <w:b/>
        </w:rPr>
        <w:t xml:space="preserve">Abstract (EN): </w:t>
      </w:r>
      <w:r>
        <w:t>Growing evidence indicates that modulation of the catalyst surface microenvironment provides an effective route to optimize electrocatalytic performance, serving as a valuable complement to the traditional emphasis on electronic effects. Yet, despite recent progress in probing interfacial water activation under low-proton conditions, our understanding of this process remains far from complete. Herein, we selected 2,6-diacetylpyridine (DAcPy), a representative molecule with pronounced electrocatalytic enhancement effects, to systematically elucidate the mechanism of interfacial water activation. DAcPy universally enhances reaction kinetics across diverse hydrogen electrocatalytic systems on both Pt and Cu surfaces. Combined scanning tunneling microscope (STM) imaging and theoretical calculations reveal that the symmetric diacetyl groups of DAcPy form a geometrically matched V-shaped molecular vise. This bidentate C═O···H-O hydrogen bonding configuration precisely captures water molecules, and the resulting cooperative polarization effect weakens the H-OH bond, increasing the interfacial water dissociation constant (Kw) by a factor of 2. In situ attenuated total reflection-surface-enhanced infrared absorption spectroscopy (ATR-SEIRAS) measurements directly confirm the formation of a strengthened hydrogen-bond network upon DAcPy modification, in agreement with theoretical predictions. Electrochemical impedance spectroscopy with distribution of relaxation times (EIS-DRT) analysis further reveals that this molecular strategy selectively accelerates the water-involved Volmer and Heyrovsky steps without affecting the Tafel step. Notably, the DAcPy-enabled enhancement applies broadly, significantly boosting rates across various low-proton electrocatalytic systems, including alkaline HER/HOR, CO/CO2 electroreduction to methane/ethylene, and selective acetylene hydrogenation.</w:t>
      </w:r>
    </w:p>
    <w:p>
      <w:pPr>
        <w:spacing w:before="120" w:after="120"/>
      </w:pPr>
      <w:r>
        <w:rPr>
          <w:sz w:val="18"/>
        </w:rPr>
        <w:t>——————————————————————————————————————————————————————————————————————</w:t>
      </w:r>
    </w:p>
    <w:p>
      <w:pPr>
        <w:spacing w:before="160" w:after="40" w:line="240" w:lineRule="auto"/>
      </w:pPr>
      <w:r>
        <w:rPr>
          <w:b/>
        </w:rPr>
        <w:t xml:space="preserve">[8] </w:t>
      </w:r>
      <w:hyperlink r:id="rId147">
        <w:r>
          <w:rPr>
            <w:color w:val="1155CC"/>
            <w:u w:val="single"/>
          </w:rPr>
          <w:t>从火炬气中生产氢气：将排放转化为能源的双重机会 - 前瞻性综述</w:t>
        </w:r>
      </w:hyperlink>
    </w:p>
    <w:p>
      <w:pPr>
        <w:spacing w:before="0" w:after="80"/>
      </w:pPr>
      <w:r>
        <w:rPr>
          <w:i/>
          <w:sz w:val="20"/>
        </w:rPr>
        <w:t>EN: Hydrogen production from flare gas: a dual opportunity to turn emissions into energy - a prospective review</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48">
        <w:r>
          <w:rPr>
            <w:color w:val="1155CC"/>
            <w:u w:val="single"/>
          </w:rPr>
          <w:t>用于PEM燃料电池的纤维素基膜：酸性耐久性和最新进展</w:t>
        </w:r>
      </w:hyperlink>
    </w:p>
    <w:p>
      <w:pPr>
        <w:spacing w:before="0" w:after="80"/>
      </w:pPr>
      <w:r>
        <w:rPr>
          <w:i/>
          <w:sz w:val="20"/>
        </w:rPr>
        <w:t>EN: Cellulose-based membranes for PEM fuel cells: Acidic durability and recent advances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49">
        <w:r>
          <w:rPr>
            <w:color w:val="1155CC"/>
            <w:u w:val="single"/>
          </w:rPr>
          <w:t>海岛氢电微电网的分布式鲁棒规划</w:t>
        </w:r>
      </w:hyperlink>
    </w:p>
    <w:p>
      <w:pPr>
        <w:spacing w:before="0" w:after="80"/>
      </w:pPr>
      <w:r>
        <w:rPr>
          <w:i/>
          <w:sz w:val="20"/>
        </w:rPr>
        <w:t>EN: Distributionally robust planning of hydrogen-electrical microgrids for sea islands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50">
        <w:r>
          <w:rPr>
            <w:color w:val="1155CC"/>
            <w:u w:val="single"/>
          </w:rPr>
          <w:t>“低碳氢支持机制：分割商品市场的风险”[能源政策202 art 114605 DOI 10.1016/j.enpol.2025.114605]的勘误</w:t>
        </w:r>
      </w:hyperlink>
    </w:p>
    <w:p>
      <w:pPr>
        <w:spacing w:before="0" w:after="80"/>
      </w:pPr>
      <w:r>
        <w:rPr>
          <w:i/>
          <w:sz w:val="20"/>
        </w:rPr>
        <w:t>EN: Corrigendum to “Support mechanisms for low-carbon hydrogen: The risks of segmenting a commodity market” [Energy Policy 202 art 114605 DOI 10.1016/j.enpol.2025.114605]</w:t>
      </w:r>
    </w:p>
    <w:p>
      <w:pPr>
        <w:spacing w:before="0" w:after="120"/>
      </w:pPr>
      <w:r>
        <w:rPr>
          <w:b/>
        </w:rPr>
        <w:t xml:space="preserve">Source: </w:t>
      </w:r>
      <w:r>
        <w:t>ScienceDirect Publication: Energy Policy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51">
        <w:r>
          <w:rPr>
            <w:color w:val="1155CC"/>
            <w:u w:val="single"/>
          </w:rPr>
          <w:t>塑造建筑能源法：利益相关者的影响和氢在德国供暖过渡中的作用</w:t>
        </w:r>
      </w:hyperlink>
    </w:p>
    <w:p>
      <w:pPr>
        <w:spacing w:before="0" w:after="80"/>
      </w:pPr>
      <w:r>
        <w:rPr>
          <w:i/>
          <w:sz w:val="20"/>
        </w:rPr>
        <w:t>EN: Shaping the buildings energy act: Stakeholder influence and the role of hydrogen in the German heating transition</w:t>
      </w:r>
    </w:p>
    <w:p>
      <w:pPr>
        <w:spacing w:before="0" w:after="120"/>
      </w:pPr>
      <w:r>
        <w:rPr>
          <w:b/>
        </w:rPr>
        <w:t xml:space="preserve">Source: </w:t>
      </w:r>
      <w:r>
        <w:t>ScienceDirect Publication: Energy Policy</w:t>
      </w:r>
      <w:r>
        <w:t xml:space="preserve">    </w:t>
      </w:r>
      <w:r>
        <w:rPr>
          <w:b/>
        </w:rPr>
        <w:t xml:space="preserve">Pub date: </w:t>
      </w:r>
      <w:r>
        <w:t>2026-03-09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52">
        <w:r>
          <w:rPr>
            <w:color w:val="1155CC"/>
            <w:u w:val="single"/>
          </w:rPr>
          <w:t>洲际能源：推进大规模绿色氢和氨的生产</w:t>
        </w:r>
      </w:hyperlink>
    </w:p>
    <w:p>
      <w:pPr>
        <w:spacing w:before="0" w:after="80"/>
      </w:pPr>
      <w:r>
        <w:rPr>
          <w:i/>
          <w:sz w:val="20"/>
        </w:rPr>
        <w:t>EN: InterContinental Energy: forging ahead with mega-scale green hydrogen and ammonia</w:t>
      </w:r>
    </w:p>
    <w:p>
      <w:pPr>
        <w:spacing w:before="0" w:after="120"/>
      </w:pPr>
      <w:r>
        <w:rPr>
          <w:b/>
        </w:rPr>
        <w:t xml:space="preserve">Source: </w:t>
      </w:r>
      <w:r>
        <w:t>Articles – Ammonia Energy Association</w:t>
      </w:r>
      <w:r>
        <w:t xml:space="preserve">    </w:t>
      </w:r>
      <w:r>
        <w:rPr>
          <w:b/>
        </w:rPr>
        <w:t xml:space="preserve">Pub date: </w:t>
      </w:r>
      <w:r>
        <w:t>2026-03-11 01:21:57+00:00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53">
        <w:r>
          <w:rPr>
            <w:color w:val="1155CC"/>
            <w:u w:val="single"/>
          </w:rPr>
          <w:t>AM Green：印度首个可再生氨大型项目即将投产</w:t>
        </w:r>
      </w:hyperlink>
    </w:p>
    <w:p>
      <w:pPr>
        <w:spacing w:before="0" w:after="80"/>
      </w:pPr>
      <w:r>
        <w:rPr>
          <w:i/>
          <w:sz w:val="20"/>
        </w:rPr>
        <w:t>EN: AM Green: production nears at India’s first renewable ammonia mega-project</w:t>
      </w:r>
    </w:p>
    <w:p>
      <w:pPr>
        <w:spacing w:before="0" w:after="120"/>
      </w:pPr>
      <w:r>
        <w:rPr>
          <w:b/>
        </w:rPr>
        <w:t xml:space="preserve">Source: </w:t>
      </w:r>
      <w:r>
        <w:t>Articles – Ammonia Energy Association</w:t>
      </w:r>
      <w:r>
        <w:t xml:space="preserve">    </w:t>
      </w:r>
      <w:r>
        <w:rPr>
          <w:b/>
        </w:rPr>
        <w:t xml:space="preserve">Pub date: </w:t>
      </w:r>
      <w:r>
        <w:t>2026-03-11 04:46:04+00:00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54">
        <w:r>
          <w:rPr>
            <w:color w:val="1155CC"/>
            <w:u w:val="single"/>
          </w:rPr>
          <w:t>氨诱导的金属有机框架膜孔调节用于氢气分离</w:t>
        </w:r>
      </w:hyperlink>
    </w:p>
    <w:p>
      <w:pPr>
        <w:spacing w:before="0" w:after="80"/>
      </w:pPr>
      <w:r>
        <w:rPr>
          <w:i/>
          <w:sz w:val="20"/>
        </w:rPr>
        <w:t>EN: Ammonia‐Induced Metal–Organic Framework Membrane Pore Tuning for Hydrogen Separation</w:t>
      </w:r>
    </w:p>
    <w:p>
      <w:pPr>
        <w:spacing w:before="0" w:after="120"/>
      </w:pPr>
      <w:r>
        <w:rPr>
          <w:b/>
        </w:rPr>
        <w:t xml:space="preserve">Source: </w:t>
      </w:r>
      <w:r>
        <w:t>Wiley: Angewandte Chemie International Edition: Table of Contents</w:t>
      </w:r>
      <w:r>
        <w:t xml:space="preserve">    </w:t>
      </w:r>
      <w:r>
        <w:rPr>
          <w:b/>
        </w:rPr>
        <w:t xml:space="preserve">Pub date: </w:t>
      </w:r>
      <w:r>
        <w:t>2026-03-11 08:00:23+00:00</w:t>
      </w:r>
      <w:r>
        <w:t xml:space="preserve">    </w:t>
      </w:r>
      <w:r>
        <w:rPr>
          <w:b/>
        </w:rPr>
        <w:t xml:space="preserve">DOI: </w:t>
      </w:r>
      <w:hyperlink r:id="rId155">
        <w:r>
          <w:rPr>
            <w:color w:val="1155CC"/>
            <w:u w:val="single"/>
          </w:rPr>
          <w:t>10.1002/anie.2261249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作为清洁氢气生产的关键材料（如氨裂解过程）引起了极大关注。在净化步骤中残留的微量氨被认为是一种关键杂质，因为它具有毒性和腐蚀性。在此，我们引入氨作为MOF膜的调节剂，以控制其气体传输行为。当暴露于氨时，ZIF-8膜由于氨与框架之间的强相互作用而发生部分表面非晶化，而相邻的ZIF-8区域变得刚性。因此，氨处理的ZIF-8膜表现出固有的气体选择性特性，而不是灵活的特性，从而产生优异的H</w:t>
      </w:r>
      <w:r>
        <w:rPr>
          <w:vertAlign w:val="subscript"/>
        </w:rPr>
        <w:t>2</w:t>
      </w:r>
      <w:r>
        <w:t>/N</w:t>
      </w:r>
    </w:p>
    <w:p>
      <w:pPr>
        <w:spacing w:before="0" w:after="200" w:lineRule="auto" w:line="276"/>
      </w:pPr>
      <w:r>
        <w:rPr>
          <w:b/>
        </w:rPr>
        <w:t xml:space="preserve">Abstract (EN): </w:t>
      </w:r>
      <w:r>
        <w:t>Ammonia has attracted great attention as a key material for clean hydrogen production, such as the ammonia cracking process. Remaining trace ammonia in the purification step is considered a critical impurity due to its toxic and corrosive nature. Herein, we introduce ammonia as a tuning agent for MOF membranes to control their gas transport behavior. When exposed to ammonia, the ZIF‐8 membrane undergoes partial surface amorphization due to strong interactions between ammonia and the framework, while the adjacent ZIF‐8 region becomes rigid. As a result, the ammonia‐treated ZIF‐8 membrane exhibits the intrinsic gas‐selective property rather than the flexible one, yielding excellent H</w:t>
      </w:r>
      <w:r>
        <w:rPr>
          <w:vertAlign w:val="subscript"/>
        </w:rPr>
        <w:t>2</w:t>
      </w:r>
      <w:r>
        <w:t>/N</w:t>
      </w:r>
      <w:r>
        <w:rPr>
          <w:vertAlign w:val="subscript"/>
        </w:rPr>
        <w:t>2</w:t>
      </w:r>
      <w:r>
        <w:t>separation performance. The ammonia‐treated ZIF‐8 membrane achieves an H</w:t>
      </w:r>
      <w:r>
        <w:rPr>
          <w:vertAlign w:val="subscript"/>
        </w:rPr>
        <w:t>2</w:t>
      </w:r>
      <w:r>
        <w:t>permeance of 1.26 × 10</w:t>
      </w:r>
      <w:r>
        <w:t xml:space="preserve"> </w:t>
      </w:r>
      <w:r>
        <w:t>−7</w:t>
      </w:r>
      <w:r>
        <w:t xml:space="preserve"> </w:t>
      </w:r>
      <w:r>
        <w:t>mol/m</w:t>
      </w:r>
      <w:r>
        <w:rPr>
          <w:vertAlign w:val="subscript"/>
        </w:rPr>
        <w:t>2</w:t>
      </w:r>
      <w:r>
        <w:t>·Pa·s and an ideal H</w:t>
      </w:r>
      <w:r>
        <w:rPr>
          <w:vertAlign w:val="subscript"/>
        </w:rPr>
        <w:t>2</w:t>
      </w:r>
      <w:r>
        <w:t>/N</w:t>
      </w:r>
      <w:r>
        <w:rPr>
          <w:vertAlign w:val="subscript"/>
        </w:rPr>
        <w:t>2</w:t>
      </w:r>
      <w:r>
        <w:t>selectivity of 122.39. Additionally, molecular dynamics simulations further revealed the interaction between ammonia and the ZIF‐8 framework and how the local structural modification influences molecular diffusion. This study presents a new approach to utilizing reactive small molecules for precise control of structural flexibility and separation properties in MOF‐based membranes. In addition, while most gas separations have been conducted in ideal conditions without impurities, it can be critical in practical applications to maintain the high separation performance of MOF‐based membranes.</w:t>
      </w:r>
    </w:p>
    <w:p>
      <w:pPr>
        <w:spacing w:before="120" w:after="120"/>
      </w:pPr>
      <w:r>
        <w:rPr>
          <w:sz w:val="18"/>
        </w:rPr>
        <w:t>——————————————————————————————————————————————————————————————————————</w:t>
      </w:r>
    </w:p>
    <w:p>
      <w:pPr>
        <w:spacing w:before="160" w:after="40" w:line="240" w:lineRule="auto"/>
      </w:pPr>
      <w:r>
        <w:rPr>
          <w:b/>
        </w:rPr>
        <w:t xml:space="preserve">[16] </w:t>
      </w:r>
      <w:hyperlink r:id="rId156">
        <w:r>
          <w:rPr>
            <w:color w:val="1155CC"/>
            <w:u w:val="single"/>
          </w:rPr>
          <w:t>Ni@MoS2纳米反应器上的亲核性-S和亲电性-Ni位点实现高效的肼辅助制氢</w:t>
        </w:r>
      </w:hyperlink>
    </w:p>
    <w:p>
      <w:pPr>
        <w:spacing w:before="0" w:after="80"/>
      </w:pPr>
      <w:r>
        <w:rPr>
          <w:i/>
          <w:sz w:val="20"/>
        </w:rPr>
        <w:t>EN: Nucleophilicity‐S and Electrophilicity‐Ni Sites Over Ni@MoS2 Nanoreactors Enable Highly Efficient Hydrazine‐Assisted Hydrogen Production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57">
        <w:r>
          <w:rPr>
            <w:color w:val="1155CC"/>
            <w:u w:val="single"/>
          </w:rPr>
          <w:t>H2Pro，Doral Hydrogen签署西班牙太阳能制氢协议</w:t>
        </w:r>
      </w:hyperlink>
    </w:p>
    <w:p>
      <w:pPr>
        <w:spacing w:before="0" w:after="80"/>
      </w:pPr>
      <w:r>
        <w:rPr>
          <w:i/>
          <w:sz w:val="20"/>
        </w:rPr>
        <w:t>EN: H2Pro, Doral Hydrogen sign Spain solar-to-hydrogen agreement</w:t>
      </w:r>
    </w:p>
    <w:p>
      <w:pPr>
        <w:spacing w:before="0" w:after="120"/>
      </w:pPr>
      <w:r>
        <w:rPr>
          <w:b/>
        </w:rPr>
        <w:t xml:space="preserve">Source: </w:t>
      </w:r>
      <w:r>
        <w:t>Hydrogen Tech World.com</w:t>
      </w:r>
      <w:r>
        <w:t xml:space="preserve">    </w:t>
      </w:r>
      <w:r>
        <w:rPr>
          <w:b/>
        </w:rPr>
        <w:t xml:space="preserve">Pub date: </w:t>
      </w:r>
      <w:r>
        <w:t>2026-03-11 12:22:34+00:00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158">
        <w:r>
          <w:rPr>
            <w:color w:val="1155CC"/>
            <w:u w:val="single"/>
          </w:rPr>
          <w:t>MorGen在威尔士氢项目上达成FID</w:t>
        </w:r>
      </w:hyperlink>
    </w:p>
    <w:p>
      <w:pPr>
        <w:spacing w:before="0" w:after="80"/>
      </w:pPr>
      <w:r>
        <w:rPr>
          <w:i/>
          <w:sz w:val="20"/>
        </w:rPr>
        <w:t>EN: MorGen reaches FID on Wales hydrogen project</w:t>
      </w:r>
    </w:p>
    <w:p>
      <w:pPr>
        <w:spacing w:before="0" w:after="120"/>
      </w:pPr>
      <w:r>
        <w:rPr>
          <w:b/>
        </w:rPr>
        <w:t xml:space="preserve">Source: </w:t>
      </w:r>
      <w:r>
        <w:t>Hydrogen Tech World.com</w:t>
      </w:r>
      <w:r>
        <w:t xml:space="preserve">    </w:t>
      </w:r>
      <w:r>
        <w:rPr>
          <w:b/>
        </w:rPr>
        <w:t xml:space="preserve">Pub date: </w:t>
      </w:r>
      <w:r>
        <w:t>2026-03-11 12:24:45+00:00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159">
        <w:r>
          <w:rPr>
            <w:color w:val="1155CC"/>
            <w:u w:val="single"/>
          </w:rPr>
          <w:t>界面水合工程同步海水电解中的氢气演化和水镁石矿化</w:t>
        </w:r>
      </w:hyperlink>
    </w:p>
    <w:p>
      <w:pPr>
        <w:spacing w:before="0" w:after="80"/>
      </w:pPr>
      <w:r>
        <w:rPr>
          <w:i/>
          <w:sz w:val="20"/>
        </w:rPr>
        <w:t>EN: Interfacial Hydration Engineering Synchronizes Hydrogen Evolution and Brucite Mineralization in Seawater Electrolysis</w:t>
      </w:r>
    </w:p>
    <w:p>
      <w:pPr>
        <w:spacing w:before="0" w:after="120"/>
      </w:pPr>
      <w:r>
        <w:rPr>
          <w:b/>
        </w:rPr>
        <w:t xml:space="preserve">Source: </w:t>
      </w:r>
      <w:r>
        <w:t>Wiley: Angewandte Chemie International Edition: Table of Contents</w:t>
      </w:r>
      <w:r>
        <w:t xml:space="preserve">    </w:t>
      </w:r>
      <w:r>
        <w:rPr>
          <w:b/>
        </w:rPr>
        <w:t xml:space="preserve">Pub date: </w:t>
      </w:r>
      <w:r>
        <w:t>2026-03-11 14:04:32+00:00</w:t>
      </w:r>
      <w:r>
        <w:t xml:space="preserve">    </w:t>
      </w:r>
      <w:r>
        <w:rPr>
          <w:b/>
        </w:rPr>
        <w:t xml:space="preserve">DOI: </w:t>
      </w:r>
      <w:hyperlink r:id="rId160">
        <w:r>
          <w:rPr>
            <w:color w:val="1155CC"/>
            <w:u w:val="single"/>
          </w:rPr>
          <w:t>10.1002/anie.9254860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海水电解用于生产水镁石矿物和绿色H</w:t>
      </w:r>
      <w:r>
        <w:rPr>
          <w:vertAlign w:val="subscript"/>
        </w:rPr>
        <w:t>2</w:t>
      </w:r>
      <w:r>
        <w:t>在高电流操作下遇到关键的界面挑战。竞争的气体析出和镁结晶导致气泡积累和界面处的异质沉淀，阻塞活性位点并损害稳定性。在此，我们开发了一种纳米结构的氢键组装，通过界面水合控制将H</w:t>
      </w:r>
      <w:r>
        <w:rPr>
          <w:vertAlign w:val="subscript"/>
        </w:rPr>
        <w:t>2</w:t>
      </w:r>
      <w:r>
        <w:t>析出与水镁石矿化分离。在该组装中，钴磷化物催化剂与超疏气共聚物基质结合，创造出水合排斥界面，其中有序的水网络排斥H</w:t>
      </w:r>
      <w:r>
        <w:rPr>
          <w:vertAlign w:val="subscript"/>
        </w:rPr>
        <w:t>2</w:t>
      </w:r>
    </w:p>
    <w:p>
      <w:pPr>
        <w:spacing w:before="0" w:after="200" w:lineRule="auto" w:line="276"/>
      </w:pPr>
      <w:r>
        <w:rPr>
          <w:b/>
        </w:rPr>
        <w:t xml:space="preserve">Abstract (EN): </w:t>
      </w:r>
      <w:r>
        <w:t>Seawater electrolysis for production of brucite minerals and green H</w:t>
      </w:r>
      <w:r>
        <w:rPr>
          <w:vertAlign w:val="subscript"/>
        </w:rPr>
        <w:t>2</w:t>
      </w:r>
      <w:r>
        <w:t>encounters critical interfacial challenges under high‐current operation. Competing gas evolution and magnesium crystallization lead to bubble accumulation and heterogeneous precipitation at the interface, occluding active sites and compromising stability. Here, we develop a nanostructured hydrogen‐bonded assembly that decouples H</w:t>
      </w:r>
      <w:r>
        <w:rPr>
          <w:vertAlign w:val="subscript"/>
        </w:rPr>
        <w:t>2</w:t>
      </w:r>
      <w:r>
        <w:t>evolution from brucite mineralization through interfacial hydration control. In the assembly, a cobalt phosphide catalyst combined with superaerophobic copolymer matrix creates hydration‐repulsive interfaces where ordered water networks expel H</w:t>
      </w:r>
      <w:r>
        <w:rPr>
          <w:vertAlign w:val="subscript"/>
        </w:rPr>
        <w:t>2</w:t>
      </w:r>
      <w:r>
        <w:t>bubbles and precipitate brucite evenly. This synergy sustains stable seawater electrolysis at 1000 mA cm</w:t>
      </w:r>
      <w:r>
        <w:t xml:space="preserve"> </w:t>
      </w:r>
      <w:r>
        <w:t>−2</w:t>
      </w:r>
      <w:r>
        <w:t xml:space="preserve"> </w:t>
      </w:r>
      <w:r>
        <w:t>for over 1000 h with stoichiometric co‐production efficiency for both brucite and H</w:t>
      </w:r>
      <w:r>
        <w:rPr>
          <w:vertAlign w:val="subscript"/>
        </w:rPr>
        <w:t>2</w:t>
      </w:r>
      <w:r>
        <w:t>. Extending to photoelectrocatalysis, a perylene diimide‐integrated variant achieves 4.5 mA cm</w:t>
      </w:r>
      <w:r>
        <w:t xml:space="preserve"> </w:t>
      </w:r>
      <w:r>
        <w:t>−2</w:t>
      </w:r>
      <w:r>
        <w:t xml:space="preserve"> </w:t>
      </w:r>
      <w:r>
        <w:t>photocurrent and 9.9% quantum efficiency for seawater photoelectrocatalysis. By interfacial hydration engineering, this work establishes a platform that synergizes H</w:t>
      </w:r>
      <w:r>
        <w:rPr>
          <w:vertAlign w:val="subscript"/>
        </w:rPr>
        <w:t>2</w:t>
      </w:r>
      <w:r>
        <w:t>generation with value‐added mineral production, addressing the fundamental trade‐off between gas evolution and mineralization in scalable marine resource utilization.</w:t>
      </w:r>
    </w:p>
    <w:p>
      <w:pPr>
        <w:spacing w:before="120" w:after="120"/>
      </w:pPr>
      <w:r>
        <w:rPr>
          <w:sz w:val="18"/>
        </w:rPr>
        <w:t>——————————————————————————————————————————————————————————————————————</w:t>
      </w:r>
    </w:p>
    <w:p>
      <w:pPr>
        <w:spacing w:before="160" w:after="40" w:line="240" w:lineRule="auto"/>
      </w:pPr>
      <w:r>
        <w:rPr>
          <w:b/>
        </w:rPr>
        <w:t xml:space="preserve">[20] </w:t>
      </w:r>
      <w:hyperlink r:id="rId161">
        <w:r>
          <w:rPr>
            <w:color w:val="1155CC"/>
            <w:u w:val="single"/>
          </w:rPr>
          <w:t>光催化水分解微反应器中气泡动力学和脱附机制的最新进展：氢气生产综述</w:t>
        </w:r>
      </w:hyperlink>
    </w:p>
    <w:p>
      <w:pPr>
        <w:spacing w:before="0" w:after="80"/>
      </w:pPr>
      <w:r>
        <w:rPr>
          <w:i/>
          <w:sz w:val="20"/>
        </w:rPr>
        <w:t>EN: Recent progress in bubble dynamics and detachment mechanisms of photocatalytic water splitting microreactors for H₂ production: a review</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62">
        <w:r>
          <w:rPr>
            <w:color w:val="1155CC"/>
            <w:u w:val="single"/>
          </w:rPr>
          <w:t>海运进口还是国内生产？基于氢能载体的技术经济评估</w:t>
        </w:r>
      </w:hyperlink>
    </w:p>
    <w:p>
      <w:pPr>
        <w:spacing w:before="0" w:after="80"/>
      </w:pPr>
      <w:r>
        <w:rPr>
          <w:i/>
          <w:sz w:val="20"/>
        </w:rPr>
        <w:t>EN: Seaborne imports or domestic production? A techno-economic assessment of hydrogen-based energy carriers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163">
        <w:r>
          <w:rPr>
            <w:color w:val="1155CC"/>
            <w:u w:val="single"/>
          </w:rPr>
          <w:t>由极端情景驱动的台风弹性风电场集群和氢能储能厂的协调调度</w:t>
        </w:r>
      </w:hyperlink>
    </w:p>
    <w:p>
      <w:pPr>
        <w:spacing w:before="0" w:after="80"/>
      </w:pPr>
      <w:r>
        <w:rPr>
          <w:i/>
          <w:sz w:val="20"/>
        </w:rPr>
        <w:t>EN: Typhoon-resilient coordinated dispatch of wind farm cluster and hydrogen energy storage plant driven by extreme scenarios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164">
        <w:r>
          <w:rPr>
            <w:color w:val="1155CC"/>
            <w:u w:val="single"/>
          </w:rPr>
          <w:t>旭化成在芬兰安装1 MW电解槽</w:t>
        </w:r>
      </w:hyperlink>
    </w:p>
    <w:p>
      <w:pPr>
        <w:spacing w:before="0" w:after="80"/>
      </w:pPr>
      <w:r>
        <w:rPr>
          <w:i/>
          <w:sz w:val="20"/>
        </w:rPr>
        <w:t>EN: Asahi Kasei installs 1 MW electrolyzer in Finland</w:t>
      </w:r>
    </w:p>
    <w:p>
      <w:pPr>
        <w:spacing w:before="0" w:after="120"/>
      </w:pPr>
      <w:r>
        <w:rPr>
          <w:b/>
        </w:rPr>
        <w:t xml:space="preserve">Source: </w:t>
      </w:r>
      <w:r>
        <w:t>Hydrogen Tech World.com</w:t>
      </w:r>
      <w:r>
        <w:t xml:space="preserve">    </w:t>
      </w:r>
      <w:r>
        <w:rPr>
          <w:b/>
        </w:rPr>
        <w:t xml:space="preserve">Pub date: </w:t>
      </w:r>
      <w:r>
        <w:t>2026-03-12 09:28:27+00:00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165">
        <w:r>
          <w:rPr>
            <w:color w:val="1155CC"/>
            <w:u w:val="single"/>
          </w:rPr>
          <w:t>川崎重工、神户制钢在神户开始氢气供应示范</w:t>
        </w:r>
      </w:hyperlink>
    </w:p>
    <w:p>
      <w:pPr>
        <w:spacing w:before="0" w:after="80"/>
      </w:pPr>
      <w:r>
        <w:rPr>
          <w:i/>
          <w:sz w:val="20"/>
        </w:rPr>
        <w:t>EN: Kawasaki, Kobe Steel begin hydrogen supply demonstration in Kobe</w:t>
      </w:r>
    </w:p>
    <w:p>
      <w:pPr>
        <w:spacing w:before="0" w:after="120"/>
      </w:pPr>
      <w:r>
        <w:rPr>
          <w:b/>
        </w:rPr>
        <w:t xml:space="preserve">Source: </w:t>
      </w:r>
      <w:r>
        <w:t>Hydrogen Tech World.com</w:t>
      </w:r>
      <w:r>
        <w:t xml:space="preserve">    </w:t>
      </w:r>
      <w:r>
        <w:rPr>
          <w:b/>
        </w:rPr>
        <w:t xml:space="preserve">Pub date: </w:t>
      </w:r>
      <w:r>
        <w:t>2026-03-12 15:29:10+00:00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66">
        <w:r>
          <w:rPr>
            <w:color w:val="1155CC"/>
            <w:u w:val="single"/>
          </w:rPr>
          <w:t>建筑机械脱碳：使用电气化和替代燃料混合动力系统的液压挖掘机数据驱动生命周期评估</w:t>
        </w:r>
      </w:hyperlink>
    </w:p>
    <w:p>
      <w:pPr>
        <w:spacing w:before="0" w:after="80"/>
      </w:pPr>
      <w:r>
        <w:rPr>
          <w:i/>
          <w:sz w:val="20"/>
        </w:rPr>
        <w:t>EN: Decarbonizing construction machinery: Data-driven lifecycle assessment of a hydraulic excavator using electrified and alternative-fuel hybrid power systems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7">
        <w:r>
          <w:rPr>
            <w:color w:val="1155CC"/>
            <w:u w:val="single"/>
          </w:rPr>
          <w:t>考虑时间效应的技术经济环境评估框架，从能源供应角度对工业园区脱碳：氯碱生产示范案例</w:t>
        </w:r>
      </w:hyperlink>
    </w:p>
    <w:p>
      <w:pPr>
        <w:spacing w:before="0" w:after="80"/>
      </w:pPr>
      <w:r>
        <w:rPr>
          <w:i/>
          <w:sz w:val="20"/>
        </w:rPr>
        <w:t>EN: Techno-economic-environmental assessment framework considering temporal effects for industry parks decarbonization from an energy supply perspective: A chlor-alkali production demonstration case</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8">
        <w:r>
          <w:rPr>
            <w:color w:val="1155CC"/>
            <w:u w:val="single"/>
          </w:rPr>
          <w:t>碳减排、能源转型和材料管理的协同治理：一个因子非确定性碳-能源-金属关联优化模型</w:t>
        </w:r>
      </w:hyperlink>
    </w:p>
    <w:p>
      <w:pPr>
        <w:spacing w:before="0" w:after="80"/>
      </w:pPr>
      <w:r>
        <w:rPr>
          <w:i/>
          <w:sz w:val="20"/>
        </w:rPr>
        <w:t>EN: Collaborative governance of carbon mitigation, energy transition, and material management: A factorial non-deterministic carbon-energy-metal nexus optimization model</w:t>
      </w:r>
    </w:p>
    <w:p>
      <w:pPr>
        <w:spacing w:before="0" w:after="120"/>
      </w:pPr>
      <w:r>
        <w:rPr>
          <w:b/>
        </w:rPr>
        <w:t xml:space="preserve">Source: </w:t>
      </w:r>
      <w:r>
        <w:t>ScienceDirect Publication: Applied Energy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69">
        <w:r>
          <w:rPr>
            <w:color w:val="1155CC"/>
            <w:u w:val="single"/>
          </w:rPr>
          <w:t>DP World启动碳插入试验以减少海运排放</w:t>
        </w:r>
      </w:hyperlink>
    </w:p>
    <w:p>
      <w:pPr>
        <w:spacing w:before="0" w:after="80"/>
      </w:pPr>
      <w:r>
        <w:rPr>
          <w:i/>
          <w:sz w:val="20"/>
        </w:rPr>
        <w:t>EN: DP World Launches Carbon Inset Trial To Reduce Ocean Freight Emissions</w:t>
      </w:r>
    </w:p>
    <w:p>
      <w:pPr>
        <w:spacing w:before="0" w:after="120"/>
      </w:pPr>
      <w:r>
        <w:rPr>
          <w:b/>
        </w:rPr>
        <w:t xml:space="preserve">Source: </w:t>
      </w:r>
      <w:r>
        <w:t>Carbon Herald</w:t>
      </w:r>
      <w:r>
        <w:t xml:space="preserve">    </w:t>
      </w:r>
      <w:r>
        <w:rPr>
          <w:b/>
        </w:rPr>
        <w:t xml:space="preserve">Pub date: </w:t>
      </w:r>
      <w:r>
        <w:t>2026-03-11 17:15:58+00:00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0">
        <w:r>
          <w:rPr>
            <w:color w:val="1155CC"/>
            <w:u w:val="single"/>
          </w:rPr>
          <w:t>化石燃料的衰退与寻找可行替代品：在全球社会政治和技术限制下对生物柴油、电力和沼气能源系统的批判性回顾</w:t>
        </w:r>
      </w:hyperlink>
    </w:p>
    <w:p>
      <w:pPr>
        <w:spacing w:before="0" w:after="80"/>
      </w:pPr>
      <w:r>
        <w:rPr>
          <w:i/>
          <w:sz w:val="20"/>
        </w:rPr>
        <w:t>EN: The decline of fossil fuels and the search for viable alternatives: A critical review of biodiesel, electric, and biogas energy systems under global socio-political and technical constraints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1">
        <w:r>
          <w:rPr>
            <w:color w:val="1155CC"/>
            <w:u w:val="single"/>
          </w:rPr>
          <w:t>航空脱碳情景的数值优化：在成熟的能源载体和飞机技术中平衡交通和排放</w:t>
        </w:r>
      </w:hyperlink>
    </w:p>
    <w:p>
      <w:pPr>
        <w:spacing w:before="0" w:after="80"/>
      </w:pPr>
      <w:r>
        <w:rPr>
          <w:i/>
          <w:sz w:val="20"/>
        </w:rPr>
        <w:t>EN: Numerical optimization of aviation decarbonization scenarios: balancing traffic and emissions with maturing energy carriers and aircraft technology</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72">
        <w:r>
          <w:rPr>
            <w:color w:val="1155CC"/>
            <w:u w:val="single"/>
          </w:rPr>
          <w:t>水在电催化CO2和CO还原中的多尺度作用</w:t>
        </w:r>
      </w:hyperlink>
    </w:p>
    <w:p>
      <w:pPr>
        <w:spacing w:before="0" w:after="80"/>
      </w:pPr>
      <w:r>
        <w:rPr>
          <w:i/>
          <w:sz w:val="20"/>
        </w:rPr>
        <w:t>EN: Multi-scale roles of water in electrocatalytic CO2 and CO reduction</w:t>
      </w:r>
    </w:p>
    <w:p>
      <w:pPr>
        <w:spacing w:before="0" w:after="120"/>
      </w:pPr>
      <w:r>
        <w:rPr>
          <w:b/>
        </w:rPr>
        <w:t xml:space="preserve">Source: </w:t>
      </w:r>
      <w:r>
        <w:t>RSC - Chem. Soc. Rev. latest articles</w:t>
      </w:r>
      <w:r>
        <w:t xml:space="preserve">    </w:t>
      </w:r>
      <w:r>
        <w:rPr>
          <w:b/>
        </w:rPr>
        <w:t xml:space="preserve">Pub date: </w:t>
      </w:r>
      <w:r>
        <w:t>2026-03-09 00:00:00+00:00</w:t>
      </w:r>
    </w:p>
    <w:p>
      <w:pPr>
        <w:spacing w:before="0" w:after="120"/>
      </w:pPr>
      <w:r>
        <w:rPr>
          <w:b/>
        </w:rPr>
        <w:t xml:space="preserve">Notes: </w:t>
      </w:r>
      <w:r>
        <w:t>abstract_source=rsc_html</w:t>
      </w:r>
    </w:p>
    <w:p>
      <w:pPr>
        <w:spacing w:before="0" w:after="80" w:lineRule="auto" w:line="276"/>
      </w:pPr>
      <w:r>
        <w:rPr>
          <w:b/>
        </w:rPr>
        <w:t xml:space="preserve">摘要（ZH）: </w:t>
      </w:r>
      <w:r>
        <w:t>在水性电解质中进行的电催化CO2还原反应（CO2RR）是实现碳中和社会的基石技术。除了直接的CO2RR之外，CO2到CO的连续还原反应，随后是CO还原反应（CORR），提供了一种替代途径。水在CO2RR/CORR系统中扮演着关键且复杂的多尺度角色。其影响范围包括微观尺度的水介导反应动力学、中观尺度的局部水性微环境调节以及宏观尺度的操作条件优化。这些不同尺度的因素相互关联并相互作用，最终决定了整体反应性能。因此，本综述建立了一个全面的多尺度水调控框架，以便在</w:t>
      </w:r>
    </w:p>
    <w:p>
      <w:pPr>
        <w:spacing w:before="0" w:after="200" w:lineRule="auto" w:line="276"/>
      </w:pPr>
      <w:r>
        <w:rPr>
          <w:b/>
        </w:rPr>
        <w:t xml:space="preserve">Abstract (EN): </w:t>
      </w:r>
      <w:r>
        <w:t>The electrocatalytic CO2 reduction reaction (CO2RR) in aqueous electrolytes is a cornerstone technology for achieving a carbon-neutral society. Beyond the direct CO2RR, the sequential reduction of CO2 to CO followed by the CO reduction reaction (CORR) offers an alternative pathway. Water plays a pivotal and complex multi-scale role in CO2RR/CORR systems. Its influence spans multiple scales, including micro-scale water-mediated reaction kinetics, meso-scale regulation of the local aqueous microenvironment, and macro-scale optimization of operational conditions. Factors at these different scales are interconnected and mutually interactive, ultimately determining the overall reaction performance. Therefore, this review establishes a comprehensive multi-scale framework for water regulation in both the CO2RR and the CORR. We systematically elucidate the roles of water, survey advanced regulation strategies, and discuss state-of-the-art in situ characterization and simulation techniques. Finally, we identify key challenges and provide a forward-looking perspective, emphasizing that as this technology matures towards large-scale applications, such synergistic, multi-scale regulation becomes increasingly critical. This work aims to offer a clear roadmap for designing high-performance, stable, and large-scale CO2RR/CORR systems and accelerating their practical implementation.</w:t>
      </w:r>
    </w:p>
    <w:p>
      <w:pPr>
        <w:spacing w:before="120" w:after="120"/>
      </w:pPr>
      <w:r>
        <w:rPr>
          <w:sz w:val="18"/>
        </w:rPr>
        <w:t>——————————————————————————————————————————————————————————————————————</w:t>
      </w:r>
    </w:p>
    <w:p>
      <w:pPr>
        <w:spacing w:before="160" w:after="40" w:line="240" w:lineRule="auto"/>
      </w:pPr>
      <w:r>
        <w:rPr>
          <w:b/>
        </w:rPr>
        <w:t xml:space="preserve">[2] </w:t>
      </w:r>
      <w:hyperlink r:id="rId173">
        <w:r>
          <w:rPr>
            <w:color w:val="1155CC"/>
            <w:u w:val="single"/>
          </w:rPr>
          <w:t>用氧化石墨烯纳米片包裹硫化锡纳米催化剂以改善二氧化碳电还原为甲酸</w:t>
        </w:r>
      </w:hyperlink>
    </w:p>
    <w:p>
      <w:pPr>
        <w:spacing w:before="0" w:after="80"/>
      </w:pPr>
      <w:r>
        <w:rPr>
          <w:i/>
          <w:sz w:val="20"/>
        </w:rPr>
        <w:t>EN: Wrapping Tin Sulfide Nanocatalysts with Graphene Oxide Nanosheets for Improved Electroreduction of Carbon Dioxide to Formic Acid</w:t>
      </w:r>
    </w:p>
    <w:p>
      <w:pPr>
        <w:spacing w:before="0" w:after="120"/>
      </w:pPr>
      <w:r>
        <w:rPr>
          <w:b/>
        </w:rPr>
        <w:t xml:space="preserve">Source: </w:t>
      </w:r>
      <w:r>
        <w:t>Wiley: Angewandte Chemie International Edition: Table of Contents</w:t>
      </w:r>
      <w:r>
        <w:t xml:space="preserve">    </w:t>
      </w:r>
      <w:r>
        <w:rPr>
          <w:b/>
        </w:rPr>
        <w:t xml:space="preserve">Pub date: </w:t>
      </w:r>
      <w:r>
        <w:t>2026-03-09 07:18:48+00:00</w:t>
      </w:r>
      <w:r>
        <w:t xml:space="preserve">    </w:t>
      </w:r>
      <w:r>
        <w:rPr>
          <w:b/>
        </w:rPr>
        <w:t xml:space="preserve">DOI: </w:t>
      </w:r>
      <w:hyperlink r:id="rId174">
        <w:r>
          <w:rPr>
            <w:color w:val="1155CC"/>
            <w:u w:val="single"/>
          </w:rPr>
          <w:t>10.1002/anie.3823676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二氧化碳 (CO</w:t>
      </w:r>
      <w:r>
        <w:rPr>
          <w:vertAlign w:val="subscript"/>
        </w:rPr>
        <w:t>2</w:t>
      </w:r>
      <w:r>
        <w:t>) 电还原为甲酸是碳中和和现代化学工业中的重要环节。然而，该反应的催化活性和选择性仍需改进以实现实际应用。在此，我们揭示了一种通过用氧化石墨烯 (GO) 纳米片包裹硫化锡 (SnS</w:t>
      </w:r>
      <w:r>
        <w:t xml:space="preserve"> </w:t>
      </w:r>
      <w:r>
        <w:t>x</w:t>
      </w:r>
      <w:r>
        <w:t xml:space="preserve"> </w:t>
      </w:r>
      <w:r>
        <w:t>) 纳米颗粒实现的高活性、选择性和稳定的CO</w:t>
      </w:r>
      <w:r>
        <w:rPr>
          <w:vertAlign w:val="subscript"/>
        </w:rPr>
        <w:t>2</w:t>
      </w:r>
      <w:r>
        <w:t>电还原为甲酸的方法。GO包裹有助于保持SnS</w:t>
      </w:r>
      <w:r>
        <w:t xml:space="preserve"> </w:t>
      </w:r>
      <w:r>
        <w:t>x</w:t>
      </w:r>
      <w:r>
        <w:t xml:space="preserve"> </w:t>
      </w:r>
      <w:r>
        <w:t>的晶体尺寸 (2∼4 nm) 并限制SnS中的硫原子</w:t>
      </w:r>
    </w:p>
    <w:p>
      <w:pPr>
        <w:spacing w:before="0" w:after="200" w:lineRule="auto" w:line="276"/>
      </w:pPr>
      <w:r>
        <w:rPr>
          <w:b/>
        </w:rPr>
        <w:t xml:space="preserve">Abstract (EN): </w:t>
      </w:r>
      <w:r>
        <w:t>Electroreduction of carbon dioxide (CO</w:t>
      </w:r>
      <w:r>
        <w:rPr>
          <w:vertAlign w:val="subscript"/>
        </w:rPr>
        <w:t>2</w:t>
      </w:r>
      <w:r>
        <w:t>) to formic acid is an important piece of puzzle in carbon neutralization and modern chemical industry. However, the catalytic activity and selectivity of this reaction still need to be improved for practical applications. Herein, we reveal that a highly active, selective, and stable electroreduction of CO</w:t>
      </w:r>
      <w:r>
        <w:rPr>
          <w:vertAlign w:val="subscript"/>
        </w:rPr>
        <w:t>2</w:t>
      </w:r>
      <w:r>
        <w:t>to formic acid could be realized by wrapping tin sulfide (SnS</w:t>
      </w:r>
      <w:r>
        <w:t xml:space="preserve"> </w:t>
      </w:r>
      <w:r>
        <w:t>x</w:t>
      </w:r>
      <w:r>
        <w:t xml:space="preserve"> </w:t>
      </w:r>
      <w:r>
        <w:t>) nanoparticles with graphene oxide (GO) nanosheets. The GO wrapping helps to preserve the crystal size of SnS</w:t>
      </w:r>
      <w:r>
        <w:t xml:space="preserve"> </w:t>
      </w:r>
      <w:r>
        <w:t>x</w:t>
      </w:r>
      <w:r>
        <w:t xml:space="preserve"> </w:t>
      </w:r>
      <w:r>
        <w:t>(2∼4 nm) and confine the sulfur atoms in SnS</w:t>
      </w:r>
      <w:r>
        <w:t xml:space="preserve"> </w:t>
      </w:r>
      <w:r>
        <w:t>x</w:t>
      </w:r>
      <w:r>
        <w:t xml:space="preserve"> </w:t>
      </w:r>
      <w:r>
        <w:t>, obtaining a promising catalyst. As a result, a high current density of 126.25 ± 0.78 mA cm</w:t>
      </w:r>
      <w:r>
        <w:t xml:space="preserve"> </w:t>
      </w:r>
      <w:r>
        <w:t>−2</w:t>
      </w:r>
      <w:r>
        <w:t xml:space="preserve"> </w:t>
      </w:r>
      <w:r>
        <w:t>and high Faradaic efficiency (FE) of 99.9 ± 1.1% toward formic acid is achieved in a flow cell. The current density could be further improved to 554.41 ± 2.32 mA cm</w:t>
      </w:r>
      <w:r>
        <w:t xml:space="preserve"> </w:t>
      </w:r>
      <w:r>
        <w:t>−2</w:t>
      </w:r>
      <w:r>
        <w:t xml:space="preserve"> </w:t>
      </w:r>
      <w:r>
        <w:t>in a membrane electrolyzer. Additionally, our catalytic system demonstrates a high stability exceeding 50 h at ampere‐level current. This finding provides a valuable insight for further development of highly efficient and selective catalysts for electroreduction of CO</w:t>
      </w:r>
      <w:r>
        <w:rPr>
          <w:vertAlign w:val="subscript"/>
        </w:rPr>
        <w:t>2</w:t>
      </w:r>
      <w:r>
        <w:t>to high‐value carbon‐containing products. Our strategy may also be applied to preserve the structures of many other amorphous or nanocrystal catalysts for efficient and stable electrocatalysis.</w:t>
      </w:r>
    </w:p>
    <w:p>
      <w:pPr>
        <w:spacing w:before="120" w:after="120"/>
      </w:pPr>
      <w:r>
        <w:rPr>
          <w:sz w:val="18"/>
        </w:rPr>
        <w:t>——————————————————————————————————————————————————————————————————————</w:t>
      </w:r>
    </w:p>
    <w:p>
      <w:pPr>
        <w:spacing w:before="160" w:after="40" w:line="240" w:lineRule="auto"/>
      </w:pPr>
      <w:r>
        <w:rPr>
          <w:b/>
        </w:rPr>
        <w:t xml:space="preserve">[3] </w:t>
      </w:r>
      <w:hyperlink r:id="rId175">
        <w:r>
          <w:rPr>
            <w:color w:val="1155CC"/>
            <w:u w:val="single"/>
          </w:rPr>
          <w:t>解读从电解到CO2电池的方向性CO2转化的复杂性</w:t>
        </w:r>
      </w:hyperlink>
    </w:p>
    <w:p>
      <w:pPr>
        <w:spacing w:before="0" w:after="80"/>
      </w:pPr>
      <w:r>
        <w:rPr>
          <w:i/>
          <w:sz w:val="20"/>
        </w:rPr>
        <w:t>EN: Deciphering Intricacies in Directional CO2 Conversion From Electrolysis to CO2 Batteries</w:t>
      </w:r>
    </w:p>
    <w:p>
      <w:pPr>
        <w:spacing w:before="0" w:after="120"/>
      </w:pPr>
      <w:r>
        <w:rPr>
          <w:b/>
        </w:rPr>
        <w:t xml:space="preserve">Source: </w:t>
      </w:r>
      <w:r>
        <w:t>Wiley: Advanced Energy Materials: Table of Contents</w:t>
      </w:r>
      <w:r>
        <w:t xml:space="preserve">    </w:t>
      </w:r>
      <w:r>
        <w:rPr>
          <w:b/>
        </w:rPr>
        <w:t xml:space="preserve">Pub date: </w:t>
      </w:r>
      <w:r>
        <w:t>2026-03-09 07:23:38+00:00</w:t>
      </w:r>
      <w:r>
        <w:t xml:space="preserve">    </w:t>
      </w:r>
      <w:r>
        <w:rPr>
          <w:b/>
        </w:rPr>
        <w:t xml:space="preserve">DOI: </w:t>
      </w:r>
      <w:hyperlink r:id="rId176">
        <w:r>
          <w:rPr>
            <w:color w:val="1155CC"/>
            <w:u w:val="single"/>
          </w:rPr>
          <w:t>10.1002/aenm.70796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电力存储与CO2转化（power‐to‐X）结合，已成为解决能源需求和CO2减排问题的绝佳手段。要成功实施此类方法，定向CO2转化是一个关键的前提，使其成为一个重要的研究领域。在其中，尽管CO2的直接电解（power‐to‐chemicals）距离商业成功还有很长的路要走，但在某些化学品的选择性和转化率方面已取得了实质性进展。金属–CO2（M‐CO2）</w:t>
      </w:r>
    </w:p>
    <w:p>
      <w:pPr>
        <w:spacing w:before="0" w:after="200" w:lineRule="auto" w:line="276"/>
      </w:pPr>
      <w:r>
        <w:rPr>
          <w:b/>
        </w:rPr>
        <w:t xml:space="preserve">Abstract (EN): </w:t>
      </w:r>
      <w:r>
        <w:t>Renewable electricity storage coupled with CO</w:t>
      </w:r>
      <w:r>
        <w:rPr>
          <w:vertAlign w:val="subscript"/>
        </w:rPr>
        <w:t>2</w:t>
      </w:r>
      <w:r>
        <w:t>conversion (power‐to‐X) has emerged as a fantastic means for reconciling energy demand and CO</w:t>
      </w:r>
      <w:r>
        <w:rPr>
          <w:vertAlign w:val="subscript"/>
        </w:rPr>
        <w:t>2</w:t>
      </w:r>
      <w:r>
        <w:t>mitigation issues. To successfully implement such approaches, directional CO</w:t>
      </w:r>
      <w:r>
        <w:rPr>
          <w:vertAlign w:val="subscript"/>
        </w:rPr>
        <w:t>2</w:t>
      </w:r>
      <w:r>
        <w:t>conversion is a crucial prerequisite, making it a pivotal research area. Thereinto, direct electrolysis of CO</w:t>
      </w:r>
      <w:r>
        <w:rPr>
          <w:vertAlign w:val="subscript"/>
        </w:rPr>
        <w:t>2</w:t>
      </w:r>
      <w:r>
        <w:t>(power‐to‐chemicals), while far from being commercially successful, has achieved substantial progress in selectivity and conversion rate for certain chemicals. Metal–CO</w:t>
      </w:r>
      <w:r>
        <w:rPr>
          <w:vertAlign w:val="subscript"/>
        </w:rPr>
        <w:t>2</w:t>
      </w:r>
      <w:r>
        <w:t>(M‐CO</w:t>
      </w:r>
      <w:r>
        <w:rPr>
          <w:vertAlign w:val="subscript"/>
        </w:rPr>
        <w:t>2</w:t>
      </w:r>
      <w:r>
        <w:t>) batteries can integrate several energy conversion pathways (power‐to‐metal paired with metal‐to‐power and/or metal‐to‐chemicals); however, their progress remains limited, particularly for directional generation of valuable chemicals. Meanwhile, the lack of understanding and benchmarking across materials and performances hinders rational evaluation and technology advancement of M‐CO</w:t>
      </w:r>
      <w:r>
        <w:rPr>
          <w:vertAlign w:val="subscript"/>
        </w:rPr>
        <w:t>2</w:t>
      </w:r>
      <w:r>
        <w:t>batteries. Herein, we explore the critical elements required to achieve directional CO</w:t>
      </w:r>
      <w:r>
        <w:rPr>
          <w:vertAlign w:val="subscript"/>
        </w:rPr>
        <w:t>2</w:t>
      </w:r>
      <w:r>
        <w:t>conversion in M‐CO</w:t>
      </w:r>
      <w:r>
        <w:rPr>
          <w:vertAlign w:val="subscript"/>
        </w:rPr>
        <w:t>2</w:t>
      </w:r>
      <w:r>
        <w:t>battery by comparing with direct electrocatalytic CO</w:t>
      </w:r>
      <w:r>
        <w:rPr>
          <w:vertAlign w:val="subscript"/>
        </w:rPr>
        <w:t>2</w:t>
      </w:r>
      <w:r>
        <w:t>reduction technology, building from fundamental chemistry concepts and issues, basis of materials design and product selectivity, to device‐level considerations that facilitate high practical energy and power density, as well as long‐duration conversion and storage. The emphasis lies on how to rationally design a precise catalyst and configuration for M‐CO</w:t>
      </w:r>
      <w:r>
        <w:rPr>
          <w:vertAlign w:val="subscript"/>
        </w:rPr>
        <w:t>2</w:t>
      </w:r>
      <w:r>
        <w:t>batteries, with the expectation that forward‐looking insights will inspire top‐notch investigations and engage various sectors of society.</w:t>
      </w:r>
    </w:p>
    <w:p>
      <w:pPr>
        <w:spacing w:before="120" w:after="120"/>
      </w:pPr>
      <w:r>
        <w:rPr>
          <w:sz w:val="18"/>
        </w:rPr>
        <w:t>——————————————————————————————————————————————————————————————————————</w:t>
      </w:r>
    </w:p>
    <w:p>
      <w:pPr>
        <w:spacing w:before="160" w:after="40" w:line="240" w:lineRule="auto"/>
      </w:pPr>
      <w:r>
        <w:rPr>
          <w:b/>
        </w:rPr>
        <w:t xml:space="preserve">[4] </w:t>
      </w:r>
      <w:hyperlink r:id="rId177">
        <w:r>
          <w:rPr>
            <w:color w:val="1155CC"/>
            <w:u w:val="single"/>
          </w:rPr>
          <w:t>原位CO2捕获：将废聚碳酸酯转化为高价值化学品的一般策略</w:t>
        </w:r>
      </w:hyperlink>
    </w:p>
    <w:p>
      <w:pPr>
        <w:spacing w:before="0" w:after="80"/>
      </w:pPr>
      <w:r>
        <w:rPr>
          <w:i/>
          <w:sz w:val="20"/>
        </w:rPr>
        <w:t>EN: In-situ CO2 capture: a general strategy for valorizing waste polycarbonate into high-value chemicals</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178">
        <w:r>
          <w:rPr>
            <w:color w:val="1155CC"/>
            <w:u w:val="single"/>
          </w:rPr>
          <w:t>10.1093/nsr/nwag153</w:t>
        </w:r>
      </w:hyperlink>
    </w:p>
    <w:p>
      <w:pPr>
        <w:spacing w:before="0" w:after="120"/>
      </w:pPr>
      <w:r>
        <w:rPr>
          <w:b/>
        </w:rPr>
        <w:t xml:space="preserve">Notes: </w:t>
      </w:r>
      <w:r>
        <w:t>abstract_source=rss_oup</w:t>
      </w:r>
    </w:p>
    <w:p>
      <w:pPr>
        <w:spacing w:before="0" w:after="80" w:lineRule="auto" w:line="276"/>
      </w:pPr>
      <w:r>
        <w:rPr>
          <w:b/>
        </w:rPr>
        <w:t xml:space="preserve">摘要（ZH）: </w:t>
      </w:r>
      <w:r>
        <w:t>高效利用废塑料中的碳资源并拓展高价值化学品生产途径对于可持续发展和推进循环经济至关重要。然而，在塑料管理过程中释放的惰性且难以再利用的CO2仍然是一个重大障碍，导致宝贵碳资源的损失。在此，我们提出了一种多功能原位</w:t>
      </w:r>
    </w:p>
    <w:p>
      <w:pPr>
        <w:spacing w:before="0" w:after="200" w:lineRule="auto" w:line="276"/>
      </w:pPr>
      <w:r>
        <w:rPr>
          <w:b/>
        </w:rPr>
        <w:t xml:space="preserve">Abstract (EN): </w:t>
      </w:r>
      <w:r>
        <w:t>Efficiently utilizing carbon resources from waste plastics and expanding pathways for high-value chemical production are crucial for sustainable development and advancing circular economy. However, the challenge of inert and hard-to-reuse CO2 released during plastic management remains a significant hurdle, resulting in the loss of valuable carbon resources. Herein, we propose a versatile in-situ</w:t>
      </w:r>
    </w:p>
    <w:p>
      <w:pPr>
        <w:spacing w:before="120" w:after="120"/>
      </w:pPr>
      <w:r>
        <w:rPr>
          <w:sz w:val="18"/>
        </w:rPr>
        <w:t>——————————————————————————————————————————————————————————————————————</w:t>
      </w:r>
    </w:p>
    <w:p>
      <w:pPr>
        <w:spacing w:before="160" w:after="40" w:line="240" w:lineRule="auto"/>
      </w:pPr>
      <w:r>
        <w:rPr>
          <w:b/>
        </w:rPr>
        <w:t xml:space="preserve">[5] </w:t>
      </w:r>
      <w:hyperlink r:id="rId179">
        <w:r>
          <w:rPr>
            <w:color w:val="1155CC"/>
            <w:u w:val="single"/>
          </w:rPr>
          <w:t>迈向可扩展的电化学CO2捕获：统一的技术经济框架和设计指南</w:t>
        </w:r>
      </w:hyperlink>
    </w:p>
    <w:p>
      <w:pPr>
        <w:spacing w:before="0" w:after="80"/>
      </w:pPr>
      <w:r>
        <w:rPr>
          <w:i/>
          <w:sz w:val="20"/>
        </w:rPr>
        <w:t>EN: Toward scalable electrochemical CO2 capture from air and oceanwater: a unified techno-economic framework and design guidelines</w:t>
      </w:r>
    </w:p>
    <w:p>
      <w:pPr>
        <w:spacing w:before="0" w:after="120"/>
      </w:pPr>
      <w:r>
        <w:rPr>
          <w:b/>
        </w:rPr>
        <w:t xml:space="preserve">Source: </w:t>
      </w:r>
      <w:r>
        <w:t>ScienceDirect Publication: Applied Energy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80">
        <w:r>
          <w:rPr>
            <w:color w:val="1155CC"/>
            <w:u w:val="single"/>
          </w:rPr>
          <w:t>金属有机框架中电荷不对称的双铜位点直接将CO2电化学还原为乙醇</w:t>
        </w:r>
      </w:hyperlink>
    </w:p>
    <w:p>
      <w:pPr>
        <w:spacing w:before="0" w:after="80"/>
      </w:pPr>
      <w:r>
        <w:rPr>
          <w:i/>
          <w:sz w:val="20"/>
        </w:rPr>
        <w:t>EN: Charge‐Asymmetric Dual‐Cu Sites in a Metal‐Organic Framework Direct CO2 Electroreduction to Ethanol</w:t>
      </w:r>
    </w:p>
    <w:p>
      <w:pPr>
        <w:spacing w:before="0" w:after="120"/>
      </w:pPr>
      <w:r>
        <w:rPr>
          <w:b/>
        </w:rPr>
        <w:t xml:space="preserve">Source: </w:t>
      </w:r>
      <w:r>
        <w:t>Wiley: Angewandte Chemie International Edition: Table of Contents</w:t>
      </w:r>
      <w:r>
        <w:t xml:space="preserve">    </w:t>
      </w:r>
      <w:r>
        <w:rPr>
          <w:b/>
        </w:rPr>
        <w:t xml:space="preserve">Pub date: </w:t>
      </w:r>
      <w:r>
        <w:t>2026-03-11 06:23:21+00:00</w:t>
      </w:r>
      <w:r>
        <w:t xml:space="preserve">    </w:t>
      </w:r>
      <w:r>
        <w:rPr>
          <w:b/>
        </w:rPr>
        <w:t xml:space="preserve">DOI: </w:t>
      </w:r>
      <w:hyperlink r:id="rId181">
        <w:r>
          <w:rPr>
            <w:color w:val="1155CC"/>
            <w:u w:val="single"/>
          </w:rPr>
          <w:t>10.1002/anie.202525945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选择性电化学CO</w:t>
      </w:r>
      <w:r>
        <w:rPr>
          <w:vertAlign w:val="subscript"/>
        </w:rPr>
        <w:t>2</w:t>
      </w:r>
      <w:r>
        <w:t>还原反应（CO</w:t>
      </w:r>
      <w:r>
        <w:rPr>
          <w:vertAlign w:val="subscript"/>
        </w:rPr>
        <w:t>2</w:t>
      </w:r>
      <w:r>
        <w:t>RR）生成乙醇受到铜的内在动力学偏好限制，即更倾向于乙烯形成的*CO→*COH路径，而非乙醇选择性的*CO→*CHO路径。传统解决方案通过引入外在化学异质性来打破这种偏好。在此，我们报告了一种在同质金属系统中生成电子不对称性的方法。通过在双核Cu-MOF和铜箔（cf）之间构建化学键合界面，诱导电子转移，将对称的Cu二聚体转变为协同的、带电不对称的双位点。这些位点作为动力学门控，提高了障碍。</w:t>
      </w:r>
    </w:p>
    <w:p>
      <w:pPr>
        <w:spacing w:before="0" w:after="200" w:lineRule="auto" w:line="276"/>
      </w:pPr>
      <w:r>
        <w:rPr>
          <w:b/>
        </w:rPr>
        <w:t xml:space="preserve">Abstract (EN): </w:t>
      </w:r>
      <w:r>
        <w:t>The selective electrochemical CO</w:t>
      </w:r>
      <w:r>
        <w:rPr>
          <w:vertAlign w:val="subscript"/>
        </w:rPr>
        <w:t>2</w:t>
      </w:r>
      <w:r>
        <w:t>reduction reaction (CO</w:t>
      </w:r>
      <w:r>
        <w:rPr>
          <w:vertAlign w:val="subscript"/>
        </w:rPr>
        <w:t>2</w:t>
      </w:r>
      <w:r>
        <w:t>RR) to ethanol is constrained by copper's intrinsic kinetic preference for the ethylene‐forming *CO→*COH pathway over the ethanol‐selective *CO→*CHO route. Conventional solutions break this preference by introducing extrinsic chemical heterogeneity. Herein, we report an approach to generating electronic asymmetry in a homometallic system. The in‐situ construction of a chemically bonded interface between a binuclear Cu‐MOF and copper foil (cf) induces electron transfer, transforming symmetric Cu dimers into cooperative, charge‐asymmetric dual sites. These sites function as a kinetic gate, raising the barrier for *CO→*COH while lowering it for *CO→*CHO to direct selectivity toward ethanol, as confirmed by in‐situ spectroscopy and DFT. The findings indicate that interfacial electron redistribution can provide a straightforward means to encode functional asymmetry in homometallic electrocatalysts and to modulate multistep reaction pathways.</w:t>
      </w:r>
    </w:p>
    <w:p>
      <w:pPr>
        <w:spacing w:before="120" w:after="120"/>
      </w:pPr>
      <w:r>
        <w:rPr>
          <w:sz w:val="18"/>
        </w:rPr>
        <w:t>——————————————————————————————————————————————————————————————————————</w:t>
      </w:r>
    </w:p>
    <w:p>
      <w:pPr>
        <w:spacing w:before="160" w:after="40" w:line="240" w:lineRule="auto"/>
      </w:pPr>
      <w:r>
        <w:rPr>
          <w:b/>
        </w:rPr>
        <w:t xml:space="preserve">[7] </w:t>
      </w:r>
      <w:hyperlink r:id="rId182">
        <w:r>
          <w:rPr>
            <w:color w:val="1155CC"/>
            <w:u w:val="single"/>
          </w:rPr>
          <w:t>威勒尔议会敦促英国政府取消峰值集群CO2管道</w:t>
        </w:r>
      </w:hyperlink>
    </w:p>
    <w:p>
      <w:pPr>
        <w:spacing w:before="0" w:after="80"/>
      </w:pPr>
      <w:r>
        <w:rPr>
          <w:i/>
          <w:sz w:val="20"/>
        </w:rPr>
        <w:t>EN: Wirral Council Urges UK Government to Scrap Peak Cluster CO2 Pipeline</w:t>
      </w:r>
    </w:p>
    <w:p>
      <w:pPr>
        <w:spacing w:before="0" w:after="120"/>
      </w:pPr>
      <w:r>
        <w:rPr>
          <w:b/>
        </w:rPr>
        <w:t xml:space="preserve">Source: </w:t>
      </w:r>
      <w:r>
        <w:t>Carbon Herald</w:t>
      </w:r>
      <w:r>
        <w:t xml:space="preserve">    </w:t>
      </w:r>
      <w:r>
        <w:rPr>
          <w:b/>
        </w:rPr>
        <w:t xml:space="preserve">Pub date: </w:t>
      </w:r>
      <w:r>
        <w:t>2026-03-11 09:34:09+00:00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83">
        <w:r>
          <w:rPr>
            <w:color w:val="1155CC"/>
            <w:u w:val="single"/>
          </w:rPr>
          <w:t>Svante在美国造纸厂推进新的BECCS项目</w:t>
        </w:r>
      </w:hyperlink>
    </w:p>
    <w:p>
      <w:pPr>
        <w:spacing w:before="0" w:after="80"/>
      </w:pPr>
      <w:r>
        <w:rPr>
          <w:i/>
          <w:sz w:val="20"/>
        </w:rPr>
        <w:t>EN: Svante Advances New BECCS Project At US Paper Mill</w:t>
      </w:r>
    </w:p>
    <w:p>
      <w:pPr>
        <w:spacing w:before="0" w:after="120"/>
      </w:pPr>
      <w:r>
        <w:rPr>
          <w:b/>
        </w:rPr>
        <w:t xml:space="preserve">Source: </w:t>
      </w:r>
      <w:r>
        <w:t>Carbon Herald</w:t>
      </w:r>
      <w:r>
        <w:t xml:space="preserve">    </w:t>
      </w:r>
      <w:r>
        <w:rPr>
          <w:b/>
        </w:rPr>
        <w:t xml:space="preserve">Pub date: </w:t>
      </w:r>
      <w:r>
        <w:t>2026-03-11 10:21:36+00:00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84">
        <w:r>
          <w:rPr>
            <w:color w:val="1155CC"/>
            <w:u w:val="single"/>
          </w:rPr>
          <w:t>ClimeFi发布2026年关于耐久碳去除市场的见解</w:t>
        </w:r>
      </w:hyperlink>
    </w:p>
    <w:p>
      <w:pPr>
        <w:spacing w:before="0" w:after="80"/>
      </w:pPr>
      <w:r>
        <w:rPr>
          <w:i/>
          <w:sz w:val="20"/>
        </w:rPr>
        <w:t>EN: ClimeFi Publishes 2026 Insights On The Durable Carbon Removal Market</w:t>
      </w:r>
    </w:p>
    <w:p>
      <w:pPr>
        <w:spacing w:before="0" w:after="120"/>
      </w:pPr>
      <w:r>
        <w:rPr>
          <w:b/>
        </w:rPr>
        <w:t xml:space="preserve">Source: </w:t>
      </w:r>
      <w:r>
        <w:t>Carbon Herald</w:t>
      </w:r>
      <w:r>
        <w:t xml:space="preserve">    </w:t>
      </w:r>
      <w:r>
        <w:rPr>
          <w:b/>
        </w:rPr>
        <w:t xml:space="preserve">Pub date: </w:t>
      </w:r>
      <w:r>
        <w:t>2026-03-11 10:33:14+00:00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5">
        <w:r>
          <w:rPr>
            <w:color w:val="1155CC"/>
            <w:u w:val="single"/>
          </w:rPr>
          <w:t>[ASAP] 使用原位拉曼光谱空间映射CO2碱性吸附剂的扩散微环境</w:t>
        </w:r>
      </w:hyperlink>
    </w:p>
    <w:p>
      <w:pPr>
        <w:spacing w:before="0" w:after="80"/>
      </w:pPr>
      <w:r>
        <w:rPr>
          <w:i/>
          <w:sz w:val="20"/>
        </w:rPr>
        <w:t>EN: [ASAP] Spatially Mapping the CO2 Alkaline Sorbent Diffuse Microenvironment Using Operando Raman Spectroscopy</w:t>
      </w:r>
    </w:p>
    <w:p>
      <w:pPr>
        <w:spacing w:before="0" w:after="120"/>
      </w:pPr>
      <w:r>
        <w:rPr>
          <w:b/>
        </w:rPr>
        <w:t xml:space="preserve">Source: </w:t>
      </w:r>
      <w:r>
        <w:t>ACS Energy Letters: Latest Articles (ACS Publications)</w:t>
      </w:r>
      <w:r>
        <w:t xml:space="preserve">    </w:t>
      </w:r>
      <w:r>
        <w:rPr>
          <w:b/>
        </w:rPr>
        <w:t xml:space="preserve">Pub date: </w:t>
      </w:r>
      <w:r>
        <w:t>2026-03-11 12:06:59+00:00</w:t>
      </w:r>
      <w:r>
        <w:t xml:space="preserve">    </w:t>
      </w:r>
      <w:r>
        <w:rPr>
          <w:b/>
        </w:rPr>
        <w:t xml:space="preserve">DOI: </w:t>
      </w:r>
      <w:hyperlink r:id="rId186">
        <w:r>
          <w:rPr>
            <w:color w:val="1155CC"/>
            <w:u w:val="single"/>
          </w:rPr>
          <w:t>10.1021/acsenergylett.5c04139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87">
        <w:r>
          <w:rPr>
            <w:color w:val="1155CC"/>
            <w:u w:val="single"/>
          </w:rPr>
          <w:t>BURN获得尼日利亚授权向CORSIA出售碳信用</w:t>
        </w:r>
      </w:hyperlink>
    </w:p>
    <w:p>
      <w:pPr>
        <w:spacing w:before="0" w:after="80"/>
      </w:pPr>
      <w:r>
        <w:rPr>
          <w:i/>
          <w:sz w:val="20"/>
        </w:rPr>
        <w:t>EN: BURN Secures Nigeria’s Authorization To Sell Carbon Credits To CORSIA</w:t>
      </w:r>
    </w:p>
    <w:p>
      <w:pPr>
        <w:spacing w:before="0" w:after="120"/>
      </w:pPr>
      <w:r>
        <w:rPr>
          <w:b/>
        </w:rPr>
        <w:t xml:space="preserve">Source: </w:t>
      </w:r>
      <w:r>
        <w:t>Carbon Herald</w:t>
      </w:r>
      <w:r>
        <w:t xml:space="preserve">    </w:t>
      </w:r>
      <w:r>
        <w:rPr>
          <w:b/>
        </w:rPr>
        <w:t xml:space="preserve">Pub date: </w:t>
      </w:r>
      <w:r>
        <w:t>2026-03-12 06:51:30+00:00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88">
        <w:r>
          <w:rPr>
            <w:color w:val="1155CC"/>
            <w:u w:val="single"/>
          </w:rPr>
          <w:t>Carbon Centric的Kirkenær BECCS项目成功推进认证</w:t>
        </w:r>
      </w:hyperlink>
    </w:p>
    <w:p>
      <w:pPr>
        <w:spacing w:before="0" w:after="80"/>
      </w:pPr>
      <w:r>
        <w:rPr>
          <w:i/>
          <w:sz w:val="20"/>
        </w:rPr>
        <w:t>EN: Carbon Centric’s Kirkenær BECCS Project Successfully Advances Towards Certification</w:t>
      </w:r>
    </w:p>
    <w:p>
      <w:pPr>
        <w:spacing w:before="0" w:after="120"/>
      </w:pPr>
      <w:r>
        <w:rPr>
          <w:b/>
        </w:rPr>
        <w:t xml:space="preserve">Source: </w:t>
      </w:r>
      <w:r>
        <w:t>Carbon Herald</w:t>
      </w:r>
      <w:r>
        <w:t xml:space="preserve">    </w:t>
      </w:r>
      <w:r>
        <w:rPr>
          <w:b/>
        </w:rPr>
        <w:t xml:space="preserve">Pub date: </w:t>
      </w:r>
      <w:r>
        <w:t>2026-03-12 11:30:37+00:00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89">
        <w:r>
          <w:rPr>
            <w:color w:val="1155CC"/>
            <w:u w:val="single"/>
          </w:rPr>
          <w:t>通过整体加热增强塑料废物热解催化生产碳纳米管</w:t>
        </w:r>
      </w:hyperlink>
    </w:p>
    <w:p>
      <w:pPr>
        <w:spacing w:before="0" w:after="80"/>
      </w:pPr>
      <w:r>
        <w:rPr>
          <w:i/>
          <w:sz w:val="20"/>
        </w:rPr>
        <w:t>EN: Enhancing carbon nanotubes production from pyrolysis-catalysis of plastic waste through monolithic heating</w:t>
      </w:r>
    </w:p>
    <w:p>
      <w:pPr>
        <w:spacing w:before="0" w:after="120"/>
      </w:pPr>
      <w:r>
        <w:rPr>
          <w:b/>
        </w:rPr>
        <w:t xml:space="preserve">Source: </w:t>
      </w:r>
      <w:r>
        <w:t>National Science Review Advance Access</w:t>
      </w:r>
      <w:r>
        <w:t xml:space="preserve">    </w:t>
      </w:r>
      <w:r>
        <w:rPr>
          <w:b/>
        </w:rPr>
        <w:t xml:space="preserve">Pub date: </w:t>
      </w:r>
      <w:r>
        <w:t>2026-03-09 00:00:00+00:00</w:t>
      </w:r>
      <w:r>
        <w:t xml:space="preserve">    </w:t>
      </w:r>
      <w:r>
        <w:rPr>
          <w:b/>
        </w:rPr>
        <w:t xml:space="preserve">DOI: </w:t>
      </w:r>
      <w:hyperlink r:id="rId190">
        <w:r>
          <w:rPr>
            <w:color w:val="1155CC"/>
            <w:u w:val="single"/>
          </w:rPr>
          <w:t>10.1093/nsr/nwag143</w:t>
        </w:r>
      </w:hyperlink>
    </w:p>
    <w:p>
      <w:pPr>
        <w:spacing w:before="0" w:after="120"/>
      </w:pPr>
      <w:r>
        <w:rPr>
          <w:b/>
        </w:rPr>
        <w:t xml:space="preserve">Notes: </w:t>
      </w:r>
      <w:r>
        <w:t>abstract_source=rss_oup</w:t>
      </w:r>
    </w:p>
    <w:p>
      <w:pPr>
        <w:spacing w:before="0" w:after="80" w:lineRule="auto" w:line="276"/>
      </w:pPr>
      <w:r>
        <w:rPr>
          <w:b/>
        </w:rPr>
        <w:t xml:space="preserve">摘要（ZH）: </w:t>
      </w:r>
      <w:r>
        <w:t>在这项研究中，我们开发了一种新颖的单片加热方法，利用电磁感应通过热解-催化法从塑料废料中增强碳纳米管（CNT）的生产。金属多孔催化剂，包括铁（Fe）、镍（Ni）和Fe-Ni合金，实现了快速的体积加热，提高了催化效率，并与传统方法相比减少了能量消耗。多孔Fe催化剂表现出优越的CNT产量，而Ni提供了最高的氢气（H2）产量。我们使用Fe催化剂分别实现了86%、84%和82%的低密度聚乙烯、高密度聚乙烯和聚丙烯的碳回收效率。我们的经济分析表明，从废聚乙烯和废聚丙烯生产CNT是可行的，具有经济效益。</w:t>
      </w:r>
    </w:p>
    <w:p>
      <w:pPr>
        <w:spacing w:before="0" w:after="200" w:lineRule="auto" w:line="276"/>
      </w:pPr>
      <w:r>
        <w:rPr>
          <w:b/>
        </w:rPr>
        <w:t xml:space="preserve">Abstract (EN): </w:t>
      </w:r>
      <w:r>
        <w:t>In this study, we developed a novel monolithic heating method utilizing electromagnetic induction to enhance carbon nanotube (CNT) production from plastic waste via pyrolysis-catalysis. Metal porous catalysts, including iron (Fe), nickel (Ni), and Fe-Ni alloy, enabled rapid volumetric heating, improved catalytic efficiency, and reduced energy consumption compared to conventional methods. The porous Fe catalyst demonstrated superior CNT yield, while Ni provided the highest hydrogen (H2) production. We achieved carbon recovery efficiencies of 86%, 84%, and 82% for low-density polyethylene, high-density polyethylene, and polypropylene, respectively, using the Fe catalyst. Our economic analysis indicated that CNT production from waste polyethylene and waste polypropylene is feasible, with break-even selling prices of $4.02 kg−1 and $4.87 kg−1, respectively. Our work supports the development of a circular economy by enabling the efficient conversion of plastic waste into valuable CNT and H2 via pyrolysis-catalysis.</w:t>
      </w:r>
    </w:p>
    <w:p>
      <w:pPr>
        <w:spacing w:before="120" w:after="120"/>
      </w:pPr>
      <w:r>
        <w:rPr>
          <w:sz w:val="18"/>
        </w:rPr>
        <w:t>——————————————————————————————————————————————————————————————————————</w:t>
      </w:r>
    </w:p>
    <w:p>
      <w:pPr>
        <w:spacing w:before="160" w:after="40" w:line="240" w:lineRule="auto"/>
      </w:pPr>
      <w:r>
        <w:rPr>
          <w:b/>
        </w:rPr>
        <w:t xml:space="preserve">[2] </w:t>
      </w:r>
      <w:hyperlink r:id="rId191">
        <w:r>
          <w:rPr>
            <w:color w:val="1155CC"/>
            <w:u w:val="single"/>
          </w:rPr>
          <w:t>聚碳酸酯的解聚和再利用：新兴类别、机制和挑战</w:t>
        </w:r>
      </w:hyperlink>
    </w:p>
    <w:p>
      <w:pPr>
        <w:spacing w:before="0" w:after="80"/>
      </w:pPr>
      <w:r>
        <w:rPr>
          <w:i/>
          <w:sz w:val="20"/>
        </w:rPr>
        <w:t>EN: Depolymerization and Reuse of Polycarbonates: Emerging Classes, Mechanisms and Challenges</w:t>
      </w:r>
    </w:p>
    <w:p>
      <w:pPr>
        <w:spacing w:before="0" w:after="120"/>
      </w:pPr>
      <w:r>
        <w:rPr>
          <w:b/>
        </w:rPr>
        <w:t xml:space="preserve">Source: </w:t>
      </w:r>
      <w:r>
        <w:t>Wiley: Angewandte Chemie International Edition: Table of Contents</w:t>
      </w:r>
      <w:r>
        <w:t xml:space="preserve">    </w:t>
      </w:r>
      <w:r>
        <w:rPr>
          <w:b/>
        </w:rPr>
        <w:t xml:space="preserve">Pub date: </w:t>
      </w:r>
      <w:r>
        <w:t>2026-03-11 06:19:46+00:00</w:t>
      </w:r>
      <w:r>
        <w:t xml:space="preserve">    </w:t>
      </w:r>
      <w:r>
        <w:rPr>
          <w:b/>
        </w:rPr>
        <w:t xml:space="preserve">DOI: </w:t>
      </w:r>
      <w:hyperlink r:id="rId192">
        <w:r>
          <w:rPr>
            <w:color w:val="1155CC"/>
            <w:u w:val="single"/>
          </w:rPr>
          <w:t>10.1002/anie.202600003</w:t>
        </w:r>
      </w:hyperlink>
    </w:p>
    <w:p>
      <w:pPr>
        <w:spacing w:before="0" w:after="120"/>
      </w:pPr>
      <w:r>
        <w:rPr>
          <w:b/>
        </w:rPr>
        <w:t xml:space="preserve">Notes: </w:t>
      </w:r>
      <w:r>
        <w:t>abstract_source=crossref</w:t>
      </w:r>
    </w:p>
    <w:p>
      <w:pPr>
        <w:spacing w:before="0" w:after="80" w:lineRule="auto" w:line="276"/>
      </w:pPr>
      <w:r>
        <w:rPr>
          <w:b/>
        </w:rPr>
        <w:t xml:space="preserve">摘要（ZH）: </w:t>
      </w:r>
      <w:r>
        <w:t>摘要 塑料和聚合物的高效回收是循环化学发展的一个重点。在这一领域，设计可回收的新型聚合物在满足对塑料配方日益增长的需求方面起着至关重要的作用，这些配方可以利用这种内在特性，同时使用可再生资源。在工程聚合物这个庞大而多样的家族中，聚碳酸酯（PCs）作为许多消费品的模块化组件发挥着重要作用。与PCs更可持续生产及其生命周期结束处置相关的挑战，促使人们更加负责任地使用和再利用这些大分子。本文综述了未来PC开发的关键方面，既有机械方面的</w:t>
      </w:r>
    </w:p>
    <w:p>
      <w:pPr>
        <w:spacing w:before="0" w:after="200" w:lineRule="auto" w:line="276"/>
      </w:pPr>
      <w:r>
        <w:rPr>
          <w:b/>
        </w:rPr>
        <w:t xml:space="preserve">Abstract (EN): </w:t>
      </w:r>
      <w:r>
        <w:t>The efficient recycling of plastics and polymers is a focal point within the development of circular chemistry. In this realm, the development of new types of recyclable‐by‐design polymers plays a crucial role in answering a growing need for plastic formulations that can build on this intrinsic feature while using renewable resources. Within the large and diverse family of engineering polymers, polycarbonates (PCs) play an essential role as modular components for many consumer products. Challenges related to a more sustainable production of PCs and their end‐of‐life disposal have created incentives towards a more responsible use and reuse of these macromolecules. This review focuses on key aspects that should guide future PC development, with both a mechanistic understanding of controlled degradation and identifying efficient depolymerization approaches being the major outcomes. In addition, emerging classes of polycarbonates, such as heteroatom‐containing ones are highlighted and discussed.</w:t>
      </w:r>
    </w:p>
    <w:p>
      <w:pPr>
        <w:spacing w:before="120" w:after="120"/>
      </w:pPr>
      <w:r>
        <w:rPr>
          <w:sz w:val="18"/>
        </w:rPr>
        <w:t>——————————————————————————————————————————————————————————————————————</w:t>
      </w:r>
    </w:p>
    <w:p>
      <w:pPr>
        <w:spacing w:before="160" w:after="40" w:line="240" w:lineRule="auto"/>
      </w:pPr>
      <w:r>
        <w:rPr>
          <w:b/>
        </w:rPr>
        <w:t xml:space="preserve">[3] </w:t>
      </w:r>
      <w:hyperlink r:id="rId193">
        <w:r>
          <w:rPr>
            <w:color w:val="1155CC"/>
            <w:u w:val="single"/>
          </w:rPr>
          <w:t>多米诺聚合用于合成具有任意侧链结构的还原降解聚（二硫化物）</w:t>
        </w:r>
      </w:hyperlink>
    </w:p>
    <w:p>
      <w:pPr>
        <w:spacing w:before="0" w:after="80"/>
      </w:pPr>
      <w:r>
        <w:rPr>
          <w:i/>
          <w:sz w:val="20"/>
        </w:rPr>
        <w:t>EN: Domino Polymerization for the Synthesis of Reductively Degradable Poly(disulfide)s With Arbitrary Side‐Chain Structures</w:t>
      </w:r>
    </w:p>
    <w:p>
      <w:pPr>
        <w:spacing w:before="0" w:after="120"/>
      </w:pPr>
      <w:r>
        <w:rPr>
          <w:b/>
        </w:rPr>
        <w:t xml:space="preserve">Source: </w:t>
      </w:r>
      <w:r>
        <w:t>Wiley: Angewandte Chemie International Edition: Table of Contents</w:t>
      </w:r>
      <w:r>
        <w:t xml:space="preserve">    </w:t>
      </w:r>
      <w:r>
        <w:rPr>
          <w:b/>
        </w:rPr>
        <w:t xml:space="preserve">Pub date: </w:t>
      </w:r>
      <w:r>
        <w:t>2026-03-11 06:24:48+00:00</w:t>
      </w:r>
      <w:r>
        <w:t xml:space="preserve">    </w:t>
      </w:r>
      <w:r>
        <w:rPr>
          <w:b/>
        </w:rPr>
        <w:t xml:space="preserve">DOI: </w:t>
      </w:r>
      <w:hyperlink r:id="rId194">
        <w:r>
          <w:rPr>
            <w:color w:val="1155CC"/>
            <w:u w:val="single"/>
          </w:rPr>
          <w:t>10.1002/anie.202524666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塑料的环境持久性推动了具有功能多样性的可降解聚合物的发展。聚（二硫化物）因其还原降解性和环境触发的解体而特别具有吸引力。在本研究中，我们报告了一种多米诺聚合策略，该策略能够快速和模块化地合成具有可降解主链和多样化侧链结构的功能性聚（二硫化物）。该方法利用单一单体，</w:t>
      </w:r>
      <w:r>
        <w:t xml:space="preserve"> </w:t>
      </w:r>
      <w:r>
        <w:t>N</w:t>
      </w:r>
      <w:r>
        <w:t xml:space="preserve"> </w:t>
      </w:r>
      <w:r>
        <w:t>‐(2‐氧代四氢噻吩‐3‐基)‐3‐(吡啶‐2‐基二硫代)丙酰胺（PDTL），其包含硫内酯（TL）和吡啶基二硫化物（PDS）基团。聚合通过TL环开裂与商业</w:t>
      </w:r>
    </w:p>
    <w:p>
      <w:pPr>
        <w:spacing w:before="0" w:after="200" w:lineRule="auto" w:line="276"/>
      </w:pPr>
      <w:r>
        <w:rPr>
          <w:b/>
        </w:rPr>
        <w:t xml:space="preserve">Abstract (EN): </w:t>
      </w:r>
      <w:r>
        <w:t>The environmental persistence of conventional plastics has driven the development of degradable polymers with functional versatility. Poly(disulfide)s are particularly attractive due to their reductive degradability and environmentally triggered disassembly. In this study, we report a domino polymerization strategy that enables the rapid and modular synthesis of functional poly(disulfide)s with degradable main chains and diverse side‐chain structures. This method utilizes a single monomer,</w:t>
      </w:r>
      <w:r>
        <w:t xml:space="preserve"> </w:t>
      </w:r>
      <w:r>
        <w:t>N</w:t>
      </w:r>
      <w:r>
        <w:t xml:space="preserve"> </w:t>
      </w:r>
      <w:r>
        <w:t>‐(2‐oxotetrahydrothiophen‐3‐yl)‐3‐(pyridin‐2‐yldisulfanyl)propanamide (PDTL), which contains both thiolactone (TL) and pyridyl disulfide (PDS) moieties. Polymerization is initiated by TL ring‐opening with commercially available amines, generating thiol groups that undergo disulfide exchange with PDS moieties of other monomers, resulting in chain propagation. The method accommodates primary, secondary amines, and ammonia, allowing incorporation of alkyl, allyl, propargyl, hydroxyl, carboxyl, amide, and tertiary amine functionalities. The reductive degradability of the poly(disulfide)s is confirmed using gel permeation chromatography and mass spectrometry. Furthermore, it is found that pH‐responsive properties appear in poly(disulfide)s possessing dimethylamino groups, where water solubility can be regulated in response to pH. Domino polymerization is further applied to synthesize reductively degradable poly(disulfide) gels using multi‐functional amines. This polymerization technique will lead to the development of reductively degradable polymers with various functions for use in various applications in the future.</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95">
        <w:r>
          <w:rPr>
            <w:color w:val="1155CC"/>
            <w:u w:val="single"/>
          </w:rPr>
          <w:t>纳米结构过渡金属二硫化物：能源应用中的最新进展和前景</w:t>
        </w:r>
      </w:hyperlink>
    </w:p>
    <w:p>
      <w:pPr>
        <w:spacing w:before="0" w:after="80"/>
      </w:pPr>
      <w:r>
        <w:rPr>
          <w:i/>
          <w:sz w:val="20"/>
        </w:rPr>
        <w:t>EN: Nanostructured transition metal Dichalcogenides: Recent advances and prospects in energy applications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6">
        <w:r>
          <w:rPr>
            <w:color w:val="1155CC"/>
            <w:u w:val="single"/>
          </w:rPr>
          <w:t>微电网能源系统的元启发式优化：应用、性能和迈向净零能源转型的路径</w:t>
        </w:r>
      </w:hyperlink>
    </w:p>
    <w:p>
      <w:pPr>
        <w:spacing w:before="0" w:after="80"/>
      </w:pPr>
      <w:r>
        <w:rPr>
          <w:i/>
          <w:sz w:val="20"/>
        </w:rPr>
        <w:t>EN: Metaheuristic optimization for microgrid energy systems: Applications, performance, and pathways toward net-zero energy transitions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7">
        <w:r>
          <w:rPr>
            <w:color w:val="1155CC"/>
            <w:u w:val="single"/>
          </w:rPr>
          <w:t>船已启航：通过实施欧盟ETS 2削弱欧盟气候政策合法性的风险</w:t>
        </w:r>
      </w:hyperlink>
    </w:p>
    <w:p>
      <w:pPr>
        <w:spacing w:before="0" w:after="80"/>
      </w:pPr>
      <w:r>
        <w:rPr>
          <w:i/>
          <w:sz w:val="20"/>
        </w:rPr>
        <w:t>EN: The ship has sailed: On the risk of undermining the legitimacy of EU Climate Policy through the implementation of EU ETS 2</w:t>
      </w:r>
    </w:p>
    <w:p>
      <w:pPr>
        <w:spacing w:before="0" w:after="120"/>
      </w:pPr>
      <w:r>
        <w:rPr>
          <w:b/>
        </w:rPr>
        <w:t xml:space="preserve">Source: </w:t>
      </w:r>
      <w:r>
        <w:t>ScienceDirect Publication: Energy Policy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8">
        <w:r>
          <w:rPr>
            <w:color w:val="1155CC"/>
            <w:u w:val="single"/>
          </w:rPr>
          <w:t>防止土壤下层增强硝化以保障农业生态系统的可持续性</w:t>
        </w:r>
      </w:hyperlink>
    </w:p>
    <w:p>
      <w:pPr>
        <w:spacing w:before="0" w:after="80"/>
      </w:pPr>
      <w:r>
        <w:rPr>
          <w:i/>
          <w:sz w:val="20"/>
        </w:rPr>
        <w:t>EN: Preventing subsoil enhanced nitrification to safeguard agroecosystem sustainability</w:t>
      </w:r>
    </w:p>
    <w:p>
      <w:pPr>
        <w:spacing w:before="0" w:after="120"/>
      </w:pPr>
      <w:r>
        <w:rPr>
          <w:b/>
        </w:rPr>
        <w:t xml:space="preserve">Source: </w:t>
      </w:r>
      <w:r>
        <w:t>Nature Communications</w:t>
      </w:r>
      <w:r>
        <w:t xml:space="preserve">    </w:t>
      </w:r>
      <w:r>
        <w:rPr>
          <w:b/>
        </w:rPr>
        <w:t xml:space="preserve">Pub date: </w:t>
      </w:r>
      <w:r>
        <w:t>2026-03-07 00:00:00+00:00</w:t>
      </w:r>
      <w:r>
        <w:t xml:space="preserve">    </w:t>
      </w:r>
      <w:r>
        <w:rPr>
          <w:b/>
        </w:rPr>
        <w:t xml:space="preserve">DOI: </w:t>
      </w:r>
      <w:hyperlink r:id="rId199">
        <w:r>
          <w:rPr>
            <w:color w:val="1155CC"/>
            <w:u w:val="single"/>
          </w:rPr>
          <w:t>10.1038/s41467-026-70277-7</w:t>
        </w:r>
      </w:hyperlink>
    </w:p>
    <w:p>
      <w:pPr>
        <w:spacing w:before="0" w:after="120"/>
      </w:pPr>
      <w:r>
        <w:rPr>
          <w:b/>
        </w:rPr>
        <w:t xml:space="preserve">Notes: </w:t>
      </w:r>
      <w:r>
        <w:t>abstract_source=nature_html</w:t>
      </w:r>
    </w:p>
    <w:p>
      <w:pPr>
        <w:spacing w:before="0" w:after="80" w:lineRule="auto" w:line="276"/>
      </w:pPr>
      <w:r>
        <w:rPr>
          <w:b/>
        </w:rPr>
        <w:t xml:space="preserve">摘要（ZH）: </w:t>
      </w:r>
      <w:r>
        <w:t>农田中过量施用氮肥导致硝化作用引起的氮损失，加速了土壤退化和地下水硝酸盐污染。通过综合全球氮素剖面和田间研究，我们在全球农田中识别出一个先前被忽视的“增强硝化层（ENL）”，其深度约为0.6米（范围从0.3到0.9米）。ENL的形成依赖于四个关键过程的相互作用：根系介导的氮运输（传送带）、由土壤质地维持的氧化微环境（反应室）、硝化菌群（硝化引擎）和有利的水文条件（激活开关）。这个ENL作为一个生物地球化学热点，推动了底土pH值下降和硝酸盐淋溶</w:t>
      </w:r>
    </w:p>
    <w:p>
      <w:pPr>
        <w:spacing w:before="0" w:after="200" w:lineRule="auto" w:line="276"/>
      </w:pPr>
      <w:r>
        <w:rPr>
          <w:b/>
        </w:rPr>
        <w:t xml:space="preserve">Abstract (EN): </w:t>
      </w:r>
      <w:r>
        <w:t>The excessive application of nitrogen fertilizers in croplands drives nitrification-induced nitrogen losses, accelerating soil degradation and groundwater nitrate pollution. By synthesizing global nitrogen profiles and field studies, we identify a previously overlooked “enhanced nitrification layer (ENL)” at approximately 0.6 m depth (ranging from 0.3 to 0.9 m) across global croplands. The formation of the ENL relies on the interplay of four key processes: root-mediated nitrogen transport (the conveyor belt), an oxygenated microenvironment sustained by soil texture (the reaction chamber), nitrifier communities (the nitrification engine), and favorable hydrological conditions (the activating switch). This ENL acts as a biogeochemical hotspot, driving subsoil pH declines and nitrate leaching to groundwater. Its identification establishes a precise subsurface target, expanding nitrogen management to address the critical depth of peak transformation alongside surface measures, thereby advancing agroecosystem sustainability.</w:t>
      </w:r>
    </w:p>
    <w:p>
      <w:pPr>
        <w:spacing w:before="120" w:after="120"/>
      </w:pPr>
      <w:r>
        <w:rPr>
          <w:sz w:val="18"/>
        </w:rPr>
        <w:t>——————————————————————————————————————————————————————————————————————</w:t>
      </w:r>
    </w:p>
    <w:p>
      <w:pPr>
        <w:spacing w:before="160" w:after="40" w:line="240" w:lineRule="auto"/>
      </w:pPr>
      <w:r>
        <w:rPr>
          <w:b/>
        </w:rPr>
        <w:t xml:space="preserve">[5] </w:t>
      </w:r>
      <w:hyperlink r:id="rId200">
        <w:r>
          <w:rPr>
            <w:color w:val="1155CC"/>
            <w:u w:val="single"/>
          </w:rPr>
          <w:t>用于高效氯乙烯生产的内置层级孔催化</w:t>
        </w:r>
      </w:hyperlink>
    </w:p>
    <w:p>
      <w:pPr>
        <w:spacing w:before="0" w:after="80"/>
      </w:pPr>
      <w:r>
        <w:rPr>
          <w:i/>
          <w:sz w:val="20"/>
        </w:rPr>
        <w:t>EN: Built-in tandem catalysis in hierarchical pores for efficient vinyl chloride production</w:t>
      </w:r>
    </w:p>
    <w:p>
      <w:pPr>
        <w:spacing w:before="0" w:after="120"/>
      </w:pPr>
      <w:r>
        <w:rPr>
          <w:b/>
        </w:rPr>
        <w:t xml:space="preserve">Source: </w:t>
      </w:r>
      <w:r>
        <w:t>Nature Communications</w:t>
      </w:r>
      <w:r>
        <w:t xml:space="preserve">    </w:t>
      </w:r>
      <w:r>
        <w:rPr>
          <w:b/>
        </w:rPr>
        <w:t xml:space="preserve">Pub date: </w:t>
      </w:r>
      <w:r>
        <w:t>2026-03-07 00:00:00+00:00</w:t>
      </w:r>
      <w:r>
        <w:t xml:space="preserve">    </w:t>
      </w:r>
      <w:r>
        <w:rPr>
          <w:b/>
        </w:rPr>
        <w:t xml:space="preserve">DOI: </w:t>
      </w:r>
      <w:hyperlink r:id="rId201">
        <w:r>
          <w:rPr>
            <w:color w:val="1155CC"/>
            <w:u w:val="single"/>
          </w:rPr>
          <w:t>10.1038/s41467-026-70329-y</w:t>
        </w:r>
      </w:hyperlink>
    </w:p>
    <w:p>
      <w:pPr>
        <w:spacing w:before="0" w:after="120"/>
      </w:pPr>
      <w:r>
        <w:rPr>
          <w:b/>
        </w:rPr>
        <w:t xml:space="preserve">Notes: </w:t>
      </w:r>
      <w:r>
        <w:t>abstract_source=nature_html</w:t>
      </w:r>
    </w:p>
    <w:p>
      <w:pPr>
        <w:spacing w:before="0" w:after="80" w:lineRule="auto" w:line="276"/>
      </w:pPr>
      <w:r>
        <w:rPr>
          <w:b/>
        </w:rPr>
        <w:t xml:space="preserve">摘要（ZH）: </w:t>
      </w:r>
      <w:r>
        <w:t>在不同活性位点上的串联催化经常被设计用于促进工业反应的催化效率。在此，构建了一个单一分级多孔催化剂中的内置串联系统，用于从二氯乙烯和乙炔级联生产氯乙烯。使用孔选择性填充策略，Ru、CuRu和AuRu组分依次被限制在碳材料的宏孔、中孔和微孔中。机制研究表明，二氯乙烯脱氯化氢发生在宏孔Ru位点，生成氯乙烯。H和Cl自由基在中孔CuRu位点与乙炔反应，残余乙炔在微孔AuRu位点上进行氢氯化。CuRu和AuRu在富含VCM的环境中对乙炔的更强吸附能力使得乙炔</w:t>
      </w:r>
    </w:p>
    <w:p>
      <w:pPr>
        <w:spacing w:before="0" w:after="200" w:lineRule="auto" w:line="276"/>
      </w:pPr>
      <w:r>
        <w:rPr>
          <w:b/>
        </w:rPr>
        <w:t xml:space="preserve">Abstract (EN): </w:t>
      </w:r>
      <w:r>
        <w:t>Tandem catalysis over disparate active sites is frequently designed to promote the catalytic efficiency for industrial reactions. Herein, a built-in tandem system in a single hierarchical porous catalyst is constructed for vinyl chloride production from ethylene dichloride and acetylene cascade. Using a pore-selective filling strategy, Ru, CuRu, and AuRu components are sequentially confined in the macro-, meso- and micropores of carbon material. Mechanism study shows that ethylene-dichloride dehydrochlorination occurs on macropore Ru sites, generating vinyl chloride. H and Cl radicals react with acetylene on mesopore CuRu sites, and the residual acetylene is hydrochlorinated over micropore AuRu sites. The stronger acetylene adsorption of CuRu and AuRu in a VCM-rich atmosphere enables acetylene conversion near the thermodynamic limit and stable operation for 1200 h on stream. This built-in tandem catalysis in hierarchical pores provides a general paradigm for cascade reactions in a single porous catalyst.</w:t>
      </w:r>
    </w:p>
    <w:p>
      <w:pPr>
        <w:spacing w:before="120" w:after="120"/>
      </w:pPr>
      <w:r>
        <w:rPr>
          <w:sz w:val="18"/>
        </w:rPr>
        <w:t>——————————————————————————————————————————————————————————————————————</w:t>
      </w:r>
    </w:p>
    <w:p>
      <w:pPr>
        <w:spacing w:before="160" w:after="40" w:line="240" w:lineRule="auto"/>
      </w:pPr>
      <w:r>
        <w:rPr>
          <w:b/>
        </w:rPr>
        <w:t xml:space="preserve">[6] </w:t>
      </w:r>
      <w:hyperlink r:id="rId202">
        <w:r>
          <w:rPr>
            <w:color w:val="1155CC"/>
            <w:u w:val="single"/>
          </w:rPr>
          <w:t>超越孔径限制的金属有机框架中酶的动态键驱动封装</w:t>
        </w:r>
      </w:hyperlink>
    </w:p>
    <w:p>
      <w:pPr>
        <w:spacing w:before="0" w:after="80"/>
      </w:pPr>
      <w:r>
        <w:rPr>
          <w:i/>
          <w:sz w:val="20"/>
        </w:rPr>
        <w:t>EN: Dynamic bond-driven encapsulation of enzymes in metal–organic frameworks beyond pore size constraints</w:t>
      </w:r>
    </w:p>
    <w:p>
      <w:pPr>
        <w:spacing w:before="0" w:after="120"/>
      </w:pPr>
      <w:r>
        <w:rPr>
          <w:b/>
        </w:rPr>
        <w:t xml:space="preserve">Source: </w:t>
      </w:r>
      <w:r>
        <w:t>Nature Communications</w:t>
      </w:r>
      <w:r>
        <w:t xml:space="preserve">    </w:t>
      </w:r>
      <w:r>
        <w:rPr>
          <w:b/>
        </w:rPr>
        <w:t xml:space="preserve">Pub date: </w:t>
      </w:r>
      <w:r>
        <w:t>2026-03-07 00:00:00+00:00</w:t>
      </w:r>
      <w:r>
        <w:t xml:space="preserve">    </w:t>
      </w:r>
      <w:r>
        <w:rPr>
          <w:b/>
        </w:rPr>
        <w:t xml:space="preserve">DOI: </w:t>
      </w:r>
      <w:hyperlink r:id="rId203">
        <w:r>
          <w:rPr>
            <w:color w:val="1155CC"/>
            <w:u w:val="single"/>
          </w:rPr>
          <w:t>10.1038/s41467-026-70249-x</w:t>
        </w:r>
      </w:hyperlink>
    </w:p>
    <w:p>
      <w:pPr>
        <w:spacing w:before="0" w:after="120"/>
      </w:pPr>
      <w:r>
        <w:rPr>
          <w:b/>
        </w:rPr>
        <w:t xml:space="preserve">Notes: </w:t>
      </w:r>
      <w:r>
        <w:t>abstract_source=nature_html</w:t>
      </w:r>
    </w:p>
    <w:p>
      <w:pPr>
        <w:spacing w:before="0" w:after="80" w:lineRule="auto" w:line="276"/>
      </w:pPr>
      <w:r>
        <w:rPr>
          <w:b/>
        </w:rPr>
        <w:t xml:space="preserve">摘要（ZH）: </w:t>
      </w:r>
      <w:r>
        <w:t>将酶固定在金属有机框架（MOF）中是一种提高其稳定性和可重复使用性的有效方法，但大多数MOF的小孔径排除了许多工业相关酶。在此，我们提出了一种动态键介导的方法，使酶的封装超越孔径限制。我们通过将稳健的三价金属-羧酸盐簇与动态的二价金属-吡啶单元结合，构建了一系列介孔MOF。系统地改变金属组合和连接器长度，精确调整框架的稳定性和动态性，使金属-吡啶键能够可逆解离和重组。这些动态键作为分子门，允许比内在孔更大的酶渗透，同时保持框架的完整性。</w:t>
      </w:r>
    </w:p>
    <w:p>
      <w:pPr>
        <w:spacing w:before="0" w:after="200" w:lineRule="auto" w:line="276"/>
      </w:pPr>
      <w:r>
        <w:rPr>
          <w:b/>
        </w:rPr>
        <w:t xml:space="preserve">Abstract (EN): </w:t>
      </w:r>
      <w:r>
        <w:t>Immobilizing enzymes in a metal–organic framework (MOF) is an effective approach to improve their stability and reusability, but the small pore sizes of most MOFs exclude many industrially relevant enzymes. Here, we present a dynamic bond-mediated approach that enables enzyme encapsulation beyond pore size constraints. We constructed a series of mesoporous MOFs by integrating robust trivalent metal–carboxylate clusters with dynamic divalent metal–pyridyl units. Systematic variation of metal combinations and linker lengths precisely tunes the framework stability and dynamics, enabling reversible dissociation and reformation of metal–pyridyl bonds. These dynamic bonds function as molecular gates, permitting enzymes larger than the intrinsic pores to infiltrate while preserving framework integrity. The strategy was applied to encapsulate diverse enzymes, preserving high enzymatic activity and enhancing operational stability. Furthermore, it supports the co-immobilization of multi-enzyme systems, such as NahK and GlmU, for efficient cascade synthesis of high-value glycosylated donors.</w:t>
      </w:r>
    </w:p>
    <w:p>
      <w:pPr>
        <w:spacing w:before="120" w:after="120"/>
      </w:pPr>
      <w:r>
        <w:rPr>
          <w:sz w:val="18"/>
        </w:rPr>
        <w:t>——————————————————————————————————————————————————————————————————————</w:t>
      </w:r>
    </w:p>
    <w:p>
      <w:pPr>
        <w:spacing w:before="160" w:after="40" w:line="240" w:lineRule="auto"/>
      </w:pPr>
      <w:r>
        <w:rPr>
          <w:b/>
        </w:rPr>
        <w:t xml:space="preserve">[7] </w:t>
      </w:r>
      <w:hyperlink r:id="rId204">
        <w:r>
          <w:rPr>
            <w:color w:val="1155CC"/>
            <w:u w:val="single"/>
          </w:rPr>
          <w:t>高熵氧化物在可逆质子陶瓷电池应用中的进展</w:t>
        </w:r>
      </w:hyperlink>
    </w:p>
    <w:p>
      <w:pPr>
        <w:spacing w:before="0" w:after="80"/>
      </w:pPr>
      <w:r>
        <w:rPr>
          <w:i/>
          <w:sz w:val="20"/>
        </w:rPr>
        <w:t>EN: Advances in high-entropy oxides for reversible protonic ceramic cells applications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05">
        <w:r>
          <w:rPr>
            <w:color w:val="1155CC"/>
            <w:u w:val="single"/>
          </w:rPr>
          <w:t>配体工程为脂肪醇的高效电催化氧化定制疏水微环境</w:t>
        </w:r>
      </w:hyperlink>
    </w:p>
    <w:p>
      <w:pPr>
        <w:spacing w:before="0" w:after="80"/>
      </w:pPr>
      <w:r>
        <w:rPr>
          <w:i/>
          <w:sz w:val="20"/>
        </w:rPr>
        <w:t>EN: Ligand engineering tailors hydrophobic microenvironments for efficient electrocatalytic oxidation of fatty alcohol</w:t>
      </w:r>
    </w:p>
    <w:p>
      <w:pPr>
        <w:spacing w:before="0" w:after="120"/>
      </w:pPr>
      <w:r>
        <w:rPr>
          <w:b/>
        </w:rPr>
        <w:t xml:space="preserve">Source: </w:t>
      </w:r>
      <w:r>
        <w:t>Nature Communications</w:t>
      </w:r>
      <w:r>
        <w:t xml:space="preserve">    </w:t>
      </w:r>
      <w:r>
        <w:rPr>
          <w:b/>
        </w:rPr>
        <w:t xml:space="preserve">Pub date: </w:t>
      </w:r>
      <w:r>
        <w:t>2026-03-07 00:00:00+00:00</w:t>
      </w:r>
      <w:r>
        <w:t xml:space="preserve">    </w:t>
      </w:r>
      <w:r>
        <w:rPr>
          <w:b/>
        </w:rPr>
        <w:t xml:space="preserve">DOI: </w:t>
      </w:r>
      <w:hyperlink r:id="rId206">
        <w:r>
          <w:rPr>
            <w:color w:val="1155CC"/>
            <w:u w:val="single"/>
          </w:rPr>
          <w:t>10.1038/s41467-026-70501-4</w:t>
        </w:r>
      </w:hyperlink>
    </w:p>
    <w:p>
      <w:pPr>
        <w:spacing w:before="0" w:after="120"/>
      </w:pPr>
      <w:r>
        <w:rPr>
          <w:b/>
        </w:rPr>
        <w:t xml:space="preserve">Notes: </w:t>
      </w:r>
      <w:r>
        <w:t>abstract_source=nature_html</w:t>
      </w:r>
    </w:p>
    <w:p>
      <w:pPr>
        <w:spacing w:before="0" w:after="80" w:lineRule="auto" w:line="276"/>
      </w:pPr>
      <w:r>
        <w:rPr>
          <w:b/>
        </w:rPr>
        <w:t xml:space="preserve">摘要（ZH）: </w:t>
      </w:r>
      <w:r>
        <w:t>脂肪醇在水性电解质中的固有低溶解性对电催化氧化施加了关键的质量传输限制。传统的阳极电催化剂通常由于其亲水性而表现出较差的活性，并伴随严重的氧气析出反应。在此，我们提出了一种利用镍基金属有机框架（Ni-MOFs）构建疏水微环境的配体工程策略。精确调节有机配体的芳香结构，通过π-π堆积相互作用促进脂肪醇的局部富集并增强结构稳健性。因此，优化的Ni-MOF在辛醇氧化方面表现出比Ni(OH)2更高的活性，实现了三倍的生产率并显著提高。</w:t>
      </w:r>
    </w:p>
    <w:p>
      <w:pPr>
        <w:spacing w:before="0" w:after="200" w:lineRule="auto" w:line="276"/>
      </w:pPr>
      <w:r>
        <w:rPr>
          <w:b/>
        </w:rPr>
        <w:t xml:space="preserve">Abstract (EN): </w:t>
      </w:r>
      <w:r>
        <w:t>The intrinsically low solubility of fatty alcohols in aqueous electrolytes imposes critical mass transport limitations for electrocatalytic oxidation. Conventional anodic electrocatalysts typically suffer from poor activity along with severe oxygen evolution reaction due to their hydrophilicity. Here, we present a ligand engineering strategy utilizing nickel-based metal-organic frameworks (Ni-MOFs) to construct hydrophobic microenvironments. Precise modulation of the aromatic structures of organic ligands promotes local enrichment of fatty alcohols and enhances structural robustness through π-π stacking interactions. Consequently, the optimized Ni-MOF exhibits enhanced activity for octanol oxidation compared to Ni(OH)2, achieving a threefold higher production rate and significantly improved Faradaic efficiency (84.7% versus 30.8%). The octanoic acid production rate is competitive with that of state-of-the-art thermocatalytic aerobic oxidation. This work highlights a general design principle for hydrophobic microenvironment to overcome mass transport barriers in organic electrocatalysis, demonstrating its potential for practical applications.</w:t>
      </w:r>
    </w:p>
    <w:p>
      <w:pPr>
        <w:spacing w:before="120" w:after="120"/>
      </w:pPr>
      <w:r>
        <w:rPr>
          <w:sz w:val="18"/>
        </w:rPr>
        <w:t>——————————————————————————————————————————————————————————————————————</w:t>
      </w:r>
    </w:p>
    <w:p>
      <w:pPr>
        <w:spacing w:before="160" w:after="40" w:line="240" w:lineRule="auto"/>
      </w:pPr>
      <w:r>
        <w:rPr>
          <w:b/>
        </w:rPr>
        <w:t xml:space="preserve">[9] </w:t>
      </w:r>
      <w:hyperlink r:id="rId207">
        <w:r>
          <w:rPr>
            <w:color w:val="1155CC"/>
            <w:u w:val="single"/>
          </w:rPr>
          <w:t>更正：欧洲ETS-2的区域不平等 [能源政策 208 (2026) 114891]</w:t>
        </w:r>
      </w:hyperlink>
    </w:p>
    <w:p>
      <w:pPr>
        <w:spacing w:before="0" w:after="80"/>
      </w:pPr>
      <w:r>
        <w:rPr>
          <w:i/>
          <w:sz w:val="20"/>
        </w:rPr>
        <w:t>EN: Corrigendum to: Regional inequality of the European ETS-2 [Energy policy 208 (2026) 114891]</w:t>
      </w:r>
    </w:p>
    <w:p>
      <w:pPr>
        <w:spacing w:before="0" w:after="120"/>
      </w:pPr>
      <w:r>
        <w:rPr>
          <w:b/>
        </w:rPr>
        <w:t xml:space="preserve">Source: </w:t>
      </w:r>
      <w:r>
        <w:t>ScienceDirect Publication: Energy Policy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08">
        <w:r>
          <w:rPr>
            <w:color w:val="1155CC"/>
            <w:u w:val="single"/>
          </w:rPr>
          <w:t>基于引导的可再生能源社区住宅灵活性：法国的小规模案例研究</w:t>
        </w:r>
      </w:hyperlink>
    </w:p>
    <w:p>
      <w:pPr>
        <w:spacing w:before="0" w:after="80"/>
      </w:pPr>
      <w:r>
        <w:rPr>
          <w:i/>
          <w:sz w:val="20"/>
        </w:rPr>
        <w:t>EN: Nudging based residential flexibility in a renewable energy community: a small scale case study in France</w:t>
      </w:r>
    </w:p>
    <w:p>
      <w:pPr>
        <w:spacing w:before="0" w:after="120"/>
      </w:pPr>
      <w:r>
        <w:rPr>
          <w:b/>
        </w:rPr>
        <w:t xml:space="preserve">Source: </w:t>
      </w:r>
      <w:r>
        <w:t>ScienceDirect Publication: Energy Policy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09">
        <w:r>
          <w:rPr>
            <w:color w:val="1155CC"/>
            <w:u w:val="single"/>
          </w:rPr>
          <w:t>墨西哥的能源十字路口：驾驭复杂的转型</w:t>
        </w:r>
      </w:hyperlink>
    </w:p>
    <w:p>
      <w:pPr>
        <w:spacing w:before="0" w:after="80"/>
      </w:pPr>
      <w:r>
        <w:rPr>
          <w:i/>
          <w:sz w:val="20"/>
        </w:rPr>
        <w:t>EN: Mexico’s energy crossroads: Navigating a complex transition</w:t>
      </w:r>
    </w:p>
    <w:p>
      <w:pPr>
        <w:spacing w:before="0" w:after="120"/>
      </w:pPr>
      <w:r>
        <w:rPr>
          <w:b/>
        </w:rPr>
        <w:t xml:space="preserve">Source: </w:t>
      </w:r>
      <w:r>
        <w:t>ScienceDirect Publication: Energy Policy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10">
        <w:r>
          <w:rPr>
            <w:color w:val="1155CC"/>
            <w:u w:val="single"/>
          </w:rPr>
          <w:t>通过三种群协同进化框架进行大规模风电场布局的约束多模态多目标优化</w:t>
        </w:r>
      </w:hyperlink>
    </w:p>
    <w:p>
      <w:pPr>
        <w:spacing w:before="0" w:after="80"/>
      </w:pPr>
      <w:r>
        <w:rPr>
          <w:i/>
          <w:sz w:val="20"/>
        </w:rPr>
        <w:t>EN: Constrained multimodal multi-objective optimization for large-scale wind farm layout by tri-population coevolutionary framework</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1">
        <w:r>
          <w:rPr>
            <w:color w:val="1155CC"/>
            <w:u w:val="single"/>
          </w:rPr>
          <w:t>城市发展与能源转型：中国城市的证据</w:t>
        </w:r>
      </w:hyperlink>
    </w:p>
    <w:p>
      <w:pPr>
        <w:spacing w:before="0" w:after="80"/>
      </w:pPr>
      <w:r>
        <w:rPr>
          <w:i/>
          <w:sz w:val="20"/>
        </w:rPr>
        <w:t>EN: Urban development and the energy transition: Evidence from Chinese cities</w:t>
      </w:r>
    </w:p>
    <w:p>
      <w:pPr>
        <w:spacing w:before="0" w:after="120"/>
      </w:pPr>
      <w:r>
        <w:rPr>
          <w:b/>
        </w:rPr>
        <w:t xml:space="preserve">Source: </w:t>
      </w:r>
      <w:r>
        <w:t>ScienceDirect Publication: Energy Policy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12">
        <w:r>
          <w:rPr>
            <w:color w:val="1155CC"/>
            <w:u w:val="single"/>
          </w:rPr>
          <w:t>环孢菌素A稳定衣壳蛋白p72以促进非洲猪瘟病毒复制</w:t>
        </w:r>
      </w:hyperlink>
    </w:p>
    <w:p>
      <w:pPr>
        <w:spacing w:before="0" w:after="80"/>
      </w:pPr>
      <w:r>
        <w:rPr>
          <w:i/>
          <w:sz w:val="20"/>
        </w:rPr>
        <w:t>EN: Cyclophilin A stabilizes the capsid protein p72 to facilitate African swine fever virus replication</w:t>
      </w:r>
    </w:p>
    <w:p>
      <w:pPr>
        <w:spacing w:before="0" w:after="120"/>
      </w:pPr>
      <w:r>
        <w:rPr>
          <w:b/>
        </w:rPr>
        <w:t xml:space="preserve">Source: </w:t>
      </w:r>
      <w:r>
        <w:t>Nature Communications</w:t>
      </w:r>
      <w:r>
        <w:t xml:space="preserve">    </w:t>
      </w:r>
      <w:r>
        <w:rPr>
          <w:b/>
        </w:rPr>
        <w:t xml:space="preserve">Pub date: </w:t>
      </w:r>
      <w:r>
        <w:t>2026-03-07 00:00:00+00:00</w:t>
      </w:r>
      <w:r>
        <w:t xml:space="preserve">    </w:t>
      </w:r>
      <w:r>
        <w:rPr>
          <w:b/>
        </w:rPr>
        <w:t xml:space="preserve">DOI: </w:t>
      </w:r>
      <w:hyperlink r:id="rId213">
        <w:r>
          <w:rPr>
            <w:color w:val="1155CC"/>
            <w:u w:val="single"/>
          </w:rPr>
          <w:t>10.1038/s41467-026-70430-2</w:t>
        </w:r>
      </w:hyperlink>
    </w:p>
    <w:p>
      <w:pPr>
        <w:spacing w:before="0" w:after="120"/>
      </w:pPr>
      <w:r>
        <w:rPr>
          <w:b/>
        </w:rPr>
        <w:t xml:space="preserve">Notes: </w:t>
      </w:r>
      <w:r>
        <w:t>abstract_source=nature_html</w:t>
      </w:r>
    </w:p>
    <w:p>
      <w:pPr>
        <w:spacing w:before="0" w:after="80" w:lineRule="auto" w:line="276"/>
      </w:pPr>
      <w:r>
        <w:rPr>
          <w:b/>
        </w:rPr>
        <w:t xml:space="preserve">摘要（ZH）: </w:t>
      </w:r>
      <w:r>
        <w:t>非洲猪瘟病毒（ASFV）是一种对全球养猪业构成重大威胁的大型DNA病毒。其病毒体被一个主要由结构蛋白p72组成的二十面体衣壳包裹，p72约占病毒体总质量的三分之一。尽管其丰度很高，但调节p72稳定性的机制仍然知之甚少。在此，我们证明宿主介导的p72稳定化对于ASFV的有效复制至关重要。p72共沉淀的质谱分析鉴定出宿主环孢菌素A（CypA，也称为PPIA）是p72的关键结合伙伴。CypA在体外和体内与p72相互作用，特异性地通过其疏水腔与p72的暴露区域结合。CypA的相互作用通过减少p72的泛素化来稳定p72。</w:t>
      </w:r>
    </w:p>
    <w:p>
      <w:pPr>
        <w:spacing w:before="0" w:after="200" w:lineRule="auto" w:line="276"/>
      </w:pPr>
      <w:r>
        <w:rPr>
          <w:b/>
        </w:rPr>
        <w:t xml:space="preserve">Abstract (EN): </w:t>
      </w:r>
      <w:r>
        <w:t>African swine fever virus (ASFV) is a large DNA virus that poses a major threat to the global swine industry. Its virion is encapsulated by an icosahedral capsid predominantly composed of the structural protein p72, which constitutes approximately one-third of the total virion mass. Despite its abundance, the mechanisms regulating p72 stability remain poorly understood. Here, we demonstrate that host-mediated stabilization of p72 is essential for efficient ASFV replication. Mass spectrometry of p72 co-precipitates identified host cyclophilin A (CypA, also known as PPIA) as a key binding partner of p72. CypA interacts with p72 both in vitro and in vivo, specifically engaging exposed regions of p72 via its hydrophobic cavity. CypA interaction stabilizes p72 by reducing its ubiquitination and preventing proteasomal degradation, whereas cyclic CypA inhibitors destabilize p72 by disrupting this interaction and promoting its ubiquitination. Importantly, genetic or pharmacological inhibition of CypA markedly impairs ASFV replication. Mechanistically, CypA inhibition disrupts viral factory formation and virion assembly by decreasing p72 protein accumulation without affecting its transcription. Together, our findings uncover a host-dependent mechanism regulating capsid protein stability and highlight host CypA as a promising target for antiviral strategies against ASFV.</w:t>
      </w:r>
    </w:p>
    <w:p>
      <w:pPr>
        <w:spacing w:before="120" w:after="120"/>
      </w:pPr>
      <w:r>
        <w:rPr>
          <w:sz w:val="18"/>
        </w:rPr>
        <w:t>——————————————————————————————————————————————————————————————————————</w:t>
      </w:r>
    </w:p>
    <w:p>
      <w:pPr>
        <w:spacing w:before="160" w:after="40" w:line="240" w:lineRule="auto"/>
      </w:pPr>
      <w:r>
        <w:rPr>
          <w:b/>
        </w:rPr>
        <w:t xml:space="preserve">[15] </w:t>
      </w:r>
      <w:hyperlink r:id="rId214">
        <w:r>
          <w:rPr>
            <w:color w:val="1155CC"/>
            <w:u w:val="single"/>
          </w:rPr>
          <w:t>PowerMistral：利用预训练大型语言模型的数据高效风力发电预测框架</w:t>
        </w:r>
      </w:hyperlink>
    </w:p>
    <w:p>
      <w:pPr>
        <w:spacing w:before="0" w:after="80"/>
      </w:pPr>
      <w:r>
        <w:rPr>
          <w:i/>
          <w:sz w:val="20"/>
        </w:rPr>
        <w:t>EN: PowerMistral: A data-efficient wind power forecasting framework leveraging pre-trained large language models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15">
        <w:r>
          <w:rPr>
            <w:color w:val="1155CC"/>
            <w:u w:val="single"/>
          </w:rPr>
          <w:t>支持城市可再生能源社区设计的组合多目标优化模型</w:t>
        </w:r>
      </w:hyperlink>
    </w:p>
    <w:p>
      <w:pPr>
        <w:spacing w:before="0" w:after="80"/>
      </w:pPr>
      <w:r>
        <w:rPr>
          <w:i/>
          <w:sz w:val="20"/>
        </w:rPr>
        <w:t>EN: A combinatorial multi-objective optimisation model to support the design of urban renewable energy communities</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16">
        <w:r>
          <w:rPr>
            <w:color w:val="1155CC"/>
            <w:u w:val="single"/>
          </w:rPr>
          <w:t>在源负荷不确定性下使用移动储能船的多港口集成能源系统的鲁棒协调调度</w:t>
        </w:r>
      </w:hyperlink>
    </w:p>
    <w:p>
      <w:pPr>
        <w:spacing w:before="0" w:after="80"/>
      </w:pPr>
      <w:r>
        <w:rPr>
          <w:i/>
          <w:sz w:val="20"/>
        </w:rPr>
        <w:t>EN: Robust coordinated scheduling for multiple port-integrated energy systems using mobile energy storage vessels under source-load uncertainty</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17">
        <w:r>
          <w:rPr>
            <w:color w:val="1155CC"/>
            <w:u w:val="single"/>
          </w:rPr>
          <w:t>基于水泥的电池与生物炭调节的微孔网络：基础设施集成储能的解决方案</w:t>
        </w:r>
      </w:hyperlink>
    </w:p>
    <w:p>
      <w:pPr>
        <w:spacing w:before="0" w:after="80"/>
      </w:pPr>
      <w:r>
        <w:rPr>
          <w:i/>
          <w:sz w:val="20"/>
        </w:rPr>
        <w:t>EN: Cement-based batteries with biochar-tuned microporous networks: A solution to infrastructure-integrated energy storage</w:t>
      </w:r>
    </w:p>
    <w:p>
      <w:pPr>
        <w:spacing w:before="0" w:after="120"/>
      </w:pPr>
      <w:r>
        <w:rPr>
          <w:b/>
        </w:rPr>
        <w:t xml:space="preserve">Source: </w:t>
      </w:r>
      <w:r>
        <w:t>ScienceDirect Publication: Applied Energy</w:t>
      </w:r>
      <w:r>
        <w:t xml:space="preserve">    </w:t>
      </w:r>
      <w:r>
        <w:rPr>
          <w:b/>
        </w:rPr>
        <w:t xml:space="preserve">Pub date: </w:t>
      </w:r>
      <w:r>
        <w:t>2026-03-07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18">
        <w:r>
          <w:rPr>
            <w:color w:val="1155CC"/>
            <w:u w:val="single"/>
          </w:rPr>
          <w:t>钒氧化物相变滞后的机制、调控策略及应用的研究进展</w:t>
        </w:r>
      </w:hyperlink>
    </w:p>
    <w:p>
      <w:pPr>
        <w:spacing w:before="0" w:after="80"/>
      </w:pPr>
      <w:r>
        <w:rPr>
          <w:i/>
          <w:sz w:val="20"/>
        </w:rPr>
        <w:t>EN: Research Progress on Mechanisms, Regulation Strategies, and Applications of Phase Transition Hysteresis of Vanadium Dioxide</w:t>
      </w:r>
    </w:p>
    <w:p>
      <w:pPr>
        <w:spacing w:before="0" w:after="120"/>
      </w:pPr>
      <w:r>
        <w:rPr>
          <w:b/>
        </w:rPr>
        <w:t xml:space="preserve">Source: </w:t>
      </w:r>
      <w:r>
        <w:t>Wiley: Advanced Materials: Table of Contents</w:t>
      </w:r>
      <w:r>
        <w:t xml:space="preserve">    </w:t>
      </w:r>
      <w:r>
        <w:rPr>
          <w:b/>
        </w:rPr>
        <w:t xml:space="preserve">Pub date: </w:t>
      </w:r>
      <w:r>
        <w:t>2026-03-07 06:31:48+00:00</w:t>
      </w:r>
      <w:r>
        <w:t xml:space="preserve">    </w:t>
      </w:r>
      <w:r>
        <w:rPr>
          <w:b/>
        </w:rPr>
        <w:t xml:space="preserve">DOI: </w:t>
      </w:r>
      <w:hyperlink r:id="rId219">
        <w:r>
          <w:rPr>
            <w:color w:val="1155CC"/>
            <w:u w:val="single"/>
          </w:rPr>
          <w:t>10.1002/adma.202516579</w:t>
        </w:r>
      </w:hyperlink>
    </w:p>
    <w:p>
      <w:pPr>
        <w:spacing w:before="0" w:after="120"/>
      </w:pPr>
      <w:r>
        <w:rPr>
          <w:b/>
        </w:rPr>
        <w:t xml:space="preserve">Notes: </w:t>
      </w:r>
      <w:r>
        <w:t>abstract_source=pubmed</w:t>
      </w:r>
    </w:p>
    <w:p>
      <w:pPr>
        <w:spacing w:before="0" w:after="80" w:lineRule="auto" w:line="276"/>
      </w:pPr>
      <w:r>
        <w:rPr>
          <w:b/>
        </w:rPr>
        <w:t xml:space="preserve">摘要（ZH）: </w:t>
      </w:r>
      <w:r>
        <w:t>本综述系统地研究了二氧化钒（VO2）在其金属-绝缘体转变（MIT）期间的滞后行为，这是一种决定材料内在物理特性及其在功能器件中性能的基本特征。该工作全面探讨了相变滞后的物理机制，重点关注决定滞后回线形成的Peierls晶格畸变和Mott电子关联之间的相互作用。它建立了关键参数的定量表征方法，包括转变温度（Tc）、幅度（∆A）、宽度（σ）、锐度（FWHM）和滞后宽度（ΔT）。该综述深入分析了各种调制策略，如元素掺杂、离子注入、应变工程</w:t>
      </w:r>
    </w:p>
    <w:p>
      <w:pPr>
        <w:spacing w:before="0" w:after="200" w:lineRule="auto" w:line="276"/>
      </w:pPr>
      <w:r>
        <w:rPr>
          <w:b/>
        </w:rPr>
        <w:t xml:space="preserve">Abstract (EN): </w:t>
      </w:r>
      <w:r>
        <w:t>This review systematically examines the hysteresis behavior of vanadium dioxide (VO2) during its metal-insulator transition (MIT), a fundamental characteristic that governs both the material's intrinsic physical properties and its performance in functional devices. The work comprehensively addresses the physical mechanisms underlying phase transition hysteresis, focusing on the interplay between Peierls lattice distortion and Mott electronic correlation that dictates hysteresis loop formation. It establishes quantitative characterization methods for key parameters, including transition temperature (Tc), amplitude (∆A), width (σ), sharpness (FWHM), and hysteresis width (ΔT). The review thoroughly analyzes various modulation strategies such as elemental doping, ion implantation, strain engineering, and electric field control, emphasizing their synergistic effects on transition properties while acknowledging the challenges in balancing coupled parameters. Furthermore, it explores the application potential of tailored hysteresis in functional devices, where moderate hysteresis enhances stability in smart windows and memory devices, while narrow hysteresis enables ultrafast switching. The discussion extends to current challenges in parameter decoupling and non-equilibrium dynamics, along with prospects in hysteresis engineering for advanced applications in smart optoelectronics, neuromorphic computing, and 6G communications, providing valuable theoretical guidance for both fundamental understanding and practical control of VO2's phase transition behavior.</w:t>
      </w:r>
    </w:p>
    <w:p>
      <w:pPr>
        <w:spacing w:before="120" w:after="120"/>
      </w:pPr>
      <w:r>
        <w:rPr>
          <w:sz w:val="18"/>
        </w:rPr>
        <w:t>——————————————————————————————————————————————————————————————————————</w:t>
      </w:r>
    </w:p>
    <w:p>
      <w:pPr>
        <w:spacing w:before="160" w:after="40" w:line="240" w:lineRule="auto"/>
      </w:pPr>
      <w:r>
        <w:rPr>
          <w:b/>
        </w:rPr>
        <w:t xml:space="preserve">[20] </w:t>
      </w:r>
      <w:hyperlink r:id="rId220">
        <w:r>
          <w:rPr>
            <w:color w:val="1155CC"/>
            <w:u w:val="single"/>
          </w:rPr>
          <w:t>通过空间和几何应变引导Bullvalene‐PdII配合物的形状变化</w:t>
        </w:r>
      </w:hyperlink>
    </w:p>
    <w:p>
      <w:pPr>
        <w:spacing w:before="0" w:after="80"/>
      </w:pPr>
      <w:r>
        <w:rPr>
          <w:i/>
          <w:sz w:val="20"/>
        </w:rPr>
        <w:t>EN: Steering the Shape‐shifting of Bullvalene‐PdII Complexes Through Steric and Geometric Strain</w:t>
      </w:r>
    </w:p>
    <w:p>
      <w:pPr>
        <w:spacing w:before="0" w:after="120"/>
      </w:pPr>
      <w:r>
        <w:rPr>
          <w:b/>
        </w:rPr>
        <w:t xml:space="preserve">Source: </w:t>
      </w:r>
      <w:r>
        <w:t>Wiley: Angewandte Chemie International Edition: Table of Contents</w:t>
      </w:r>
      <w:r>
        <w:t xml:space="preserve">    </w:t>
      </w:r>
      <w:r>
        <w:rPr>
          <w:b/>
        </w:rPr>
        <w:t xml:space="preserve">Pub date: </w:t>
      </w:r>
      <w:r>
        <w:t>2026-03-07 06:45:18+00:00</w:t>
      </w:r>
      <w:r>
        <w:t xml:space="preserve">    </w:t>
      </w:r>
      <w:r>
        <w:rPr>
          <w:b/>
        </w:rPr>
        <w:t xml:space="preserve">DOI: </w:t>
      </w:r>
      <w:hyperlink r:id="rId221">
        <w:r>
          <w:rPr>
            <w:color w:val="1155CC"/>
            <w:u w:val="single"/>
          </w:rPr>
          <w:t>10.1002/anie.202523441</w:t>
        </w:r>
      </w:hyperlink>
    </w:p>
    <w:p>
      <w:pPr>
        <w:spacing w:before="0" w:after="120"/>
      </w:pPr>
      <w:r>
        <w:rPr>
          <w:b/>
        </w:rPr>
        <w:t xml:space="preserve">Notes: </w:t>
      </w:r>
      <w:r>
        <w:t>abstract_source=pubmed</w:t>
      </w:r>
    </w:p>
    <w:p>
      <w:pPr>
        <w:spacing w:before="0" w:after="80" w:lineRule="auto" w:line="276"/>
      </w:pPr>
      <w:r>
        <w:rPr>
          <w:b/>
        </w:rPr>
        <w:t xml:space="preserve">摘要（ZH）: </w:t>
      </w:r>
      <w:r>
        <w:t>二取代牛烯是具有多达十五种可能异构体的流动分子。它们的变形特性已在主体-客体化学、药物设计、聚合物和机电系统中得到利用。尽管如此，控制牛烯流动路径的原则，包括获得通常不被占据的异构体，仍然理解不足。在本研究中，我们阐明了乙二胺（en）顺式封端的PdII配合物中双吡啶牛烯配体的受限变形。3-取代双吡啶牛烯的能量景观在[Pd2(en)L2]配合物中仍然开放给A和B异构体，而4-和2-取代双吡啶衍生物的配位显著限制了牛烯的异构化路径。在一个案例中，螯合</w:t>
      </w:r>
    </w:p>
    <w:p>
      <w:pPr>
        <w:spacing w:before="0" w:after="200" w:lineRule="auto" w:line="276"/>
      </w:pPr>
      <w:r>
        <w:rPr>
          <w:b/>
        </w:rPr>
        <w:t xml:space="preserve">Abstract (EN): </w:t>
      </w:r>
      <w:r>
        <w:t>Di-substituted bullvalenes are fluxional molecules possessing up to fifteen possible isomers. Their shape-shifting nature has been harnessed in host-guest chemistry, drug design, polymers, and electromechanical systems. Despite this, principles for controlling the fluxional pathways of bullvalene, including access to isomers that are not normally populated, remain poorly understood. In this study, we elucidate the restricted shapeshifting of bis-pyridyl bullvalene ligands in ethylenediamine (en) cis-capped PdII complexes. The energetic landscape of 3-substituted bis-pyridyl bullvalene remains open to A and B isomers in [Pd2(en)L2] complexes, whilst the coordination of 4- and 2-substituted bis-pyridyl derivatives significantly restrict bullvalene's isomerization pathway. In one case, chelation of bis-2-pyridyl bullvalene enables access to an otherwise energetically inaccessible D-isomer. Exclusive formation of this isomer is achieved by increasing the sterics of the cis-capping ligand.</w:t>
      </w:r>
    </w:p>
    <w:p>
      <w:pPr>
        <w:spacing w:before="120" w:after="120"/>
      </w:pPr>
      <w:r>
        <w:rPr>
          <w:sz w:val="18"/>
        </w:rPr>
        <w:t>——————————————————————————————————————————————————————————————————————</w:t>
      </w:r>
    </w:p>
    <w:p>
      <w:pPr>
        <w:spacing w:before="160" w:after="40" w:line="240" w:lineRule="auto"/>
      </w:pPr>
      <w:r>
        <w:rPr>
          <w:b/>
        </w:rPr>
        <w:t xml:space="preserve">[21] </w:t>
      </w:r>
      <w:hyperlink r:id="rId222">
        <w:r>
          <w:rPr>
            <w:color w:val="1155CC"/>
            <w:u w:val="single"/>
          </w:rPr>
          <w:t>通过芳香甲脒配体的双功能化键合管理实现25.57%效率的环境印刷钙钛矿太阳能电池</w:t>
        </w:r>
      </w:hyperlink>
    </w:p>
    <w:p>
      <w:pPr>
        <w:spacing w:before="0" w:after="80"/>
      </w:pPr>
      <w:r>
        <w:rPr>
          <w:i/>
          <w:sz w:val="20"/>
        </w:rPr>
        <w:t>EN: Dual‐Functionalized Bonding Management via Aromatic Formamidine Ligands Enables 25.57%‐Efficient Ambient‐Printed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2026-03-07 06:50:02+00:00</w:t>
      </w:r>
      <w:r>
        <w:t xml:space="preserve">    </w:t>
      </w:r>
      <w:r>
        <w:rPr>
          <w:b/>
        </w:rPr>
        <w:t xml:space="preserve">DOI: </w:t>
      </w:r>
      <w:hyperlink r:id="rId223">
        <w:r>
          <w:rPr>
            <w:color w:val="1155CC"/>
            <w:u w:val="single"/>
          </w:rPr>
          <w:t>10.1002/anie.202520159</w:t>
        </w:r>
      </w:hyperlink>
    </w:p>
    <w:p>
      <w:pPr>
        <w:spacing w:before="0" w:after="120"/>
      </w:pPr>
      <w:r>
        <w:rPr>
          <w:b/>
        </w:rPr>
        <w:t xml:space="preserve">Notes: </w:t>
      </w:r>
      <w:r>
        <w:t>abstract_source=pubmed</w:t>
      </w:r>
    </w:p>
    <w:p>
      <w:pPr>
        <w:spacing w:before="0" w:after="80" w:lineRule="auto" w:line="276"/>
      </w:pPr>
      <w:r>
        <w:rPr>
          <w:b/>
        </w:rPr>
        <w:t xml:space="preserve">摘要（ZH）: </w:t>
      </w:r>
      <w:r>
        <w:t>钙钛矿太阳能电池（PSCs）的环境打印在潮湿条件下控制结晶面临严峻挑战，导致与惰性加工设备相比性能显著下降。虽然已知配体辅助配位可以调节晶体生长，但对特定化学键如何影响环境打印期间的结晶动力学的精确理解仍然难以捉摸。在此，我们揭示了一种由芳香甲脒配体启用的双功能化键合（DFB）机制，该机制在环境打印期间同时与无机框架和有机阳离子配位。关键的机制见解在于配体能够与[PbI6]4-八面体形成同时的配位键，并与甲脒离子（FA+）形成氢键</w:t>
      </w:r>
    </w:p>
    <w:p>
      <w:pPr>
        <w:spacing w:before="0" w:after="200" w:lineRule="auto" w:line="276"/>
      </w:pPr>
      <w:r>
        <w:rPr>
          <w:b/>
        </w:rPr>
        <w:t xml:space="preserve">Abstract (EN): </w:t>
      </w:r>
      <w:r>
        <w:t>Ambient printing of perovskite solar cells (PSCs) faces severe challenges in controlling crystallization under humid conditions, leading to substantial performance losses compared to inertly processed devices. While ligand-assisted coordination is known to modulate crystal growth, a precise understanding of how specific chemical bonds influence crystallization dynamics during ambient printing remains elusive. Herein, we unveil a dual-functionalized bonding (DFB) mechanism enabled by aromatic formamidine ligands that concurrently coordinate with both the inorganic framework and organic cations during ambient printing. The key mechanistic insight lies in the ability of ligands to form simultaneous coordination bonds with [PbI6]4- octahedra and hydrogen bonds with formamidinium ions (FA+), which collectively delay nucleation, suppress the δ-phase formation, and widen the recrystallization window. By incorporating an electron-deficient triazole ring into the ligand backbone, we enhance this bifunctional binding effect, leading to superior crystallization control and defect suppression. The resulting perovskite films exhibit remarkable homogeneity, low trap density, and enhanced carrier diffusion. Consequently, ambient-printed devices achieve champion power conversion efficiencies of 25.57% for 0.09 cm2, 23.98% for 1.04 cm2, and 22.98% in 5 × 5 cm2 mini-modules. The optimized devices retain over 90% of their initial performance after 1,000 h of continuous operation. This work provides a profound mechanistic framework for molecular-level crystallization control in printed photovoltaics.</w:t>
      </w:r>
    </w:p>
    <w:p>
      <w:pPr>
        <w:spacing w:before="120" w:after="120"/>
      </w:pPr>
      <w:r>
        <w:rPr>
          <w:sz w:val="18"/>
        </w:rPr>
        <w:t>——————————————————————————————————————————————————————————————————————</w:t>
      </w:r>
    </w:p>
    <w:p>
      <w:pPr>
        <w:spacing w:before="160" w:after="40" w:line="240" w:lineRule="auto"/>
      </w:pPr>
      <w:r>
        <w:rPr>
          <w:b/>
        </w:rPr>
        <w:t xml:space="preserve">[22] </w:t>
      </w:r>
      <w:hyperlink r:id="rId224">
        <w:r>
          <w:rPr>
            <w:color w:val="1155CC"/>
            <w:u w:val="single"/>
          </w:rPr>
          <w:t>自旋调节的Fe-Cu双原子催化化学实现高效Fenton类活性下催化剂消耗的显著最小化</w:t>
        </w:r>
      </w:hyperlink>
    </w:p>
    <w:p>
      <w:pPr>
        <w:spacing w:before="0" w:after="80"/>
      </w:pPr>
      <w:r>
        <w:rPr>
          <w:i/>
          <w:sz w:val="20"/>
        </w:rPr>
        <w:t>EN: Spin‐Regulated Fe‐Cu Diatomic Catalytic Chemistry Enables Significant Minimization of Catalyst Consumption With High‐Efficiency Fenton‐Like Activity</w:t>
      </w:r>
    </w:p>
    <w:p>
      <w:pPr>
        <w:spacing w:before="0" w:after="120"/>
      </w:pPr>
      <w:r>
        <w:rPr>
          <w:b/>
        </w:rPr>
        <w:t xml:space="preserve">Source: </w:t>
      </w:r>
      <w:r>
        <w:t>Wiley: Angewandte Chemie International Edition: Table of Contents</w:t>
      </w:r>
      <w:r>
        <w:t xml:space="preserve">    </w:t>
      </w:r>
      <w:r>
        <w:rPr>
          <w:b/>
        </w:rPr>
        <w:t xml:space="preserve">Pub date: </w:t>
      </w:r>
      <w:r>
        <w:t>2026-03-07 06:55:07+00:00</w:t>
      </w:r>
      <w:r>
        <w:t xml:space="preserve">    </w:t>
      </w:r>
      <w:r>
        <w:rPr>
          <w:b/>
        </w:rPr>
        <w:t xml:space="preserve">DOI: </w:t>
      </w:r>
      <w:hyperlink r:id="rId225">
        <w:r>
          <w:rPr>
            <w:color w:val="1155CC"/>
            <w:u w:val="single"/>
          </w:rPr>
          <w:t>10.1002/anie.202525747</w:t>
        </w:r>
      </w:hyperlink>
    </w:p>
    <w:p>
      <w:pPr>
        <w:spacing w:before="0" w:after="120"/>
      </w:pPr>
      <w:r>
        <w:rPr>
          <w:b/>
        </w:rPr>
        <w:t xml:space="preserve">Notes: </w:t>
      </w:r>
      <w:r>
        <w:t>abstract_source=pubmed</w:t>
      </w:r>
    </w:p>
    <w:p>
      <w:pPr>
        <w:spacing w:before="0" w:after="80" w:lineRule="auto" w:line="276"/>
      </w:pPr>
      <w:r>
        <w:rPr>
          <w:b/>
        </w:rPr>
        <w:t xml:space="preserve">摘要（ZH）: </w:t>
      </w:r>
      <w:r>
        <w:t>单原子催化剂的高成本和有限的金属负载阻碍了其在类芬顿反应中用于水处理的更广泛应用。在此，我们开发了一种负载在N掺杂碳上的Fe-Cu双原子催化剂（Fe-Cu-CN），在保持高过氧单硫酸盐（PMS）活化效率的同时实现了催化剂的最小化。通过调整不对称的Fe-Cu配位并诱导Fe从低自旋到高自旋的自旋态转变，催化剂增强了Fe 3d-O 2p电子耦合并显著提高了内在活性。Fe-Cu-CN/PMS系统实现了高效的电子转移路径用于污染物降解，在仅使用文献中常报道的催化剂剂量的10%-20%的情况下，快速去除双酚A（5分钟内100%；kobs = 1.61 min-1）</w:t>
      </w:r>
    </w:p>
    <w:p>
      <w:pPr>
        <w:spacing w:before="0" w:after="200" w:lineRule="auto" w:line="276"/>
      </w:pPr>
      <w:r>
        <w:rPr>
          <w:b/>
        </w:rPr>
        <w:t xml:space="preserve">Abstract (EN): </w:t>
      </w:r>
      <w:r>
        <w:t>The high cost and limited metal loading of single-atom catalysts hinder their broader applications in Fenton-like reaction for water treatment. Herein, we developed an Fe-Cu diatomic catalyst supported on N-doped carbon (Fe-Cu-CN) that enabled catalyst minimization while maintaining high peroxymonosulfate (PMS) activation efficiency. By tailoring asymmetric Fe-Cu coordination and inducing a spin-state transition of Fe from low-spin to high-spin, the catalyst enhanced Fe 3d-O 2p electron coupling and substantially improved intrinsic activity. The Fe-Cu-CN/PMS system enabled a highly efficient electron transfer pathway for pollutant degradation, achieving rapid bisphenol A removal (100% within 5 min; kobs = 1.61 min- 1) with only 10%-20% of the catalyst dosage commonly reported in the literature. Density functional theory calculations and electrochemical analyses revealed that heteronuclear coordination modified the spin-state of the active center, narrowing the gap between the d-band center of Fe 3d orbitals and the Fermi energy level to strengthen the electronic interaction at the reaction interface, resulting in a lower free energy barrier of PMS adsorption thermodynamically. Furthermore, the life-cycle analysis demonstrated superior environmental performance. This study provides a generalizable strategy to enhance unit catalytic activity through spin-state engineering, offering practical potential for PMS-based water treatment.</w:t>
      </w:r>
    </w:p>
    <w:p>
      <w:pPr>
        <w:spacing w:before="120" w:after="120"/>
      </w:pPr>
      <w:r>
        <w:rPr>
          <w:sz w:val="18"/>
        </w:rPr>
        <w:t>——————————————————————————————————————————————————————————————————————</w:t>
      </w:r>
    </w:p>
    <w:p>
      <w:pPr>
        <w:spacing w:before="160" w:after="40" w:line="240" w:lineRule="auto"/>
      </w:pPr>
      <w:r>
        <w:rPr>
          <w:b/>
        </w:rPr>
        <w:t xml:space="preserve">[23] </w:t>
      </w:r>
      <w:hyperlink r:id="rId226">
        <w:r>
          <w:rPr>
            <w:color w:val="1155CC"/>
            <w:u w:val="single"/>
          </w:rPr>
          <w:t>颜色保真逐步电荷转移调制实现高度高效的BT.2020兼容深蓝OLED</w:t>
        </w:r>
      </w:hyperlink>
    </w:p>
    <w:p>
      <w:pPr>
        <w:spacing w:before="0" w:after="80"/>
      </w:pPr>
      <w:r>
        <w:rPr>
          <w:i/>
          <w:sz w:val="20"/>
        </w:rPr>
        <w:t>EN: Color‐Fidelity Stepwise Charge‐Transfer Modulation Enables Highly Efficient BT.2020‐Compliant Deep‐Blue OLEDs</w:t>
      </w:r>
    </w:p>
    <w:p>
      <w:pPr>
        <w:spacing w:before="0" w:after="120"/>
      </w:pPr>
      <w:r>
        <w:rPr>
          <w:b/>
        </w:rPr>
        <w:t xml:space="preserve">Source: </w:t>
      </w:r>
      <w:r>
        <w:t>Wiley: Angewandte Chemie International Edition: Table of Contents</w:t>
      </w:r>
      <w:r>
        <w:t xml:space="preserve">    </w:t>
      </w:r>
      <w:r>
        <w:rPr>
          <w:b/>
        </w:rPr>
        <w:t xml:space="preserve">Pub date: </w:t>
      </w:r>
      <w:r>
        <w:t>2026-03-07 06:56:49+00:00</w:t>
      </w:r>
      <w:r>
        <w:t xml:space="preserve">    </w:t>
      </w:r>
      <w:r>
        <w:rPr>
          <w:b/>
        </w:rPr>
        <w:t xml:space="preserve">DOI: </w:t>
      </w:r>
      <w:hyperlink r:id="rId227">
        <w:r>
          <w:rPr>
            <w:color w:val="1155CC"/>
            <w:u w:val="single"/>
          </w:rPr>
          <w:t>10.1002/anie.8746575</w:t>
        </w:r>
      </w:hyperlink>
    </w:p>
    <w:p>
      <w:pPr>
        <w:spacing w:before="0" w:after="120"/>
      </w:pPr>
      <w:r>
        <w:rPr>
          <w:b/>
        </w:rPr>
        <w:t xml:space="preserve">Notes: </w:t>
      </w:r>
      <w:r>
        <w:t>abstract_source=pubmed</w:t>
      </w:r>
    </w:p>
    <w:p>
      <w:pPr>
        <w:spacing w:before="0" w:after="80" w:lineRule="auto" w:line="276"/>
      </w:pPr>
      <w:r>
        <w:rPr>
          <w:b/>
        </w:rPr>
        <w:t xml:space="preserve">摘要（ZH）: </w:t>
      </w:r>
      <w:r>
        <w:t>实现结合高效率与BT.2020显示标准所需严格色彩纯度的深蓝色有机发射体仍然是有机电子学中最持久的挑战之一。一个关键限制在于难以调和窄发射与有效收集单线态和三线态激子的矛盾。在此，我们引入了一种色彩保真逐步电荷转移调制策略，依次增强短程和长程电荷转移路径，抑制振动耦合以缩窄发射光谱，同时减少单线态-三线态能量差距并增强自旋轨道相互作用以加速自旋翻转过程。在这一设计原则的指导下，优化的发射体（BOCz-CzPO）实现了显著增加</w:t>
      </w:r>
    </w:p>
    <w:p>
      <w:pPr>
        <w:spacing w:before="0" w:after="200" w:lineRule="auto" w:line="276"/>
      </w:pPr>
      <w:r>
        <w:rPr>
          <w:b/>
        </w:rPr>
        <w:t xml:space="preserve">Abstract (EN): </w:t>
      </w:r>
      <w:r>
        <w:t>Achieving deep-blue organic emitters that combine high efficiency with the strict color purity required for the BT.2020 display standard remains one of the most persistent challenges in organic electronics. A key limitation arises from the difficulty of reconciling narrow emission with efficient harvesting of both singlet and triplet excitons. Here, we introduce a color-fidelity stepwise charge-transfer modulation strategy sequentially strengthens short-range and long-range charge-transfer pathways, suppresses vibrational coupling to narrow the emission spectrum, and simultaneously reduces the singlet-triplet energy gap while enhancing spin-orbit interactions to accelerate the spin-flip process. Guided by this design principle, the optimized emitter (BOCz-CzPO) achieves a markedly increased reverse intersystem crossing rate (12.5 × 103 s-1) and a near unity photoluminescence quantum yield. When incorporated into organic light-emitting diodes, BOCz-CzPO delivers one of the highest external quantum efficiencies (28.0%) among deep-blue OLEDs based on mono-boron MR frameworks with CIEy values close to the BT.2020 target, exhibiting Commission Internationale de l'Éclairage chromaticity coordinates of (0.146, 0.052) and approaching the BT.2020 deep-blue specification.</w:t>
      </w:r>
    </w:p>
    <w:p>
      <w:pPr>
        <w:spacing w:before="120" w:after="120"/>
      </w:pPr>
      <w:r>
        <w:rPr>
          <w:sz w:val="18"/>
        </w:rPr>
        <w:t>——————————————————————————————————————————————————————————————————————</w:t>
      </w:r>
    </w:p>
    <w:p>
      <w:pPr>
        <w:spacing w:before="160" w:after="40" w:line="240" w:lineRule="auto"/>
      </w:pPr>
      <w:r>
        <w:rPr>
          <w:b/>
        </w:rPr>
        <w:t xml:space="preserve">[24] </w:t>
      </w:r>
      <w:hyperlink r:id="rId228">
        <w:r>
          <w:rPr>
            <w:color w:val="1155CC"/>
            <w:u w:val="single"/>
          </w:rPr>
          <w:t>流动热解合成具有可调褶皱和电子结构的单原子催化剂用于2电子氧还原</w:t>
        </w:r>
      </w:hyperlink>
    </w:p>
    <w:p>
      <w:pPr>
        <w:spacing w:before="0" w:after="80"/>
      </w:pPr>
      <w:r>
        <w:rPr>
          <w:i/>
          <w:sz w:val="20"/>
        </w:rPr>
        <w:t>EN: Flow Pyrolysis Synthesis of Single‐Atom Catalysts With Tunable Crumple and Electronic Structures for 2‐Electron Oxygen Reduction</w:t>
      </w:r>
    </w:p>
    <w:p>
      <w:pPr>
        <w:spacing w:before="0" w:after="120"/>
      </w:pPr>
      <w:r>
        <w:rPr>
          <w:b/>
        </w:rPr>
        <w:t xml:space="preserve">Source: </w:t>
      </w:r>
      <w:r>
        <w:t>Wiley: Angewandte Chemie International Edition: Table of Contents</w:t>
      </w:r>
      <w:r>
        <w:t xml:space="preserve">    </w:t>
      </w:r>
      <w:r>
        <w:rPr>
          <w:b/>
        </w:rPr>
        <w:t xml:space="preserve">Pub date: </w:t>
      </w:r>
      <w:r>
        <w:t>2026-03-07 07:02:11+00:00</w:t>
      </w:r>
      <w:r>
        <w:t xml:space="preserve">    </w:t>
      </w:r>
      <w:r>
        <w:rPr>
          <w:b/>
        </w:rPr>
        <w:t xml:space="preserve">DOI: </w:t>
      </w:r>
      <w:hyperlink r:id="rId229">
        <w:r>
          <w:rPr>
            <w:color w:val="1155CC"/>
            <w:u w:val="single"/>
          </w:rPr>
          <w:t>10.1002/anie.8843693</w:t>
        </w:r>
      </w:hyperlink>
    </w:p>
    <w:p>
      <w:pPr>
        <w:spacing w:before="0" w:after="120"/>
      </w:pPr>
      <w:r>
        <w:rPr>
          <w:b/>
        </w:rPr>
        <w:t xml:space="preserve">Notes: </w:t>
      </w:r>
      <w:r>
        <w:t>abstract_source=pubmed</w:t>
      </w:r>
    </w:p>
    <w:p>
      <w:pPr>
        <w:spacing w:before="0" w:after="80" w:lineRule="auto" w:line="276"/>
      </w:pPr>
      <w:r>
        <w:rPr>
          <w:b/>
        </w:rPr>
        <w:t xml:space="preserve">摘要（ZH）: </w:t>
      </w:r>
      <w:r>
        <w:t>单原子催化剂（SACs）因其高金属利用效率和有趣的特性而具有吸引力。开发一种简便且通用的方法来合成具有可调几何和电子结构的SACs，对于实现其广泛应用至关重要。在此，我们报告了一种连续流喷雾热解法制备SACs（包括铁、钴、镍、铜和铂），可以控制石墨烯基底的皱褶结构和单原子位点的电子结构。值得注意的是，单原子位点的形成和基底的形态工程在单步液滴到颗粒的转化过程中同时实现。以Co SACs催化2电子氧还原反应（ORR）为代表</w:t>
      </w:r>
    </w:p>
    <w:p>
      <w:pPr>
        <w:spacing w:before="0" w:after="200" w:lineRule="auto" w:line="276"/>
      </w:pPr>
      <w:r>
        <w:rPr>
          <w:b/>
        </w:rPr>
        <w:t xml:space="preserve">Abstract (EN): </w:t>
      </w:r>
      <w:r>
        <w:t>Single-atom catalysts (SACs) are attractive due to their high metal utilization efficiency and intriguing properties. Developing a facile and general method to synthesize SACs with tunable geometric and electronic structure is critical for realizing their widespread application. Here we report a continuous-flow spray pyrolysis approach to SACs (including iron, cobalt, nickel, copper, and platinum) with control over the crumple structure of the graphene substrate and the electronic structure of the single-atom sites. Notably, the formation of single-atom sites and morphologic engineering of the substrate are simultaneously achieved within the single-step droplet-to-particle conversion process. Taking Co SACs for catalyzing the 2-electron oxygen reduction reaction (ORR) as a representative example, the Co moieties possess a deformed local geometric structure and electron deficiency that are dependent on the crumpling degree of the graphene substrate, leading to controllable ORR activity and selectivity. The optimal catalyst achieves an unprecedently high mass activity of 456 ± 4 A g-1 at 0.65 V, along with a high H2O2 selectivity of up to 97%. Furthermore, a flow-cell electrolyzer assembled with this catalyst demonstrates an averaged H2O2 productivity of 23.78 mol g-1 catalyst h-1, sustained over 120 h of operation.</w:t>
      </w:r>
    </w:p>
    <w:p>
      <w:pPr>
        <w:spacing w:before="120" w:after="120"/>
      </w:pPr>
      <w:r>
        <w:rPr>
          <w:sz w:val="18"/>
        </w:rPr>
        <w:t>——————————————————————————————————————————————————————————————————————</w:t>
      </w:r>
    </w:p>
    <w:p>
      <w:pPr>
        <w:spacing w:before="160" w:after="40" w:line="240" w:lineRule="auto"/>
      </w:pPr>
      <w:r>
        <w:rPr>
          <w:b/>
        </w:rPr>
        <w:t xml:space="preserve">[25] </w:t>
      </w:r>
      <w:hyperlink r:id="rId230">
        <w:r>
          <w:rPr>
            <w:color w:val="1155CC"/>
            <w:u w:val="single"/>
          </w:rPr>
          <w:t>从人文学科到生命科学的跨学科化学在理解复杂性和涌现中的作用</w:t>
        </w:r>
      </w:hyperlink>
    </w:p>
    <w:p>
      <w:pPr>
        <w:spacing w:before="0" w:after="80"/>
      </w:pPr>
      <w:r>
        <w:rPr>
          <w:i/>
          <w:sz w:val="20"/>
        </w:rPr>
        <w:t>EN: The Role of Chemistry Across Disciplines From Humanities to Life Sciences in Understanding Complexity and Emergence</w:t>
      </w:r>
    </w:p>
    <w:p>
      <w:pPr>
        <w:spacing w:before="0" w:after="120"/>
      </w:pPr>
      <w:r>
        <w:rPr>
          <w:b/>
        </w:rPr>
        <w:t xml:space="preserve">Source: </w:t>
      </w:r>
      <w:r>
        <w:t>Wiley: Angewandte Chemie International Edition: Table of Contents</w:t>
      </w:r>
      <w:r>
        <w:t xml:space="preserve">    </w:t>
      </w:r>
      <w:r>
        <w:rPr>
          <w:b/>
        </w:rPr>
        <w:t xml:space="preserve">Pub date: </w:t>
      </w:r>
      <w:r>
        <w:t>2026-03-07 07:05:37+00:00</w:t>
      </w:r>
      <w:r>
        <w:t xml:space="preserve">    </w:t>
      </w:r>
      <w:r>
        <w:rPr>
          <w:b/>
        </w:rPr>
        <w:t xml:space="preserve">DOI: </w:t>
      </w:r>
      <w:hyperlink r:id="rId231">
        <w:r>
          <w:rPr>
            <w:color w:val="1155CC"/>
            <w:u w:val="single"/>
          </w:rPr>
          <w:t>10.1002/anie.202523427</w:t>
        </w:r>
      </w:hyperlink>
    </w:p>
    <w:p>
      <w:pPr>
        <w:spacing w:before="0" w:after="120"/>
      </w:pPr>
      <w:r>
        <w:rPr>
          <w:b/>
        </w:rPr>
        <w:t xml:space="preserve">Notes: </w:t>
      </w:r>
      <w:r>
        <w:t>abstract_source=pubmed</w:t>
      </w:r>
    </w:p>
    <w:p>
      <w:pPr>
        <w:spacing w:before="0" w:after="80" w:lineRule="auto" w:line="276"/>
      </w:pPr>
      <w:r>
        <w:rPr>
          <w:b/>
        </w:rPr>
        <w:t xml:space="preserve">摘要（ZH）: </w:t>
      </w:r>
      <w:r>
        <w:t>一组来自人文学科、经济学、社会科学、自然科学和生命科学的研究人员制定了一个可以跨学科应用的复杂性和涌现性主题的定义。在此，讨论了化学和生物化学中的复杂性和涌现性概念，以促进自然科学、生命科学与哲学之间的对话。尽管化学研究经常采用还原主义策略，但分子及其相关功能的性质表现出无法仅从其原子成分推断的涌现特性。装配理论和Manfred Eigen的工作提供了量化和预测化学中涌现性的方法，特别是与生命起源和演化相关的方面。本综述强调了生命的化学前提条件</w:t>
      </w:r>
    </w:p>
    <w:p>
      <w:pPr>
        <w:spacing w:before="0" w:after="200" w:lineRule="auto" w:line="276"/>
      </w:pPr>
      <w:r>
        <w:rPr>
          <w:b/>
        </w:rPr>
        <w:t xml:space="preserve">Abstract (EN): </w:t>
      </w:r>
      <w:r>
        <w:t>A group of researchers from the humanities, economics, social sciences, natural and life science developed a definition of the topics complexity and emergence that can be applied across disciplines. Here, concepts of complexity and emergence in chemistry and biochemistry are discussed, to promote a discourse between the natural and life sciences and philosophy. Although chemical research often employs reductionist strategies, the properties of molecules and their linked functions exhibit emergent properties that cannot be inferred solely from their atomic constituents. Assembly theory and the work of Manfred Eigen offer ways to quantify and predict emergence in chemistry, particularly in relation to the origins and evolution of life. This review emphasizes the chemical prerequisites for life, such as the formation of natural products, the emergence of nucleic acids that carry information, and the functional roles of proteins. From a philosophical standpoint, modern ontology provides a means of understanding reality that is both process-based and subject-independent. By integrating chemistry, biology and philosophy, the synopsis of this review addresses the predictive, post facto and historically unique aspects of complex systems, offering a conceptual framework for comprehending the emergence of molecular function and the evolution of living systems.</w:t>
      </w:r>
    </w:p>
    <w:p>
      <w:pPr>
        <w:spacing w:before="120" w:after="120"/>
      </w:pPr>
      <w:r>
        <w:rPr>
          <w:sz w:val="18"/>
        </w:rPr>
        <w:t>——————————————————————————————————————————————————————————————————————</w:t>
      </w:r>
    </w:p>
    <w:p>
      <w:pPr>
        <w:spacing w:before="160" w:after="40" w:line="240" w:lineRule="auto"/>
      </w:pPr>
      <w:r>
        <w:rPr>
          <w:b/>
        </w:rPr>
        <w:t xml:space="preserve">[26] </w:t>
      </w:r>
      <w:hyperlink r:id="rId232">
        <w:r>
          <w:rPr>
            <w:color w:val="1155CC"/>
            <w:u w:val="single"/>
          </w:rPr>
          <w:t>氧化损伤微调人类基因启动子中的G-四链体结构</w:t>
        </w:r>
      </w:hyperlink>
    </w:p>
    <w:p>
      <w:pPr>
        <w:spacing w:before="0" w:after="80"/>
      </w:pPr>
      <w:r>
        <w:rPr>
          <w:i/>
          <w:sz w:val="20"/>
        </w:rPr>
        <w:t>EN: Oxidative Damage Fine‐Tunes G‐Quadruplex Structures in Human Gene Promoters</w:t>
      </w:r>
    </w:p>
    <w:p>
      <w:pPr>
        <w:spacing w:before="0" w:after="120"/>
      </w:pPr>
      <w:r>
        <w:rPr>
          <w:b/>
        </w:rPr>
        <w:t xml:space="preserve">Source: </w:t>
      </w:r>
      <w:r>
        <w:t>Wiley: Angewandte Chemie International Edition: Table of Contents</w:t>
      </w:r>
      <w:r>
        <w:t xml:space="preserve">    </w:t>
      </w:r>
      <w:r>
        <w:rPr>
          <w:b/>
        </w:rPr>
        <w:t xml:space="preserve">Pub date: </w:t>
      </w:r>
      <w:r>
        <w:t>2026-03-07 07:11:50+00:00</w:t>
      </w:r>
      <w:r>
        <w:t xml:space="preserve">    </w:t>
      </w:r>
      <w:r>
        <w:rPr>
          <w:b/>
        </w:rPr>
        <w:t xml:space="preserve">DOI: </w:t>
      </w:r>
      <w:hyperlink r:id="rId233">
        <w:r>
          <w:rPr>
            <w:color w:val="1155CC"/>
            <w:u w:val="single"/>
          </w:rPr>
          <w:t>10.1002/anie.202526126</w:t>
        </w:r>
      </w:hyperlink>
    </w:p>
    <w:p>
      <w:pPr>
        <w:spacing w:before="0" w:after="120"/>
      </w:pPr>
      <w:r>
        <w:rPr>
          <w:b/>
        </w:rPr>
        <w:t xml:space="preserve">Notes: </w:t>
      </w:r>
      <w:r>
        <w:t>abstract_source=pubmed</w:t>
      </w:r>
    </w:p>
    <w:p>
      <w:pPr>
        <w:spacing w:before="0" w:after="80" w:lineRule="auto" w:line="276"/>
      </w:pPr>
      <w:r>
        <w:rPr>
          <w:b/>
        </w:rPr>
        <w:t xml:space="preserve">摘要（ZH）: </w:t>
      </w:r>
      <w:r>
        <w:t>氧化损伤可以将鸟嘌呤（G）转化为8-氧鸟嘌呤（O8G），导致基因表达改变和基因组不稳定。然而，其潜在的分子机制仍然知之甚少。在此，我们展示了NEIL3基因近端启动子序列形成了一种平行和混合G-四链体结构（NEIL3-G4s）的混合物，表现出固有的结构多态性。令人惊讶的是，特定位点的O8G修饰显著减少了这种多态性，促进了平行或（3+1）混合-1 G4拓扑结构的稳定化。单个G到O8G的替换足以引发从平行到（3+1）混合-1 G4的明显结构转变，突显了O8G对G4介导的表观遗传调控的深远影响。我们已经确定了NMR溶液结构</w:t>
      </w:r>
    </w:p>
    <w:p>
      <w:pPr>
        <w:spacing w:before="0" w:after="200" w:lineRule="auto" w:line="276"/>
      </w:pPr>
      <w:r>
        <w:rPr>
          <w:b/>
        </w:rPr>
        <w:t xml:space="preserve">Abstract (EN): </w:t>
      </w:r>
      <w:r>
        <w:t>Oxidative damage can convert guanine (G) into 8-oxoguanine (O8G), resulting in altered gene expression and genome instability. However, the underlying molecular mechanisms remain poorly understood. Herein, we show that the NEIL3 gene proximal promoter sequence forms a mixture of parallel and hybrid G-quadruplex structures (NEIL3-G4s), exhibiting intrinsic structural polymorphism. Strikingly, site-specific O8G modifications significantly reduce this polymorphism, promoting the stabilization of either the parallel or the (3+1) hybrid-1 G4 topology. A single G-to-O8G substitution is sufficient to trigger a clear structural transition from the parallel to the (3+1) hybrid-1 G4, highlighting the profound impact of O8G on G4-mediated epigenetic regulation. We have determined the NMR solution structures of both native and O8G-modified NEIL3-G4s, providing mechanistic insights into how O8G induces specific G4 structural rearrangements. Functional analysis demonstrates that both forms of NEIL3-G4s can form in extended DNA contexts and inhibit DNA polymerase activity. Under oxidative stress, the formation of NEIL3-G4s correlates with elevated NEIL3 gene expression, suggesting that they play a role as sensors of oxidative damage and function as molecular switches for gene upregulation. Collectively, these findings underscore the crucial role of O8G-induced G4 structural plasticity in the cellular response to oxidative stress and in regulating gene expression.</w:t>
      </w:r>
    </w:p>
    <w:p>
      <w:pPr>
        <w:spacing w:before="120" w:after="120"/>
      </w:pPr>
      <w:r>
        <w:rPr>
          <w:sz w:val="18"/>
        </w:rPr>
        <w:t>——————————————————————————————————————————————————————————————————————</w:t>
      </w:r>
    </w:p>
    <w:p>
      <w:pPr>
        <w:spacing w:before="160" w:after="40" w:line="240" w:lineRule="auto"/>
      </w:pPr>
      <w:r>
        <w:rPr>
          <w:b/>
        </w:rPr>
        <w:t xml:space="preserve">[27] </w:t>
      </w:r>
      <w:hyperlink r:id="rId234">
        <w:r>
          <w:rPr>
            <w:color w:val="1155CC"/>
            <w:u w:val="single"/>
          </w:rPr>
          <w:t>喷雾冷冻模板化垂直梯度大孔气凝胶膜用于超高通量过滤多分散微塑料</w:t>
        </w:r>
      </w:hyperlink>
    </w:p>
    <w:p>
      <w:pPr>
        <w:spacing w:before="0" w:after="80"/>
      </w:pPr>
      <w:r>
        <w:rPr>
          <w:i/>
          <w:sz w:val="20"/>
        </w:rPr>
        <w:t>EN: Spray‐Freezing‐Templated Vertically‐Graded Macroporous Aerogel Membranes for Ultrahigh‐Flux Filtration of Polydisperse Microplastics</w:t>
      </w:r>
    </w:p>
    <w:p>
      <w:pPr>
        <w:spacing w:before="0" w:after="120"/>
      </w:pPr>
      <w:r>
        <w:rPr>
          <w:b/>
        </w:rPr>
        <w:t xml:space="preserve">Source: </w:t>
      </w:r>
      <w:r>
        <w:t>Wiley: Advanced Materials: Table of Contents</w:t>
      </w:r>
      <w:r>
        <w:t xml:space="preserve">    </w:t>
      </w:r>
      <w:r>
        <w:rPr>
          <w:b/>
        </w:rPr>
        <w:t xml:space="preserve">Pub date: </w:t>
      </w:r>
      <w:r>
        <w:t>2026-03-07 07:45:28+00:00</w:t>
      </w:r>
      <w:r>
        <w:t xml:space="preserve">    </w:t>
      </w:r>
      <w:r>
        <w:rPr>
          <w:b/>
        </w:rPr>
        <w:t xml:space="preserve">DOI: </w:t>
      </w:r>
      <w:hyperlink r:id="rId235">
        <w:r>
          <w:rPr>
            <w:color w:val="1155CC"/>
            <w:u w:val="single"/>
          </w:rPr>
          <w:t>10.1002/adma.202522069</w:t>
        </w:r>
      </w:hyperlink>
    </w:p>
    <w:p>
      <w:pPr>
        <w:spacing w:before="0" w:after="120"/>
      </w:pPr>
      <w:r>
        <w:rPr>
          <w:b/>
        </w:rPr>
        <w:t xml:space="preserve">Notes: </w:t>
      </w:r>
      <w:r>
        <w:t>abstract_source=pubmed</w:t>
      </w:r>
    </w:p>
    <w:p>
      <w:pPr>
        <w:spacing w:before="0" w:after="80" w:lineRule="auto" w:line="276"/>
      </w:pPr>
      <w:r>
        <w:rPr>
          <w:b/>
        </w:rPr>
        <w:t xml:space="preserve">摘要（ZH）: </w:t>
      </w:r>
      <w:r>
        <w:t>膜结构和功能的垂直梯度对于实现高过滤效率、精确的尺寸选择性和增强的抗污染性能至关重要。然而，制造具有受控微孔尺寸分布和方向功能的垂直梯度膜在可扩展性和可重复性方面仍然是一个重大挑战。在此，通过一步温度梯度控制的喷雾冷冻过程制备了一种梯度气凝胶（GE）膜，该过程协同控制基板温度、悬浮液流速和喷嘴到基板的距离，以匹配固化前沿速度与液滴积累动力学。该方法在顶部表面生成无缝的孔隙梯度，从约100 µm到基底的约3 µm。</w:t>
      </w:r>
    </w:p>
    <w:p>
      <w:pPr>
        <w:spacing w:before="0" w:after="200" w:lineRule="auto" w:line="276"/>
      </w:pPr>
      <w:r>
        <w:rPr>
          <w:b/>
        </w:rPr>
        <w:t xml:space="preserve">Abstract (EN): </w:t>
      </w:r>
      <w:r>
        <w:t>Vertical gradients in membrane structure and functionality are critical for achieving high filtration efficiency, precise size selectivity, and enhanced anti-fouling properties. However, the fabrication of vertically graded membranes with controlled micro-pore size distribution and directional functionality remains a significant challenge in both scalability and reproducibility. Herein, a gradient aerogel (GE) membrane was fabricated via a one-step temperature-gradient-controlled spray-freezing process that synergistically controls substrate temperature, suspension flow rate, and nozzle-to-substrate distance to match solidification front velocity with droplet accumulation dynamics. This approach generates a seamless pore gradient from ∼100 µm at the top surface down to ∼3 µm at the base, containing restrictive pore throats as small as ∼0.2 µm. The resulting GE membrane delivers ultra-high flux of 35 586 and 25 479 L m- 2 h- 1 bar- 1 for 10 and 5 µm microplastics, respectively, with &gt;99.7% retention. Crucially, in sediment-rich environments, the GE membrane outperforms commercial counterparts, where its hierarchical architecture effectively manages sediment load to sustain significantly higher flux and retention efficiency for polydisperse microplastics (1-10 µm). This scalable platform technology provides a versatile foundation for next-generation separation materials and multifunctional composite architectures.</w:t>
      </w:r>
    </w:p>
    <w:p>
      <w:pPr>
        <w:spacing w:before="120" w:after="120"/>
      </w:pPr>
      <w:r>
        <w:rPr>
          <w:sz w:val="18"/>
        </w:rPr>
        <w:t>——————————————————————————————————————————————————————————————————————</w:t>
      </w:r>
    </w:p>
    <w:p>
      <w:pPr>
        <w:spacing w:before="160" w:after="40" w:line="240" w:lineRule="auto"/>
      </w:pPr>
      <w:r>
        <w:rPr>
          <w:b/>
        </w:rPr>
        <w:t xml:space="preserve">[28] </w:t>
      </w:r>
      <w:hyperlink r:id="rId236">
        <w:r>
          <w:rPr>
            <w:color w:val="1155CC"/>
            <w:u w:val="single"/>
          </w:rPr>
          <w:t>用于声源检测的智能声电超材料（IAM）</w:t>
        </w:r>
      </w:hyperlink>
    </w:p>
    <w:p>
      <w:pPr>
        <w:spacing w:before="0" w:after="80"/>
      </w:pPr>
      <w:r>
        <w:rPr>
          <w:i/>
          <w:sz w:val="20"/>
        </w:rPr>
        <w:t>EN: Intelligent Acousto‐Electrical Metamaterials (IAM) for Sound Source Detection</w:t>
      </w:r>
    </w:p>
    <w:p>
      <w:pPr>
        <w:spacing w:before="0" w:after="120"/>
      </w:pPr>
      <w:r>
        <w:rPr>
          <w:b/>
        </w:rPr>
        <w:t xml:space="preserve">Source: </w:t>
      </w:r>
      <w:r>
        <w:t>Wiley: Advanced Materials: Table of Contents</w:t>
      </w:r>
      <w:r>
        <w:t xml:space="preserve">    </w:t>
      </w:r>
      <w:r>
        <w:rPr>
          <w:b/>
        </w:rPr>
        <w:t xml:space="preserve">Pub date: </w:t>
      </w:r>
      <w:r>
        <w:t>2026-03-07 07:47:17+00:00</w:t>
      </w:r>
      <w:r>
        <w:t xml:space="preserve">    </w:t>
      </w:r>
      <w:r>
        <w:rPr>
          <w:b/>
        </w:rPr>
        <w:t xml:space="preserve">DOI: </w:t>
      </w:r>
      <w:hyperlink r:id="rId237">
        <w:r>
          <w:rPr>
            <w:color w:val="1155CC"/>
            <w:u w:val="single"/>
          </w:rPr>
          <w:t>10.1002/adma.202513205</w:t>
        </w:r>
      </w:hyperlink>
    </w:p>
    <w:p>
      <w:pPr>
        <w:spacing w:before="0" w:after="120"/>
      </w:pPr>
      <w:r>
        <w:rPr>
          <w:b/>
        </w:rPr>
        <w:t xml:space="preserve">Notes: </w:t>
      </w:r>
      <w:r>
        <w:t>abstract_source=pubmed</w:t>
      </w:r>
    </w:p>
    <w:p>
      <w:pPr>
        <w:spacing w:before="0" w:after="80" w:lineRule="auto" w:line="276"/>
      </w:pPr>
      <w:r>
        <w:rPr>
          <w:b/>
        </w:rPr>
        <w:t xml:space="preserve">摘要（ZH）: </w:t>
      </w:r>
      <w:r>
        <w:t>声学换能器对于物体定位和环境感知至关重要。传统换能器依赖于压电晶体，其声电响应由晶格的固有不对称性和取向固定。这导致静态耦合行为，需要笨重的刚性元件阵列，复杂的布线和高计算需求以实现方向感知。在此，我们报告了一种全新的声电耦合类别，它源于3D微结构压电超材料中的拓扑控制电荷传输。与单晶不同，这些结构化材料表现出动态的、几何驱动的机电响应。声波激发多个耦合振动模式，从而实现选择性放大、抑制。</w:t>
      </w:r>
    </w:p>
    <w:p>
      <w:pPr>
        <w:spacing w:before="0" w:after="200" w:lineRule="auto" w:line="276"/>
      </w:pPr>
      <w:r>
        <w:rPr>
          <w:b/>
        </w:rPr>
        <w:t xml:space="preserve">Abstract (EN): </w:t>
      </w:r>
      <w:r>
        <w:t>Acoustic transducers are essential for object localization and environmental sensing. Conventional transducers rely on piezoelectric crystals, whose acoustic-electric response is fixed by the crystal lattice's inherent asymmetry and orientation. This results in static coupling behavior, necessitating bulky arrays of rigid elements with complex wiring and high computational demands for directional sensing. Here, we report a fundamentally new class of acoustic-electric coupling that emerges from topology-governed charge transport in 3D micro-architected piezoelectric metamaterials. Unlike single crystals, these architected materials exhibit dynamic, geometry-driven electromechanical responses. Acoustic waves excite multiple coupled vibration modes, enabling selective amplification, suppression, or reversal of charge flow based on the incident wave's frequency, direction, and the material's topology. This tunable, symmetry-breaking response is encoded not in the chemistry but in the architecture-representing a shift from crystal-defined to structure-programmed piezoelectricity. We further demonstrate that a single metamaterial transducer can perform frequency-dependent beam shaping without changing aperture size or requiring mechanical adjustment. Combined with machine learning and 3D printing, these intelligent acousto-electrical metamaterials (IAM) enable real-time localization of multiple moving sound sources. This approach lays the foundation for compact, adaptive, and intelligent acoustic sensing systems across a range of applications-from autonomous vehicles to medical imaging and underwater robotics.</w:t>
      </w:r>
    </w:p>
    <w:p>
      <w:pPr>
        <w:spacing w:before="120" w:after="120"/>
      </w:pPr>
      <w:r>
        <w:rPr>
          <w:sz w:val="18"/>
        </w:rPr>
        <w:t>——————————————————————————————————————————————————————————————————————</w:t>
      </w:r>
    </w:p>
    <w:p>
      <w:pPr>
        <w:spacing w:before="160" w:after="40" w:line="240" w:lineRule="auto"/>
      </w:pPr>
      <w:r>
        <w:rPr>
          <w:b/>
        </w:rPr>
        <w:t xml:space="preserve">[29] </w:t>
      </w:r>
      <w:hyperlink r:id="rId238">
        <w:r>
          <w:rPr>
            <w:color w:val="1155CC"/>
            <w:u w:val="single"/>
          </w:rPr>
          <w:t>通过芳基偶氮吡唑功能化羟丙基纤维素的光致变色胆甾液晶</w:t>
        </w:r>
      </w:hyperlink>
    </w:p>
    <w:p>
      <w:pPr>
        <w:spacing w:before="0" w:after="80"/>
      </w:pPr>
      <w:r>
        <w:rPr>
          <w:i/>
          <w:sz w:val="20"/>
        </w:rPr>
        <w:t>EN: Photochromic Cholesteric Liquid Crystals via Arylazopyrazole Functionalization of Hydroxypropyl Cellulose</w:t>
      </w:r>
    </w:p>
    <w:p>
      <w:pPr>
        <w:spacing w:before="0" w:after="120"/>
      </w:pPr>
      <w:r>
        <w:rPr>
          <w:b/>
        </w:rPr>
        <w:t xml:space="preserve">Source: </w:t>
      </w:r>
      <w:r>
        <w:t>Wiley: Advanced Materials: Table of Contents</w:t>
      </w:r>
      <w:r>
        <w:t xml:space="preserve">    </w:t>
      </w:r>
      <w:r>
        <w:rPr>
          <w:b/>
        </w:rPr>
        <w:t xml:space="preserve">Pub date: </w:t>
      </w:r>
      <w:r>
        <w:t>2026-03-07 07:55:57+00:00</w:t>
      </w:r>
      <w:r>
        <w:t xml:space="preserve">    </w:t>
      </w:r>
      <w:r>
        <w:rPr>
          <w:b/>
        </w:rPr>
        <w:t xml:space="preserve">DOI: </w:t>
      </w:r>
      <w:hyperlink r:id="rId239">
        <w:r>
          <w:rPr>
            <w:color w:val="1155CC"/>
            <w:u w:val="single"/>
          </w:rPr>
          <w:t>10.1002/adma.202520457</w:t>
        </w:r>
      </w:hyperlink>
    </w:p>
    <w:p>
      <w:pPr>
        <w:spacing w:before="0" w:after="120"/>
      </w:pPr>
      <w:r>
        <w:rPr>
          <w:b/>
        </w:rPr>
        <w:t xml:space="preserve">Notes: </w:t>
      </w:r>
      <w:r>
        <w:t>abstract_source=pubmed</w:t>
      </w:r>
    </w:p>
    <w:p>
      <w:pPr>
        <w:spacing w:before="0" w:after="80" w:lineRule="auto" w:line="276"/>
      </w:pPr>
      <w:r>
        <w:rPr>
          <w:b/>
        </w:rPr>
        <w:t xml:space="preserve">摘要（ZH）: </w:t>
      </w:r>
      <w:r>
        <w:t>光致变色材料在低功耗比色传感器、可重复使用显示器和动态光学元件方面具有吸引力。将光开关引入胆甾液晶介相可以实现结构色的光诱导转变。虽然纤维素醚（如羟丙基纤维素，HPC）由于其丰富性、水溶性和形成结构色胆甾液晶的能力而构成光子功能材料的有前途的基础，但它们本身并不对入射辐射作出反应。在此，我们将光响应性引入纤维素手性向列介相中，以创建一种新型光致变色材料，能够精确控制显示的结构色的空间分布。为此，我们用不同量的高</w:t>
      </w:r>
    </w:p>
    <w:p>
      <w:pPr>
        <w:spacing w:before="0" w:after="200" w:lineRule="auto" w:line="276"/>
      </w:pPr>
      <w:r>
        <w:rPr>
          <w:b/>
        </w:rPr>
        <w:t xml:space="preserve">Abstract (EN): </w:t>
      </w:r>
      <w:r>
        <w:t>Photochromic materials are of interest for low-power colorimetric sensors, reusable displays, and dynamic optical components. Incorporating photoswitches into cholesteric liquid crystalline mesophases can enable photo-induced shifts in structural color. While cellulose ethers, such as hydroxypropyl cellulose (HPC), constitute a promising basis for photonic functional materials, due to their abundance, water solubility, and ability to form structurally colored cholesteric liquid crystals, they do not innately respond to incident irradiation. Here, we introduce light-responsiveness into cellulosic chiral nematic mesophases to create a novel photochromic material with precise spatial control over the displayed structural color. For this purpose, we substitute HPC with varying amounts of a highly stable arylazopyrazole (AAP) side chain capable of rapid photoswitching and investigate how AAP influences the reflection wavelength. We observe that even a small AAP degree of substitution can lead to reversible and repeatable photoresponsive structural color under alternating UV and green light irradiation. By changing the number of AAP side groups, we adjust the magnitude of the wavelength shift from 20 to 130 nm, revealing the highly tunable behavior of these materials. Ultimately, the color of these AAP HPC cholesteric mesophases can be spatially patterned within 5 min of light exposure, demonstrating their applicability for dynamic photochromic displays.</w:t>
      </w:r>
    </w:p>
    <w:p>
      <w:pPr>
        <w:spacing w:before="120" w:after="120"/>
      </w:pPr>
      <w:r>
        <w:rPr>
          <w:sz w:val="18"/>
        </w:rPr>
        <w:t>——————————————————————————————————————————————————————————————————————</w:t>
      </w:r>
    </w:p>
    <w:p>
      <w:pPr>
        <w:spacing w:before="160" w:after="40" w:line="240" w:lineRule="auto"/>
      </w:pPr>
      <w:r>
        <w:rPr>
          <w:b/>
        </w:rPr>
        <w:t xml:space="preserve">[30] </w:t>
      </w:r>
      <w:hyperlink r:id="rId240">
        <w:r>
          <w:rPr>
            <w:color w:val="1155CC"/>
            <w:u w:val="single"/>
          </w:rPr>
          <w:t>自适应机械超表面实现电子设备的零功耗热管理（Adv. Mater. 14/2026）</w:t>
        </w:r>
      </w:hyperlink>
    </w:p>
    <w:p>
      <w:pPr>
        <w:spacing w:before="0" w:after="80"/>
      </w:pPr>
      <w:r>
        <w:rPr>
          <w:i/>
          <w:sz w:val="20"/>
        </w:rPr>
        <w:t>EN: Self‐Adaptive Mechanical Metasurface Enabling Zero‐Power‐Consumption Thermal Management of Electronic Devices (Adv. Mater. 14/2026)</w:t>
      </w:r>
    </w:p>
    <w:p>
      <w:pPr>
        <w:spacing w:before="0" w:after="120"/>
      </w:pPr>
      <w:r>
        <w:rPr>
          <w:b/>
        </w:rPr>
        <w:t xml:space="preserve">Source: </w:t>
      </w:r>
      <w:r>
        <w:t>Wiley: Advanced Materials: Table of Contents</w:t>
      </w:r>
      <w:r>
        <w:t xml:space="preserve">    </w:t>
      </w:r>
      <w:r>
        <w:rPr>
          <w:b/>
        </w:rPr>
        <w:t xml:space="preserve">Pub date: </w:t>
      </w:r>
      <w:r>
        <w:t>2026-03-07 10:11:54+00:00</w:t>
      </w:r>
      <w:r>
        <w:t xml:space="preserve">    </w:t>
      </w:r>
      <w:r>
        <w:rPr>
          <w:b/>
        </w:rPr>
        <w:t xml:space="preserve">DOI: </w:t>
      </w:r>
      <w:hyperlink r:id="rId241">
        <w:r>
          <w:rPr>
            <w:color w:val="1155CC"/>
            <w:u w:val="single"/>
          </w:rPr>
          <w:t>10.1002/adma.72535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42">
        <w:r>
          <w:rPr>
            <w:color w:val="1155CC"/>
            <w:u w:val="single"/>
          </w:rPr>
          <w:t>通过工程化可离子化脂质中的补偿力解决mRNA包封释放权衡（Adv. Mater. 14/2026）</w:t>
        </w:r>
      </w:hyperlink>
    </w:p>
    <w:p>
      <w:pPr>
        <w:spacing w:before="0" w:after="80"/>
      </w:pPr>
      <w:r>
        <w:rPr>
          <w:i/>
          <w:sz w:val="20"/>
        </w:rPr>
        <w:t>EN: Resolving the mRNA Encapsulation‐Release Trade‐off via Compensatory Forces in Engineered Ionizable Lipids (Adv. Mater. 14/2026)</w:t>
      </w:r>
    </w:p>
    <w:p>
      <w:pPr>
        <w:spacing w:before="0" w:after="120"/>
      </w:pPr>
      <w:r>
        <w:rPr>
          <w:b/>
        </w:rPr>
        <w:t xml:space="preserve">Source: </w:t>
      </w:r>
      <w:r>
        <w:t>Wiley: Advanced Materials: Table of Contents</w:t>
      </w:r>
      <w:r>
        <w:t xml:space="preserve">    </w:t>
      </w:r>
      <w:r>
        <w:rPr>
          <w:b/>
        </w:rPr>
        <w:t xml:space="preserve">Pub date: </w:t>
      </w:r>
      <w:r>
        <w:t>2026-03-07 10:11:54+00:00</w:t>
      </w:r>
      <w:r>
        <w:t xml:space="preserve">    </w:t>
      </w:r>
      <w:r>
        <w:rPr>
          <w:b/>
        </w:rPr>
        <w:t xml:space="preserve">DOI: </w:t>
      </w:r>
      <w:hyperlink r:id="rId243">
        <w:r>
          <w:rPr>
            <w:color w:val="1155CC"/>
            <w:u w:val="single"/>
          </w:rPr>
          <w:t>10.1002/adma.72536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44">
        <w:r>
          <w:rPr>
            <w:color w:val="1155CC"/>
            <w:u w:val="single"/>
          </w:rPr>
          <w:t>磁驱动和摩擦电传感的材料级集成用于自适应软体机器人平台（Adv. Mater. 14/2026）</w:t>
        </w:r>
      </w:hyperlink>
    </w:p>
    <w:p>
      <w:pPr>
        <w:spacing w:before="0" w:after="80"/>
      </w:pPr>
      <w:r>
        <w:rPr>
          <w:i/>
          <w:sz w:val="20"/>
        </w:rPr>
        <w:t>EN: Material‐Level Integration of Magnetic Actuation and Triboelectric Sensing for Adaptive Soft Robotic Platforms (Adv. Mater. 14/2026)</w:t>
      </w:r>
    </w:p>
    <w:p>
      <w:pPr>
        <w:spacing w:before="0" w:after="120"/>
      </w:pPr>
      <w:r>
        <w:rPr>
          <w:b/>
        </w:rPr>
        <w:t xml:space="preserve">Source: </w:t>
      </w:r>
      <w:r>
        <w:t>Wiley: Advanced Materials: Table of Contents</w:t>
      </w:r>
      <w:r>
        <w:t xml:space="preserve">    </w:t>
      </w:r>
      <w:r>
        <w:rPr>
          <w:b/>
        </w:rPr>
        <w:t xml:space="preserve">Pub date: </w:t>
      </w:r>
      <w:r>
        <w:t>2026-03-07 10:11:54+00:00</w:t>
      </w:r>
      <w:r>
        <w:t xml:space="preserve">    </w:t>
      </w:r>
      <w:r>
        <w:rPr>
          <w:b/>
        </w:rPr>
        <w:t xml:space="preserve">DOI: </w:t>
      </w:r>
      <w:hyperlink r:id="rId245">
        <w:r>
          <w:rPr>
            <w:color w:val="1155CC"/>
            <w:u w:val="single"/>
          </w:rPr>
          <w:t>10.1002/adma.72539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46">
        <w:r>
          <w:rPr>
            <w:color w:val="1155CC"/>
            <w:u w:val="single"/>
          </w:rPr>
          <w:t>通过非线性光响应开关在单片钙钛矿器件中实现光驱动可重构逻辑（Adv. Mater. 14/2026）</w:t>
        </w:r>
      </w:hyperlink>
    </w:p>
    <w:p>
      <w:pPr>
        <w:spacing w:before="0" w:after="80"/>
      </w:pPr>
      <w:r>
        <w:rPr>
          <w:i/>
          <w:sz w:val="20"/>
        </w:rPr>
        <w:t>EN: Light‐Driven Reconfigurable Logic in a Monolithic Perovskite Device via Nonlinear Photoresponse Switching (Adv. Mater. 14/2026)</w:t>
      </w:r>
    </w:p>
    <w:p>
      <w:pPr>
        <w:spacing w:before="0" w:after="120"/>
      </w:pPr>
      <w:r>
        <w:rPr>
          <w:b/>
        </w:rPr>
        <w:t xml:space="preserve">Source: </w:t>
      </w:r>
      <w:r>
        <w:t>Wiley: Advanced Materials: Table of Contents</w:t>
      </w:r>
      <w:r>
        <w:t xml:space="preserve">    </w:t>
      </w:r>
      <w:r>
        <w:rPr>
          <w:b/>
        </w:rPr>
        <w:t xml:space="preserve">Pub date: </w:t>
      </w:r>
      <w:r>
        <w:t>2026-03-07 10:11:54+00:00</w:t>
      </w:r>
      <w:r>
        <w:t xml:space="preserve">    </w:t>
      </w:r>
      <w:r>
        <w:rPr>
          <w:b/>
        </w:rPr>
        <w:t xml:space="preserve">DOI: </w:t>
      </w:r>
      <w:hyperlink r:id="rId247">
        <w:r>
          <w:rPr>
            <w:color w:val="1155CC"/>
            <w:u w:val="single"/>
          </w:rPr>
          <w:t>10.1002/adma.72541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48">
        <w:r>
          <w:rPr>
            <w:color w:val="1155CC"/>
            <w:u w:val="single"/>
          </w:rPr>
          <w:t>通过金属卡宾对茚的骨架编辑以获取1,2-二氢萘</w:t>
        </w:r>
      </w:hyperlink>
    </w:p>
    <w:p>
      <w:pPr>
        <w:spacing w:before="0" w:after="80"/>
      </w:pPr>
      <w:r>
        <w:rPr>
          <w:i/>
          <w:sz w:val="20"/>
        </w:rPr>
        <w:t>EN: Skeleton Editing of Indenes With Metal Carbenes to Access 1,2‐Dihydronaphthalenes</w:t>
      </w:r>
    </w:p>
    <w:p>
      <w:pPr>
        <w:spacing w:before="0" w:after="120"/>
      </w:pPr>
      <w:r>
        <w:rPr>
          <w:b/>
        </w:rPr>
        <w:t xml:space="preserve">Source: </w:t>
      </w:r>
      <w:r>
        <w:t>Wiley: Angewandte Chemie International Edition: Table of Contents</w:t>
      </w:r>
      <w:r>
        <w:t xml:space="preserve">    </w:t>
      </w:r>
      <w:r>
        <w:rPr>
          <w:b/>
        </w:rPr>
        <w:t xml:space="preserve">Pub date: </w:t>
      </w:r>
      <w:r>
        <w:t>2026-03-07 11:16:44+00:00</w:t>
      </w:r>
      <w:r>
        <w:t xml:space="preserve">    </w:t>
      </w:r>
      <w:r>
        <w:rPr>
          <w:b/>
        </w:rPr>
        <w:t xml:space="preserve">DOI: </w:t>
      </w:r>
      <w:hyperlink r:id="rId249">
        <w:r>
          <w:rPr>
            <w:color w:val="1155CC"/>
            <w:u w:val="single"/>
          </w:rPr>
          <w:t>10.1002/anie.7690506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环状骨架中的单原子插入反应引起了前所未有的关注。尽管取得了显著进展，通过碳原子插入直接编辑平面茚的骨架以生成三维1,2-二氢萘仍然未知。在此，我们报告了一种银催化的骨架编辑策略，该策略能够将功能化碳原子直接插入茚中，通过捕获由三氟甲基芳基卡宾生成的α-三氟甲基芳基卡宾，获得相应的1,2-二氢萘。这一转化操作简单，可在制备规模上进行，并提供可进一步衍生化的产物。此外，首次实现了茚的非对称单原子骨架编辑。</w:t>
      </w:r>
    </w:p>
    <w:p>
      <w:pPr>
        <w:spacing w:before="0" w:after="200" w:lineRule="auto" w:line="276"/>
      </w:pPr>
      <w:r>
        <w:rPr>
          <w:b/>
        </w:rPr>
        <w:t xml:space="preserve">Abstract (EN): </w:t>
      </w:r>
      <w:r>
        <w:t>Single‐atom insertion reactions in cyclic scaffolds have garnered unprecedented attention in recent years. Despite significant advances, the direct skeleton editing of planar indene to yield three‐dimensional 1,2‐dihydronaphthalene via carbon atom insertion remains unknown. Herein, we report a silver‐catalyzed skeletal editing strategy that enables the direct insertion of a functionalized carbon atom into indenes, accessing the corresponding 1,2‐dihydronaphthalenes by trapping of an α‐trifluoromethyl arylcarbene generated from triftosylhydrazone. This transformation is operationally simple, conducted on a preparative scale, and affords products that are amenable to further derivatization. In addition, the first asymmetric single‐atom skeleton editing of indenes was accomplished by using a chiral dirhodium catalyst. Comprehensive experimental and computational studies were performed to provide detailed insights into the mechanistic pathway and the origin of enantioselectivity.</w:t>
      </w:r>
    </w:p>
    <w:p>
      <w:pPr>
        <w:spacing w:before="120" w:after="120"/>
      </w:pPr>
      <w:r>
        <w:rPr>
          <w:sz w:val="18"/>
        </w:rPr>
        <w:t>——————————————————————————————————————————————————————————————————————</w:t>
      </w:r>
    </w:p>
    <w:p>
      <w:pPr>
        <w:spacing w:before="160" w:after="40" w:line="240" w:lineRule="auto"/>
      </w:pPr>
      <w:r>
        <w:rPr>
          <w:b/>
        </w:rPr>
        <w:t xml:space="preserve">[35] </w:t>
      </w:r>
      <w:hyperlink r:id="rId250">
        <w:r>
          <w:rPr>
            <w:color w:val="1155CC"/>
            <w:u w:val="single"/>
          </w:rPr>
          <w:t>[ASAP] 通过规则单分散偶氮苯排列实现光控基于肽的可重构折叠</w:t>
        </w:r>
      </w:hyperlink>
    </w:p>
    <w:p>
      <w:pPr>
        <w:spacing w:before="0" w:after="80"/>
      </w:pPr>
      <w:r>
        <w:rPr>
          <w:i/>
          <w:sz w:val="20"/>
        </w:rPr>
        <w:t>EN: [ASAP] Optically Controlled Peptide-Based Reconfigurable Folding via Regular Monodisperse Azobenzene 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2026-03-07 17:49:34+00:00</w:t>
      </w:r>
      <w:r>
        <w:t xml:space="preserve">    </w:t>
      </w:r>
      <w:r>
        <w:rPr>
          <w:b/>
        </w:rPr>
        <w:t xml:space="preserve">DOI: </w:t>
      </w:r>
      <w:hyperlink r:id="rId251">
        <w:r>
          <w:rPr>
            <w:color w:val="1155CC"/>
            <w:u w:val="single"/>
          </w:rPr>
          <w:t>10.1021/jacs.5c17961</w:t>
        </w:r>
      </w:hyperlink>
    </w:p>
    <w:p>
      <w:pPr>
        <w:spacing w:before="0" w:after="120"/>
      </w:pPr>
      <w:r>
        <w:rPr>
          <w:b/>
        </w:rPr>
        <w:t xml:space="preserve">Notes: </w:t>
      </w:r>
      <w:r>
        <w:t>abstract_source=pubmed</w:t>
      </w:r>
    </w:p>
    <w:p>
      <w:pPr>
        <w:spacing w:before="0" w:after="80" w:lineRule="auto" w:line="276"/>
      </w:pPr>
      <w:r>
        <w:rPr>
          <w:b/>
        </w:rPr>
        <w:t xml:space="preserve">摘要（ZH）: </w:t>
      </w:r>
      <w:r>
        <w:t>具有几何变形的可重构纳米结构为纳米技术中的经典解体-重组范式提供了一种可行的替代方案，然而，它们在基于肽的超分子纳米系统中的实现仍然具有挑战性。这种困难源于结构完整性和可重构性之间的基本冲突——这种冲突根植于框架键和可重构键之间的不充分正交性。在此，我们利用稳健的同四聚体肽卷曲螺旋将偶氮苯分子单分散且规则地排列在二维（2D）单分子平面中，创造了一种新的肽超分子系统结构，称为单层肽-AZO纳米片（MPANs）。这种设计不仅有效地解耦了纳米结构</w:t>
      </w:r>
    </w:p>
    <w:p>
      <w:pPr>
        <w:spacing w:before="0" w:after="200" w:lineRule="auto" w:line="276"/>
      </w:pPr>
      <w:r>
        <w:rPr>
          <w:b/>
        </w:rPr>
        <w:t xml:space="preserve">Abstract (EN): </w:t>
      </w:r>
      <w:r>
        <w:t>Reconfigurable nanostructures featuring geometric deformation present a viable alternative to the canonical disintegration-reassembly paradigm in nanotechnology, however, their implementation in peptide-based supramolecular nanosystems remains challenging. This difficulty stems from a fundamental conflict between structural integrity and reconfigurability─a conflict rooted in the inadequate orthogonality between the framework bonds and reconfigurable bonds. Here, we utilized robust homotetrameric peptide coiled-coils to arrange azobenzene molecules monodispersely and regularly in a two-dimensional (2D) single-molecular plane, creating a new architecture of peptide supramolecular system, called monolayered peptide-AZO nanosheets (MPANs). This design not only effectively decouples the nanostructure's framework bonds from the reconfigurable bonds of azobenzene but also ensures the parallel alignment of monodisperse azobenzene units. Consequently, azobenzene-incorporated MPANs undergo photoinduced reversible multilayer folding into three-dimensional (3D) nanostructures. Remarkably, MPANs demonstrate tailorable surface chemistries that dictate folding morphology, yielding accordion-like, carambola-shaped, and rosette pillar-shaped 3D nanostructures. This work resolves bond orthogonality issues in peptide-based supramolecular reconfiguration through the isolation and dispersion of reconfigurable bonds, and also provides a versatile strategy for constructing morphologically controllable nanostructures, thereby aiding the development of advanced peptide nanodevices.</w:t>
      </w:r>
    </w:p>
    <w:p>
      <w:pPr>
        <w:spacing w:before="120" w:after="120"/>
      </w:pPr>
      <w:r>
        <w:rPr>
          <w:sz w:val="18"/>
        </w:rPr>
        <w:t>——————————————————————————————————————————————————————————————————————</w:t>
      </w:r>
    </w:p>
    <w:p>
      <w:pPr>
        <w:spacing w:before="160" w:after="40" w:line="240" w:lineRule="auto"/>
      </w:pPr>
      <w:r>
        <w:rPr>
          <w:b/>
        </w:rPr>
        <w:t xml:space="preserve">[36] </w:t>
      </w:r>
      <w:hyperlink r:id="rId252">
        <w:r>
          <w:rPr>
            <w:color w:val="1155CC"/>
            <w:u w:val="single"/>
          </w:rPr>
          <w:t>[ASAP] 劫持肌动蛋白-液-液相分离前状态抑制恶性肿瘤侵袭和生长</w:t>
        </w:r>
      </w:hyperlink>
    </w:p>
    <w:p>
      <w:pPr>
        <w:spacing w:before="0" w:after="80"/>
      </w:pPr>
      <w:r>
        <w:rPr>
          <w:i/>
          <w:sz w:val="20"/>
        </w:rPr>
        <w:t>EN: [ASAP] Hijacking Actin-Pre-Liquid–Liquid Phase Separation Suppresses Malignant Tumor Invasion and Growth</w:t>
      </w:r>
    </w:p>
    <w:p>
      <w:pPr>
        <w:spacing w:before="0" w:after="120"/>
      </w:pPr>
      <w:r>
        <w:rPr>
          <w:b/>
        </w:rPr>
        <w:t xml:space="preserve">Source: </w:t>
      </w:r>
      <w:r>
        <w:t>Journal of the American Chemical Society: Latest Articles (ACS Publications)</w:t>
      </w:r>
      <w:r>
        <w:t xml:space="preserve">    </w:t>
      </w:r>
      <w:r>
        <w:rPr>
          <w:b/>
        </w:rPr>
        <w:t xml:space="preserve">Pub date: </w:t>
      </w:r>
      <w:r>
        <w:t>2026-03-07 17:51:37+00:00</w:t>
      </w:r>
      <w:r>
        <w:t xml:space="preserve">    </w:t>
      </w:r>
      <w:r>
        <w:rPr>
          <w:b/>
        </w:rPr>
        <w:t xml:space="preserve">DOI: </w:t>
      </w:r>
      <w:hyperlink r:id="rId253">
        <w:r>
          <w:rPr>
            <w:color w:val="1155CC"/>
            <w:u w:val="single"/>
          </w:rPr>
          <w:t>10.1021/jacs.5c19435</w:t>
        </w:r>
      </w:hyperlink>
    </w:p>
    <w:p>
      <w:pPr>
        <w:spacing w:before="0" w:after="120"/>
      </w:pPr>
      <w:r>
        <w:rPr>
          <w:b/>
        </w:rPr>
        <w:t xml:space="preserve">Notes: </w:t>
      </w:r>
      <w:r>
        <w:t>abstract_source=pubmed</w:t>
      </w:r>
    </w:p>
    <w:p>
      <w:pPr>
        <w:spacing w:before="0" w:after="80" w:lineRule="auto" w:line="276"/>
      </w:pPr>
      <w:r>
        <w:rPr>
          <w:b/>
        </w:rPr>
        <w:t xml:space="preserve">摘要（ZH）: </w:t>
      </w:r>
      <w:r>
        <w:t>细胞骨架是细胞迁移和增殖过程中不可或缺的组成部分，依赖于细胞内蛋白质的区域化编程——液-液相分离（LLPS），使细胞能够在表型之间转换以决定其迁移和繁殖的命运。然而，精确操控G/F-肌动蛋白极具挑战性，目前缺乏有效的直接调控措施来干预细胞的生理和病理过程。在此，通过LLPS可视化实验，我们揭示了细胞内通过LLPS储存和调节细胞质G-肌动蛋白的机制。基于细胞质中储存的G-肌动蛋白与活性G-肌动蛋白之间的转换机制，G-肌动蛋白的LLPS形成液滴以参与</w:t>
      </w:r>
    </w:p>
    <w:p>
      <w:pPr>
        <w:spacing w:before="0" w:after="200" w:lineRule="auto" w:line="276"/>
      </w:pPr>
      <w:r>
        <w:rPr>
          <w:b/>
        </w:rPr>
        <w:t xml:space="preserve">Abstract (EN): </w:t>
      </w:r>
      <w:r>
        <w:t>The cytoskeleton, an indispensable component during cell migration and proliferation, relies on the regionalized programming of intracellular proteins─liquid-liquid phase separation (LLPS) that enables cells to shift between phenotypes to determine their fate of migration and reproduction. However, the precise manipulation of the G/F-actin is extremely challenging, and effective direct regulatory measures are currently lacking to intervene in the physiological and pathological processes of cells. Herein, through LLPS visualization experiments, we reveal a storage and regulatory mechanism of cytoplasmic G-actin in cells via LLPS. Based on the conversion mechanism between stored G-actin and active G-actin within the free actin pool in the cytoplasm, G-actin's LLPS forms droplets to participate in cellular activities. Furthermore, based on orthogonal disulfide chemistry reactions, we developed a cross-linker capable of altering the formation of actin bioaggregates. By screening targeted modification groups and backbone libraries, we designed the penicillamine-linked 4Arm-PEG (4Arm-Pen) capable of cross-linking with actin. Visualization of LLPS reversal intra- and extracellularly, 4Arm-Pen target proteomics, and mathematical modeling of F-actin polymerization kinetics collectively confirm that 4Arm-Pen not only cross-links G-actin, impeding droplet formation, but also influences the polymerization kinetics of F-actin, causing the cells to lose their invasive capacity. Furthermore, we demonstrated that G-actin depletion induced by cross-linking renders cancer cells immotile and triggers alterations in endogenous cellular mechanical parameters. Collectively, these findings provide deeper insights into the analysis and modulation of G-actin LLPS in cells, paving a path toward promising therapeutic strategies for cancer treatment.</w:t>
      </w:r>
    </w:p>
    <w:p>
      <w:pPr>
        <w:spacing w:before="120" w:after="120"/>
      </w:pPr>
      <w:r>
        <w:rPr>
          <w:sz w:val="18"/>
        </w:rPr>
        <w:t>——————————————————————————————————————————————————————————————————————</w:t>
      </w:r>
    </w:p>
    <w:p>
      <w:pPr>
        <w:spacing w:before="160" w:after="40" w:line="240" w:lineRule="auto"/>
      </w:pPr>
      <w:r>
        <w:rPr>
          <w:b/>
        </w:rPr>
        <w:t xml:space="preserve">[37] </w:t>
      </w:r>
      <w:hyperlink r:id="rId254">
        <w:r>
          <w:rPr>
            <w:color w:val="1155CC"/>
            <w:u w:val="single"/>
          </w:rPr>
          <w:t>每月HIV药物注射提供了每日药片的有效替代方案</w:t>
        </w:r>
      </w:hyperlink>
    </w:p>
    <w:p>
      <w:pPr>
        <w:spacing w:before="0" w:after="80"/>
      </w:pPr>
      <w:r>
        <w:rPr>
          <w:i/>
          <w:sz w:val="20"/>
        </w:rPr>
        <w:t>EN: Monthly HIV-drug injections offer potent alternative to daily tablets</w:t>
      </w:r>
    </w:p>
    <w:p>
      <w:pPr>
        <w:spacing w:before="0" w:after="120"/>
      </w:pPr>
      <w:r>
        <w:rPr>
          <w:b/>
        </w:rPr>
        <w:t xml:space="preserve">Source: </w:t>
      </w:r>
      <w:r>
        <w:t>Nature</w:t>
      </w:r>
      <w:r>
        <w:t xml:space="preserve">    </w:t>
      </w:r>
      <w:r>
        <w:rPr>
          <w:b/>
        </w:rPr>
        <w:t xml:space="preserve">Pub date: </w:t>
      </w:r>
      <w:r>
        <w:t>2026-03-08 00:00:00+00:00</w:t>
      </w:r>
      <w:r>
        <w:t xml:space="preserve">    </w:t>
      </w:r>
      <w:r>
        <w:rPr>
          <w:b/>
        </w:rPr>
        <w:t xml:space="preserve">DOI: </w:t>
      </w:r>
      <w:hyperlink r:id="rId255">
        <w:r>
          <w:rPr>
            <w:color w:val="1155CC"/>
            <w:u w:val="single"/>
          </w:rPr>
          <w:t>10.1038/d41586-026-00669-8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256">
        <w:r>
          <w:rPr>
            <w:color w:val="1155CC"/>
            <w:u w:val="single"/>
          </w:rPr>
          <w:t>用于建筑能耗预测的隐私保护迁移学习框架，完全匿名化数据</w:t>
        </w:r>
      </w:hyperlink>
    </w:p>
    <w:p>
      <w:pPr>
        <w:spacing w:before="0" w:after="80"/>
      </w:pPr>
      <w:r>
        <w:rPr>
          <w:i/>
          <w:sz w:val="20"/>
        </w:rPr>
        <w:t>EN: Privacy-preserving transfer learning framework for building energy forecasting with fully anonymized data</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57">
        <w:r>
          <w:rPr>
            <w:color w:val="1155CC"/>
            <w:u w:val="single"/>
          </w:rPr>
          <w:t>表征住宅电气化的不确定性：财务可行性、气候影响和健康结果</w:t>
        </w:r>
      </w:hyperlink>
    </w:p>
    <w:p>
      <w:pPr>
        <w:spacing w:before="0" w:after="80"/>
      </w:pPr>
      <w:r>
        <w:rPr>
          <w:i/>
          <w:sz w:val="20"/>
        </w:rPr>
        <w:t>EN: Characterizing uncertainties in residential electrification: Financial feasibility, climate impacts, and health outcomes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58">
        <w:r>
          <w:rPr>
            <w:color w:val="1155CC"/>
            <w:u w:val="single"/>
          </w:rPr>
          <w:t>能源商品市场的波动性建模：对冲击的响应及走向弹性和可持续性的路径综述</w:t>
        </w:r>
      </w:hyperlink>
    </w:p>
    <w:p>
      <w:pPr>
        <w:spacing w:before="0" w:after="80"/>
      </w:pPr>
      <w:r>
        <w:rPr>
          <w:i/>
          <w:sz w:val="20"/>
        </w:rPr>
        <w:t>EN: Volatility modeling in energy commodity markets: A review of responses to shocks and the path towards resiliency and sustainability</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59">
        <w:r>
          <w:rPr>
            <w:color w:val="1155CC"/>
            <w:u w:val="single"/>
          </w:rPr>
          <w:t>物联网支持的能源-移动性集成互操作性：协议、平台和标准的系统综述</w:t>
        </w:r>
      </w:hyperlink>
    </w:p>
    <w:p>
      <w:pPr>
        <w:spacing w:before="0" w:after="80"/>
      </w:pPr>
      <w:r>
        <w:rPr>
          <w:i/>
          <w:sz w:val="20"/>
        </w:rPr>
        <w:t>EN: IoT-enabled interoperability for energy-mobility integration: A systematic review of protocols, platforms, and standards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60">
        <w:r>
          <w:rPr>
            <w:color w:val="1155CC"/>
            <w:u w:val="single"/>
          </w:rPr>
          <w:t>集成电力-天然气系统的分层网络物理防御策略应对攻击引发的故障传播</w:t>
        </w:r>
      </w:hyperlink>
    </w:p>
    <w:p>
      <w:pPr>
        <w:spacing w:before="0" w:after="80"/>
      </w:pPr>
      <w:r>
        <w:rPr>
          <w:i/>
          <w:sz w:val="20"/>
        </w:rPr>
        <w:t>EN: Hierarchical cyber–physical defense strategy for integrated electricity–gas systems under attack-induced fault propagation</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61">
        <w:r>
          <w:rPr>
            <w:color w:val="1155CC"/>
            <w:u w:val="single"/>
          </w:rPr>
          <w:t>融合因果推断和可解释AI：碳市场中的动态机制和极端事件模拟</w:t>
        </w:r>
      </w:hyperlink>
    </w:p>
    <w:p>
      <w:pPr>
        <w:spacing w:before="0" w:after="80"/>
      </w:pPr>
      <w:r>
        <w:rPr>
          <w:i/>
          <w:sz w:val="20"/>
        </w:rPr>
        <w:t>EN: Fusing causal inference and explainable AI: dynamic mechanisms and extreme event simulation in carbon markets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62">
        <w:r>
          <w:rPr>
            <w:color w:val="1155CC"/>
            <w:u w:val="single"/>
          </w:rPr>
          <w:t>可再生能源社区的制度经济学：地方与国家模式及其在欧盟的政策影响</w:t>
        </w:r>
      </w:hyperlink>
    </w:p>
    <w:p>
      <w:pPr>
        <w:spacing w:before="0" w:after="80"/>
      </w:pPr>
      <w:r>
        <w:rPr>
          <w:i/>
          <w:sz w:val="20"/>
        </w:rPr>
        <w:t>EN: The institutional economics of renewable energy communities: Local vs national models and their policy implications in the EU</w:t>
      </w:r>
    </w:p>
    <w:p>
      <w:pPr>
        <w:spacing w:before="0" w:after="120"/>
      </w:pPr>
      <w:r>
        <w:rPr>
          <w:b/>
        </w:rPr>
        <w:t xml:space="preserve">Source: </w:t>
      </w:r>
      <w:r>
        <w:t>ScienceDirect Publication: Energy Policy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63">
        <w:r>
          <w:rPr>
            <w:color w:val="1155CC"/>
            <w:u w:val="single"/>
          </w:rPr>
          <w:t>改进风-太阳能混合农场选址：整合多准则决策、机器学习驱动的特征选择和空间聚类的新框架</w:t>
        </w:r>
      </w:hyperlink>
    </w:p>
    <w:p>
      <w:pPr>
        <w:spacing w:before="0" w:after="80"/>
      </w:pPr>
      <w:r>
        <w:rPr>
          <w:i/>
          <w:sz w:val="20"/>
        </w:rPr>
        <w:t>EN: Toward improved siting of wind–solar hybrid farms: A novel framework integrating multi-criteria decision making, machine learning–driven feature selection, and spatial clustering</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64">
        <w:r>
          <w:rPr>
            <w:color w:val="1155CC"/>
            <w:u w:val="single"/>
          </w:rPr>
          <w:t>Lyn 通过抑制 PI3K 信号传导来管理 B 细胞无能状态的建立和维持</w:t>
        </w:r>
      </w:hyperlink>
    </w:p>
    <w:p>
      <w:pPr>
        <w:spacing w:before="0" w:after="80"/>
      </w:pPr>
      <w:r>
        <w:rPr>
          <w:i/>
          <w:sz w:val="20"/>
        </w:rPr>
        <w:t>EN: Lyn governs the establishment and maintenance of B cell anergy by suppressing PI3K signaling</w:t>
      </w:r>
    </w:p>
    <w:p>
      <w:pPr>
        <w:spacing w:before="0" w:after="120"/>
      </w:pPr>
      <w:r>
        <w:rPr>
          <w:b/>
        </w:rPr>
        <w:t xml:space="preserve">Source: </w:t>
      </w:r>
      <w:r>
        <w:t>Nature Communications</w:t>
      </w:r>
      <w:r>
        <w:t xml:space="preserve">    </w:t>
      </w:r>
      <w:r>
        <w:rPr>
          <w:b/>
        </w:rPr>
        <w:t xml:space="preserve">Pub date: </w:t>
      </w:r>
      <w:r>
        <w:t>2026-03-08 00:00:00+00:00</w:t>
      </w:r>
      <w:r>
        <w:t xml:space="preserve">    </w:t>
      </w:r>
      <w:r>
        <w:rPr>
          <w:b/>
        </w:rPr>
        <w:t xml:space="preserve">DOI: </w:t>
      </w:r>
      <w:hyperlink r:id="rId265">
        <w:r>
          <w:rPr>
            <w:color w:val="1155CC"/>
            <w:u w:val="single"/>
          </w:rPr>
          <w:t>10.1038/s41467-026-70085-z</w:t>
        </w:r>
      </w:hyperlink>
    </w:p>
    <w:p>
      <w:pPr>
        <w:spacing w:before="0" w:after="120"/>
      </w:pPr>
      <w:r>
        <w:rPr>
          <w:b/>
        </w:rPr>
        <w:t xml:space="preserve">Notes: </w:t>
      </w:r>
      <w:r>
        <w:t>abstract_source=nature_html</w:t>
      </w:r>
    </w:p>
    <w:p>
      <w:pPr>
        <w:spacing w:before="0" w:after="80" w:lineRule="auto" w:line="276"/>
      </w:pPr>
      <w:r>
        <w:rPr>
          <w:b/>
        </w:rPr>
        <w:t xml:space="preserve">摘要（ZH）: </w:t>
      </w:r>
      <w:r>
        <w:t>Src家族激酶Lyn已知参与外周B细胞耐受的诱导和维持；然而，将耐受功能与Lyn在B细胞和髓样细胞发育和激活中的作用进行机制性分离是具有挑战性的。在此，我们利用一种系统，其中Lyn的删除是他莫昔芬诱导的并且是B细胞限制的，这允许仅在B细胞中急性消除Lyn，从而最小化混杂因素。该遗传工具与免疫球蛋白转基因小鼠结合使用，其中外周B细胞是自反应性的。DNA反应性Ars/A1 B细胞需要持续的抑制信号，由肌醇磷酸酶SHIP-1和酪氨酸磷酸酶SHP-1介导，以维持无反应（无能）状态。在此我们显示Ars/A1 B细胞需要</w:t>
      </w:r>
    </w:p>
    <w:p>
      <w:pPr>
        <w:spacing w:before="0" w:after="200" w:lineRule="auto" w:line="276"/>
      </w:pPr>
      <w:r>
        <w:rPr>
          <w:b/>
        </w:rPr>
        <w:t xml:space="preserve">Abstract (EN): </w:t>
      </w:r>
      <w:r>
        <w:t>The Src family kinase Lyn is known to be involved in the induction and maintenance of peripheral B cell tolerance; however, mechanistic separation of tolerogenic functions from the role of Lyn in B cell and myeloid cell development and activation is challenging. Here we utilize a system in which Lyn deletion is tamoxifen inducible and B cell restricted, which allows acute elimination of Lyn in B cells only, minimizing confounding factors. This genetic tool is employed in conjunction with immunoglobulin transgenic mice in which peripheral B cells are autoreactive. DNA reactive Ars/A1 B cells require continuous inhibitory signaling, mediated by the inositol phosphatase SHIP-1 and the tyrosine phosphatase SHP-1, to maintain an unresponsive (anergic) state. Here we show that Ars/A1 B cells require Lyn to establish and maintain B cell unresponsiveness via restricting PI3K-dependent signaling pathways. This Lyn-dependent mechanism complements the impact of reduced mIgM B cell receptor (BCR) expression to restrict BCR signaling in Ars/A1 B cells. Our findings thus suggest that a subset of autoreactive B cells requires Lyn to become anergic and that the autoimmunity associated with dysregulated Lyn function may, in part, be due to an inability of these autoreactive B cells to become tolerized.</w:t>
      </w:r>
    </w:p>
    <w:p>
      <w:pPr>
        <w:spacing w:before="120" w:after="120"/>
      </w:pPr>
      <w:r>
        <w:rPr>
          <w:sz w:val="18"/>
        </w:rPr>
        <w:t>——————————————————————————————————————————————————————————————————————</w:t>
      </w:r>
    </w:p>
    <w:p>
      <w:pPr>
        <w:spacing w:before="160" w:after="40" w:line="240" w:lineRule="auto"/>
      </w:pPr>
      <w:r>
        <w:rPr>
          <w:b/>
        </w:rPr>
        <w:t xml:space="preserve">[47] </w:t>
      </w:r>
      <w:hyperlink r:id="rId266">
        <w:r>
          <w:rPr>
            <w:color w:val="1155CC"/>
            <w:u w:val="single"/>
          </w:rPr>
          <w:t>通过功能连接引导的顶叶 TMS 的多模态证据表明海马体的参与和调节</w:t>
        </w:r>
      </w:hyperlink>
    </w:p>
    <w:p>
      <w:pPr>
        <w:spacing w:before="0" w:after="80"/>
      </w:pPr>
      <w:r>
        <w:rPr>
          <w:i/>
          <w:sz w:val="20"/>
        </w:rPr>
        <w:t>EN: Multimodal evidence for hippocampal engagement and modulation by functional connectivity-guided parietal TMS</w:t>
      </w:r>
    </w:p>
    <w:p>
      <w:pPr>
        <w:spacing w:before="0" w:after="120"/>
      </w:pPr>
      <w:r>
        <w:rPr>
          <w:b/>
        </w:rPr>
        <w:t xml:space="preserve">Source: </w:t>
      </w:r>
      <w:r>
        <w:t>Nature Communications</w:t>
      </w:r>
      <w:r>
        <w:t xml:space="preserve">    </w:t>
      </w:r>
      <w:r>
        <w:rPr>
          <w:b/>
        </w:rPr>
        <w:t xml:space="preserve">Pub date: </w:t>
      </w:r>
      <w:r>
        <w:t>2026-03-08 00:00:00+00:00</w:t>
      </w:r>
      <w:r>
        <w:t xml:space="preserve">    </w:t>
      </w:r>
      <w:r>
        <w:rPr>
          <w:b/>
        </w:rPr>
        <w:t xml:space="preserve">DOI: </w:t>
      </w:r>
      <w:hyperlink r:id="rId267">
        <w:r>
          <w:rPr>
            <w:color w:val="1155CC"/>
            <w:u w:val="single"/>
          </w:rPr>
          <w:t>10.1038/s41467-026-70346-x</w:t>
        </w:r>
      </w:hyperlink>
    </w:p>
    <w:p>
      <w:pPr>
        <w:spacing w:before="0" w:after="120"/>
      </w:pPr>
      <w:r>
        <w:rPr>
          <w:b/>
        </w:rPr>
        <w:t xml:space="preserve">Notes: </w:t>
      </w:r>
      <w:r>
        <w:t>abstract_source=nature_html</w:t>
      </w:r>
    </w:p>
    <w:p>
      <w:pPr>
        <w:spacing w:before="0" w:after="80" w:lineRule="auto" w:line="276"/>
      </w:pPr>
      <w:r>
        <w:rPr>
          <w:b/>
        </w:rPr>
        <w:t xml:space="preserve">摘要（ZH）: </w:t>
      </w:r>
      <w:r>
        <w:t>海马活动支持记忆和许多其他脑功能。由海马功能连接（FC）指导的经颅磁刺激（TMS）在改善记忆方面显示出前景，但缺乏其能够参与和调节海马活动的直接神经证据。在此，我们将TMS与8名神经外科患者的颅内脑电图（iEEG）和79名神经健康参与者的功能磁共振成像（fMRI）结合。我们发现（1）由海马-FC指导的个性化顶叶皮层的单脉冲TMS优先在海马中引发不同的时间和频谱活动模式，（2）TMS引发的海马反应的变异性与个体顶叶-海马FC强度的差异有关，</w:t>
      </w:r>
    </w:p>
    <w:p>
      <w:pPr>
        <w:spacing w:before="0" w:after="200" w:lineRule="auto" w:line="276"/>
      </w:pPr>
      <w:r>
        <w:rPr>
          <w:b/>
        </w:rPr>
        <w:t xml:space="preserve">Abstract (EN): </w:t>
      </w:r>
      <w:r>
        <w:t>Hippocampal activity supports memory and many other brain functions. Transcranial magnetic stimulation (TMS) guided by hippocampal functional connectivity (FC) shows promise in improving memory, but direct neural evidence of its capacity to engage and modulate hippocampal activity is lacking. Here we combined TMS with intracranial electroencephalography (iEEG) in 8 neurosurgical patients and with functional magnetic resonance imaging (fMRI) in 79 neurologically healthy participants. We identified that (1) single-pulse TMS to individualized parietal cortex guided by hippocampal-FC preferentially evoked distinct temporal and spectral activity patterns in the hippocampus, (2) variability in TMS-evoked hippocampal responses related to individual differences in parietal-hippocampus FC strength, and (3) repetitive TMS to hippocampal-FC-guided parietal cortex selectively suppressed hippocampal theta oscillations. These findings provide multimodal causal neural evidence and important mechanistic insights supporting the development of personalized neuromodulation strategies aimed at improving hippocampus-dependent functions.</w:t>
      </w:r>
    </w:p>
    <w:p>
      <w:pPr>
        <w:spacing w:before="120" w:after="120"/>
      </w:pPr>
      <w:r>
        <w:rPr>
          <w:sz w:val="18"/>
        </w:rPr>
        <w:t>——————————————————————————————————————————————————————————————————————</w:t>
      </w:r>
    </w:p>
    <w:p>
      <w:pPr>
        <w:spacing w:before="160" w:after="40" w:line="240" w:lineRule="auto"/>
      </w:pPr>
      <w:r>
        <w:rPr>
          <w:b/>
        </w:rPr>
        <w:t xml:space="preserve">[48] </w:t>
      </w:r>
      <w:hyperlink r:id="rId268">
        <w:r>
          <w:rPr>
            <w:color w:val="1155CC"/>
            <w:u w:val="single"/>
          </w:rPr>
          <w:t>北极飞行条件下全电动区域飞机的系统级能量建模</w:t>
        </w:r>
      </w:hyperlink>
    </w:p>
    <w:p>
      <w:pPr>
        <w:spacing w:before="0" w:after="80"/>
      </w:pPr>
      <w:r>
        <w:rPr>
          <w:i/>
          <w:sz w:val="20"/>
        </w:rPr>
        <w:t>EN: System-level energy modeling of an all-electric regional aircraft under Arctic flight conditions</w:t>
      </w:r>
    </w:p>
    <w:p>
      <w:pPr>
        <w:spacing w:before="0" w:after="120"/>
      </w:pPr>
      <w:r>
        <w:rPr>
          <w:b/>
        </w:rPr>
        <w:t xml:space="preserve">Source: </w:t>
      </w:r>
      <w:r>
        <w:t>ScienceDirect Publication: Applied Energy</w:t>
      </w:r>
      <w:r>
        <w:t xml:space="preserve">    </w:t>
      </w:r>
      <w:r>
        <w:rPr>
          <w:b/>
        </w:rPr>
        <w:t xml:space="preserve">Pub date: </w:t>
      </w:r>
      <w:r>
        <w:t>2026-03-08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69">
        <w:r>
          <w:rPr>
            <w:color w:val="1155CC"/>
            <w:u w:val="single"/>
          </w:rPr>
          <w:t>分子氘的超极化</w:t>
        </w:r>
      </w:hyperlink>
    </w:p>
    <w:p>
      <w:pPr>
        <w:spacing w:before="0" w:after="80"/>
      </w:pPr>
      <w:r>
        <w:rPr>
          <w:i/>
          <w:sz w:val="20"/>
        </w:rPr>
        <w:t>EN: Hyperpolarization of Molecular Deuterium</w:t>
      </w:r>
    </w:p>
    <w:p>
      <w:pPr>
        <w:spacing w:before="0" w:after="120"/>
      </w:pPr>
      <w:r>
        <w:rPr>
          <w:b/>
        </w:rPr>
        <w:t xml:space="preserve">Source: </w:t>
      </w:r>
      <w:r>
        <w:t>Wiley: Angewandte Chemie International Edition: Table of Contents</w:t>
      </w:r>
      <w:r>
        <w:t xml:space="preserve">    </w:t>
      </w:r>
      <w:r>
        <w:rPr>
          <w:b/>
        </w:rPr>
        <w:t xml:space="preserve">Pub date: </w:t>
      </w:r>
      <w:r>
        <w:t>2026-03-08 08:00:00+00:00</w:t>
      </w:r>
      <w:r>
        <w:t xml:space="preserve">    </w:t>
      </w:r>
      <w:r>
        <w:rPr>
          <w:b/>
        </w:rPr>
        <w:t xml:space="preserve">DOI: </w:t>
      </w:r>
      <w:hyperlink r:id="rId270">
        <w:r>
          <w:rPr>
            <w:color w:val="1155CC"/>
            <w:u w:val="single"/>
          </w:rPr>
          <w:t>10.1002/anie.202521985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极化氘为NMR中的分子传感提供了一种有前途的替代方案，特别是在质子检测因强背景共振而受阻的富氢环境中。使用均相铱催化剂（IrIMes）和烟酰胺作为底物，我们展示了超极化分子氘的生成和检测。结果共振表现出明显的部分负线（PNL），与热氘信号相比显著增强，并可通过模拟再现。在催化剂活化的初始阶段进一步观察到瞬态PNL，突显了对瞬态中间体的敏感性。值得注意的是，增强的PNL仅在存在烟酰胺时出现，确认了选择性</w:t>
      </w:r>
    </w:p>
    <w:p>
      <w:pPr>
        <w:spacing w:before="0" w:after="200" w:lineRule="auto" w:line="276"/>
      </w:pPr>
      <w:r>
        <w:rPr>
          <w:b/>
        </w:rPr>
        <w:t xml:space="preserve">Abstract (EN): </w:t>
      </w:r>
      <w:r>
        <w:t>Hyperpolarized deuterium provides a promising alternative to hyperpolarized hydrogen for molecular sensing in NMR, particularly in hydrogen‐rich environments where proton detection is hindered by strong background resonances. Using a homogeneous iridium catalyst (IrIMes) and nicotinamide as substrate, we demonstrate the generation and detection of hyperpolarized molecular deuterium. The resulting resonance exhibits a pronounced partially negative line (PNL), strongly enhanced compared to thermal deuterium signal, and reproducible by simulation. A transient PNL is further observed during the initial phase of catalyst activation, highlighting sensitivity to transient intermediates. Notably, the enhanced PNL only arises in the presence of nicotinamide, confirming sensitivity to the presence of the substrate. These findings establish hyperpolarized orthodeuterium as a viable molecular sensor capable of providing valuable spectroscopic information of catalytic hydrogen‐bound complexes. Together with recent observations of PNLs in aqueous media, our results underscore the potential of hyperpolarized molecular deuterium to probe catalytic and enzymatic cycles under biologically relevant conditions.</w:t>
      </w:r>
    </w:p>
    <w:p>
      <w:pPr>
        <w:spacing w:before="120" w:after="120"/>
      </w:pPr>
      <w:r>
        <w:rPr>
          <w:sz w:val="18"/>
        </w:rPr>
        <w:t>——————————————————————————————————————————————————————————————————————</w:t>
      </w:r>
    </w:p>
    <w:p>
      <w:pPr>
        <w:spacing w:before="160" w:after="40" w:line="240" w:lineRule="auto"/>
      </w:pPr>
      <w:r>
        <w:rPr>
          <w:b/>
        </w:rPr>
        <w:t xml:space="preserve">[50] </w:t>
      </w:r>
      <w:hyperlink r:id="rId271">
        <w:r>
          <w:rPr>
            <w:color w:val="1155CC"/>
            <w:u w:val="single"/>
          </w:rPr>
          <w:t>[ASAP] 解析烯烃与磺酰胺之间电化学氧化 C–N 键形成的机制途径和选择性</w:t>
        </w:r>
      </w:hyperlink>
    </w:p>
    <w:p>
      <w:pPr>
        <w:spacing w:before="0" w:after="80"/>
      </w:pPr>
      <w:r>
        <w:rPr>
          <w:i/>
          <w:sz w:val="20"/>
        </w:rPr>
        <w:t>EN: [ASAP] Deciphering Mechanistic Pathways and Selectivity in Electrochemical Oxidative C–N Bond Formation between Olefins and Sulfonamides</w:t>
      </w:r>
    </w:p>
    <w:p>
      <w:pPr>
        <w:spacing w:before="0" w:after="120"/>
      </w:pPr>
      <w:r>
        <w:rPr>
          <w:b/>
        </w:rPr>
        <w:t xml:space="preserve">Source: </w:t>
      </w:r>
      <w:r>
        <w:t>Journal of the American Chemical Society: Latest Articles (ACS Publications)</w:t>
      </w:r>
      <w:r>
        <w:t xml:space="preserve">    </w:t>
      </w:r>
      <w:r>
        <w:rPr>
          <w:b/>
        </w:rPr>
        <w:t xml:space="preserve">Pub date: </w:t>
      </w:r>
      <w:r>
        <w:t>2026-03-08 16:32:01+00:00</w:t>
      </w:r>
      <w:r>
        <w:t xml:space="preserve">    </w:t>
      </w:r>
      <w:r>
        <w:rPr>
          <w:b/>
        </w:rPr>
        <w:t xml:space="preserve">DOI: </w:t>
      </w:r>
      <w:hyperlink r:id="rId272">
        <w:r>
          <w:rPr>
            <w:color w:val="1155CC"/>
            <w:u w:val="single"/>
          </w:rPr>
          <w:t>10.1021/jacs.5c20261</w:t>
        </w:r>
      </w:hyperlink>
    </w:p>
    <w:p>
      <w:pPr>
        <w:spacing w:before="0" w:after="120"/>
      </w:pPr>
      <w:r>
        <w:rPr>
          <w:b/>
        </w:rPr>
        <w:t xml:space="preserve">Notes: </w:t>
      </w:r>
      <w:r>
        <w:t>abstract_source=pubmed</w:t>
      </w:r>
    </w:p>
    <w:p>
      <w:pPr>
        <w:spacing w:before="0" w:after="80" w:lineRule="auto" w:line="276"/>
      </w:pPr>
      <w:r>
        <w:rPr>
          <w:b/>
        </w:rPr>
        <w:t xml:space="preserve">摘要（ZH）: </w:t>
      </w:r>
      <w:r>
        <w:t>烯烃的电化学氧化C-N键形成提供了一种可持续的合成含氮分子的途径，使得在无氧化剂和无金属条件下直接形成C-N键成为可能。尽管最近取得了一些进展，但这些反应的机制多样性及其路径选择性因素仍然知之甚少。在此，我们展示了烯烃和磺酰胺的相对氧化电位决定了不同的C-N键形成模式：当烯烃更易被氧化时，磺酰胺对烯烃自由基阳离子的亲核攻击，当磺酰胺优先被氧化时，氮自由基加成，以及当氧化还原性质相当时的自由基-自由基交叉偶联。原位电化学电子顺磁共振光谱提供了直接的</w:t>
      </w:r>
    </w:p>
    <w:p>
      <w:pPr>
        <w:spacing w:before="0" w:after="200" w:lineRule="auto" w:line="276"/>
      </w:pPr>
      <w:r>
        <w:rPr>
          <w:b/>
        </w:rPr>
        <w:t xml:space="preserve">Abstract (EN): </w:t>
      </w:r>
      <w:r>
        <w:t>Electrochemical oxidative C-N bond formation of olefins provides a sustainable route to nitrogen-containing molecules, enabling direct C-N bond formation under oxidant- and metal-free conditions. Despite recent progress, the mechanistic diversity of these reactions and the factors governing pathway selectivity remain poorly understood. Herein, we show that the relative oxidation potentials of olefins and sulfonamides dictate distinct C-N bond-forming modes: nucleophilic attack of sulfonamides on olefin radical cations when the olefin is more readily oxidized, nitrogen radical addition when the sulfonamide is preferentially oxidized, and radical-radical cross-coupling when the redox properties are comparable. In situ electrochemical electron paramagnetic resonance spectroscopy provides direct structural evidence for key radical intermediates, offering rare mechanistic insight into these transformations. Guided by this framework, we developed an electrochemical annulation that affords pyrrolidines and an allylic C-N bond formation process, demonstrating the synthetic utility of pathway control. By correlating substrate redox properties with reactivity outcomes, this work establishes principles for selectivity in the electrochemical olefin C-N bond formation reaction and demonstrates the broader potential of electrochemistry in efficient C-N bond construction.</w:t>
      </w:r>
    </w:p>
    <w:p>
      <w:pPr>
        <w:spacing w:before="120" w:after="120"/>
      </w:pPr>
      <w:r>
        <w:rPr>
          <w:sz w:val="18"/>
        </w:rPr>
        <w:t>——————————————————————————————————————————————————————————————————————</w:t>
      </w:r>
    </w:p>
    <w:p>
      <w:pPr>
        <w:spacing w:before="160" w:after="40" w:line="240" w:lineRule="auto"/>
      </w:pPr>
      <w:r>
        <w:rPr>
          <w:b/>
        </w:rPr>
        <w:t xml:space="preserve">[51] </w:t>
      </w:r>
      <w:hyperlink r:id="rId273">
        <w:r>
          <w:rPr>
            <w:color w:val="1155CC"/>
            <w:u w:val="single"/>
          </w:rPr>
          <w:t>[ASAP] 通过 Mo–O–Cu 原子界面的协同催化实现糠醛的高效电催化加氢</w:t>
        </w:r>
      </w:hyperlink>
    </w:p>
    <w:p>
      <w:pPr>
        <w:spacing w:before="0" w:after="80"/>
      </w:pPr>
      <w:r>
        <w:rPr>
          <w:i/>
          <w:sz w:val="20"/>
        </w:rPr>
        <w:t>EN: [ASAP] Efficient Electrocatalytic Hydrogenation of Furfural through Synergistic Catalysis at Mo–O–Cu Atomic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2026-03-08 16:32:38+00:00</w:t>
      </w:r>
      <w:r>
        <w:t xml:space="preserve">    </w:t>
      </w:r>
      <w:r>
        <w:rPr>
          <w:b/>
        </w:rPr>
        <w:t xml:space="preserve">DOI: </w:t>
      </w:r>
      <w:hyperlink r:id="rId274">
        <w:r>
          <w:rPr>
            <w:color w:val="1155CC"/>
            <w:u w:val="single"/>
          </w:rPr>
          <w:t>10.1021/jacs.5c22963</w:t>
        </w:r>
      </w:hyperlink>
    </w:p>
    <w:p>
      <w:pPr>
        <w:spacing w:before="0" w:after="120"/>
      </w:pPr>
      <w:r>
        <w:rPr>
          <w:b/>
        </w:rPr>
        <w:t xml:space="preserve">Notes: </w:t>
      </w:r>
      <w:r>
        <w:t>abstract_source=pubmed</w:t>
      </w:r>
    </w:p>
    <w:p>
      <w:pPr>
        <w:spacing w:before="0" w:after="80" w:lineRule="auto" w:line="276"/>
      </w:pPr>
      <w:r>
        <w:rPr>
          <w:b/>
        </w:rPr>
        <w:t xml:space="preserve">摘要（ZH）: </w:t>
      </w:r>
      <w:r>
        <w:t>电催化加氢提供了一种可持续的生物质升级途径，例如将糠醛转化为高价值醇类。当前的催化剂由于活性氢的调控不佳，导致在高电流密度下发生副反应，因此仍然不够理想。在此，我们报告了一种原子级Mo-O-Cu界面促进活性氢生成并调节氢吸附，从而在界面上实现了独特的协同加氢机制。通过优化界面密度，在氢生成和利用之间实现了最佳平衡。低密度Mo1O4/Cu催化剂在阴离子交换膜（AEM）流动电解槽中表现出色，提供了97%的法拉第效率和54.4 mol m-2 h-1的糠醇生产率。</w:t>
      </w:r>
    </w:p>
    <w:p>
      <w:pPr>
        <w:spacing w:before="0" w:after="200" w:lineRule="auto" w:line="276"/>
      </w:pPr>
      <w:r>
        <w:rPr>
          <w:b/>
        </w:rPr>
        <w:t xml:space="preserve">Abstract (EN): </w:t>
      </w:r>
      <w:r>
        <w:t>Electrocatalytic hydrogenation offers a sustainable route to upgrade biomass, as exemplified by the conversion of furfural to high-value alcohols. Current catalysts remain inadequate due to the poor modulation of active hydrogen, which leads to side reactions at high current densities. Here, we report that an atomic Mo-O-Cu interface promotes active hydrogen generation and modulates hydrogen adsorption, enabling a unique synergistic hydrogenation mechanism at the interface. By optimization of interface density, an optimal balance is achieved between hydrogen generation and utilization. A low-density Mo1O4/Cu catalyst exhibited outstanding performance in an anion exchange membrane (AEM) flow electrolyzer, delivering a 97% Faradaic efficiency and 54.4 mol m-2 h-1 production rate of furfuryl alcohol. The process demonstrated scalability in a 25 cm2 flow electrolyzer, successfully producing 8.34 g of furfuryl alcohol in 5 h. Our work provides insights into synergistic catalysis at the atomic interface, advancing the development of green, sustainable electrocatalytic biomass hydrogenation technologies.</w:t>
      </w:r>
    </w:p>
    <w:p>
      <w:pPr>
        <w:spacing w:before="120" w:after="120"/>
      </w:pPr>
      <w:r>
        <w:rPr>
          <w:sz w:val="18"/>
        </w:rPr>
        <w:t>——————————————————————————————————————————————————————————————————————</w:t>
      </w:r>
    </w:p>
    <w:p>
      <w:pPr>
        <w:spacing w:before="160" w:after="40" w:line="240" w:lineRule="auto"/>
      </w:pPr>
      <w:r>
        <w:rPr>
          <w:b/>
        </w:rPr>
        <w:t xml:space="preserve">[52] </w:t>
      </w:r>
      <w:hyperlink r:id="rId275">
        <w:r>
          <w:rPr>
            <w:color w:val="1155CC"/>
            <w:u w:val="single"/>
          </w:rPr>
          <w:t>[ASAP] 用于反应性硒物种化学生物学的刺激响应性过硒化物、硫硒化物和硒硫化物供体</w:t>
        </w:r>
      </w:hyperlink>
    </w:p>
    <w:p>
      <w:pPr>
        <w:spacing w:before="0" w:after="80"/>
      </w:pPr>
      <w:r>
        <w:rPr>
          <w:i/>
          <w:sz w:val="20"/>
        </w:rPr>
        <w:t>EN: [ASAP] Stimulus-Responsive Perselenide, Thioselenide, and Selenosulfide Donors for Reactive Selenium Species Chemical Biology</w:t>
      </w:r>
    </w:p>
    <w:p>
      <w:pPr>
        <w:spacing w:before="0" w:after="120"/>
      </w:pPr>
      <w:r>
        <w:rPr>
          <w:b/>
        </w:rPr>
        <w:t xml:space="preserve">Source: </w:t>
      </w:r>
      <w:r>
        <w:t>Journal of the American Chemical Society: Latest Articles (ACS Publications)</w:t>
      </w:r>
      <w:r>
        <w:t xml:space="preserve">    </w:t>
      </w:r>
      <w:r>
        <w:rPr>
          <w:b/>
        </w:rPr>
        <w:t xml:space="preserve">Pub date: </w:t>
      </w:r>
      <w:r>
        <w:t>2026-03-08 17:37:47+00:00</w:t>
      </w:r>
      <w:r>
        <w:t xml:space="preserve">    </w:t>
      </w:r>
      <w:r>
        <w:rPr>
          <w:b/>
        </w:rPr>
        <w:t xml:space="preserve">DOI: </w:t>
      </w:r>
      <w:hyperlink r:id="rId276">
        <w:r>
          <w:rPr>
            <w:color w:val="1155CC"/>
            <w:u w:val="single"/>
          </w:rPr>
          <w:t>10.1021/jacs.5c19556</w:t>
        </w:r>
      </w:hyperlink>
    </w:p>
    <w:p>
      <w:pPr>
        <w:spacing w:before="0" w:after="120"/>
      </w:pPr>
      <w:r>
        <w:rPr>
          <w:b/>
        </w:rPr>
        <w:t xml:space="preserve">Notes: </w:t>
      </w:r>
      <w:r>
        <w:t>abstract_source=pubmed</w:t>
      </w:r>
    </w:p>
    <w:p>
      <w:pPr>
        <w:spacing w:before="0" w:after="80" w:lineRule="auto" w:line="276"/>
      </w:pPr>
      <w:r>
        <w:rPr>
          <w:b/>
        </w:rPr>
        <w:t xml:space="preserve">摘要（ZH）: </w:t>
      </w:r>
      <w:r>
        <w:t>反应性硒物种（RSeS），包括过硒化物（RSeSeH）、硫硒化物（RSSeH）和硒硫化物（RSeSH），长期以来被认为是在氢硒化物（H2Se）信号传导和细胞氧化还原调节中短暂但生物学上重要的中间体。然而，它们固有的不稳定性和缺乏合适的小分子前体阻碍了在生理相关条件下的直接实验获取。在此，我们报告了一个刺激响应供体平台的首次合成、分离和全面表征，该平台能够在生物环境中控制RSeS的生成。这些供体采用模块化的1,6-消除结构，能够精确触发离散RSeS的释放，这里以酯酶激活为例，具有可调节的</w:t>
      </w:r>
    </w:p>
    <w:p>
      <w:pPr>
        <w:spacing w:before="0" w:after="200" w:lineRule="auto" w:line="276"/>
      </w:pPr>
      <w:r>
        <w:rPr>
          <w:b/>
        </w:rPr>
        <w:t xml:space="preserve">Abstract (EN): </w:t>
      </w:r>
      <w:r>
        <w:t>Reactive selenium species (RSeS), including perselenides (RSeSeH), thioselenides (RSSeH), and selenosulfides (RSeSH), have long been proposed as fleeting yet biologically important intermediates in hydrogen selenide (H2Se) signaling and cellular redox regulation. However, their inherent instability and the absence of suitable small-molecule precursors have precluded direct experimental access under physiologically relevant conditions. Here, we report the first synthesis, isolation, and comprehensive characterization of a stimulus-responsive donor platform capable of controlled RSeS generation in biological environments. These donors employ a modular 1,6-elimination architecture that enables precisely triggered release of discrete RSeS, exemplified here by esterase activation, with tunable stability and release kinetics achieved through systematic electronic and steric modification of the dichalcogenide framework and supported by computational analysis. Importantly, studies under thiol-rich conditions reveal that thioselenide and perselenide donors converge to generate common RSeS, providing mechanistic insights into their behavior in cellular settings. Consistent with this finding, biological evaluation demonstrates that thioselenide and perselenide donors exhibit exceptionally potent antioxidative activity─effective at concentrations up to 100-fold lower than those of sulfur analogs (RSSH)─and pronounced antiproliferative effects in cancer cells. Collectively, this work establishes an entirely new and tunable class of RSeS donors and introduces the first general platform for the controlled generation of RSeSeH, RSSeH, and RSeSH, enabling systematic investigation of their reactivity, redox signaling, and therapeutic potential in both simplified buffer systems and living cells.</w:t>
      </w:r>
    </w:p>
    <w:p>
      <w:pPr>
        <w:spacing w:before="120" w:after="120"/>
      </w:pPr>
      <w:r>
        <w:rPr>
          <w:sz w:val="18"/>
        </w:rPr>
        <w:t>——————————————————————————————————————————————————————————————————————</w:t>
      </w:r>
    </w:p>
    <w:p>
      <w:pPr>
        <w:spacing w:before="160" w:after="40" w:line="240" w:lineRule="auto"/>
      </w:pPr>
      <w:r>
        <w:rPr>
          <w:b/>
        </w:rPr>
        <w:t xml:space="preserve">[53] </w:t>
      </w:r>
      <w:hyperlink r:id="rId277">
        <w:r>
          <w:rPr>
            <w:color w:val="1155CC"/>
            <w:u w:val="single"/>
          </w:rPr>
          <w:t>[ASAP] 异质和均质光催化合并用于芳烃 C–H 胺化</w:t>
        </w:r>
      </w:hyperlink>
    </w:p>
    <w:p>
      <w:pPr>
        <w:spacing w:before="0" w:after="80"/>
      </w:pPr>
      <w:r>
        <w:rPr>
          <w:i/>
          <w:sz w:val="20"/>
        </w:rPr>
        <w:t>EN: [ASAP] Merger of Heterogeneous and Homogeneous Photocatalysis for Arene C–H Amination</w:t>
      </w:r>
    </w:p>
    <w:p>
      <w:pPr>
        <w:spacing w:before="0" w:after="120"/>
      </w:pPr>
      <w:r>
        <w:rPr>
          <w:b/>
        </w:rPr>
        <w:t xml:space="preserve">Source: </w:t>
      </w:r>
      <w:r>
        <w:t>Journal of the American Chemical Society: Latest Articles (ACS Publications)</w:t>
      </w:r>
      <w:r>
        <w:t xml:space="preserve">    </w:t>
      </w:r>
      <w:r>
        <w:rPr>
          <w:b/>
        </w:rPr>
        <w:t xml:space="preserve">Pub date: </w:t>
      </w:r>
      <w:r>
        <w:t>2026-03-08 17:48:44+00:00</w:t>
      </w:r>
      <w:r>
        <w:t xml:space="preserve">    </w:t>
      </w:r>
      <w:r>
        <w:rPr>
          <w:b/>
        </w:rPr>
        <w:t xml:space="preserve">DOI: </w:t>
      </w:r>
      <w:hyperlink r:id="rId278">
        <w:r>
          <w:rPr>
            <w:color w:val="1155CC"/>
            <w:u w:val="single"/>
          </w:rPr>
          <w:t>10.1021/jacs.5c20824</w:t>
        </w:r>
      </w:hyperlink>
    </w:p>
    <w:p>
      <w:pPr>
        <w:spacing w:before="0" w:after="120"/>
      </w:pPr>
      <w:r>
        <w:rPr>
          <w:b/>
        </w:rPr>
        <w:t xml:space="preserve">Notes: </w:t>
      </w:r>
      <w:r>
        <w:t>abstract_source=pubmed</w:t>
      </w:r>
    </w:p>
    <w:p>
      <w:pPr>
        <w:spacing w:before="0" w:after="80" w:lineRule="auto" w:line="276"/>
      </w:pPr>
      <w:r>
        <w:rPr>
          <w:b/>
        </w:rPr>
        <w:t xml:space="preserve">摘要（ZH）: </w:t>
      </w:r>
      <w:r>
        <w:t>鉴于异质催化剂和有机光催化剂的光化学行为已有充分记录，设计一种交织这些不同催化剂类别机制的催化过程是非常理想的。在此，我们报告了一种将异质和均相光催化结合用于芳烃C-H胺化的光催化平台。在该系统中，异质光化学循环过程与均相2,3-二氯-5,6-二氰-1,4-苯醌（DDQ）光催化相结合。催化循环由DDQ的光激发启动，导致非活性芳烃和氮亲核试剂的氧化偶联，生成胺化产物。还原的DDQ随后在光化学循环过程中作为光还原剂参与，减少Ag+离子形成Ag纳米颗粒</w:t>
      </w:r>
    </w:p>
    <w:p>
      <w:pPr>
        <w:spacing w:before="0" w:after="200" w:lineRule="auto" w:line="276"/>
      </w:pPr>
      <w:r>
        <w:rPr>
          <w:b/>
        </w:rPr>
        <w:t xml:space="preserve">Abstract (EN): </w:t>
      </w:r>
      <w:r>
        <w:t>Given the well-documented photochemical behavior of heterogeneous catalysts and organophotocatalysts, designing a catalysis process that interweaves mechanisms of these distinct catalyst classes is highly desirable. Here, we report a photocatalysis platform that merges heterogeneous and homogeneous photocatalysis for arene C-H amination. In this system, a heterogeneous photochemical looping process is coupled with homogeneous 2,3-dichloro-5,6-dicyano-1,4-benzoquinone (DDQ) photocatalysis. The catalysis cycle is initiated by the photoexcitation of DDQ that leads to the oxidative coupling of inactivated arenes and nitrogen nucleophiles, yielding aminated products. The reduced DDQ is then involved in a photochemical looping process as a photoreductant, reducing Ag+ ions to form Ag nanoparticles, while regenerating DDQ. The resultant Ag nanoparticles reduce molecular oxygen to water, regenerating Ag+ ions and, thereby, completing the sustainable catalytic loop. This approach enables aryl C-N bond formation from diverse arenes and nucleophiles with catalytic amounts of DDQ and AgNO3 under air and visible light irradiation.</w:t>
      </w:r>
    </w:p>
    <w:p>
      <w:pPr>
        <w:spacing w:before="120" w:after="120"/>
      </w:pPr>
      <w:r>
        <w:rPr>
          <w:sz w:val="18"/>
        </w:rPr>
        <w:t>——————————————————————————————————————————————————————————————————————</w:t>
      </w:r>
    </w:p>
    <w:p>
      <w:pPr>
        <w:spacing w:before="160" w:after="40" w:line="240" w:lineRule="auto"/>
      </w:pPr>
      <w:r>
        <w:rPr>
          <w:b/>
        </w:rPr>
        <w:t xml:space="preserve">[54] </w:t>
      </w:r>
      <w:hyperlink r:id="rId279">
        <w:r>
          <w:rPr>
            <w:color w:val="1155CC"/>
            <w:u w:val="single"/>
          </w:rPr>
          <w:t>[ASAP] 横向硼掺杂增强了双自由基态并稳定了 peri-Acenoacene 的自旋：一种吸收超过 1300 nm 的纳米石墨烯双自由基</w:t>
        </w:r>
      </w:hyperlink>
    </w:p>
    <w:p>
      <w:pPr>
        <w:spacing w:before="0" w:after="80"/>
      </w:pPr>
      <w:r>
        <w:rPr>
          <w:i/>
          <w:sz w:val="20"/>
        </w:rPr>
        <w:t>EN: [ASAP] Lateral Boron-Doping Intensifies Diradical State and Stabilizes Spins of peri-Acenoacene: A Nanographene Diradicaloid with Absorption beyond 1300 nm</w:t>
      </w:r>
    </w:p>
    <w:p>
      <w:pPr>
        <w:spacing w:before="0" w:after="120"/>
      </w:pPr>
      <w:r>
        <w:rPr>
          <w:b/>
        </w:rPr>
        <w:t xml:space="preserve">Source: </w:t>
      </w:r>
      <w:r>
        <w:t>Journal of the American Chemical Society: Latest Articles (ACS Publications)</w:t>
      </w:r>
      <w:r>
        <w:t xml:space="preserve">    </w:t>
      </w:r>
      <w:r>
        <w:rPr>
          <w:b/>
        </w:rPr>
        <w:t xml:space="preserve">Pub date: </w:t>
      </w:r>
      <w:r>
        <w:t>2026-03-08 18:38:56+00:00</w:t>
      </w:r>
      <w:r>
        <w:t xml:space="preserve">    </w:t>
      </w:r>
      <w:r>
        <w:rPr>
          <w:b/>
        </w:rPr>
        <w:t xml:space="preserve">DOI: </w:t>
      </w:r>
      <w:hyperlink r:id="rId280">
        <w:r>
          <w:rPr>
            <w:color w:val="1155CC"/>
            <w:u w:val="single"/>
          </w:rPr>
          <w:t>10.1021/jacs.6c02485</w:t>
        </w:r>
      </w:hyperlink>
    </w:p>
    <w:p>
      <w:pPr>
        <w:spacing w:before="0" w:after="120"/>
      </w:pPr>
      <w:r>
        <w:rPr>
          <w:b/>
        </w:rPr>
        <w:t xml:space="preserve">Notes: </w:t>
      </w:r>
      <w:r>
        <w:t>abstract_source=pubmed</w:t>
      </w:r>
    </w:p>
    <w:p>
      <w:pPr>
        <w:spacing w:before="0" w:after="80" w:lineRule="auto" w:line="276"/>
      </w:pPr>
      <w:r>
        <w:rPr>
          <w:b/>
        </w:rPr>
        <w:t xml:space="preserve">摘要（ZH）: </w:t>
      </w:r>
      <w:r>
        <w:t>对拓扑结构的控制对于实现多环芳烃（PAHs）的理想电子结构至关重要。尤其是锯齿形边缘拓扑可能会诱导自旋极化边缘态，这对于自旋电子学和量子器件很有用，但同时在氧化活性和自由基反应性方面增强了固有的不稳定性。在本研究中，我们揭示了侧向硼掺杂的peri-acenoacenes，这是一种完全锯齿形边缘的PAHs。合成的分子具有平面C44B2 π骨架，具有两对碳和硼掺杂的锯齿形边缘。它具有明显的开壳单线态双自由基状态、磁性活性和优异的环境稳定性，其双自由基特征为0.69，单线态-三线态能量差为-1.68 kcal</w:t>
      </w:r>
    </w:p>
    <w:p>
      <w:pPr>
        <w:spacing w:before="0" w:after="200" w:lineRule="auto" w:line="276"/>
      </w:pPr>
      <w:r>
        <w:rPr>
          <w:b/>
        </w:rPr>
        <w:t xml:space="preserve">Abstract (EN): </w:t>
      </w:r>
      <w:r>
        <w:t>Control over topological structures is important for achieving desirable electronic structures of polycyclic aromatic hydrocarbons (PAHs). Especially the zigzag edge topology may induce spin-polarized edge states that are useful for spintronics and quantum devices but simultaneously enhances intrinsic instability in terms of oxidation activity and radical reactivity. In this study, we disclose lateral boron doping of peri-acenoacenes, a kind of fully zigzag-edged PAHs. The as-synthesized molecule features a planar C44B2 π-skeleton with two pairs of carbon- and boron-doped zigzag edges. It possesses a pronounced open-shell singlet diradical state, magnetic activity, and excellent ambient stability, characterized by its diradical character of 0.69 and singlet-triplet energy gap of -1.68 kcal mol-1, together with a half-life time of 46 days, thus representing the first boron-doped nanographene diradicaloid. Moreover, a few unexpected physical properties were observed, such as a very narrow energy gap of &lt;0.9 eV and long-wavelength NIR absorption beyond 1300 nm, as well as five-step reversible redox activity. As studied, the boron atoms make significant contributions to these intriguing properties via impeding π-electron current and stabilizing spins and π-orbitals through the characteristic vacant p orbital. In addition, theoretical calculations demonstrate that this lateral doping strategy is applicable to other heteroatoms including nitrogen, oxygen, and sulfur, and in comparison, the boron atom is not general but instead is unique.</w:t>
      </w:r>
    </w:p>
    <w:p>
      <w:pPr>
        <w:spacing w:before="120" w:after="120"/>
      </w:pPr>
      <w:r>
        <w:rPr>
          <w:sz w:val="18"/>
        </w:rPr>
        <w:t>——————————————————————————————————————————————————————————————————————</w:t>
      </w:r>
    </w:p>
    <w:p>
      <w:pPr>
        <w:spacing w:before="160" w:after="40" w:line="240" w:lineRule="auto"/>
      </w:pPr>
      <w:r>
        <w:rPr>
          <w:b/>
        </w:rPr>
        <w:t xml:space="preserve">[55] </w:t>
      </w:r>
      <w:hyperlink r:id="rId281">
        <w:r>
          <w:rPr>
            <w:color w:val="1155CC"/>
            <w:u w:val="single"/>
          </w:rPr>
          <w:t>质子穿梭辅助的三重态能量转移</w:t>
        </w:r>
      </w:hyperlink>
    </w:p>
    <w:p>
      <w:pPr>
        <w:spacing w:before="0" w:after="80"/>
      </w:pPr>
      <w:r>
        <w:rPr>
          <w:i/>
          <w:sz w:val="20"/>
        </w:rPr>
        <w:t>EN: Proton shuttle-assisted triplet energy transfer</w:t>
      </w:r>
    </w:p>
    <w:p>
      <w:pPr>
        <w:spacing w:before="0" w:after="120"/>
      </w:pPr>
      <w:r>
        <w:rPr>
          <w:b/>
        </w:rPr>
        <w:t xml:space="preserve">Source: </w:t>
      </w:r>
      <w:r>
        <w:t>Nature Materials</w:t>
      </w:r>
      <w:r>
        <w:t xml:space="preserve">    </w:t>
      </w:r>
      <w:r>
        <w:rPr>
          <w:b/>
        </w:rPr>
        <w:t xml:space="preserve">Pub date: </w:t>
      </w:r>
      <w:r>
        <w:t>2026-03-09 00:00:00+00:00</w:t>
      </w:r>
      <w:r>
        <w:t xml:space="preserve">    </w:t>
      </w:r>
      <w:r>
        <w:rPr>
          <w:b/>
        </w:rPr>
        <w:t xml:space="preserve">DOI: </w:t>
      </w:r>
      <w:hyperlink r:id="rId282">
        <w:r>
          <w:rPr>
            <w:color w:val="1155CC"/>
            <w:u w:val="single"/>
          </w:rPr>
          <w:t>10.1038/s41563-026-02535-4</w:t>
        </w:r>
      </w:hyperlink>
    </w:p>
    <w:p>
      <w:pPr>
        <w:spacing w:before="0" w:after="120"/>
      </w:pPr>
      <w:r>
        <w:rPr>
          <w:b/>
        </w:rPr>
        <w:t xml:space="preserve">Notes: </w:t>
      </w:r>
      <w:r>
        <w:t>abstract_source=nature_html</w:t>
      </w:r>
    </w:p>
    <w:p>
      <w:pPr>
        <w:spacing w:before="0" w:after="80" w:lineRule="auto" w:line="276"/>
      </w:pPr>
      <w:r>
        <w:rPr>
          <w:b/>
        </w:rPr>
        <w:t xml:space="preserve">摘要（ZH）: </w:t>
      </w:r>
      <w:r>
        <w:t>电子跃迁/运动与质子转移耦合在自然和人工能量转换和储存材料中具有关键作用。以前的例子包括质子耦合电子转移和单线态能量转移，但不包括三线态能量转移。在此，我们报告了一种称为质子穿梭辅助三线态能量转移的机制。该系统由表面锚定有苯酚-吡啶二元受体的ZnSe基量子点组成。超快测量和动力学同位素效应表明，ZnSe的光激发导致从ZnSe到苯酚的空穴转移，这与从苯酚到吡啶的质子转移耦合。随后从ZnSe到苯氧基自由基的电子转移步骤，与从吡啶鎓的反向质子转移耦合，完成了一个净过程的spi</w:t>
      </w:r>
    </w:p>
    <w:p>
      <w:pPr>
        <w:spacing w:before="0" w:after="200" w:lineRule="auto" w:line="276"/>
      </w:pPr>
      <w:r>
        <w:rPr>
          <w:b/>
        </w:rPr>
        <w:t xml:space="preserve">Abstract (EN): </w:t>
      </w:r>
      <w:r>
        <w:t>Electronic transition/motion coupled with proton transfer has a key role in natural and artificial energy conversion and storage materials. Previous examples include proton-coupled electron transfer and singlet energy transfer, but not triplet energy transfer. Here we report a mechanism termed proton shuttle-assisted triplet energy transfer. The system comprises ZnSe-based quantum dots surface anchored with phenol–pyridine dyadic acceptors. Ultrafast measurements and kinetic isotope effects establish that the photoexcitation of ZnSe leads to hole transfer from ZnSe to phenol, which is coupled with proton transfer from phenol to pyridine. A subsequent step of electron transfer from ZnSe to phenoxyl radical, coupled with back proton transfer from pyridinium, accomplishes a net process of spin-triplet migration from ZnSe to phenol–pyridine. Adding a strongly electron-withdrawing trifluoromethyl substituent on pyridine can switch the sequence of proton-coupled electron and hole transfer steps. Compared with a methylated analogue acceptor lacking the shuttle, the assistance of proton shuttle substantially increases the energy transfer rate and efficiency.</w:t>
      </w:r>
    </w:p>
    <w:p>
      <w:pPr>
        <w:spacing w:before="120" w:after="120"/>
      </w:pPr>
      <w:r>
        <w:rPr>
          <w:sz w:val="18"/>
        </w:rPr>
        <w:t>——————————————————————————————————————————————————————————————————————</w:t>
      </w:r>
    </w:p>
    <w:p>
      <w:pPr>
        <w:spacing w:before="160" w:after="40" w:line="240" w:lineRule="auto"/>
      </w:pPr>
      <w:r>
        <w:rPr>
          <w:b/>
        </w:rPr>
        <w:t xml:space="preserve">[56] </w:t>
      </w:r>
      <w:hyperlink r:id="rId283">
        <w:r>
          <w:rPr>
            <w:color w:val="1155CC"/>
            <w:u w:val="single"/>
          </w:rPr>
          <w:t>多体开放量子系统中的开关亚稳态动力学</w:t>
        </w:r>
      </w:hyperlink>
    </w:p>
    <w:p>
      <w:pPr>
        <w:spacing w:before="0" w:after="80"/>
      </w:pPr>
      <w:r>
        <w:rPr>
          <w:i/>
          <w:sz w:val="20"/>
        </w:rPr>
        <w:t>EN: Switch metastable dynamics in many-body open quantum systems</w:t>
      </w:r>
    </w:p>
    <w:p>
      <w:pPr>
        <w:spacing w:before="0" w:after="120"/>
      </w:pPr>
      <w:r>
        <w:rPr>
          <w:b/>
        </w:rPr>
        <w:t xml:space="preserve">Source: </w:t>
      </w:r>
      <w:r>
        <w:t>National Science Review Advance Access</w:t>
      </w:r>
      <w:r>
        <w:t xml:space="preserve">    </w:t>
      </w:r>
      <w:r>
        <w:rPr>
          <w:b/>
        </w:rPr>
        <w:t xml:space="preserve">Pub date: </w:t>
      </w:r>
      <w:r>
        <w:t>2026-03-09 00:00:00+00:00</w:t>
      </w:r>
      <w:r>
        <w:t xml:space="preserve">    </w:t>
      </w:r>
      <w:r>
        <w:rPr>
          <w:b/>
        </w:rPr>
        <w:t xml:space="preserve">DOI: </w:t>
      </w:r>
      <w:hyperlink r:id="rId284">
        <w:r>
          <w:rPr>
            <w:color w:val="1155CC"/>
            <w:u w:val="single"/>
          </w:rPr>
          <w:t>10.1093/nsr/nwag146</w:t>
        </w:r>
      </w:hyperlink>
    </w:p>
    <w:p>
      <w:pPr>
        <w:spacing w:before="0" w:after="120"/>
      </w:pPr>
      <w:r>
        <w:rPr>
          <w:b/>
        </w:rPr>
        <w:t xml:space="preserve">Notes: </w:t>
      </w:r>
      <w:r>
        <w:t>abstract_source=rss_oup</w:t>
      </w:r>
    </w:p>
    <w:p>
      <w:pPr>
        <w:spacing w:before="0" w:after="80" w:lineRule="auto" w:line="276"/>
      </w:pPr>
      <w:r>
        <w:rPr>
          <w:b/>
        </w:rPr>
        <w:t xml:space="preserve">摘要（ZH）: </w:t>
      </w:r>
      <w:r>
        <w:t>随机切换是耗散多体系统中的一个核心现象，提供了跨越经典和量子领域的亚稳态的关键探测。在此，我们通过谱分解、量子跳跃模拟和大偏差原理揭示了切换动力学与量子亚稳态之间的联系。通过建立经典固定点与量子亚稳态之间的直接对应关系，我们区分了在具有双稳态的马尔可夫开放量子系统中，轨迹级别的噪声诱导亚稳态与谱级别的确定性亚稳态。李维尔间隙、稳态占据比率和亚稳态的观察切换率都表现出与系统规模的指数级缩放，从而产生一个qu</w:t>
      </w:r>
    </w:p>
    <w:p>
      <w:pPr>
        <w:spacing w:before="0" w:after="200" w:lineRule="auto" w:line="276"/>
      </w:pPr>
      <w:r>
        <w:rPr>
          <w:b/>
        </w:rPr>
        <w:t xml:space="preserve">Abstract (EN): </w:t>
      </w:r>
      <w:r>
        <w:t>Stochastic switching is a central phenomenon in dissipative many-body systems, offering a key probe of metastability across classical and quantum regimes. Here, we unravel the connection between switching dynamics and quantum metastability through the lens of spectral decomposition, quantum-jump simulations, and the large deviation principles. By establishing a direct correspondence between classical fixed points and quantum metastable states, we distinguish the trajectory-level noise-induced metastability from the spectrum-level deterministic metastability in a Markovian open quantum system with bistability. The Liouvillian gap, the steady-state occupation ratio, and the observed switching rates of the metastable states all exhibit exponential scaling with system size, giving rise to a quantum analogue of Arrhenius law, with the inverse system size serving as an effective temperature. These results provide a unified picture of quantum bistability and clarify the relaxation processes of strongly interacting, dissipative quantum systems far from the thermodynamic limit.</w:t>
      </w:r>
    </w:p>
    <w:p>
      <w:pPr>
        <w:spacing w:before="120" w:after="120"/>
      </w:pPr>
      <w:r>
        <w:rPr>
          <w:sz w:val="18"/>
        </w:rPr>
        <w:t>——————————————————————————————————————————————————————————————————————</w:t>
      </w:r>
    </w:p>
    <w:p>
      <w:pPr>
        <w:spacing w:before="160" w:after="40" w:line="240" w:lineRule="auto"/>
      </w:pPr>
      <w:r>
        <w:rPr>
          <w:b/>
        </w:rPr>
        <w:t xml:space="preserve">[57] </w:t>
      </w:r>
      <w:hyperlink r:id="rId285">
        <w:r>
          <w:rPr>
            <w:color w:val="1155CC"/>
            <w:u w:val="single"/>
          </w:rPr>
          <w:t>由行为约束驱动的雄性小鼠内嗅皮层的方向性动态</w:t>
        </w:r>
      </w:hyperlink>
    </w:p>
    <w:p>
      <w:pPr>
        <w:spacing w:before="0" w:after="80"/>
      </w:pPr>
      <w:r>
        <w:rPr>
          <w:i/>
          <w:sz w:val="20"/>
        </w:rPr>
        <w:t>EN: Directional dynamics in the entorhinal cortex of male mice driven by behavioral constraints</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286">
        <w:r>
          <w:rPr>
            <w:color w:val="1155CC"/>
            <w:u w:val="single"/>
          </w:rPr>
          <w:t>10.1038/s41467-026-70289-3</w:t>
        </w:r>
      </w:hyperlink>
    </w:p>
    <w:p>
      <w:pPr>
        <w:spacing w:before="0" w:after="120"/>
      </w:pPr>
      <w:r>
        <w:rPr>
          <w:b/>
        </w:rPr>
        <w:t xml:space="preserve">Notes: </w:t>
      </w:r>
      <w:r>
        <w:t>abstract_source=nature_html</w:t>
      </w:r>
    </w:p>
    <w:p>
      <w:pPr>
        <w:spacing w:before="0" w:after="80" w:lineRule="auto" w:line="276"/>
      </w:pPr>
      <w:r>
        <w:rPr>
          <w:b/>
        </w:rPr>
        <w:t xml:space="preserve">摘要（ZH）: </w:t>
      </w:r>
      <w:r>
        <w:t>啮齿动物的内嗅皮层包含多种功能定义的细胞类型，包括网格细胞和头方向细胞。虽然证据表明功能类型与明确的分子特征无关，但定义它们的因素仍不清楚。通过比较雄性小鼠在自由探索或头部固定在自动驾驶小车上探索相同环境时的神经记录，我们在此表明，对于相当一部分神经元，头方向功能身份是动态的，可能通过自组织出现。大约一半的自由觅食头方向细胞在辅助导航期间可逆地失去了调谐，而其他神经元则获得了方向调谐，特别是在富含感官线索的环境中。这种适应性过程</w:t>
      </w:r>
    </w:p>
    <w:p>
      <w:pPr>
        <w:spacing w:before="0" w:after="200" w:lineRule="auto" w:line="276"/>
      </w:pPr>
      <w:r>
        <w:rPr>
          <w:b/>
        </w:rPr>
        <w:t xml:space="preserve">Abstract (EN): </w:t>
      </w:r>
      <w:r>
        <w:t>The medial entorhinal cortex of rodents contains a variety of functionally-defined cell types, including grid and head direction cells. While evidence indicates that functional types are not associated with clear molecular footprints, the factors that define them remain unclear. By comparing neural recordings in male mice exploring the same environment either freely or head-fixed to an autonomous-driving cart, we here show that, for a substantial portion of neurons, the head direction functional identity is dynamic, likely emerging through self-organization. Approximately half of free-foraging head direction cells reversibly lost their tuning during assisted navigation, while other neurons gained directional tuning, especially in environments enriched with sensory cues. This adaptive process is experience-dependent, progressively sharpening and stabilizing directional representations, while also integrating a spatial component. Our findings reveal a remarkable flexibility of entorhinal representations, demonstrating their capacity to reorganize and adapt based on how animals interact with their environment.</w:t>
      </w:r>
    </w:p>
    <w:p>
      <w:pPr>
        <w:spacing w:before="120" w:after="120"/>
      </w:pPr>
      <w:r>
        <w:rPr>
          <w:sz w:val="18"/>
        </w:rPr>
        <w:t>——————————————————————————————————————————————————————————————————————</w:t>
      </w:r>
    </w:p>
    <w:p>
      <w:pPr>
        <w:spacing w:before="160" w:after="40" w:line="240" w:lineRule="auto"/>
      </w:pPr>
      <w:r>
        <w:rPr>
          <w:b/>
        </w:rPr>
        <w:t xml:space="preserve">[58] </w:t>
      </w:r>
      <w:hyperlink r:id="rId287">
        <w:r>
          <w:rPr>
            <w:color w:val="1155CC"/>
            <w:u w:val="single"/>
          </w:rPr>
          <w:t>作为抗噬菌体系统的双核酸酶防御蛋白Upx的结构和机制见解</w:t>
        </w:r>
      </w:hyperlink>
    </w:p>
    <w:p>
      <w:pPr>
        <w:spacing w:before="0" w:after="80"/>
      </w:pPr>
      <w:r>
        <w:rPr>
          <w:i/>
          <w:sz w:val="20"/>
        </w:rPr>
        <w:t>EN: Structural and mechanistic insights into the dual-nuclease defense protein Upx as an anti-phage system</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288">
        <w:r>
          <w:rPr>
            <w:color w:val="1155CC"/>
            <w:u w:val="single"/>
          </w:rPr>
          <w:t>10.1038/s41467-026-70435-x</w:t>
        </w:r>
      </w:hyperlink>
    </w:p>
    <w:p>
      <w:pPr>
        <w:spacing w:before="0" w:after="120"/>
      </w:pPr>
      <w:r>
        <w:rPr>
          <w:b/>
        </w:rPr>
        <w:t xml:space="preserve">Notes: </w:t>
      </w:r>
      <w:r>
        <w:t>abstract_source=nature_html</w:t>
      </w:r>
    </w:p>
    <w:p>
      <w:pPr>
        <w:spacing w:before="0" w:after="80" w:lineRule="auto" w:line="276"/>
      </w:pPr>
      <w:r>
        <w:rPr>
          <w:b/>
        </w:rPr>
        <w:t xml:space="preserve">摘要（ZH）: </w:t>
      </w:r>
      <w:r>
        <w:t>核酸降解是原核生物抗噬菌体系统的一种常见策略，以CRISPR-Cas系统为例。PD-(D/E)-XK核酸酶在这些防御中构成了一个广泛分布的家族。值得注意的是，大多数成员表现出单一的核酸酶结构域，而在单一多肽中包含双核酸酶结构域的变体仍未被充分探索，其分子机制在很大程度上仍不清楚。在此，我们对一种包含未表征的PD-(D/E)-XK防御蛋白（Upx）的单蛋白系统进行了生化和功能研究。通过单颗粒电子冷冻显微镜（cryo-EM）结构揭示，含有保守的PD-(D/E)XK催化核心的C端结构域（CTD）由N端结构域（NTD）和中间结构域（MD）支撑。功能测定表明</w:t>
      </w:r>
    </w:p>
    <w:p>
      <w:pPr>
        <w:spacing w:before="0" w:after="200" w:lineRule="auto" w:line="276"/>
      </w:pPr>
      <w:r>
        <w:rPr>
          <w:b/>
        </w:rPr>
        <w:t xml:space="preserve">Abstract (EN): </w:t>
      </w:r>
      <w:r>
        <w:t>Nucleic acid degradation is a common strategy for prokaryotic anti-phage systems, as exemplified by the CRISPR-Cas system. The PD-(D/E)-XK nucleases constitute a widely distributed family in these defenses. Notably, most members exhibit a single nuclease domain, while variants containing dual nuclease domains within a single polypeptide remain underexplored, and their molecular mechanisms largely obscure. Here, we biochemically and functionally study a single-protein system containing an uncharacterized PD-(D/E)-XK defense protein (Upx). As revealed by single-particle electron cryo-microscopy (cryo-EM) structure, the C-terminal domain (CTD) harboring the conserved PD-(D/E)XK catalytic core is buttressed by the N-terminal domain (NTD) and the middle domain (MD). Functional assays demonstrate that the nucleic acid binding capability of the CTD is enhanced by the MD. The NTD also displays a noncanonical, basal exonuclease activity that is auto-inhibited by MD. IP-MS experiments identify Upx-interacting phage proteins, and substrate profiling defines its physiological preferences, collectively pointing to its potential physiological targets. Notably, the phage protein gp16 was found to relieve MD-mediated inhibition of the NTD, suggesting a virus-triggered mechanism for activating Upx’s dual nuclease activity. Together, these findings establish Upx as a single-protein dual-nuclease anti-phage system, expanding our understanding of bacterial immunity and informing antiviral strategy development.</w:t>
      </w:r>
    </w:p>
    <w:p>
      <w:pPr>
        <w:spacing w:before="120" w:after="120"/>
      </w:pPr>
      <w:r>
        <w:rPr>
          <w:sz w:val="18"/>
        </w:rPr>
        <w:t>——————————————————————————————————————————————————————————————————————</w:t>
      </w:r>
    </w:p>
    <w:p>
      <w:pPr>
        <w:spacing w:before="160" w:after="40" w:line="240" w:lineRule="auto"/>
      </w:pPr>
      <w:r>
        <w:rPr>
          <w:b/>
        </w:rPr>
        <w:t xml:space="preserve">[59] </w:t>
      </w:r>
      <w:hyperlink r:id="rId289">
        <w:r>
          <w:rPr>
            <w:color w:val="1155CC"/>
            <w:u w:val="single"/>
          </w:rPr>
          <w:t>用于肿瘤靶向治疗的生物工程铁蛋白基溶酶体靶向嵌合体平台</w:t>
        </w:r>
      </w:hyperlink>
    </w:p>
    <w:p>
      <w:pPr>
        <w:spacing w:before="0" w:after="80"/>
      </w:pPr>
      <w:r>
        <w:rPr>
          <w:i/>
          <w:sz w:val="20"/>
        </w:rPr>
        <w:t>EN: Bioengineered ferritin-based lysosome-targeting chimera platform for tumor-targeted therapy</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290">
        <w:r>
          <w:rPr>
            <w:color w:val="1155CC"/>
            <w:u w:val="single"/>
          </w:rPr>
          <w:t>10.1038/s41467-026-70383-6</w:t>
        </w:r>
      </w:hyperlink>
    </w:p>
    <w:p>
      <w:pPr>
        <w:spacing w:before="0" w:after="120"/>
      </w:pPr>
      <w:r>
        <w:rPr>
          <w:b/>
        </w:rPr>
        <w:t xml:space="preserve">Notes: </w:t>
      </w:r>
      <w:r>
        <w:t>abstract_source=nature_html</w:t>
      </w:r>
    </w:p>
    <w:p>
      <w:pPr>
        <w:spacing w:before="0" w:after="80" w:lineRule="auto" w:line="276"/>
      </w:pPr>
      <w:r>
        <w:rPr>
          <w:b/>
        </w:rPr>
        <w:t xml:space="preserve">摘要（ZH）: </w:t>
      </w:r>
      <w:r>
        <w:t>溶酶体靶向嵌合体（LYTACs）通过降解与病理发生相关的蛋白质具有治疗潜力。然而，当前的LYTAC系统通常需要大量精力进行个案构建，并且缺乏方便高效的模块化平台。在此，我们开发了一种基于人类重链铁蛋白（HFn）的模块化LYTAC平台，利用其肽展示功能和TfR1介导的溶酶体内吞作用。该系统包括一个生物工程化的HFn支架，具有增强的TfR1亲和力，并通过SpyTag-SpyCatcher系统将特异性靶向的亲和体连接到HFn上。使用这种方法，HFn-LYTACs有效降解表皮生长因子受体、表皮生长因子受体-2和程序性死亡配体1。机制研究表明HFn-LYTAC平台</w:t>
      </w:r>
    </w:p>
    <w:p>
      <w:pPr>
        <w:spacing w:before="0" w:after="200" w:lineRule="auto" w:line="276"/>
      </w:pPr>
      <w:r>
        <w:rPr>
          <w:b/>
        </w:rPr>
        <w:t xml:space="preserve">Abstract (EN): </w:t>
      </w:r>
      <w:r>
        <w:t>Lysosome-targeting chimeras (LYTACs) hold therapeutic potential by degrading pathogenesis-associated proteins. However, current LYTAC systems often require considerable effort for case-by-case construction and are devoid of a convenient and efficient modular platform. Here, we develop a modular LYTAC platform based on human heavy chain ferritin (HFn), leveraging its peptide-display function and TfR1-mediated lysosomal endocytosis. This system comprises a bioengineered HFn scaffold with enhanced TfR1 affinity and target-specific affibodies conjugated to the HFn via SpyTag-SpyCatcher system. Using this approach, HFn-LYTACs efficiently degrade epidermal growth factor receptor, epidermal growth factor receptor-2 and programmed death-ligand 1. Mechanistic studies indicate that the HFn-LYTAC platform mediates the degradation of membrane proteins via two distinct mechanisms: a TfR1-dependent endocytic pathway as well as the nanoparticle size and multivalent ligand effect of HFn-LYTAC. In vivo, HFn-LYTACs inhibit tumor growth with favorable safety. Therefore, the modular HFn-LYTAC platform represents a versatile, efficient, and promising strategy for tumor-targeted therapy.</w:t>
      </w:r>
    </w:p>
    <w:p>
      <w:pPr>
        <w:spacing w:before="120" w:after="120"/>
      </w:pPr>
      <w:r>
        <w:rPr>
          <w:sz w:val="18"/>
        </w:rPr>
        <w:t>——————————————————————————————————————————————————————————————————————</w:t>
      </w:r>
    </w:p>
    <w:p>
      <w:pPr>
        <w:spacing w:before="160" w:after="40" w:line="240" w:lineRule="auto"/>
      </w:pPr>
      <w:r>
        <w:rPr>
          <w:b/>
        </w:rPr>
        <w:t xml:space="preserve">[60] </w:t>
      </w:r>
      <w:hyperlink r:id="rId291">
        <w:r>
          <w:rPr>
            <w:color w:val="1155CC"/>
            <w:u w:val="single"/>
          </w:rPr>
          <w:t>利用地形信息机器学习重建精细尺度的三维风场</w:t>
        </w:r>
      </w:hyperlink>
    </w:p>
    <w:p>
      <w:pPr>
        <w:spacing w:before="0" w:after="80"/>
      </w:pPr>
      <w:r>
        <w:rPr>
          <w:i/>
          <w:sz w:val="20"/>
        </w:rPr>
        <w:t>EN: Reconstructing fine-scale 3D wind fields with terrain-informed machine learning</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292">
        <w:r>
          <w:rPr>
            <w:color w:val="1155CC"/>
            <w:u w:val="single"/>
          </w:rPr>
          <w:t>10.1038/s41467-026-70562-5</w:t>
        </w:r>
      </w:hyperlink>
    </w:p>
    <w:p>
      <w:pPr>
        <w:spacing w:before="0" w:after="120"/>
      </w:pPr>
      <w:r>
        <w:rPr>
          <w:b/>
        </w:rPr>
        <w:t xml:space="preserve">Notes: </w:t>
      </w:r>
      <w:r>
        <w:t>abstract_source=nature_html</w:t>
      </w:r>
    </w:p>
    <w:p>
      <w:pPr>
        <w:spacing w:before="0" w:after="80" w:lineRule="auto" w:line="276"/>
      </w:pPr>
      <w:r>
        <w:rPr>
          <w:b/>
        </w:rPr>
        <w:t xml:space="preserve">摘要（ZH）: </w:t>
      </w:r>
      <w:r>
        <w:t>精细尺度的近地表风场预测对于广泛的应用至关重要。然而，大多数操作性和基于AI的天气模型在公里尺度分辨率下运行，其中地形引起的风特征如坡面喷流、流动偏转和再循环被系统地平均化。在此，我们介绍了FuXi-CFD，这是一种基于机器学习的框架，旨在利用粗分辨率的大气输入和高分辨率的地形信息生成30米水平分辨率的详细三维(3D)近地表风场。该模型在通过计算流体动力学(CFD)生成的大规模数据集上进行训练，涵盖了广泛的地形类型和流入条件。尽管仅依赖于水平风输入，FuXi-CFD推断</w:t>
      </w:r>
    </w:p>
    <w:p>
      <w:pPr>
        <w:spacing w:before="0" w:after="200" w:lineRule="auto" w:line="276"/>
      </w:pPr>
      <w:r>
        <w:rPr>
          <w:b/>
        </w:rPr>
        <w:t xml:space="preserve">Abstract (EN): </w:t>
      </w:r>
      <w:r>
        <w:t>Fine-scale near-surface wind field prediction is essential for a wide range of applications. However, most operational and AI-based weather models operate at kilometer-scale resolution, where terrain-induced wind features such as slope jets, flow deflection, and recirculation are systematically averaged out. Here we introduce FuXi-CFD, a machine learning-based framework designed to generate detailed three-dimensional (3D) near-surface wind fields at 30-meter horizontal resolution, using only coarse-resolution atmospheric inputs and high-resolution terrain information. The model is trained on a large-scale dataset generated via computational fluid dynamics (CFD), encompassing a wide range of terrain types and inflow conditions. Although relying only on horizontal wind inputs, FuXi-CFD infers the full 3D wind fields—including latent variables such as vertical velocity and turbulence-related features. It achieves CFD-comparable accuracy while reducing inference time from hours to seconds. Notably, the model also generalizes well to real-world conditions, as demonstrated by consistent performance against independent wind-tower observations. This capability enables real-time wind field reconstruction for terrain-sensitive applications such as wind turbine siting, power forecasting, and wildfire spread modeling.</w:t>
      </w:r>
    </w:p>
    <w:p>
      <w:pPr>
        <w:spacing w:before="120" w:after="120"/>
      </w:pPr>
      <w:r>
        <w:rPr>
          <w:sz w:val="18"/>
        </w:rPr>
        <w:t>——————————————————————————————————————————————————————————————————————</w:t>
      </w:r>
    </w:p>
    <w:p>
      <w:pPr>
        <w:spacing w:before="160" w:after="40" w:line="240" w:lineRule="auto"/>
      </w:pPr>
      <w:r>
        <w:rPr>
          <w:b/>
        </w:rPr>
        <w:t xml:space="preserve">[61] </w:t>
      </w:r>
      <w:hyperlink r:id="rId293">
        <w:r>
          <w:rPr>
            <w:color w:val="1155CC"/>
            <w:u w:val="single"/>
          </w:rPr>
          <w:t>在非平衡空间分布电场中的氮固定</w:t>
        </w:r>
      </w:hyperlink>
    </w:p>
    <w:p>
      <w:pPr>
        <w:spacing w:before="0" w:after="80"/>
      </w:pPr>
      <w:r>
        <w:rPr>
          <w:i/>
          <w:sz w:val="20"/>
        </w:rPr>
        <w:t>EN: Nitrogen fixation in a non-equilibrium spatially distributed electric field</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294">
        <w:r>
          <w:rPr>
            <w:color w:val="1155CC"/>
            <w:u w:val="single"/>
          </w:rPr>
          <w:t>10.1038/s41467-026-70272-y</w:t>
        </w:r>
      </w:hyperlink>
    </w:p>
    <w:p>
      <w:pPr>
        <w:spacing w:before="0" w:after="120"/>
      </w:pPr>
      <w:r>
        <w:rPr>
          <w:b/>
        </w:rPr>
        <w:t xml:space="preserve">Notes: </w:t>
      </w:r>
      <w:r>
        <w:t>abstract_source=nature_html</w:t>
      </w:r>
    </w:p>
    <w:p>
      <w:pPr>
        <w:spacing w:before="0" w:after="80" w:lineRule="auto" w:line="276"/>
      </w:pPr>
      <w:r>
        <w:rPr>
          <w:b/>
        </w:rPr>
        <w:t xml:space="preserve">摘要（ZH）: </w:t>
      </w:r>
      <w:r>
        <w:t>氮固定严重依赖于能量密集的Haber-Bosch过程，迫切需要可再生的替代方案。在此，我们介绍了一种用于环境空气等离子体中氮固定的非平衡空间分布电场(SD-EF)策略。优化的SD-EF策略提供了9.8 mmol/h的NOx−产率，是均匀电场的三倍，N2转化率比大多数放电配置在相似或更低能耗下高出三倍。通过SD-EF同时激活两个有益的动力学网络实现了这种高NOx−产率：O3和N2的振动激发(N2(v))子机制，这通过开发一种用于原位定量的光子晶体光纤诊断揭示</w:t>
      </w:r>
    </w:p>
    <w:p>
      <w:pPr>
        <w:spacing w:before="0" w:after="200" w:lineRule="auto" w:line="276"/>
      </w:pPr>
      <w:r>
        <w:rPr>
          <w:b/>
        </w:rPr>
        <w:t xml:space="preserve">Abstract (EN): </w:t>
      </w:r>
      <w:r>
        <w:t>Nitrogen fixation heavily relies on the energy-intensive Haber-Bosch process, necessitating renewable alternatives. Here, we introduce a non-equilibrium spatially distributed electric field (SD-EF) strategy for nitrogen fixation in ambient air plasma. The optimized SD-EF strategy gives a NOx− yield of 9.8 mmol/h, tripling that of a uniform electric field and the N2 conversion is three times higher than most discharge configurations at similar or lower energy consumptions. This high NOx− yield is achieved through simultaneously activating two beneficial kinetic networks via SD-EF by having both high and low electric fields present: O3 and vibrational excitation of N2 (N2(v)) sub-mechanisms, which are revealed by developing a photonic crystal fiber diagnostic for in-situ quantification of molecules and ions (NO, NO2, N2O, O3, NO3−, and NO2−) in gas-liquid plasma. The establishment of the SD-EF strategy, coupled with in-situ gas-liquid diagnostics, is broadly applicable to plasma-assisted nitrogen fixation and holds promise for other plasma-assisted chemical conversion processes.</w:t>
      </w:r>
    </w:p>
    <w:p>
      <w:pPr>
        <w:spacing w:before="120" w:after="120"/>
      </w:pPr>
      <w:r>
        <w:rPr>
          <w:sz w:val="18"/>
        </w:rPr>
        <w:t>——————————————————————————————————————————————————————————————————————</w:t>
      </w:r>
    </w:p>
    <w:p>
      <w:pPr>
        <w:spacing w:before="160" w:after="40" w:line="240" w:lineRule="auto"/>
      </w:pPr>
      <w:r>
        <w:rPr>
          <w:b/>
        </w:rPr>
        <w:t xml:space="preserve">[62] </w:t>
      </w:r>
      <w:hyperlink r:id="rId295">
        <w:r>
          <w:rPr>
            <w:color w:val="1155CC"/>
            <w:u w:val="single"/>
          </w:rPr>
          <w:t>Hubbard激子的量子控制</w:t>
        </w:r>
      </w:hyperlink>
    </w:p>
    <w:p>
      <w:pPr>
        <w:spacing w:before="0" w:after="80"/>
      </w:pPr>
      <w:r>
        <w:rPr>
          <w:i/>
          <w:sz w:val="20"/>
        </w:rPr>
        <w:t>EN: Quantum control of Hubbard excitons</w:t>
      </w:r>
    </w:p>
    <w:p>
      <w:pPr>
        <w:spacing w:before="0" w:after="120"/>
      </w:pPr>
      <w:r>
        <w:rPr>
          <w:b/>
        </w:rPr>
        <w:t xml:space="preserve">Source: </w:t>
      </w:r>
      <w:r>
        <w:t>Nature Materials</w:t>
      </w:r>
      <w:r>
        <w:t xml:space="preserve">    </w:t>
      </w:r>
      <w:r>
        <w:rPr>
          <w:b/>
        </w:rPr>
        <w:t xml:space="preserve">Pub date: </w:t>
      </w:r>
      <w:r>
        <w:t>2026-03-09 00:00:00+00:00</w:t>
      </w:r>
      <w:r>
        <w:t xml:space="preserve">    </w:t>
      </w:r>
      <w:r>
        <w:rPr>
          <w:b/>
        </w:rPr>
        <w:t xml:space="preserve">DOI: </w:t>
      </w:r>
      <w:hyperlink r:id="rId296">
        <w:r>
          <w:rPr>
            <w:color w:val="1155CC"/>
            <w:u w:val="single"/>
          </w:rPr>
          <w:t>10.1038/s41563-026-02517-6</w:t>
        </w:r>
      </w:hyperlink>
    </w:p>
    <w:p>
      <w:pPr>
        <w:spacing w:before="0" w:after="120"/>
      </w:pPr>
      <w:r>
        <w:rPr>
          <w:b/>
        </w:rPr>
        <w:t xml:space="preserve">Notes: </w:t>
      </w:r>
      <w:r>
        <w:t>abstract_source=nature_html</w:t>
      </w:r>
    </w:p>
    <w:p>
      <w:pPr>
        <w:spacing w:before="0" w:after="80" w:lineRule="auto" w:line="276"/>
      </w:pPr>
      <w:r>
        <w:rPr>
          <w:b/>
        </w:rPr>
        <w:t xml:space="preserve">摘要（ZH）: </w:t>
      </w:r>
      <w:r>
        <w:t>对多体波函数的量子控制是量子材料研究中的一个核心挑战，因为它可以提供一个精确的控制旋钮来操控新兴现象。Floquet工程，即用周期性非共振光场对量子态进行相干修饰，已成为量子控制的重要策略。大多数对固态系统的应用都针对弱相互作用或单离子态，使得对多体波函数的操控仍然未被充分探索。在此，我们使用Floquet工程实现了对一维Mott绝缘体Sr2CuO3中强关联Hubbard激子的量子控制。一个非共振的中红外光场相干地修饰了激子波函数，驱动其在明态和暗态之间旋转。我们使用共振</w:t>
      </w:r>
    </w:p>
    <w:p>
      <w:pPr>
        <w:spacing w:before="0" w:after="200" w:lineRule="auto" w:line="276"/>
      </w:pPr>
      <w:r>
        <w:rPr>
          <w:b/>
        </w:rPr>
        <w:t xml:space="preserve">Abstract (EN): </w:t>
      </w:r>
      <w:r>
        <w:t>Quantum control of the many-body wavefunction is a central challenge in quantum materials research, as it could yield a precise control knob to manipulate emergent phenomena. Floquet engineering, the coherent dressing of quantum states with periodic non-resonant optical fields, has become an important strategy for quantum control. Most applications to solid-state systems have targeted weakly interacting or single-ion states, leaving the manipulation of many-body wavefunctions largely unexplored. Here we use Floquet engineering to achieve quantum control of a strongly correlated Hubbard exciton in the one-dimensional Mott insulator Sr2CuO3. A non-resonant mid-infrared optical field coherently dresses the exciton wavefunction, driving its rotation between bright and dark states. We use resonant third-harmonic generation to quantify ultrafast π/2 rotations on the Bloch sphere spanned by these exciton states. Our work advances the quest towards programmable control of correlated states and exciton-based quantum sensing.</w:t>
      </w:r>
    </w:p>
    <w:p>
      <w:pPr>
        <w:spacing w:before="120" w:after="120"/>
      </w:pPr>
      <w:r>
        <w:rPr>
          <w:sz w:val="18"/>
        </w:rPr>
        <w:t>——————————————————————————————————————————————————————————————————————</w:t>
      </w:r>
    </w:p>
    <w:p>
      <w:pPr>
        <w:spacing w:before="160" w:after="40" w:line="240" w:lineRule="auto"/>
      </w:pPr>
      <w:r>
        <w:rPr>
          <w:b/>
        </w:rPr>
        <w:t xml:space="preserve">[63] </w:t>
      </w:r>
      <w:hyperlink r:id="rId297">
        <w:r>
          <w:rPr>
            <w:color w:val="1155CC"/>
            <w:u w:val="single"/>
          </w:rPr>
          <w:t>使用生成模型学习湍流以实现超分辨率和稀疏流动重建</w:t>
        </w:r>
      </w:hyperlink>
    </w:p>
    <w:p>
      <w:pPr>
        <w:spacing w:before="0" w:after="80"/>
      </w:pPr>
      <w:r>
        <w:rPr>
          <w:i/>
          <w:sz w:val="20"/>
        </w:rPr>
        <w:t>EN: Learning turbulent flows with generative models for super resolution and sparse flow reconstruction</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298">
        <w:r>
          <w:rPr>
            <w:color w:val="1155CC"/>
            <w:u w:val="single"/>
          </w:rPr>
          <w:t>10.1038/s41467-026-70145-4</w:t>
        </w:r>
      </w:hyperlink>
    </w:p>
    <w:p>
      <w:pPr>
        <w:spacing w:before="0" w:after="120"/>
      </w:pPr>
      <w:r>
        <w:rPr>
          <w:b/>
        </w:rPr>
        <w:t xml:space="preserve">Notes: </w:t>
      </w:r>
      <w:r>
        <w:t>abstract_source=nature_html</w:t>
      </w:r>
    </w:p>
    <w:p>
      <w:pPr>
        <w:spacing w:before="0" w:after="80" w:lineRule="auto" w:line="276"/>
      </w:pPr>
      <w:r>
        <w:rPr>
          <w:b/>
        </w:rPr>
        <w:t xml:space="preserve">摘要（ZH）: </w:t>
      </w:r>
      <w:r>
        <w:t>神经算子是动态系统的有前途的替代品，但当用标准的L2损失训练时，它们往往会过度平滑细尺度的湍流结构。在这里，我们展示了将算子学习与生成建模结合可以克服这一限制。我们考虑了三个常规神经算子失败的实际湍流流动挑战：时空超分辨率、预测和稀疏流动重建。对于施利伦喷射超分辨率，经过对抗训练的神经算子（adv-NO）在保持神经算子般推理成本的同时，将能谱误差减少了15倍。对于3D均匀各向同性湍流，adv-NO仅在单个轨迹的160个时间步上训练，准确预测了五个涡流周转时间，并提供</w:t>
      </w:r>
    </w:p>
    <w:p>
      <w:pPr>
        <w:spacing w:before="0" w:after="200" w:lineRule="auto" w:line="276"/>
      </w:pPr>
      <w:r>
        <w:rPr>
          <w:b/>
        </w:rPr>
        <w:t xml:space="preserve">Abstract (EN): </w:t>
      </w:r>
      <w:r>
        <w:t>Neural operators are promising surrogates for dynamical systems but when trained with standard L2 losses they tend to oversmooth fine-scale turbulent structures. Here, we show that combining operator learning with generative modeling overcomes this limitation. We consider three practical turbulent-flow challenges where conventional neural operators fail: spatio-temporal super-resolution, forecasting, and sparse flow reconstruction. For Schlieren jet super-resolution, an adversarially trained neural operator (adv-NO) reduces the energy-spectrum error by 15 × while preserving sharp gradients at neural operator-like inference cost. For 3D homogeneous isotropic turbulence, adv-NO trained on only 160 timesteps from a single trajectory forecasts accurately for five eddy-turnover times and offers 114 × wall-clock speed-up at inference than the baseline diffusion-based forecasters, enabling near-real-time rollouts. For reconstructing cylinder wake flows from highly sparse Particle Tracking Velocimetry-like inputs, a conditional generative model infers full 3D velocity and pressure fields with correct phase alignment and statistics. These advances enable accurate reconstruction and forecasting at low compute cost, bringing near-real-time analysis and control within reach in experimental and computational fluid mechanics.</w:t>
      </w:r>
    </w:p>
    <w:p>
      <w:pPr>
        <w:spacing w:before="120" w:after="120"/>
      </w:pPr>
      <w:r>
        <w:rPr>
          <w:sz w:val="18"/>
        </w:rPr>
        <w:t>——————————————————————————————————————————————————————————————————————</w:t>
      </w:r>
    </w:p>
    <w:p>
      <w:pPr>
        <w:spacing w:before="160" w:after="40" w:line="240" w:lineRule="auto"/>
      </w:pPr>
      <w:r>
        <w:rPr>
          <w:b/>
        </w:rPr>
        <w:t xml:space="preserve">[64] </w:t>
      </w:r>
      <w:hyperlink r:id="rId299">
        <w:r>
          <w:rPr>
            <w:color w:val="1155CC"/>
            <w:u w:val="single"/>
          </w:rPr>
          <w:t>室温下具有电压可控磁序的二维多铁性金属</w:t>
        </w:r>
      </w:hyperlink>
    </w:p>
    <w:p>
      <w:pPr>
        <w:spacing w:before="0" w:after="80"/>
      </w:pPr>
      <w:r>
        <w:rPr>
          <w:i/>
          <w:sz w:val="20"/>
        </w:rPr>
        <w:t>EN: Room-temperature two-dimensional multiferroic metal with voltage-controllable magnetic order</w:t>
      </w:r>
    </w:p>
    <w:p>
      <w:pPr>
        <w:spacing w:before="0" w:after="120"/>
      </w:pPr>
      <w:r>
        <w:rPr>
          <w:b/>
        </w:rPr>
        <w:t xml:space="preserve">Source: </w:t>
      </w:r>
      <w:r>
        <w:t>Nature Materials</w:t>
      </w:r>
      <w:r>
        <w:t xml:space="preserve">    </w:t>
      </w:r>
      <w:r>
        <w:rPr>
          <w:b/>
        </w:rPr>
        <w:t xml:space="preserve">Pub date: </w:t>
      </w:r>
      <w:r>
        <w:t>2026-03-09 00:00:00+00:00</w:t>
      </w:r>
      <w:r>
        <w:t xml:space="preserve">    </w:t>
      </w:r>
      <w:r>
        <w:rPr>
          <w:b/>
        </w:rPr>
        <w:t xml:space="preserve">DOI: </w:t>
      </w:r>
      <w:hyperlink r:id="rId300">
        <w:r>
          <w:rPr>
            <w:color w:val="1155CC"/>
            <w:u w:val="single"/>
          </w:rPr>
          <w:t>10.1038/s41563-026-02537-2</w:t>
        </w:r>
      </w:hyperlink>
    </w:p>
    <w:p>
      <w:pPr>
        <w:spacing w:before="0" w:after="120"/>
      </w:pPr>
      <w:r>
        <w:rPr>
          <w:b/>
        </w:rPr>
        <w:t xml:space="preserve">Notes: </w:t>
      </w:r>
      <w:r>
        <w:t>abstract_source=nature_html</w:t>
      </w:r>
    </w:p>
    <w:p>
      <w:pPr>
        <w:spacing w:before="0" w:after="80" w:lineRule="auto" w:line="276"/>
      </w:pPr>
      <w:r>
        <w:rPr>
          <w:b/>
        </w:rPr>
        <w:t xml:space="preserve">摘要（ZH）: </w:t>
      </w:r>
      <w:r>
        <w:t>实现具有稳健磁电耦合的二维多铁性材料，以实现室温下电场控制的磁性，面临重大挑战，因为铁电性和磁性本质上是冲突的。在这里，我们报告了空气稳定的双层CrTe2，表现出固有的室温多铁性。结构和磁性表征揭示了一种交替的铁磁和反铁磁双层结构，由层间电荷转移驱动，自发打破反演对称性并产生可切换的面外铁电极化。扫描探针显微镜证实了用电场对磁化状态的非易失性控制，实现了电写入和磁读取功能。这一机制植根于层间</w:t>
      </w:r>
    </w:p>
    <w:p>
      <w:pPr>
        <w:spacing w:before="0" w:after="200" w:lineRule="auto" w:line="276"/>
      </w:pPr>
      <w:r>
        <w:rPr>
          <w:b/>
        </w:rPr>
        <w:t xml:space="preserve">Abstract (EN): </w:t>
      </w:r>
      <w:r>
        <w:t>Realizing two-dimensional multiferroics with robust magnetoelectric coupling for electric-field-controlled magnetism at room temperature poses substantial challenges, as ferroelectricity and magnetism inherently conflict. Here we report air-stable bilayer CrTe2 that exhibits intrinsic room-temperature multiferroicity. Structural and magnetic characterization reveals an alternating ferromagnetic and antiferromagnetic bilayer architecture, driven by interlayer charge transfer that spontaneously breaks inversion symmetry and generates a switchable out-of-plane ferroelectric polarization. Scanning probe microscopy confirms the non-volatile control of magnetization states with an electric field, enabling electrical writing and magnetic reading functionalities. This mechanism, rooted in interlayer charge transfer, rather than conventional spin-orbit coupling, provides a foundation for engineering multiferroics with layered systems. The demonstration of a two-dimensional multiferroic material with magnetoelectric coupling under ambient conditions provides opportunities for energy-efficient memory devices and quantum sensing technologies.</w:t>
      </w:r>
    </w:p>
    <w:p>
      <w:pPr>
        <w:spacing w:before="120" w:after="120"/>
      </w:pPr>
      <w:r>
        <w:rPr>
          <w:sz w:val="18"/>
        </w:rPr>
        <w:t>——————————————————————————————————————————————————————————————————————</w:t>
      </w:r>
    </w:p>
    <w:p>
      <w:pPr>
        <w:spacing w:before="160" w:after="40" w:line="240" w:lineRule="auto"/>
      </w:pPr>
      <w:r>
        <w:rPr>
          <w:b/>
        </w:rPr>
        <w:t xml:space="preserve">[65] </w:t>
      </w:r>
      <w:hyperlink r:id="rId301">
        <w:r>
          <w:rPr>
            <w:color w:val="1155CC"/>
            <w:u w:val="single"/>
          </w:rPr>
          <w:t>用于转移性癌症精准免疫治疗的AND逻辑纳米颗粒</w:t>
        </w:r>
      </w:hyperlink>
    </w:p>
    <w:p>
      <w:pPr>
        <w:spacing w:before="0" w:after="80"/>
      </w:pPr>
      <w:r>
        <w:rPr>
          <w:i/>
          <w:sz w:val="20"/>
        </w:rPr>
        <w:t>EN: AND logic nanoparticle for precision immunotherapy of metastatic cancers</w:t>
      </w:r>
    </w:p>
    <w:p>
      <w:pPr>
        <w:spacing w:before="0" w:after="120"/>
      </w:pPr>
      <w:r>
        <w:rPr>
          <w:b/>
        </w:rPr>
        <w:t xml:space="preserve">Source: </w:t>
      </w:r>
      <w:r>
        <w:t>Nature Nanotechnology</w:t>
      </w:r>
      <w:r>
        <w:t xml:space="preserve">    </w:t>
      </w:r>
      <w:r>
        <w:rPr>
          <w:b/>
        </w:rPr>
        <w:t xml:space="preserve">Pub date: </w:t>
      </w:r>
      <w:r>
        <w:t>2026-03-09 00:00:00+00:00</w:t>
      </w:r>
      <w:r>
        <w:t xml:space="preserve">    </w:t>
      </w:r>
      <w:r>
        <w:rPr>
          <w:b/>
        </w:rPr>
        <w:t xml:space="preserve">DOI: </w:t>
      </w:r>
      <w:hyperlink r:id="rId302">
        <w:r>
          <w:rPr>
            <w:color w:val="1155CC"/>
            <w:u w:val="single"/>
          </w:rPr>
          <w:t>10.1038/s41565-026-02130-3</w:t>
        </w:r>
      </w:hyperlink>
    </w:p>
    <w:p>
      <w:pPr>
        <w:spacing w:before="0" w:after="120"/>
      </w:pPr>
      <w:r>
        <w:rPr>
          <w:b/>
        </w:rPr>
        <w:t xml:space="preserve">Notes: </w:t>
      </w:r>
      <w:r>
        <w:t>abstract_source=nature_html</w:t>
      </w:r>
    </w:p>
    <w:p>
      <w:pPr>
        <w:spacing w:before="0" w:after="80" w:lineRule="auto" w:line="276"/>
      </w:pPr>
      <w:r>
        <w:rPr>
          <w:b/>
        </w:rPr>
        <w:t xml:space="preserve">摘要（ZH）: </w:t>
      </w:r>
      <w:r>
        <w:t>全身免疫治疗成功对抗转移性癌症的关键在于能够实现肿瘤特异性免疫激活而不影响正常组织。单一门控刺激响应系统不足以区分肿瘤与正常组织信号。在此，我们报告了一种AND门控纳米颗粒，它需要酸性pH值和缺氧信号来激活干扰素基因刺激因子（STING）通路，用于转移性癌症的全身治疗。这种双重刺激响应纳米颗粒由小分子STING激动剂通过缺氧敏感连接子与pH敏感聚合物结合而成。生化分析证实了STING激活中的（pH–缺氧）AND逻辑真值表。纳米颗粒激动剂显著减少了多种免疫冷肿瘤模型中的转移负担。</w:t>
      </w:r>
    </w:p>
    <w:p>
      <w:pPr>
        <w:spacing w:before="0" w:after="200" w:lineRule="auto" w:line="276"/>
      </w:pPr>
      <w:r>
        <w:rPr>
          <w:b/>
        </w:rPr>
        <w:t xml:space="preserve">Abstract (EN): </w:t>
      </w:r>
      <w:r>
        <w:t>Success in systemic immunotherapy against metastatic cancer hinges on the ability to achieve tumour-specific immune activation over normal tissues. Single-gate stimuli-responsive systems are not adequate at differentiating tumour versus normal tissue signals. Here we report an AND-gated nanoparticle that requires acidic pH and hypoxia signals to activate the stimulator of interferon genes (STING) pathway in systemic therapy of metastatic cancers. The dual stimuli-responsive nanoparticle consists of a small-molecule STING agonist conjugated to a pH-sensitive polymer through a hypoxia-sensitive linker. Biochemical analyses confirmed the (pH–hypoxia) AND logic truth table in STING activation. The nanoparticle agonist significantly reduced metastatic burdens in multiple immune-cold tumour models while exhibiting minimal systemic toxicity. Mechanistic investigation revealed that STING activation in tumour-resident type I dendritic cells drives CD8+ T cell priming and infiltration, which synergizes with immune checkpoint inhibitors. This AND logic nanoplatform offers a safe and efficacious therapeutic for STING-mediated immunotherapy against metastatic cancers.</w:t>
      </w:r>
    </w:p>
    <w:p>
      <w:pPr>
        <w:spacing w:before="120" w:after="120"/>
      </w:pPr>
      <w:r>
        <w:rPr>
          <w:sz w:val="18"/>
        </w:rPr>
        <w:t>——————————————————————————————————————————————————————————————————————</w:t>
      </w:r>
    </w:p>
    <w:p>
      <w:pPr>
        <w:spacing w:before="160" w:after="40" w:line="240" w:lineRule="auto"/>
      </w:pPr>
      <w:r>
        <w:rPr>
          <w:b/>
        </w:rPr>
        <w:t xml:space="preserve">[66] </w:t>
      </w:r>
      <w:hyperlink r:id="rId303">
        <w:r>
          <w:rPr>
            <w:color w:val="1155CC"/>
            <w:u w:val="single"/>
          </w:rPr>
          <w:t>用于时空神经形态计算的质子镍酸盐设备网络</w:t>
        </w:r>
      </w:hyperlink>
    </w:p>
    <w:p>
      <w:pPr>
        <w:spacing w:before="0" w:after="80"/>
      </w:pPr>
      <w:r>
        <w:rPr>
          <w:i/>
          <w:sz w:val="20"/>
        </w:rPr>
        <w:t>EN: Protonic nickelate device networks for spatiotemporal neuromorphic computing</w:t>
      </w:r>
    </w:p>
    <w:p>
      <w:pPr>
        <w:spacing w:before="0" w:after="120"/>
      </w:pPr>
      <w:r>
        <w:rPr>
          <w:b/>
        </w:rPr>
        <w:t xml:space="preserve">Source: </w:t>
      </w:r>
      <w:r>
        <w:t>Nature Nanotechnology</w:t>
      </w:r>
      <w:r>
        <w:t xml:space="preserve">    </w:t>
      </w:r>
      <w:r>
        <w:rPr>
          <w:b/>
        </w:rPr>
        <w:t xml:space="preserve">Pub date: </w:t>
      </w:r>
      <w:r>
        <w:t>2026-03-09 00:00:00+00:00</w:t>
      </w:r>
      <w:r>
        <w:t xml:space="preserve">    </w:t>
      </w:r>
      <w:r>
        <w:rPr>
          <w:b/>
        </w:rPr>
        <w:t xml:space="preserve">DOI: </w:t>
      </w:r>
      <w:hyperlink r:id="rId304">
        <w:r>
          <w:rPr>
            <w:color w:val="1155CC"/>
            <w:u w:val="single"/>
          </w:rPr>
          <w:t>10.1038/s41565-026-02133-0</w:t>
        </w:r>
      </w:hyperlink>
    </w:p>
    <w:p>
      <w:pPr>
        <w:spacing w:before="0" w:after="120"/>
      </w:pPr>
      <w:r>
        <w:rPr>
          <w:b/>
        </w:rPr>
        <w:t xml:space="preserve">Notes: </w:t>
      </w:r>
      <w:r>
        <w:t>abstract_source=nature_html</w:t>
      </w:r>
    </w:p>
    <w:p>
      <w:pPr>
        <w:spacing w:before="0" w:after="80" w:lineRule="auto" w:line="276"/>
      </w:pPr>
      <w:r>
        <w:rPr>
          <w:b/>
        </w:rPr>
        <w:t xml:space="preserve">摘要（ZH）: </w:t>
      </w:r>
      <w:r>
        <w:t>生物神经回路中的计算源于非线性时间响应与空间分布的动态网络交互的相互作用。在硬件中复制这种丰富性一直是一个挑战，因为大多数神经形态设备仅模拟孤立的神经元或突触功能。在此，我们介绍了一种集成的神经形态计算平台，其中非线性时空处理和可编程存储器在单一钙钛矿镍酸盐材料系统中实现。通过在同一晶圆上设计对称和非对称氢化NdNiO3结设备，我们结合了超快的质子介导瞬态动力学与稳定的多级电阻状态。对称NdNiO3结的网络表现出由质子介导的空间交互。</w:t>
      </w:r>
    </w:p>
    <w:p>
      <w:pPr>
        <w:spacing w:before="0" w:after="200" w:lineRule="auto" w:line="276"/>
      </w:pPr>
      <w:r>
        <w:rPr>
          <w:b/>
        </w:rPr>
        <w:t xml:space="preserve">Abstract (EN): </w:t>
      </w:r>
      <w:r>
        <w:t>Computation in biological neural circuits arises from the interplay of nonlinear temporal responses and spatially distributed dynamic network interactions. Replicating this richness in hardware has remained challenging, as most neuromorphic devices emulate only isolated neuron- or synapse-like functions. Here we introduce an integrated neuromorphic computing platform in which both nonlinear spatiotemporal processing and programmable memory are realized within a single perovskite nickelate material system. By engineering symmetric and asymmetric hydrogenated NdNiO3 junction devices on the same wafer, we combine ultrafast, proton-mediated transient dynamics with stable multilevel resistance states. Networks of symmetric NdNiO3 junctions exhibit emergent spatial interactions mediated by proton redistribution, while each node simultaneously provides short-term temporal memory, enabling nanosecond-scale operation with an energy cost of ~0.2 nJ per input. When interfaced with asymmetric output units serving as reconfigurable long-term weights, these networks allow both feature transformation and linear classification in the same material system. Leveraging these emergent interactions, the platform enables real-time pattern recognition and achieves high accuracy in spoken digit classification and early seizure detection, outperforming temporal-only or uncoupled architectures. These results position protonic nickelates as a compact, energy-efficient, CMOS-compatible platform that integrates processing and memory for scalable intelligent hardware.</w:t>
      </w:r>
    </w:p>
    <w:p>
      <w:pPr>
        <w:spacing w:before="120" w:after="120"/>
      </w:pPr>
      <w:r>
        <w:rPr>
          <w:sz w:val="18"/>
        </w:rPr>
        <w:t>——————————————————————————————————————————————————————————————————————</w:t>
      </w:r>
    </w:p>
    <w:p>
      <w:pPr>
        <w:spacing w:before="160" w:after="40" w:line="240" w:lineRule="auto"/>
      </w:pPr>
      <w:r>
        <w:rPr>
          <w:b/>
        </w:rPr>
        <w:t xml:space="preserve">[67] </w:t>
      </w:r>
      <w:hyperlink r:id="rId305">
        <w:r>
          <w:rPr>
            <w:color w:val="1155CC"/>
            <w:u w:val="single"/>
          </w:rPr>
          <w:t>细胞类型特异性TDP-43病理在运动皮层中的多模态解剖</w:t>
        </w:r>
      </w:hyperlink>
    </w:p>
    <w:p>
      <w:pPr>
        <w:spacing w:before="0" w:after="80"/>
      </w:pPr>
      <w:r>
        <w:rPr>
          <w:i/>
          <w:sz w:val="20"/>
        </w:rPr>
        <w:t>EN: Multi-modal dissection of cell-type specific TDP-43 pathology in the motor cortex</w:t>
      </w:r>
    </w:p>
    <w:p>
      <w:pPr>
        <w:spacing w:before="0" w:after="120"/>
      </w:pPr>
      <w:r>
        <w:rPr>
          <w:b/>
        </w:rPr>
        <w:t xml:space="preserve">Source: </w:t>
      </w:r>
      <w:r>
        <w:t>Nature Communications</w:t>
      </w:r>
      <w:r>
        <w:t xml:space="preserve">    </w:t>
      </w:r>
      <w:r>
        <w:rPr>
          <w:b/>
        </w:rPr>
        <w:t xml:space="preserve">Pub date: </w:t>
      </w:r>
      <w:r>
        <w:t>2026-03-09 00:00:00+00:00</w:t>
      </w:r>
      <w:r>
        <w:t xml:space="preserve">    </w:t>
      </w:r>
      <w:r>
        <w:rPr>
          <w:b/>
        </w:rPr>
        <w:t xml:space="preserve">DOI: </w:t>
      </w:r>
      <w:hyperlink r:id="rId306">
        <w:r>
          <w:rPr>
            <w:color w:val="1155CC"/>
            <w:u w:val="single"/>
          </w:rPr>
          <w:t>10.1038/s41467-026-69944-6</w:t>
        </w:r>
      </w:hyperlink>
    </w:p>
    <w:p>
      <w:pPr>
        <w:spacing w:before="0" w:after="120"/>
      </w:pPr>
      <w:r>
        <w:rPr>
          <w:b/>
        </w:rPr>
        <w:t xml:space="preserve">Notes: </w:t>
      </w:r>
      <w:r>
        <w:t>abstract_source=nature_html</w:t>
      </w:r>
    </w:p>
    <w:p>
      <w:pPr>
        <w:spacing w:before="0" w:after="80" w:lineRule="auto" w:line="276"/>
      </w:pPr>
      <w:r>
        <w:rPr>
          <w:b/>
        </w:rPr>
        <w:t xml:space="preserve">摘要（ZH）: </w:t>
      </w:r>
      <w:r>
        <w:t>细胞质TDP-43病理是ALS/ALS-FTD的病理标志，也是不同基因型、表型和中枢神经系统区域的汇聚性疾病事件。为了理解这一过程并以治疗为目标，我们需要定义受影响的细胞类型以及哪些细胞类型特定的效应使其特别脆弱。我们结合流式细胞术核分选和测序与单核多组学ATAC-seq和RNA-seq以及空间转录组学，以定义在死后ALS/ALS-FTD运动皮层中受影响神经元的转录细胞类型（30个ALS，20个ALS-FTD和32个对照样本）。在此，我们显示主要是兴奋性皮层神经元受到TDP-43病理的影响，并定义了受影响最严重的细胞类型：内侧L2-L3-LINC00507-FREM3，L3-。</w:t>
      </w:r>
    </w:p>
    <w:p>
      <w:pPr>
        <w:spacing w:before="0" w:after="200" w:lineRule="auto" w:line="276"/>
      </w:pPr>
      <w:r>
        <w:rPr>
          <w:b/>
        </w:rPr>
        <w:t xml:space="preserve">Abstract (EN): </w:t>
      </w:r>
      <w:r>
        <w:t>Cytoplasmic TDP-43 pathology is a pathological sign of ALS/ALS-FTD and a converging disease event across different genotypes, phenotypes and CNS areas. To understand this process and target it therapeutically, we need to define which cell types are affected and which cell-type specific effects make them particularly vulnerable. We coupled flow-cytometry nuclear sorting and sequencing with single-nucleus multi-omic ATAC-seq and RNA-seq and spatial transcriptomics to define the transcriptional cell type of affected neurons in the post-mortem ALS/ALS-FTD motor cortex (30 ALS, 20 ALS-FTD &amp; 32 control samples). Here, we show that mainly excitatory cortical neurons are affected by TDP-43 pathology and define the cell types that are affected the most: intratelencephalic L2-L3-LINC00507-FREM3, L3-L5-RORB-LNX2, L3-L5-RORB-ADGRL4 &amp; L6-THEMIS-LINC00343 neurons and extratelencephalic L5-FEZF2-NTNG1 neurons. Transcriptional aberrations by TDP-43 pathology, like cryptic exon inclusion, are cell-type specific and affect distinct gene sets in each cell type, highlighting the need to address TDP-43 pathology in a cell-type specific manner.</w:t>
      </w:r>
    </w:p>
    <w:p>
      <w:pPr>
        <w:spacing w:before="120" w:after="120"/>
      </w:pPr>
      <w:r>
        <w:rPr>
          <w:sz w:val="18"/>
        </w:rPr>
        <w:t>——————————————————————————————————————————————————————————————————————</w:t>
      </w:r>
    </w:p>
    <w:p>
      <w:pPr>
        <w:spacing w:before="160" w:after="40" w:line="240" w:lineRule="auto"/>
      </w:pPr>
      <w:r>
        <w:rPr>
          <w:b/>
        </w:rPr>
        <w:t xml:space="preserve">[68] </w:t>
      </w:r>
      <w:hyperlink r:id="rId307">
        <w:r>
          <w:rPr>
            <w:color w:val="1155CC"/>
            <w:u w:val="single"/>
          </w:rPr>
          <w:t>使用交联辅助陷阱创建方法的超薄且坚固的弹性体介电材料用于小型化可拉伸电子产品</w:t>
        </w:r>
      </w:hyperlink>
    </w:p>
    <w:p>
      <w:pPr>
        <w:spacing w:before="0" w:after="80"/>
      </w:pPr>
      <w:r>
        <w:rPr>
          <w:i/>
          <w:sz w:val="20"/>
        </w:rPr>
        <w:t>EN: Ultrathin and robust elastomeric dielectrics using a crosslinking-assisted trap creation method for miniaturized stretchable electronics</w:t>
      </w:r>
    </w:p>
    <w:p>
      <w:pPr>
        <w:spacing w:before="0" w:after="120"/>
      </w:pPr>
      <w:r>
        <w:rPr>
          <w:b/>
        </w:rPr>
        <w:t xml:space="preserve">Source: </w:t>
      </w:r>
      <w:r>
        <w:t>Nature Electronics</w:t>
      </w:r>
      <w:r>
        <w:t xml:space="preserve">    </w:t>
      </w:r>
      <w:r>
        <w:rPr>
          <w:b/>
        </w:rPr>
        <w:t xml:space="preserve">Pub date: </w:t>
      </w:r>
      <w:r>
        <w:t>2026-03-09 00:00:00+00:00</w:t>
      </w:r>
      <w:r>
        <w:t xml:space="preserve">    </w:t>
      </w:r>
      <w:r>
        <w:rPr>
          <w:b/>
        </w:rPr>
        <w:t xml:space="preserve">DOI: </w:t>
      </w:r>
      <w:hyperlink r:id="rId308">
        <w:r>
          <w:rPr>
            <w:color w:val="1155CC"/>
            <w:u w:val="single"/>
          </w:rPr>
          <w:t>10.1038/s41928-026-01579-3</w:t>
        </w:r>
      </w:hyperlink>
    </w:p>
    <w:p>
      <w:pPr>
        <w:spacing w:before="0" w:after="120"/>
      </w:pPr>
      <w:r>
        <w:rPr>
          <w:b/>
        </w:rPr>
        <w:t xml:space="preserve">Notes: </w:t>
      </w:r>
      <w:r>
        <w:t>abstract_source=nature_html</w:t>
      </w:r>
    </w:p>
    <w:p>
      <w:pPr>
        <w:spacing w:before="0" w:after="80" w:lineRule="auto" w:line="276"/>
      </w:pPr>
      <w:r>
        <w:rPr>
          <w:b/>
        </w:rPr>
        <w:t xml:space="preserve">摘要（ZH）: </w:t>
      </w:r>
      <w:r>
        <w:t>在本质上可拉伸的电子设备中，高度集成要求每个组件的像素尺寸减小。然而，微型化可拉伸设备的性能，尤其是晶体管和电容器，受到缺乏能够按比例缩小到占地尺寸的坚固弹性体介电材料的阻碍。在此，我们报告了一种交联辅助陷阱创建方法，以提高常见弹性体介电材料的击穿强度。我们使用定制的多臂交联剂同时减少弹性体网络的自由体积（这可以防止电荷载流子的加速）并引入异质性（这会创建深化学陷阱，紧密结合载流子）。在将我们的方法应用于丁腈橡胶后，它表现出击穿强度</w:t>
      </w:r>
    </w:p>
    <w:p>
      <w:pPr>
        <w:spacing w:before="0" w:after="200" w:lineRule="auto" w:line="276"/>
      </w:pPr>
      <w:r>
        <w:rPr>
          <w:b/>
        </w:rPr>
        <w:t xml:space="preserve">Abstract (EN): </w:t>
      </w:r>
      <w:r>
        <w:t>High levels of integration in intrinsically stretchable electronics require the pixel size of each component to be reduced. However, the performance of miniaturized stretchable devices, especially transistors and capacitors, is hindered by the lack of robust elastomer dielectrics that can be thinned proportionally to footprint dimensions. Here we report a crosslinking-assisted trap creation method to increase the breakdown strength of common elastomeric dielectrics. We use tailored multiarmed crosslinkers to simultaneously reduce the free volume of the elastomer network (which prevents the acceleration of charge carriers) and introduce heterogeneity (which creates deep chemical traps that tightly bind the carriers). After applying our method to nitrile rubber, it exhibits a breakdown strength of 589 kV mm−1 at a thickness of 84 nm. We use the dielectric to create stretchy capacitors with high areal capacitance, stretchy transistors with a low operating voltage and a stretchy one-transistor–one-capacitor charge storage array with over 100-fold footprint reduction compared with a common elastomer dielectric. We also fabricate a high-frequency stretchy rectifier with an operating frequency up to 6.78 MHz at 100% strain, which serves as a wireless electrical switch for an implantable muscle stimulation system.</w:t>
      </w:r>
    </w:p>
    <w:p>
      <w:pPr>
        <w:spacing w:before="120" w:after="120"/>
      </w:pPr>
      <w:r>
        <w:rPr>
          <w:sz w:val="18"/>
        </w:rPr>
        <w:t>——————————————————————————————————————————————————————————————————————</w:t>
      </w:r>
    </w:p>
    <w:p>
      <w:pPr>
        <w:spacing w:before="160" w:after="40" w:line="240" w:lineRule="auto"/>
      </w:pPr>
      <w:r>
        <w:rPr>
          <w:b/>
        </w:rPr>
        <w:t xml:space="preserve">[69] </w:t>
      </w:r>
      <w:hyperlink r:id="rId309">
        <w:r>
          <w:rPr>
            <w:color w:val="1155CC"/>
            <w:u w:val="single"/>
          </w:rPr>
          <w:t>我在博士申请和面试中看到的八个常见错误，以及如何避免它们</w:t>
        </w:r>
      </w:hyperlink>
    </w:p>
    <w:p>
      <w:pPr>
        <w:spacing w:before="0" w:after="80"/>
      </w:pPr>
      <w:r>
        <w:rPr>
          <w:i/>
          <w:sz w:val="20"/>
        </w:rPr>
        <w:t>EN: Eight common errors I see in PhD applications and interviews, and how to avoid them</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10">
        <w:r>
          <w:rPr>
            <w:color w:val="1155CC"/>
            <w:u w:val="single"/>
          </w:rPr>
          <w:t>10.1038/d41586-025-04128-8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311">
        <w:r>
          <w:rPr>
            <w:color w:val="1155CC"/>
            <w:u w:val="single"/>
          </w:rPr>
          <w:t>水凝胶的网格状微相分离用于超稳定水下柔性电子产品</w:t>
        </w:r>
      </w:hyperlink>
    </w:p>
    <w:p>
      <w:pPr>
        <w:spacing w:before="0" w:after="80"/>
      </w:pPr>
      <w:r>
        <w:rPr>
          <w:i/>
          <w:sz w:val="20"/>
        </w:rPr>
        <w:t>EN: Grid-like microphase separation of hydrogels for ultra-stable underwater flexible electronics</w:t>
      </w:r>
    </w:p>
    <w:p>
      <w:pPr>
        <w:spacing w:before="0" w:after="120"/>
      </w:pPr>
      <w:r>
        <w:rPr>
          <w:b/>
        </w:rPr>
        <w:t xml:space="preserve">Source: </w:t>
      </w:r>
      <w:r>
        <w:t>Matter</w:t>
      </w:r>
      <w:r>
        <w:t xml:space="preserve">    </w:t>
      </w:r>
      <w:r>
        <w:rPr>
          <w:b/>
        </w:rPr>
        <w:t xml:space="preserve">Pub date: </w:t>
      </w:r>
      <w:r>
        <w:t>2026-03-09 00:00:00+00:00</w:t>
      </w:r>
      <w:r>
        <w:t xml:space="preserve">    </w:t>
      </w:r>
      <w:r>
        <w:rPr>
          <w:b/>
        </w:rPr>
        <w:t xml:space="preserve">DOI: </w:t>
      </w:r>
      <w:hyperlink r:id="rId312">
        <w:r>
          <w:rPr>
            <w:color w:val="1155CC"/>
            <w:u w:val="single"/>
          </w:rPr>
          <w:t>10.1016/j.matt.2026.102707</w:t>
        </w:r>
      </w:hyperlink>
    </w:p>
    <w:p>
      <w:pPr>
        <w:spacing w:before="0" w:after="120"/>
      </w:pPr>
      <w:r>
        <w:rPr>
          <w:b/>
        </w:rPr>
        <w:t xml:space="preserve">Notes: </w:t>
      </w:r>
      <w:r>
        <w:t>abstract_source=rss_cell</w:t>
      </w:r>
    </w:p>
    <w:p>
      <w:pPr>
        <w:spacing w:before="0" w:after="80" w:lineRule="auto" w:line="276"/>
      </w:pPr>
      <w:r>
        <w:rPr>
          <w:b/>
        </w:rPr>
        <w:t xml:space="preserve">摘要（ZH）: </w:t>
      </w:r>
      <w:r>
        <w:t>两种部分兼容的硼酸酯交联聚合物的自发相分离形成具有网格状微相结构的水凝胶。在疏水且刚性的微域中包裹富水且柔软的微域，使水凝胶具有许多优点，特别是出色的水下稳定性、机械坚固性和自润滑性，从而使柔性电子产品能够适应复杂环境。</w:t>
      </w:r>
    </w:p>
    <w:p>
      <w:pPr>
        <w:spacing w:before="0" w:after="200" w:lineRule="auto" w:line="276"/>
      </w:pPr>
      <w:r>
        <w:rPr>
          <w:b/>
        </w:rPr>
        <w:t xml:space="preserve">Abstract (EN): </w:t>
      </w:r>
      <w:r>
        <w:t>Spontaneous phase separation of two partially compatible borate-ester-crosslinked polymers affords hydrogels with a grid-like microphase structure. Encapsulating water-rich and soft microdomains in hydrophobic and rigid microdomains endows the hydrogels with many merits, especially outstanding underwater stability, mechanical robustness, and self-lubrication, enabling flexible electronics adaptable to complicated environments.</w:t>
      </w:r>
    </w:p>
    <w:p>
      <w:pPr>
        <w:spacing w:before="120" w:after="120"/>
      </w:pPr>
      <w:r>
        <w:rPr>
          <w:sz w:val="18"/>
        </w:rPr>
        <w:t>——————————————————————————————————————————————————————————————————————</w:t>
      </w:r>
    </w:p>
    <w:p>
      <w:pPr>
        <w:spacing w:before="160" w:after="40" w:line="240" w:lineRule="auto"/>
      </w:pPr>
      <w:r>
        <w:rPr>
          <w:b/>
        </w:rPr>
        <w:t xml:space="preserve">[71] </w:t>
      </w:r>
      <w:hyperlink r:id="rId313">
        <w:r>
          <w:rPr>
            <w:color w:val="1155CC"/>
            <w:u w:val="single"/>
          </w:rPr>
          <w:t>回复“在欧洲森林中，叶面硝化细菌丰度与树冠硝化之间没有普遍关系”</w:t>
        </w:r>
      </w:hyperlink>
    </w:p>
    <w:p>
      <w:pPr>
        <w:spacing w:before="0" w:after="80"/>
      </w:pPr>
      <w:r>
        <w:rPr>
          <w:i/>
          <w:sz w:val="20"/>
        </w:rPr>
        <w:t>EN: Reply to “No pervasive relationship between phyllosphere nitrifiers abundance and canopy nitrification in European forests”</w:t>
      </w:r>
    </w:p>
    <w:p>
      <w:pPr>
        <w:spacing w:before="0" w:after="120"/>
      </w:pPr>
      <w:r>
        <w:rPr>
          <w:b/>
        </w:rPr>
        <w:t xml:space="preserve">Source: </w:t>
      </w:r>
      <w:r>
        <w:t>National Science Review Advance Access</w:t>
      </w:r>
      <w:r>
        <w:t xml:space="preserve">    </w:t>
      </w:r>
      <w:r>
        <w:rPr>
          <w:b/>
        </w:rPr>
        <w:t xml:space="preserve">Pub date: </w:t>
      </w:r>
      <w:r>
        <w:t>2026-03-09 00:00:00+00:00</w:t>
      </w:r>
      <w:r>
        <w:t xml:space="preserve">    </w:t>
      </w:r>
      <w:r>
        <w:rPr>
          <w:b/>
        </w:rPr>
        <w:t xml:space="preserve">DOI: </w:t>
      </w:r>
      <w:hyperlink r:id="rId314">
        <w:r>
          <w:rPr>
            <w:color w:val="1155CC"/>
            <w:u w:val="single"/>
          </w:rPr>
          <w:t>10.1093/nsr/nwag145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315">
        <w:r>
          <w:rPr>
            <w:color w:val="1155CC"/>
            <w:u w:val="single"/>
          </w:rPr>
          <w:t>逻辑门控纳米药物激活STING以增强转移性肿瘤免疫治疗</w:t>
        </w:r>
      </w:hyperlink>
    </w:p>
    <w:p>
      <w:pPr>
        <w:spacing w:before="0" w:after="80"/>
      </w:pPr>
      <w:r>
        <w:rPr>
          <w:i/>
          <w:sz w:val="20"/>
        </w:rPr>
        <w:t>EN: Logic‑gated nanomedicine activates STING to boost metastatic tumour immunotherapy</w:t>
      </w:r>
    </w:p>
    <w:p>
      <w:pPr>
        <w:spacing w:before="0" w:after="120"/>
      </w:pPr>
      <w:r>
        <w:rPr>
          <w:b/>
        </w:rPr>
        <w:t xml:space="preserve">Source: </w:t>
      </w:r>
      <w:r>
        <w:t>Nature Nanotechnology</w:t>
      </w:r>
      <w:r>
        <w:t xml:space="preserve">    </w:t>
      </w:r>
      <w:r>
        <w:rPr>
          <w:b/>
        </w:rPr>
        <w:t xml:space="preserve">Pub date: </w:t>
      </w:r>
      <w:r>
        <w:t>2026-03-09 00:00:00+00:00</w:t>
      </w:r>
      <w:r>
        <w:t xml:space="preserve">    </w:t>
      </w:r>
      <w:r>
        <w:rPr>
          <w:b/>
        </w:rPr>
        <w:t xml:space="preserve">DOI: </w:t>
      </w:r>
      <w:hyperlink r:id="rId316">
        <w:r>
          <w:rPr>
            <w:color w:val="1155CC"/>
            <w:u w:val="single"/>
          </w:rPr>
          <w:t>10.1038/s41565-026-02131-2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317">
        <w:r>
          <w:rPr>
            <w:color w:val="1155CC"/>
            <w:u w:val="single"/>
          </w:rPr>
          <w:t>用于高度稳健的神经形态假肢的离子电子储层</w:t>
        </w:r>
      </w:hyperlink>
    </w:p>
    <w:p>
      <w:pPr>
        <w:spacing w:before="0" w:after="80"/>
      </w:pPr>
      <w:r>
        <w:rPr>
          <w:i/>
          <w:sz w:val="20"/>
        </w:rPr>
        <w:t>EN: An iontronic reservoir for highly robust neuromorphic prosthesis</w:t>
      </w:r>
    </w:p>
    <w:p>
      <w:pPr>
        <w:spacing w:before="0" w:after="120"/>
      </w:pPr>
      <w:r>
        <w:rPr>
          <w:b/>
        </w:rPr>
        <w:t xml:space="preserve">Source: </w:t>
      </w:r>
      <w:r>
        <w:t>Nature Materials</w:t>
      </w:r>
      <w:r>
        <w:t xml:space="preserve">    </w:t>
      </w:r>
      <w:r>
        <w:rPr>
          <w:b/>
        </w:rPr>
        <w:t xml:space="preserve">Pub date: </w:t>
      </w:r>
      <w:r>
        <w:t>2026-03-09 00:00:00+00:00</w:t>
      </w:r>
      <w:r>
        <w:t xml:space="preserve">    </w:t>
      </w:r>
      <w:r>
        <w:rPr>
          <w:b/>
        </w:rPr>
        <w:t xml:space="preserve">DOI: </w:t>
      </w:r>
      <w:hyperlink r:id="rId318">
        <w:r>
          <w:rPr>
            <w:color w:val="1155CC"/>
            <w:u w:val="single"/>
          </w:rPr>
          <w:t>10.1038/s41563-026-02532-7</w:t>
        </w:r>
      </w:hyperlink>
    </w:p>
    <w:p>
      <w:pPr>
        <w:spacing w:before="0" w:after="120"/>
      </w:pPr>
      <w:r>
        <w:rPr>
          <w:b/>
        </w:rPr>
        <w:t xml:space="preserve">Notes: </w:t>
      </w:r>
      <w:r>
        <w:t>abstract_source=nature_html</w:t>
      </w:r>
    </w:p>
    <w:p>
      <w:pPr>
        <w:spacing w:before="0" w:after="80" w:lineRule="auto" w:line="276"/>
      </w:pPr>
      <w:r>
        <w:rPr>
          <w:b/>
        </w:rPr>
        <w:t xml:space="preserve">摘要（ZH）: </w:t>
      </w:r>
      <w:r>
        <w:t>神经形态假肢不仅需要神经结构和功能的组装，还需要在动态生理环境中对不可预测的故障具有鲁棒性。虽然自愈电子设备已被证明可以恢复类似突触的功能，但其在更高阶认知功能中的应用仍然有限。我们在此展示了一种基于水凝胶的离子储层，表现出卓越的物理和功能鲁棒性，适用于神经形态假肢。水凝胶-电极界面的非线性动力学可以作为物理储层来预处理时间序列，最大限度地减少对物理损伤的敏感性。我们基于水凝胶离子储层的系统在语音识别中实现了95%的准确率，并且可以在</w:t>
      </w:r>
    </w:p>
    <w:p>
      <w:pPr>
        <w:spacing w:before="0" w:after="200" w:lineRule="auto" w:line="276"/>
      </w:pPr>
      <w:r>
        <w:rPr>
          <w:b/>
        </w:rPr>
        <w:t xml:space="preserve">Abstract (EN): </w:t>
      </w:r>
      <w:r>
        <w:t>Neuromorphic prosthesis demands not only the assembly of neural architectures and functions but also robustness against unpredictable failures in dynamic physiological environments. While self-healing electronics have been demonstrated to restore synapse-like functions, their application to higher-order cognitive functions remains limited. Here we present a hydrogel-based iontronic reservoir that demonstrates exceptional physical and functional robustness for neuromorphic prosthesis. The nonlinear dynamics of the hydrogel–electrode interface can serve as a physical reservoir to preprocess time series, with minimized susceptibility to physical damage. Our system based on the hydrogel-based iontronic reservoir achieves 95% accuracy in speech recognition and can restore such capability within 0.02 s after reattaching the fractured points, outperforming biological systems in the neurorehabilitation process. Moreover, its pH-sensitive dynamics enable adaptive closed-loop neural stimulation control in a rat model, validating its potential for neural rehabilitation and sensorimotor function restoration. We expect such a hydrogel-based iontronic reservoir to improve both processing efficiency and robustness for next-generation neuroprosthetics and human–machine interfaces.</w:t>
      </w:r>
    </w:p>
    <w:p>
      <w:pPr>
        <w:spacing w:before="120" w:after="120"/>
      </w:pPr>
      <w:r>
        <w:rPr>
          <w:sz w:val="18"/>
        </w:rPr>
        <w:t>——————————————————————————————————————————————————————————————————————</w:t>
      </w:r>
    </w:p>
    <w:p>
      <w:pPr>
        <w:spacing w:before="160" w:after="40" w:line="240" w:lineRule="auto"/>
      </w:pPr>
      <w:r>
        <w:rPr>
          <w:b/>
        </w:rPr>
        <w:t xml:space="preserve">[74] </w:t>
      </w:r>
      <w:hyperlink r:id="rId319">
        <w:r>
          <w:rPr>
            <w:color w:val="1155CC"/>
            <w:u w:val="single"/>
          </w:rPr>
          <w:t>来自高压下富硼半导体的惊喜</w:t>
        </w:r>
      </w:hyperlink>
    </w:p>
    <w:p>
      <w:pPr>
        <w:spacing w:before="0" w:after="80"/>
      </w:pPr>
      <w:r>
        <w:rPr>
          <w:i/>
          <w:sz w:val="20"/>
        </w:rPr>
        <w:t>EN: Surprises from a boron-rich semiconductor under pressure</w:t>
      </w:r>
    </w:p>
    <w:p>
      <w:pPr>
        <w:spacing w:before="0" w:after="120"/>
      </w:pPr>
      <w:r>
        <w:rPr>
          <w:b/>
        </w:rPr>
        <w:t xml:space="preserve">Source: </w:t>
      </w:r>
      <w:r>
        <w:t>National Science Review Advance Access</w:t>
      </w:r>
      <w:r>
        <w:t xml:space="preserve">    </w:t>
      </w:r>
      <w:r>
        <w:rPr>
          <w:b/>
        </w:rPr>
        <w:t xml:space="preserve">Pub date: </w:t>
      </w:r>
      <w:r>
        <w:t>2026-03-09 00:00:00+00:00</w:t>
      </w:r>
      <w:r>
        <w:t xml:space="preserve">    </w:t>
      </w:r>
      <w:r>
        <w:rPr>
          <w:b/>
        </w:rPr>
        <w:t xml:space="preserve">DOI: </w:t>
      </w:r>
      <w:hyperlink r:id="rId320">
        <w:r>
          <w:rPr>
            <w:color w:val="1155CC"/>
            <w:u w:val="single"/>
          </w:rPr>
          <w:t>10.1093/nsr/nwag137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321">
        <w:r>
          <w:rPr>
            <w:color w:val="1155CC"/>
            <w:u w:val="single"/>
          </w:rPr>
          <w:t>我的博士生遇到了困难。我该如何教他们坚持不懈和解决问题的能力？</w:t>
        </w:r>
      </w:hyperlink>
    </w:p>
    <w:p>
      <w:pPr>
        <w:spacing w:before="0" w:after="80"/>
      </w:pPr>
      <w:r>
        <w:rPr>
          <w:i/>
          <w:sz w:val="20"/>
        </w:rPr>
        <w:t>EN: My PhD student is stuck. How do I teach them perseverance and problem solving?</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22">
        <w:r>
          <w:rPr>
            <w:color w:val="1155CC"/>
            <w:u w:val="single"/>
          </w:rPr>
          <w:t>10.1038/d41586-026-00706-6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 </w:t>
      </w:r>
      <w:hyperlink r:id="rId323">
        <w:r>
          <w:rPr>
            <w:color w:val="1155CC"/>
            <w:u w:val="single"/>
          </w:rPr>
          <w:t>每日多种维生素减缓生物老化迹象</w:t>
        </w:r>
      </w:hyperlink>
    </w:p>
    <w:p>
      <w:pPr>
        <w:spacing w:before="0" w:after="80"/>
      </w:pPr>
      <w:r>
        <w:rPr>
          <w:i/>
          <w:sz w:val="20"/>
        </w:rPr>
        <w:t>EN: Daily multivitamin slows signs of biological ageing</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24">
        <w:r>
          <w:rPr>
            <w:color w:val="1155CC"/>
            <w:u w:val="single"/>
          </w:rPr>
          <w:t>10.1038/d41586-026-00741-3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325">
        <w:r>
          <w:rPr>
            <w:color w:val="1155CC"/>
            <w:u w:val="single"/>
          </w:rPr>
          <w:t>国会如何恢复美国科学的独立性</w:t>
        </w:r>
      </w:hyperlink>
    </w:p>
    <w:p>
      <w:pPr>
        <w:spacing w:before="0" w:after="80"/>
      </w:pPr>
      <w:r>
        <w:rPr>
          <w:i/>
          <w:sz w:val="20"/>
        </w:rPr>
        <w:t>EN: How Congress can restore the independence of US science</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26">
        <w:r>
          <w:rPr>
            <w:color w:val="1155CC"/>
            <w:u w:val="single"/>
          </w:rPr>
          <w:t>10.1038/d41586-026-00703-9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327">
        <w:r>
          <w:rPr>
            <w:color w:val="1155CC"/>
            <w:u w:val="single"/>
          </w:rPr>
          <w:t>蛋白质折叠有多快？实时技术捕捉这一瞬间</w:t>
        </w:r>
      </w:hyperlink>
    </w:p>
    <w:p>
      <w:pPr>
        <w:spacing w:before="0" w:after="80"/>
      </w:pPr>
      <w:r>
        <w:rPr>
          <w:i/>
          <w:sz w:val="20"/>
        </w:rPr>
        <w:t>EN: How fast does a protein fold? Real-time technique captures the moment</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28">
        <w:r>
          <w:rPr>
            <w:color w:val="1155CC"/>
            <w:u w:val="single"/>
          </w:rPr>
          <w:t>10.1038/d41586-026-00755-x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329">
        <w:r>
          <w:rPr>
            <w:color w:val="1155CC"/>
            <w:u w:val="single"/>
          </w:rPr>
          <w:t>污染物和粪便如何描绘过去文明的图景</w:t>
        </w:r>
      </w:hyperlink>
    </w:p>
    <w:p>
      <w:pPr>
        <w:spacing w:before="0" w:after="80"/>
      </w:pPr>
      <w:r>
        <w:rPr>
          <w:i/>
          <w:sz w:val="20"/>
        </w:rPr>
        <w:t>EN: How pollutants and poo paint a picture of past civilizations</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30">
        <w:r>
          <w:rPr>
            <w:color w:val="1155CC"/>
            <w:u w:val="single"/>
          </w:rPr>
          <w:t>10.1038/d41586-026-00705-7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331">
        <w:r>
          <w:rPr>
            <w:color w:val="1155CC"/>
            <w:u w:val="single"/>
          </w:rPr>
          <w:t>通过末端基团修饰工程化单一拓扑π-共轭聚合物和插值拓扑孤子</w:t>
        </w:r>
      </w:hyperlink>
    </w:p>
    <w:p>
      <w:pPr>
        <w:spacing w:before="0" w:after="80"/>
      </w:pPr>
      <w:r>
        <w:rPr>
          <w:i/>
          <w:sz w:val="20"/>
        </w:rPr>
        <w:t>EN: Engineering single topological π-conjugated polymers and interpolating topological solitons by end-group modification</w:t>
      </w:r>
    </w:p>
    <w:p>
      <w:pPr>
        <w:spacing w:before="0" w:after="120"/>
      </w:pPr>
      <w:r>
        <w:rPr>
          <w:b/>
        </w:rPr>
        <w:t xml:space="preserve">Source: </w:t>
      </w:r>
      <w:r>
        <w:t>National Science Review Advance Access</w:t>
      </w:r>
      <w:r>
        <w:t xml:space="preserve">    </w:t>
      </w:r>
      <w:r>
        <w:rPr>
          <w:b/>
        </w:rPr>
        <w:t xml:space="preserve">Pub date: </w:t>
      </w:r>
      <w:r>
        <w:t>2026-03-09 00:00:00+00:00</w:t>
      </w:r>
      <w:r>
        <w:t xml:space="preserve">    </w:t>
      </w:r>
      <w:r>
        <w:rPr>
          <w:b/>
        </w:rPr>
        <w:t xml:space="preserve">DOI: </w:t>
      </w:r>
      <w:hyperlink r:id="rId332">
        <w:r>
          <w:rPr>
            <w:color w:val="1155CC"/>
            <w:u w:val="single"/>
          </w:rPr>
          <w:t>10.1093/nsr/nwag144</w:t>
        </w:r>
      </w:hyperlink>
    </w:p>
    <w:p>
      <w:pPr>
        <w:spacing w:before="0" w:after="120"/>
      </w:pPr>
      <w:r>
        <w:rPr>
          <w:b/>
        </w:rPr>
        <w:t xml:space="preserve">Notes: </w:t>
      </w:r>
      <w:r>
        <w:t>abstract_source=rss_oup</w:t>
      </w:r>
    </w:p>
    <w:p>
      <w:pPr>
        <w:spacing w:before="0" w:after="80" w:lineRule="auto" w:line="276"/>
      </w:pPr>
      <w:r>
        <w:rPr>
          <w:b/>
        </w:rPr>
        <w:t xml:space="preserve">摘要（ZH）: </w:t>
      </w:r>
      <w:r>
        <w:t>拓扑孤子可以作为拓扑非平凡相和平凡相之间的移动畴壁，融合了来自孤子和对称保护边界态的混合零模特性，为量子技术提供了基本见解和前所未有的机会。然而，其实验实现具有挑战性。在此，我们通过在Au(111)上进行末端基团修饰，展示了π-共轭并五苯聚合物中拓扑结构的表面工程和拓扑孤子的引入，使用包括扫描隧道显微镜、非接触原子力显微镜和尖端增强拉曼光谱在内的多种技术结合密度泛函理论和紧束缚计算。我们制造了累积烯桥接的并五苯。</w:t>
      </w:r>
    </w:p>
    <w:p>
      <w:pPr>
        <w:spacing w:before="0" w:after="200" w:lineRule="auto" w:line="276"/>
      </w:pPr>
      <w:r>
        <w:rPr>
          <w:b/>
        </w:rPr>
        <w:t xml:space="preserve">Abstract (EN): </w:t>
      </w:r>
      <w:r>
        <w:t>Topological solitons can act as mobile domain walls between topologically nontrivial and trivial phases, merging hybrid zero-mode properties from both solitonic and symmetry-protected boundary states, and providing both fundamental insights and unprecedented opportunities for quantum technologies. However, their experimental realization is challenging. Here, we demonstrate on-surface engineering of topological structures and introduction of topological solitons in π-conjugated pentacene polymers through end-group modification on Au(111), using combined multiple techniques including scanning tunneling microscopy, non-contact atomic force microscopy, and tip-enhanced Raman spectroscopy, along with density functional theory and tight-binding calculations. We fabricate cumulene-bridged pentacene oligomers and polymers with nearly length independence by anchoring their both termini to the surface. By converting a near-end segment into the trivial phase through its end group modification, we realize the interpolation of topological solitons as domain walls between nontrivial and trivial phases, which are well supported by observations of the solitonic zero-energy peaks across the domain walls, the band reverse between the separated regions, and the distinct region-dependent vibration modes, as well as theoretical calculations. The realization of topological solitons as domain walls between nontrivial and trivial phases offers a rich platform for fundamental research, and illustrates potential applications of π-conjugated polymers in quantum devices.</w:t>
      </w:r>
    </w:p>
    <w:p>
      <w:pPr>
        <w:spacing w:before="120" w:after="120"/>
      </w:pPr>
      <w:r>
        <w:rPr>
          <w:sz w:val="18"/>
        </w:rPr>
        <w:t>——————————————————————————————————————————————————————————————————————</w:t>
      </w:r>
    </w:p>
    <w:p>
      <w:pPr>
        <w:spacing w:before="160" w:after="40" w:line="240" w:lineRule="auto"/>
      </w:pPr>
      <w:r>
        <w:rPr>
          <w:b/>
        </w:rPr>
        <w:t xml:space="preserve">[81] </w:t>
      </w:r>
      <w:hyperlink r:id="rId333">
        <w:r>
          <w:rPr>
            <w:color w:val="1155CC"/>
            <w:u w:val="single"/>
          </w:rPr>
          <w:t>世界上的盐湖正在干涸，但解决方案难以找到</w:t>
        </w:r>
      </w:hyperlink>
    </w:p>
    <w:p>
      <w:pPr>
        <w:spacing w:before="0" w:after="80"/>
      </w:pPr>
      <w:r>
        <w:rPr>
          <w:i/>
          <w:sz w:val="20"/>
        </w:rPr>
        <w:t>EN: The world’s salt lakes are drying up, but solutions are hard to come by</w:t>
      </w:r>
    </w:p>
    <w:p>
      <w:pPr>
        <w:spacing w:before="0" w:after="120"/>
      </w:pPr>
      <w:r>
        <w:rPr>
          <w:b/>
        </w:rPr>
        <w:t xml:space="preserve">Source: </w:t>
      </w:r>
      <w:r>
        <w:t>Nature</w:t>
      </w:r>
      <w:r>
        <w:t xml:space="preserve">    </w:t>
      </w:r>
      <w:r>
        <w:rPr>
          <w:b/>
        </w:rPr>
        <w:t xml:space="preserve">Pub date: </w:t>
      </w:r>
      <w:r>
        <w:t>2026-03-09 00:00:00+00:00</w:t>
      </w:r>
      <w:r>
        <w:t xml:space="preserve">    </w:t>
      </w:r>
      <w:r>
        <w:rPr>
          <w:b/>
        </w:rPr>
        <w:t xml:space="preserve">DOI: </w:t>
      </w:r>
      <w:hyperlink r:id="rId334">
        <w:r>
          <w:rPr>
            <w:color w:val="1155CC"/>
            <w:u w:val="single"/>
          </w:rPr>
          <w:t>10.1038/d41586-026-00702-w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335">
        <w:r>
          <w:rPr>
            <w:color w:val="1155CC"/>
            <w:u w:val="single"/>
          </w:rPr>
          <w:t>为先进电催化转化设计多活性位点结构</w:t>
        </w:r>
      </w:hyperlink>
    </w:p>
    <w:p>
      <w:pPr>
        <w:spacing w:before="0" w:after="80"/>
      </w:pPr>
      <w:r>
        <w:rPr>
          <w:i/>
          <w:sz w:val="20"/>
        </w:rPr>
        <w:t>EN: Engineering Multiple Active Site Architectures for Advanced Electrocatalytic Conversions</w:t>
      </w:r>
    </w:p>
    <w:p>
      <w:pPr>
        <w:spacing w:before="0" w:after="120"/>
      </w:pPr>
      <w:r>
        <w:rPr>
          <w:b/>
        </w:rPr>
        <w:t xml:space="preserve">Source: </w:t>
      </w:r>
      <w:r>
        <w:t>Wiley: Advanced Energy Materials: Table of Contents</w:t>
      </w:r>
      <w:r>
        <w:t xml:space="preserve">    </w:t>
      </w:r>
      <w:r>
        <w:rPr>
          <w:b/>
        </w:rPr>
        <w:t xml:space="preserve">Pub date: </w:t>
      </w:r>
      <w:r>
        <w:t>2026-03-09 06:21:03+00:00</w:t>
      </w:r>
      <w:r>
        <w:t xml:space="preserve">    </w:t>
      </w:r>
      <w:r>
        <w:rPr>
          <w:b/>
        </w:rPr>
        <w:t xml:space="preserve">DOI: </w:t>
      </w:r>
      <w:hyperlink r:id="rId336">
        <w:r>
          <w:rPr>
            <w:color w:val="1155CC"/>
            <w:u w:val="single"/>
          </w:rPr>
          <w:t>10.1002/aenm.202506548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技术代表了一种将低价值原料转化为高价值产品的关键途径，尽管其实际应用仍面临诸如反应动力学缓慢和高能量障碍等基本挑战。这些限制正通过多活性位点（MAS）架构逐渐被克服，利用协同效应促进多电子转移过程，并在催化剂设计中建立了新的范式。本综述系统地探讨了MAS结构的合理设计和工程策略，涵盖了异质结构构建、双原子位点调控、缺陷工程、合金化和级联反应系统等方法，旨在提高整体电催化性能。</w:t>
      </w:r>
    </w:p>
    <w:p>
      <w:pPr>
        <w:spacing w:before="0" w:after="200" w:lineRule="auto" w:line="276"/>
      </w:pPr>
      <w:r>
        <w:rPr>
          <w:b/>
        </w:rPr>
        <w:t xml:space="preserve">Abstract (EN): </w:t>
      </w:r>
      <w:r>
        <w:t>Electrocatalytic technology represents a pivotal pathway for converting low‐value feedstocks into high‐value products, though its practical implementation continues to face fundamental challenges such as sluggish reaction kinetics and high energy barriers. These limitations are increasingly being overcome through multi‐active site (MAS) architectures, which utilize synergistic effects to facilitate multi‐electron transfer processes and establish a new paradigm in catalyst design. This review systematically explores rational design and engineering strategies for MAS structures, covering approaches such as heterostructure construction, dual‐atom site modulation, defect engineering, alloying, and cascade reaction systems, all aimed at improving overall electrocatalytic performance. We further analyze the intrinsic mechanisms responsible for performance breakthroughs in MAS architectures, including their ability to decouple reaction steps, optimize intermediate adsorption, enable electron–proton co‐transfer, and suppress competing side reactions. By integrating advanced characterization techniques with theoretical simulations, this work also reveals key cooperative mechanisms and dynamic reaction pathways, establishes a foundational framework for catalyst refinement, and details applications of multi‐component active sites across major catalytic reactions. Finally, we outline persistent challenges and propose future research directions, offering a systematic theoretical basis for the development of next‐generation electrocatalysts for sustainable energy systems.</w:t>
      </w:r>
    </w:p>
    <w:p>
      <w:pPr>
        <w:spacing w:before="120" w:after="120"/>
      </w:pPr>
      <w:r>
        <w:rPr>
          <w:sz w:val="18"/>
        </w:rPr>
        <w:t>——————————————————————————————————————————————————————————————————————</w:t>
      </w:r>
    </w:p>
    <w:p>
      <w:pPr>
        <w:spacing w:before="160" w:after="40" w:line="240" w:lineRule="auto"/>
      </w:pPr>
      <w:r>
        <w:rPr>
          <w:b/>
        </w:rPr>
        <w:t xml:space="preserve">[83] </w:t>
      </w:r>
      <w:hyperlink r:id="rId337">
        <w:r>
          <w:rPr>
            <w:color w:val="1155CC"/>
            <w:u w:val="single"/>
          </w:rPr>
          <w:t>用于高效和热循环稳定的倒置钙钛矿太阳能电池的垂直取向双膦酸盐自组装单分子层</w:t>
        </w:r>
      </w:hyperlink>
    </w:p>
    <w:p>
      <w:pPr>
        <w:spacing w:before="0" w:after="80"/>
      </w:pPr>
      <w:r>
        <w:rPr>
          <w:i/>
          <w:sz w:val="20"/>
        </w:rPr>
        <w:t>EN: Vertically Oriented Bisphosphonate Self‐Assembled Monolayers for Efficient and Thermocycling‐Stable Inverted Perovskite Solar Cells</w:t>
      </w:r>
    </w:p>
    <w:p>
      <w:pPr>
        <w:spacing w:before="0" w:after="120"/>
      </w:pPr>
      <w:r>
        <w:rPr>
          <w:b/>
        </w:rPr>
        <w:t xml:space="preserve">Source: </w:t>
      </w:r>
      <w:r>
        <w:t>Wiley: Advanced Energy Materials: Table of Contents</w:t>
      </w:r>
      <w:r>
        <w:t xml:space="preserve">    </w:t>
      </w:r>
      <w:r>
        <w:rPr>
          <w:b/>
        </w:rPr>
        <w:t xml:space="preserve">Pub date: </w:t>
      </w:r>
      <w:r>
        <w:t>2026-03-09 06:57:12+00:00</w:t>
      </w:r>
      <w:r>
        <w:t xml:space="preserve">    </w:t>
      </w:r>
      <w:r>
        <w:rPr>
          <w:b/>
        </w:rPr>
        <w:t xml:space="preserve">DOI: </w:t>
      </w:r>
      <w:hyperlink r:id="rId338">
        <w:r>
          <w:rPr>
            <w:color w:val="1155CC"/>
            <w:u w:val="single"/>
          </w:rPr>
          <w:t>10.1002/aenm.70814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倒置钙钛矿太阳能电池（PSCs）采用自组装单分子层（SAMs）作为空穴选择材料，已展示出有前途的器件性能。然而，SAMs通常表现出无序的取向，并与钙钛矿和透明导电氧化物（TCO）基底的相互作用较弱，导致电荷提取效率低下和显著的能量损失。在此，我们提出了一种综合的分子设计策略来全面重构SAM（MeS‐BPADCP）：结合双膦酸盐锚定单元、芳香链接基团和甲硫基（MeS‐）末端基团。该分子通过采用双膦酸盐锚定和芳香链接基团，在基底上促进了近乎垂直的取向，以提高电荷提取效率。</w:t>
      </w:r>
    </w:p>
    <w:p>
      <w:pPr>
        <w:spacing w:before="0" w:after="200" w:lineRule="auto" w:line="276"/>
      </w:pPr>
      <w:r>
        <w:rPr>
          <w:b/>
        </w:rPr>
        <w:t xml:space="preserve">Abstract (EN): </w:t>
      </w:r>
      <w:r>
        <w:t>Inverted perovskite solar cells (PSCs) employing self‐assembled monolayers (SAMs) as hole‐selective materials have demonstrated promising device performance. However, SAMs often exhibit disordered orientation and weak interactions with both the perovskite and the transparent conductive oxide (TCO) substrate, which leads to inefficient charge extraction and significant energy losses. Herein, we proposed an integrated molecular design strategy to comprehensively restructure the SAM (MeS‐BPADCP): incorporating bisphosphonate anchoring units, aromatic linker moieties, and methylthio (MeS‐) terminal groups. This molecule promotes a nearly vertical orientation on the substrate to enhance charge extraction efficiency by employing bisphosphonate anchoring and aromatic linker, and the methylthio group can effectively passivate surface defects on the perovskite and enhance interface contact. Consequently, the MeS‐BPADCP based device achieved a remarkable power conversion efficiency (PCE) of 26.73% and exhibited excellent long‐term stability, while sustaining 94.2% of its initial efficiency after continuous operation under one‐sun illumination for 1000 h. The device also displayed outstanding thermal cycling stability, retaining 93.3% of its initial PCE after 240 cycles within a temperature range of −40°C to 85°C (ISOS‐T‐3 protocol).</w:t>
      </w:r>
    </w:p>
    <w:p>
      <w:pPr>
        <w:spacing w:before="120" w:after="120"/>
      </w:pPr>
      <w:r>
        <w:rPr>
          <w:sz w:val="18"/>
        </w:rPr>
        <w:t>——————————————————————————————————————————————————————————————————————</w:t>
      </w:r>
    </w:p>
    <w:p>
      <w:pPr>
        <w:spacing w:before="160" w:after="40" w:line="240" w:lineRule="auto"/>
      </w:pPr>
      <w:r>
        <w:rPr>
          <w:b/>
        </w:rPr>
        <w:t xml:space="preserve">[84] </w:t>
      </w:r>
      <w:hyperlink r:id="rId339">
        <w:r>
          <w:rPr>
            <w:color w:val="1155CC"/>
            <w:u w:val="single"/>
          </w:rPr>
          <w:t>波罗的海鲱鱼的种群结构反映了自然选择和地方适应</w:t>
        </w:r>
      </w:hyperlink>
    </w:p>
    <w:p>
      <w:pPr>
        <w:spacing w:before="0" w:after="80"/>
      </w:pPr>
      <w:r>
        <w:rPr>
          <w:i/>
          <w:sz w:val="20"/>
        </w:rPr>
        <w:t>EN: The population structure in the Baltic herring reflects natural selection and local adaptation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40">
        <w:r>
          <w:rPr>
            <w:color w:val="1155CC"/>
            <w:u w:val="single"/>
          </w:rPr>
          <w:t>10.1073/pnas.2526500123</w:t>
        </w:r>
      </w:hyperlink>
    </w:p>
    <w:p>
      <w:pPr>
        <w:spacing w:before="0" w:after="120"/>
      </w:pPr>
      <w:r>
        <w:rPr>
          <w:b/>
        </w:rPr>
        <w:t xml:space="preserve">Notes: </w:t>
      </w:r>
      <w:r>
        <w:t>abstract_source=pubmed</w:t>
      </w:r>
    </w:p>
    <w:p>
      <w:pPr>
        <w:spacing w:before="0" w:after="80" w:lineRule="auto" w:line="276"/>
      </w:pPr>
      <w:r>
        <w:rPr>
          <w:b/>
        </w:rPr>
        <w:t xml:space="preserve">摘要（ZH）: </w:t>
      </w:r>
      <w:r>
        <w:t>物种如何安排繁殖时间并适应环境条件是生态学和进化生物学中的关键课题。在此，我们对波罗的海鲱鱼（大西洋鲱鱼的一个亚种，Clupea harengus）进行了高分辨率的群体遗传分析。从超过4,500个产卵个体中生成了超过4,500个SNPs的基因型，这些个体采样自瑞典东海岸的150个地点。无生命因素——产卵周、纬度、温度、盐度——被用来评估遗传变异如何受到时间、空间和环境梯度的影响。我们的结果重申了春季和秋季产卵生态型之间的强烈遗传分化，尽管杂交表明这两个生态型之间仍在进行基因流动。我们记录了春季产卵生态型内显著的亚结构</w:t>
      </w:r>
    </w:p>
    <w:p>
      <w:pPr>
        <w:spacing w:before="0" w:after="200" w:lineRule="auto" w:line="276"/>
      </w:pPr>
      <w:r>
        <w:rPr>
          <w:b/>
        </w:rPr>
        <w:t xml:space="preserve">Abstract (EN): </w:t>
      </w:r>
      <w:r>
        <w:t>How species time reproduction and adapt to environmental conditions are key topics in ecology and evolutionary biology. Here, we conducted a high-resolution population genetic analysis of Baltic herring, a subspecies of Atlantic herring (Clupea harengus). Genotypes at &gt;4,500 SNPs were generated from &gt;4,500 spawning individuals, sampled from 150 locations spanning Swedish's eastern coast. Abiotic factors-week of spawning, latitude, temperature, salinity-were used to assess how genetic variation is shaped by temporal, spatial, and environmental gradients. Our results reaffirm strong genetic differentiation between spring- and autumn-spawning ecotypes, despite hybridization suggesting ongoing gene flow between the two ecotypes. We document significant substructuring within the spring-spawning ecotype, delineating three main, previously unidentified, genetic clusters underpinned by adaptative genetic variation associated with latitude, salinity, temperature, and spawning time. Complementary linkage disequilibrium (LD) partitioning showed that adaptive loci-especially those in inversion regions-exhibit strong elevated among-population LD, consistent with divergence maintained by local selection despite ongoing gene flow. Clinal variation in allele frequencies indicated regionally distinct selection pressures, including shifts in allele frequencies at two major supergenes (inversions) and at a suite of genes correlated with abiotic factors. Importantly, rare genetic outlier populations are identified within each geographic region which further illustrates the unexpected fine-grained population structure of Baltic herring and implies a strong homing behavior in this abundant marine fish. Overall, this study demonstrates the capacity for targeted population genetic studies to detect adaptive variation in natural populations, the outcomes of which have direct implications for sustainable fisheries and biodiversity management.</w:t>
      </w:r>
    </w:p>
    <w:p>
      <w:pPr>
        <w:spacing w:before="120" w:after="120"/>
      </w:pPr>
      <w:r>
        <w:rPr>
          <w:sz w:val="18"/>
        </w:rPr>
        <w:t>——————————————————————————————————————————————————————————————————————</w:t>
      </w:r>
    </w:p>
    <w:p>
      <w:pPr>
        <w:spacing w:before="160" w:after="40" w:line="240" w:lineRule="auto"/>
      </w:pPr>
      <w:r>
        <w:rPr>
          <w:b/>
        </w:rPr>
        <w:t xml:space="preserve">[85] </w:t>
      </w:r>
      <w:hyperlink r:id="rId341">
        <w:r>
          <w:rPr>
            <w:color w:val="1155CC"/>
            <w:u w:val="single"/>
          </w:rPr>
          <w:t>在美国印第安人/阿拉斯加原住民保留地及其周围地区，致命警察暴力的风险增加</w:t>
        </w:r>
      </w:hyperlink>
    </w:p>
    <w:p>
      <w:pPr>
        <w:spacing w:before="0" w:after="80"/>
      </w:pPr>
      <w:r>
        <w:rPr>
          <w:i/>
          <w:sz w:val="20"/>
        </w:rPr>
        <w:t>EN: Heightened risk of fatal police violence in and around reservations for American Indian/Alaska Native peoples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42">
        <w:r>
          <w:rPr>
            <w:color w:val="1155CC"/>
            <w:u w:val="single"/>
          </w:rPr>
          <w:t>10.1073/pnas.2521002123</w:t>
        </w:r>
      </w:hyperlink>
    </w:p>
    <w:p>
      <w:pPr>
        <w:spacing w:before="0" w:after="120"/>
      </w:pPr>
      <w:r>
        <w:rPr>
          <w:b/>
        </w:rPr>
        <w:t xml:space="preserve">Notes: </w:t>
      </w:r>
      <w:r>
        <w:t>abstract_source=pubmed</w:t>
      </w:r>
    </w:p>
    <w:p>
      <w:pPr>
        <w:spacing w:before="0" w:after="80" w:lineRule="auto" w:line="276"/>
      </w:pPr>
      <w:r>
        <w:rPr>
          <w:b/>
        </w:rPr>
        <w:t xml:space="preserve">摘要（ZH）: </w:t>
      </w:r>
      <w:r>
        <w:t>致命的警察暴力是美国的一个公共健康问题，存在着巨大的种族和空间不平等，这些问题仍未得到充分研究。例如，土著人经历了一些最高的致命警察暴力率，超过任何种族/民族群体。考虑到地理特定的警察监控、司法管辖迷宫和结构性投资不足，居住在美洲印第安人/阿拉斯加原住民（AIAN）保留地的居民可能面临特别的风险。然而，针对美国土著人民的致命警察暴力的定量研究很少，包括按保留地地理位置进行的研究。我们研究了AIAN人在保留地及其周围是否经历了更高的致命警察暴力率。我们分析了所有被警察杀害的AIAN人的数据（n = 203, 20</w:t>
      </w:r>
    </w:p>
    <w:p>
      <w:pPr>
        <w:spacing w:before="0" w:after="200" w:lineRule="auto" w:line="276"/>
      </w:pPr>
      <w:r>
        <w:rPr>
          <w:b/>
        </w:rPr>
        <w:t xml:space="preserve">Abstract (EN): </w:t>
      </w:r>
      <w:r>
        <w:t>Fatal police violence is a public health problem in the United States, with large racial and spatial inequities that remain understudied. Indigenous people, for example, experience some of the highest rates of fatal police violence of any racial/ethnic group. Residents of American Indian/Alaska Native (AIAN) reservations may be at particular risk, given geographically specific police surveillance, jurisdictional mazes, and structural disinvestment. Yet little quantitative work has examined fatal police violence against Indigenous peoples in the United States, including by reservation geography. We examined whether AIAN people experience higher rates of fatal police violence in and around reservations at the population level. We analyzed data on all AIAN people killed by police (n = 203, 2013-2024) from the Mapping Police Violence database. We first summarized their geographic distribution and characteristics using descriptive statistics. We then estimated rate ratios using quasi-Poisson regression models with population offsets, comparing AIAN peoples' fatal police violence rates in and around reservations versus farther away. We find that fatal police violence against AIAN people is strongly concentrated in and around reservations: 73% of AIAN deaths occurred on or within 10 miles of reservations, despite only 39 to 51% of the AIAN population living there. Those areas' residents were 1.60 to 5.84 times more likely to be killed by police than those living farther away, depending on location and choice of population offsets. Sensitivity analyses indicated these elevated risks could not plausibly be explained away by differential racial/ethnic misclassification. A coordinated public health response to police violence is urgently needed in Indian Country.</w:t>
      </w:r>
    </w:p>
    <w:p>
      <w:pPr>
        <w:spacing w:before="120" w:after="120"/>
      </w:pPr>
      <w:r>
        <w:rPr>
          <w:sz w:val="18"/>
        </w:rPr>
        <w:t>——————————————————————————————————————————————————————————————————————</w:t>
      </w:r>
    </w:p>
    <w:p>
      <w:pPr>
        <w:spacing w:before="160" w:after="40" w:line="240" w:lineRule="auto"/>
      </w:pPr>
      <w:r>
        <w:rPr>
          <w:b/>
        </w:rPr>
        <w:t xml:space="preserve">[86] </w:t>
      </w:r>
      <w:hyperlink r:id="rId343">
        <w:r>
          <w:rPr>
            <w:color w:val="1155CC"/>
            <w:u w:val="single"/>
          </w:rPr>
          <w:t>从出生队列死亡动态中洞察美国预期寿命停滞</w:t>
        </w:r>
      </w:hyperlink>
    </w:p>
    <w:p>
      <w:pPr>
        <w:spacing w:before="0" w:after="80"/>
      </w:pPr>
      <w:r>
        <w:rPr>
          <w:i/>
          <w:sz w:val="20"/>
        </w:rPr>
        <w:t>EN: Insights into US life expectancy stagnation from birth cohort mortality dynamics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44">
        <w:r>
          <w:rPr>
            <w:color w:val="1155CC"/>
            <w:u w:val="single"/>
          </w:rPr>
          <w:t>10.1073/pnas.2519356123</w:t>
        </w:r>
      </w:hyperlink>
    </w:p>
    <w:p>
      <w:pPr>
        <w:spacing w:before="0" w:after="120"/>
      </w:pPr>
      <w:r>
        <w:rPr>
          <w:b/>
        </w:rPr>
        <w:t xml:space="preserve">Notes: </w:t>
      </w:r>
      <w:r>
        <w:t>abstract_source=pubmed</w:t>
      </w:r>
    </w:p>
    <w:p>
      <w:pPr>
        <w:spacing w:before="0" w:after="80" w:lineRule="auto" w:line="276"/>
      </w:pPr>
      <w:r>
        <w:rPr>
          <w:b/>
        </w:rPr>
        <w:t xml:space="preserve">摘要（ZH）: </w:t>
      </w:r>
      <w:r>
        <w:t>美国的预期寿命在2010年代基本保持不变。这一趋势发生在医疗护理，特别是慢性病治疗的创新进步和经济增长的背景下。虽然研究已经确定了一些贡献因素，包括“绝望死亡”和心血管疾病死亡率停滞，但尚未提供对潜在死亡动态的全面理解。尤其缺乏的是对出生队列死亡率动态的系统评估，这可以揭示特定世代是否推动了不利趋势。使用Lexis图，这是一种可视化人口景观的强大工具，我们分析了1979-2023年间全因死亡率和三大主要原因组（心血管疾病、癌症、ext</w:t>
      </w:r>
    </w:p>
    <w:p>
      <w:pPr>
        <w:spacing w:before="0" w:after="200" w:lineRule="auto" w:line="276"/>
      </w:pPr>
      <w:r>
        <w:rPr>
          <w:b/>
        </w:rPr>
        <w:t xml:space="preserve">Abstract (EN): </w:t>
      </w:r>
      <w:r>
        <w:t>US life expectancy remained essentially flat in the 2010s. This trend has occurred in the presence of advancing innovations in medical care, especially for chronic disease, and a growing economy. While research has identified selected contributing factors, including "deaths of despair" and cardiovascular disease mortality stagnation, a comprehensive understanding of the underlying mortality dynamics has not been provided. Notably missing is a systematic evaluation of birth cohort dynamics of mortality, which can reveal whether specific generations are driving adverse trends. Using Lexis diagrams, a powerful tool for visualizing the demographic landscape, we analyzed changes in mortality from 1979-2023 for all-cause mortality and three major cause groups (cardiovascular disease, cancer, external causes). Data included cohorts born between the 1890s and 1980s. Results reveal that both cohort- and period-based processes have produced stalling life expectancy improvement. The 1950-1959 birth cohort represents a transition cohort, wherein there were general improvements in mortality across cohorts born before and general deterioration in mortality across cohorts born after. Alarmingly, cohorts born after 1970 exhibited deteriorating patterns in all major cause groups at young and middle-adult ages. Layered on these cohort dynamics was a broad mortality deterioration that began around 2010 and was experienced by nearly all living adult cohorts at the time, driven primarily by cardiovascular disease mortality. These patterns reflect the complex, multifaceted nature of stalled life expectancy improvements that cannot be attributed to any single cause or temporal mechanism. It also portends an unprecedented longer-run stagnation, or even sustained decline, in US life expectancy.</w:t>
      </w:r>
    </w:p>
    <w:p>
      <w:pPr>
        <w:spacing w:before="120" w:after="120"/>
      </w:pPr>
      <w:r>
        <w:rPr>
          <w:sz w:val="18"/>
        </w:rPr>
        <w:t>——————————————————————————————————————————————————————————————————————</w:t>
      </w:r>
    </w:p>
    <w:p>
      <w:pPr>
        <w:spacing w:before="160" w:after="40" w:line="240" w:lineRule="auto"/>
      </w:pPr>
      <w:r>
        <w:rPr>
          <w:b/>
        </w:rPr>
        <w:t xml:space="preserve">[87] </w:t>
      </w:r>
      <w:hyperlink r:id="rId345">
        <w:r>
          <w:rPr>
            <w:color w:val="1155CC"/>
            <w:u w:val="single"/>
          </w:rPr>
          <w:t>对法国多尔多涅地区基于炭黑的旧石器时代洞穴艺术进行放射性碳测年和化学成像</w:t>
        </w:r>
      </w:hyperlink>
    </w:p>
    <w:p>
      <w:pPr>
        <w:spacing w:before="0" w:after="80"/>
      </w:pPr>
      <w:r>
        <w:rPr>
          <w:i/>
          <w:sz w:val="20"/>
        </w:rPr>
        <w:t>EN: Radiocarbon dating and chemical imaging of carbon black–based Paleolithic cave art in the Dordogne region (France)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46">
        <w:r>
          <w:rPr>
            <w:color w:val="1155CC"/>
            <w:u w:val="single"/>
          </w:rPr>
          <w:t>10.1073/pnas.2524751123</w:t>
        </w:r>
      </w:hyperlink>
    </w:p>
    <w:p>
      <w:pPr>
        <w:spacing w:before="0" w:after="120"/>
      </w:pPr>
      <w:r>
        <w:rPr>
          <w:b/>
        </w:rPr>
        <w:t xml:space="preserve">Notes: </w:t>
      </w:r>
      <w:r>
        <w:t>abstract_source=pubmed</w:t>
      </w:r>
    </w:p>
    <w:p>
      <w:pPr>
        <w:spacing w:before="0" w:after="80" w:lineRule="auto" w:line="276"/>
      </w:pPr>
      <w:r>
        <w:rPr>
          <w:b/>
        </w:rPr>
        <w:t xml:space="preserve">摘要（ZH）: </w:t>
      </w:r>
      <w:r>
        <w:t>在法国西南部多尔多涅的旧石器时代洞穴艺术中，已知仅使用矿物着色物质进行表现。我们在法国南部多尔多涅莱斯艾济的Font-de-Gaume洞穴画廊中发现了大量基于炭黑的图形[I. Reiche, Y. Coquinot, A. Trosseau, A. Maigret, Sci. Rep. 13, 22235 (2023)]。进一步的反射成像光谱技术允许对锰基和碳基黑色进行精确的非侵入性区分。因此，在多尔多涅地区，绘制或绘画线条的直接测年得以实现。测定洞穴艺术表现的年代可能具有挑战性，因为物质量少且可能受到其他碳源的污染。采样是为了对两个选定的样本进行放射性碳测年</w:t>
      </w:r>
    </w:p>
    <w:p>
      <w:pPr>
        <w:spacing w:before="0" w:after="200" w:lineRule="auto" w:line="276"/>
      </w:pPr>
      <w:r>
        <w:rPr>
          <w:b/>
        </w:rPr>
        <w:t xml:space="preserve">Abstract (EN): </w:t>
      </w:r>
      <w:r>
        <w:t>Paleolithic parietal art in the Dordogne, Southwestern France, was known to present representations solely made with mineral coloring matters. We found a significant number of carbon black-based figures in the galleries of the Font-de-Gaume cave in Les Eyzies, Dordogne, Southern France [I. Reiche, Y. Coquinot, A. Trosseau, A. Maigret, Sci. Rep. 13, 22235 (2023)]. Further reflectance imaging spectroscopy allowed a precise noninvasive discrimination between manganese- and carbon-based blacks. Consequently, in the Dordogne region, direct dating of drawn or painted lines was unlocked. Dating parietal representations can prove challenging because of the small amount of matter and the possible contaminations by other carbon sources. The sampling was conducted for radiocarbon dating on two selected figures identified as being made with carbon black: the Bison figure HB15 (named by Breuil, today GPCarG-006), located on the left at the level of the Carrefour in the public area of the cave, as well as on the Mask (human or animal face, GL3D-009) on the right of the remote sector 3 of the lateral gallery. Slightly more recent than expected, the obtained dates are of 13461-13162 calBP for the Bison, and of 8993-8590 calBP (left eye), 15981-15121 calBP (upper lip), and 15297-14246 calBP (lower lip) for the Mask. Except for one date, these results represent the experimental confirmation of the Paleolithic age of cave art in the Font-de-Gaume cave. This study opens numerous perspectives for a more systematic dating of the parietal representations of the cavern and motivates further research of carbon black-based Paleolithic parietal art in the Dordogne region.</w:t>
      </w:r>
    </w:p>
    <w:p>
      <w:pPr>
        <w:spacing w:before="120" w:after="120"/>
      </w:pPr>
      <w:r>
        <w:rPr>
          <w:sz w:val="18"/>
        </w:rPr>
        <w:t>——————————————————————————————————————————————————————————————————————</w:t>
      </w:r>
    </w:p>
    <w:p>
      <w:pPr>
        <w:spacing w:before="160" w:after="40" w:line="240" w:lineRule="auto"/>
      </w:pPr>
      <w:r>
        <w:rPr>
          <w:b/>
        </w:rPr>
        <w:t xml:space="preserve">[88] </w:t>
      </w:r>
      <w:hyperlink r:id="rId347">
        <w:r>
          <w:rPr>
            <w:color w:val="1155CC"/>
            <w:u w:val="single"/>
          </w:rPr>
          <w:t>通过压力淬火在HgBa2Ca2Cu3O8+δ中实现环境压力下151-K超导性</w:t>
        </w:r>
      </w:hyperlink>
    </w:p>
    <w:p>
      <w:pPr>
        <w:spacing w:before="0" w:after="80"/>
      </w:pPr>
      <w:r>
        <w:rPr>
          <w:i/>
          <w:sz w:val="20"/>
        </w:rPr>
        <w:t>EN: Ambient-pressure 151-K superconductivity in HgBa2Ca2Cu3O8+δ via pressure quench</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48">
        <w:r>
          <w:rPr>
            <w:color w:val="1155CC"/>
            <w:u w:val="single"/>
          </w:rPr>
          <w:t>10.1073/pnas.2536178123</w:t>
        </w:r>
      </w:hyperlink>
    </w:p>
    <w:p>
      <w:pPr>
        <w:spacing w:before="0" w:after="120"/>
      </w:pPr>
      <w:r>
        <w:rPr>
          <w:b/>
        </w:rPr>
        <w:t xml:space="preserve">Notes: </w:t>
      </w:r>
      <w:r>
        <w:t>abstract_source=pubmed</w:t>
      </w:r>
    </w:p>
    <w:p>
      <w:pPr>
        <w:spacing w:before="0" w:after="80" w:lineRule="auto" w:line="276"/>
      </w:pPr>
      <w:r>
        <w:rPr>
          <w:b/>
        </w:rPr>
        <w:t xml:space="preserve">摘要（ZH）: </w:t>
      </w:r>
      <w:r>
        <w:t>自1911年发现以来，超导性一直是一个被积极研究的课题。提高超导转变温度（Tc）一直是这种长期努力的主要推动力，因为它对人类的潜在影响以及从理解这种在高温下的宏观相干量子态中获得的基础知识。高Tc超导性的成功发展将使得极其高效的能量生成、传输和利用成为可能，并可能促进受控聚变的发展，同时影响其他新兴领域，如量子计算和量子电子学。然而，由于自1993年以来记录的常压Tc长期停滞不前，进展受到了阻碍。随后的研究</w:t>
      </w:r>
    </w:p>
    <w:p>
      <w:pPr>
        <w:spacing w:before="0" w:after="200" w:lineRule="auto" w:line="276"/>
      </w:pPr>
      <w:r>
        <w:rPr>
          <w:b/>
        </w:rPr>
        <w:t xml:space="preserve">Abstract (EN): </w:t>
      </w:r>
      <w:r>
        <w:t>Superconductivity has been a vigorously researched topic since its discovery in 1911. Raising the superconducting transition temperature (Tc) has been the main driving force behind such long-sustained efforts due to its potential for impacting humanity and the fundamental knowledge gained from understanding this macroscopic coherent quantum state at high temperatures. The successful development of high-Tc superconductivity will make possible extraordinarily efficient generation, delivery, and utilization of energy and could also enable the development of controlled fusion while impacting other burgeoning fields like quantum computation and quantum electronics. However, progress has been hindered by a longstanding plateau in the record ambient-pressure Tc, unchanged since 1993. Subsequent significant advancements in Tc have been achieved only under high pressures, preventing the realization of superconductivity's full potential. To directly address this challenge, we developed a pressure-quench protocol (PQP) to stabilize pressure-induced/-enhanced superconducting states at ambient pressure. Here, we achieve a record ambient-pressure Tc of 151 K in the cuprate HgBa2Ca2Cu3O8+δ via PQP. The experimental results are further supported by synchrotron X-ray diffraction measurements and phonon and electronic structure calculations. This breakthrough opens avenues for stabilizing and exploring ambient-pressure high-Tc superconducting states and other quantum states that have been previously only accessible under pressure, paving the way for deeper understanding and practical applications of high-Tc superconductivity and beyond.</w:t>
      </w:r>
    </w:p>
    <w:p>
      <w:pPr>
        <w:spacing w:before="120" w:after="120"/>
      </w:pPr>
      <w:r>
        <w:rPr>
          <w:sz w:val="18"/>
        </w:rPr>
        <w:t>——————————————————————————————————————————————————————————————————————</w:t>
      </w:r>
    </w:p>
    <w:p>
      <w:pPr>
        <w:spacing w:before="160" w:after="40" w:line="240" w:lineRule="auto"/>
      </w:pPr>
      <w:r>
        <w:rPr>
          <w:b/>
        </w:rPr>
        <w:t xml:space="preserve">[89] </w:t>
      </w:r>
      <w:hyperlink r:id="rId349">
        <w:r>
          <w:rPr>
            <w:color w:val="1155CC"/>
            <w:u w:val="single"/>
          </w:rPr>
          <w:t>一种无线汗液传感器，利用基于pH的相关模型进行运动期间的连续血糖监测和糖尿病管理</w:t>
        </w:r>
      </w:hyperlink>
    </w:p>
    <w:p>
      <w:pPr>
        <w:spacing w:before="0" w:after="80"/>
      </w:pPr>
      <w:r>
        <w:rPr>
          <w:i/>
          <w:sz w:val="20"/>
        </w:rPr>
        <w:t>EN: A wireless sweat sensing with a pH-based correlation model for continuous glucose monitoring and diabetes management during exercise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50">
        <w:r>
          <w:rPr>
            <w:color w:val="1155CC"/>
            <w:u w:val="single"/>
          </w:rPr>
          <w:t>10.1073/pnas.2532127123</w:t>
        </w:r>
      </w:hyperlink>
    </w:p>
    <w:p>
      <w:pPr>
        <w:spacing w:before="0" w:after="120"/>
      </w:pPr>
      <w:r>
        <w:rPr>
          <w:b/>
        </w:rPr>
        <w:t xml:space="preserve">Notes: </w:t>
      </w:r>
      <w:r>
        <w:t>abstract_source=pubmed</w:t>
      </w:r>
    </w:p>
    <w:p>
      <w:pPr>
        <w:spacing w:before="0" w:after="80" w:lineRule="auto" w:line="276"/>
      </w:pPr>
      <w:r>
        <w:rPr>
          <w:b/>
        </w:rPr>
        <w:t xml:space="preserve">摘要（ZH）: </w:t>
      </w:r>
      <w:r>
        <w:t>在运动过程中对汗液葡萄糖进行原位监测可以提供血糖动态的实时和连续评估。然而，运动过程中汗液和血糖浓度之间的相关性相对较差，这使得在糖尿病运动疗法中进行血糖管理（BGM）具有挑战性，同时也影响运动员和健身爱好者的训练。本研究提出了一种灵活的无线汗液葡萄糖和pH传感平台，结合基于pH的相关模型，以准确预测血糖的连续变化。基于pH的相关模型校准了葡萄糖氧化酶的酶活性变化，并考虑了汗液稀释和在葡萄糖从间质液和血浆到汗液的旁细胞运输过程中过滤的影响</w:t>
      </w:r>
    </w:p>
    <w:p>
      <w:pPr>
        <w:spacing w:before="0" w:after="200" w:lineRule="auto" w:line="276"/>
      </w:pPr>
      <w:r>
        <w:rPr>
          <w:b/>
        </w:rPr>
        <w:t xml:space="preserve">Abstract (EN): </w:t>
      </w:r>
      <w:r>
        <w:t>In situ monitoring of sweat glucose during exercise can provide a real-time and continuous assessment of blood glucose dynamics. However, the relatively poor correlation between sweat and blood glucose concentrations during exercise makes it challenging for blood glucose management (BGM) during exercise therapy for diabetes, along with training for athletes and fitness enthusiasts. This work presents a flexible wireless sweat glucose and pH sensing platform integrated with a pH-based correlation model to accurately predict the continuous changes in blood glucose. The pH-based correlation model calibrates enzyme activity changes in glucose oxidase and accounts for the effects of sweat dilution and filtering during paracellular transport of glucose from interstitial fluid and plasma to sweat during exercise. The correlation model has been validated in both healthy individuals and diabetic patients, revealing distinct blood glucose dynamic patterns between the two cohorts. The observed different glucose fluctuations after the intake of various nutritive foods further facilitate the management of diabetes and allow for the identification of hypo-/hyperglycemic risks during training or fitness exercise. The exercise-based device platform combines continuous blood glucose monitoring with diabetes management through effective treatment evaluation and can also provide early prevention for the at-risk population and reduce or even reverse diabetes.</w:t>
      </w:r>
    </w:p>
    <w:p>
      <w:pPr>
        <w:spacing w:before="120" w:after="120"/>
      </w:pPr>
      <w:r>
        <w:rPr>
          <w:sz w:val="18"/>
        </w:rPr>
        <w:t>——————————————————————————————————————————————————————————————————————</w:t>
      </w:r>
    </w:p>
    <w:p>
      <w:pPr>
        <w:spacing w:before="160" w:after="40" w:line="240" w:lineRule="auto"/>
      </w:pPr>
      <w:r>
        <w:rPr>
          <w:b/>
        </w:rPr>
        <w:t xml:space="preserve">[90] </w:t>
      </w:r>
      <w:hyperlink r:id="rId351">
        <w:r>
          <w:rPr>
            <w:color w:val="1155CC"/>
            <w:u w:val="single"/>
          </w:rPr>
          <w:t>在政治扩张研究中进行多方面的陶瓷分析：来自中国山东周代扩张的见解</w:t>
        </w:r>
      </w:hyperlink>
    </w:p>
    <w:p>
      <w:pPr>
        <w:spacing w:before="0" w:after="80"/>
      </w:pPr>
      <w:r>
        <w:rPr>
          <w:i/>
          <w:sz w:val="20"/>
        </w:rPr>
        <w:t>EN: Multifaceted ceramic analysis in the study of political expansion: Insights from the Zhou expansion in Shandong, China</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52">
        <w:r>
          <w:rPr>
            <w:color w:val="1155CC"/>
            <w:u w:val="single"/>
          </w:rPr>
          <w:t>10.1073/pnas.2531422123</w:t>
        </w:r>
      </w:hyperlink>
    </w:p>
    <w:p>
      <w:pPr>
        <w:spacing w:before="0" w:after="120"/>
      </w:pPr>
      <w:r>
        <w:rPr>
          <w:b/>
        </w:rPr>
        <w:t xml:space="preserve">Notes: </w:t>
      </w:r>
      <w:r>
        <w:t>abstract_source=pubmed</w:t>
      </w:r>
    </w:p>
    <w:p>
      <w:pPr>
        <w:spacing w:before="0" w:after="80" w:lineRule="auto" w:line="276"/>
      </w:pPr>
      <w:r>
        <w:rPr>
          <w:b/>
        </w:rPr>
        <w:t xml:space="preserve">摘要（ZH）: </w:t>
      </w:r>
      <w:r>
        <w:t>本文展示了在陶瓷分析中应用多种分析方法以理解过去殖民接触的重要性。我们通过调查山东省多个遗址上社区特定使用的鬲三足炊具，研究商周过渡期（约公元前1000年）。工艺传统和饮食习惯作为理解过去社会身份的有价值的代理，并为文化接触、迁徙和殖民主义提供了新的视角。我们不再关注陶瓷形式和风格中反映的种族和政治控制，而是关注这些器物的制作和使用方式。通过结合岩相学、使用变更分析和残留物分析，我们提供了一种综合的多方法方法，使我们能够重建交叉的水平</w:t>
      </w:r>
    </w:p>
    <w:p>
      <w:pPr>
        <w:spacing w:before="0" w:after="200" w:lineRule="auto" w:line="276"/>
      </w:pPr>
      <w:r>
        <w:rPr>
          <w:b/>
        </w:rPr>
        <w:t xml:space="preserve">Abstract (EN): </w:t>
      </w:r>
      <w:r>
        <w:t>This paper demonstrates the importance of applying multiple analytical methods in ceramic analysis for understanding colonial contact in the past. We examine the Shang-Zhou transition (circa 1000 BCE) by investigating community-specific uses of li tripod cooking vessels at multiple sites in Shandong Province. Craft traditions and food practices serve as valuable proxies for understanding past social identities and offer new perspectives on culture contact, migration, and colonialism. Moving away from ethnicity and political control reflected in ceramic form and style, we focus on how these vessels were made and used. By combining petrography, use-alteration analysis, and residue analysis, we provide an integrated multimethod approach that enables us to reconstruct intersecting levels of social practice through a single ubiquitous artifact. Petrographic analysis reveals how and where vessels were made; use-alteration analysis shows how they were used to cook food; and residue analysis identifies what foods were prepared. By tracing production and consumption traditions before, during, and after Zhou expansion, we show that change in our multivariate dataset resist unidimensional ascription to the Shang-Zhou transition, and hence to unequal outcomes from its impacts.</w:t>
      </w:r>
    </w:p>
    <w:p>
      <w:pPr>
        <w:spacing w:before="120" w:after="120"/>
      </w:pPr>
      <w:r>
        <w:rPr>
          <w:sz w:val="18"/>
        </w:rPr>
        <w:t>——————————————————————————————————————————————————————————————————————</w:t>
      </w:r>
    </w:p>
    <w:p>
      <w:pPr>
        <w:spacing w:before="160" w:after="40" w:line="240" w:lineRule="auto"/>
      </w:pPr>
      <w:r>
        <w:rPr>
          <w:b/>
        </w:rPr>
        <w:t xml:space="preserve">[91] </w:t>
      </w:r>
      <w:hyperlink r:id="rId353">
        <w:r>
          <w:rPr>
            <w:color w:val="1155CC"/>
            <w:u w:val="single"/>
          </w:rPr>
          <w:t>全球生物多样性和不断扩展的生命之树</w:t>
        </w:r>
      </w:hyperlink>
    </w:p>
    <w:p>
      <w:pPr>
        <w:spacing w:before="0" w:after="80"/>
      </w:pPr>
      <w:r>
        <w:rPr>
          <w:i/>
          <w:sz w:val="20"/>
        </w:rPr>
        <w:t>EN: Global biodiversity and the expanding Tree of Life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54">
        <w:r>
          <w:rPr>
            <w:color w:val="1155CC"/>
            <w:u w:val="single"/>
          </w:rPr>
          <w:t>10.1073/pnas.2530656123</w:t>
        </w:r>
      </w:hyperlink>
    </w:p>
    <w:p>
      <w:pPr>
        <w:spacing w:before="0" w:after="120"/>
      </w:pPr>
      <w:r>
        <w:rPr>
          <w:b/>
        </w:rPr>
        <w:t xml:space="preserve">Notes: </w:t>
      </w:r>
      <w:r>
        <w:t>abstract_source=pubmed</w:t>
      </w:r>
    </w:p>
    <w:p>
      <w:pPr>
        <w:spacing w:before="0" w:after="80" w:lineRule="auto" w:line="276"/>
      </w:pPr>
      <w:r>
        <w:rPr>
          <w:b/>
        </w:rPr>
        <w:t xml:space="preserve">摘要（ZH）: </w:t>
      </w:r>
      <w:r>
        <w:t>全球生物多样性正面临越来越大的威胁，但仍然知之甚少。保护较高分类单元（如属、科、目）尤为重要，因为每个较高分类单元可能比属内的典型物种代表更多的遗传、形态、生态和功能多样性。鉴于此，人们对类群的丧失及其系统发育多样性给予了相当大的关注。然而，我们对是否也有新的类群增加知之甚少：基于新发现物种的新高分类单元。在此，我们分析了生命之树中新发现的这些分支。我们估计每年描述&gt;700个新属、&gt;20个新科和&gt;3个新目，每个都与新发现的物种相关。新属级类群的分布大体上</w:t>
      </w:r>
    </w:p>
    <w:p>
      <w:pPr>
        <w:spacing w:before="0" w:after="200" w:lineRule="auto" w:line="276"/>
      </w:pPr>
      <w:r>
        <w:rPr>
          <w:b/>
        </w:rPr>
        <w:t xml:space="preserve">Abstract (EN): </w:t>
      </w:r>
      <w:r>
        <w:t>Global biodiversity is increasingly threatened, but still poorly known. Preserving higher taxa (e.g., genera, families, orders) is especially important because each higher taxon may represent more genetic, morphological, ecological, and functional diversity than a typical species within a genus. Given this, there has been considerable focus on the loss of clades and their phylogenetic diversity. However, we know little about whether there are also gains of new clades: new higher taxa that are based on newly discovered species. Here, we analyze these newly discovered branches across the Tree of Life. We estimate that &gt;700 new genera, &gt;20 new families, and &gt;3 new orders are described every year, each associated with newly discovered species. The distribution of new genus-level clades largely reflects current species richness patterns among groups. Thus, they are dominated by terrestrial arthropods. At higher taxonomic ranks, the distribution of new clades among groups is increasingly unrelated to the current, known species richness of these groups, and fungi and bacteria predominate. New clades are increasingly microscopic at higher taxonomic ranks and are often marine or host associated. Overall, we suggest that the known Tree of Life is continuing to rapidly expand with many newly discovered clades, not merely contracting with recent extinctions. Discovering and describing these new clades before they disappear should be an urgent research priority. There is also a pressing need to better incorporate phylogenies into the discovery of these new higher taxa.</w:t>
      </w:r>
    </w:p>
    <w:p>
      <w:pPr>
        <w:spacing w:before="120" w:after="120"/>
      </w:pPr>
      <w:r>
        <w:rPr>
          <w:sz w:val="18"/>
        </w:rPr>
        <w:t>——————————————————————————————————————————————————————————————————————</w:t>
      </w:r>
    </w:p>
    <w:p>
      <w:pPr>
        <w:spacing w:before="160" w:after="40" w:line="240" w:lineRule="auto"/>
      </w:pPr>
      <w:r>
        <w:rPr>
          <w:b/>
        </w:rPr>
        <w:t xml:space="preserve">[92] </w:t>
      </w:r>
      <w:hyperlink r:id="rId355">
        <w:r>
          <w:rPr>
            <w:color w:val="1155CC"/>
            <w:u w:val="single"/>
          </w:rPr>
          <w:t>帕累托最优性揭示了细胞原型的图谱</w:t>
        </w:r>
      </w:hyperlink>
    </w:p>
    <w:p>
      <w:pPr>
        <w:spacing w:before="0" w:after="80"/>
      </w:pPr>
      <w:r>
        <w:rPr>
          <w:i/>
          <w:sz w:val="20"/>
        </w:rPr>
        <w:t>EN: Pareto optimality reveals an atlas of cellular archetypes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56">
        <w:r>
          <w:rPr>
            <w:color w:val="1155CC"/>
            <w:u w:val="single"/>
          </w:rPr>
          <w:t>10.1073/pnas.2530194123</w:t>
        </w:r>
      </w:hyperlink>
    </w:p>
    <w:p>
      <w:pPr>
        <w:spacing w:before="0" w:after="120"/>
      </w:pPr>
      <w:r>
        <w:rPr>
          <w:b/>
        </w:rPr>
        <w:t xml:space="preserve">Notes: </w:t>
      </w:r>
      <w:r>
        <w:t>abstract_source=pubmed</w:t>
      </w:r>
    </w:p>
    <w:p>
      <w:pPr>
        <w:spacing w:before="0" w:after="80" w:lineRule="auto" w:line="276"/>
      </w:pPr>
      <w:r>
        <w:rPr>
          <w:b/>
        </w:rPr>
        <w:t xml:space="preserve">摘要（ZH）: </w:t>
      </w:r>
      <w:r>
        <w:t>我们试图识别细胞类型内表型变异背后的普遍组织原则。帕累托最优性描述了最佳解决方案之间的权衡如何解释变异，预测数据分布的边界点反映了专门化功能。我们假设转录组变异在所有细胞类型中都可以通过帕累托最优性来解释。然后，我们使用Tabula Sapiens Atlas的人体细胞类型和组织的单细胞RNA测序来测试这一假设，发现大多数细胞类型符合这一理论。这使我们能够使用这种原则性方法来表征每种细胞类型执行的功能。这些表型来源于无偏方法，并未纳入现有生物模型的思想</w:t>
      </w:r>
    </w:p>
    <w:p>
      <w:pPr>
        <w:spacing w:before="0" w:after="200" w:lineRule="auto" w:line="276"/>
      </w:pPr>
      <w:r>
        <w:rPr>
          <w:b/>
        </w:rPr>
        <w:t xml:space="preserve">Abstract (EN): </w:t>
      </w:r>
      <w:r>
        <w:t>We sought to identify universal organizing principles behind phenotypic variation within cell types. Pareto optimality describes how trade-offs between optimal solutions account for variation, predicting that the boundary points of a data distribution reflect specialized functions. We hypothesized that transcriptomic variation was explained by Pareto optimality across all cell types. We then used the Tabula Sapiens Atlas of single-cell RNA sequencing across cell types and tissues in the human body to test this hypothesis and found that most cell types adhere to this theory. This enabled us to use this principled method to characterize the functions performed by each cell type. These phenotypes are derived from an unbiased approach and do not incorporate ideas from existing biological models or theories, and yet in many cases they recapitulate our understanding of the functions of major cell types. Ultimately, we conclude that multiobjective optimization broadly shapes the observed phenotypic variation within cell types. This finding enables us to write explicit representations of the low-dimensional manifolds on which transcriptomes of single cells reside. This can inform the design of the next generation of virtual cell language models, which aim to statistically learn low-dimensional transcriptomic manifolds.</w:t>
      </w:r>
    </w:p>
    <w:p>
      <w:pPr>
        <w:spacing w:before="120" w:after="120"/>
      </w:pPr>
      <w:r>
        <w:rPr>
          <w:sz w:val="18"/>
        </w:rPr>
        <w:t>——————————————————————————————————————————————————————————————————————</w:t>
      </w:r>
    </w:p>
    <w:p>
      <w:pPr>
        <w:spacing w:before="160" w:after="40" w:line="240" w:lineRule="auto"/>
      </w:pPr>
      <w:r>
        <w:rPr>
          <w:b/>
        </w:rPr>
        <w:t xml:space="preserve">[93] </w:t>
      </w:r>
      <w:hyperlink r:id="rId357">
        <w:r>
          <w:rPr>
            <w:color w:val="1155CC"/>
            <w:u w:val="single"/>
          </w:rPr>
          <w:t>小鼠下丘脑外侧区的P物质调节暴饮暴食行为</w:t>
        </w:r>
      </w:hyperlink>
    </w:p>
    <w:p>
      <w:pPr>
        <w:spacing w:before="0" w:after="80"/>
      </w:pPr>
      <w:r>
        <w:rPr>
          <w:i/>
          <w:sz w:val="20"/>
        </w:rPr>
        <w:t>EN: Substance P in the lateral hypothalamic area regulates binge‐like eating behaviors in mice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58">
        <w:r>
          <w:rPr>
            <w:color w:val="1155CC"/>
            <w:u w:val="single"/>
          </w:rPr>
          <w:t>10.1073/pnas.2524335123</w:t>
        </w:r>
      </w:hyperlink>
    </w:p>
    <w:p>
      <w:pPr>
        <w:spacing w:before="0" w:after="120"/>
      </w:pPr>
      <w:r>
        <w:rPr>
          <w:b/>
        </w:rPr>
        <w:t xml:space="preserve">Notes: </w:t>
      </w:r>
      <w:r>
        <w:t>abstract_source=pubmed</w:t>
      </w:r>
    </w:p>
    <w:p>
      <w:pPr>
        <w:spacing w:before="0" w:after="80" w:lineRule="auto" w:line="276"/>
      </w:pPr>
      <w:r>
        <w:rPr>
          <w:b/>
        </w:rPr>
        <w:t xml:space="preserve">摘要（ZH）: </w:t>
      </w:r>
      <w:r>
        <w:t>暴食症（BED）是最常见的饮食失调类型；然而，BED的神经回路机制仍然难以捉摸。在此，我们报告在小鼠的暴食行为中，外侧下丘脑区域的速激肽表达神经元（LHTac1神经元）受到抑制。我们确定LHTac1神经元是暴食行为的关键介导者，并报告LHTac1→外侧导水管周围灰质（LPAG）回路对暴食行为的调节至关重要。此外，LHTac1神经元释放的P物质（SP）通过影响LHTac1神经元投射到LPAG细胞的谷氨酸输入来调节暴食行为。总之，这些发现指出SP是BED回路中的关键节点。</w:t>
      </w:r>
    </w:p>
    <w:p>
      <w:pPr>
        <w:spacing w:before="0" w:after="200" w:lineRule="auto" w:line="276"/>
      </w:pPr>
      <w:r>
        <w:rPr>
          <w:b/>
        </w:rPr>
        <w:t xml:space="preserve">Abstract (EN): </w:t>
      </w:r>
      <w:r>
        <w:t>Binge eating disorder (BED) is the most common type of eating disorder; however, the neural circuit mechanisms underlying BED remain elusive. Here, we report that tachykinin-expressing neurons in the lateral hypothalamic area (LHTac1 neurons) are inhibited during binge-like eating behaviors in mice. We identified LHTac1 neurons as key mediators of binge-like eating behaviors and reported that the LHTac1→ lateral periaqueductal gray (LPAG) circuit is critical to the regulation of binge-like eating behaviors. Moreover, Substance P (SP) released by LHTac1 neurons modulates binge-like eating behaviors by influencing the input of glutamate to LPAG cells, which receive projections from LHTac1 neurons. In summary, these findings point to the SP as a key node in BED circuits.</w:t>
      </w:r>
    </w:p>
    <w:p>
      <w:pPr>
        <w:spacing w:before="120" w:after="120"/>
      </w:pPr>
      <w:r>
        <w:rPr>
          <w:sz w:val="18"/>
        </w:rPr>
        <w:t>——————————————————————————————————————————————————————————————————————</w:t>
      </w:r>
    </w:p>
    <w:p>
      <w:pPr>
        <w:spacing w:before="160" w:after="40" w:line="240" w:lineRule="auto"/>
      </w:pPr>
      <w:r>
        <w:rPr>
          <w:b/>
        </w:rPr>
        <w:t xml:space="preserve">[94] </w:t>
      </w:r>
      <w:hyperlink r:id="rId359">
        <w:r>
          <w:rPr>
            <w:color w:val="1155CC"/>
            <w:u w:val="single"/>
          </w:rPr>
          <w:t>通过串联水微滴驱动的氧化和脉冲光电化学还原从空气中合成环境氨</w:t>
        </w:r>
      </w:hyperlink>
    </w:p>
    <w:p>
      <w:pPr>
        <w:spacing w:before="0" w:after="80"/>
      </w:pPr>
      <w:r>
        <w:rPr>
          <w:i/>
          <w:sz w:val="20"/>
        </w:rPr>
        <w:t>EN: Ambient ammonia synthesis from air via tandem water microdroplets–driven oxidation and pulsed photoelectrochemical reduction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60">
        <w:r>
          <w:rPr>
            <w:color w:val="1155CC"/>
            <w:u w:val="single"/>
          </w:rPr>
          <w:t>10.1073/pnas.2529364123</w:t>
        </w:r>
      </w:hyperlink>
    </w:p>
    <w:p>
      <w:pPr>
        <w:spacing w:before="0" w:after="120"/>
      </w:pPr>
      <w:r>
        <w:rPr>
          <w:b/>
        </w:rPr>
        <w:t xml:space="preserve">Notes: </w:t>
      </w:r>
      <w:r>
        <w:t>abstract_source=pubmed</w:t>
      </w:r>
    </w:p>
    <w:p>
      <w:pPr>
        <w:spacing w:before="0" w:after="80" w:lineRule="auto" w:line="276"/>
      </w:pPr>
      <w:r>
        <w:rPr>
          <w:b/>
        </w:rPr>
        <w:t xml:space="preserve">摘要（ZH）: </w:t>
      </w:r>
      <w:r>
        <w:t>人工N2还原提供了一种可持续的绿色NH3合成方法，但实际应用受到N2活化和竞争性氢气演化的挑战。光电化学硝酸盐和亚硝酸盐（NOx-，x = 2和3）还原具有有利的热力学特性，代表了NH3生产的一个有前途的替代方案，前提是NOx-可以从大气中获得。在此，通过利用水微滴化学和动态光电极-电解质界面工程，我们报告了一种串联空气-NOx--NH3转换系统，该系统集成了无催化剂的N2氧化与脉冲光电化学NOx-还原（mNOR-pPNOxR）。该系统在-0.2 VRHE下实现了高效和选择性的NH3生产，产率为24.5 μmol cm-2 h-1，这是两到三倍的</w:t>
      </w:r>
    </w:p>
    <w:p>
      <w:pPr>
        <w:spacing w:before="0" w:after="200" w:lineRule="auto" w:line="276"/>
      </w:pPr>
      <w:r>
        <w:rPr>
          <w:b/>
        </w:rPr>
        <w:t xml:space="preserve">Abstract (EN): </w:t>
      </w:r>
      <w:r>
        <w:t>Artificial N2 reduction offers a sustainable approach to green NH3 synthesis, but the practical implementation is challenged by N2 activation and competing hydrogen evolution. Photoelectrochemical nitrate and nitrite (NOx-, x = 2 and 3) reduction with favorable thermodynamics represents a promising alternative for NH3 production, provided that NOx- can be supplied from the atmosphere. Here, through leveraging water microdroplet chemistry and dynamic photoelectrode-electrolyte interface engineering, we report a tandem air-NOx--NH3 conversion system that integrates catalyst-free N2 oxidation with pulsed photoelectrochemical NOx- reduction (mNOR-pPNOxR). The system achieves efficient and selective NH3 production with a yield rate of 24.5 μmol cm-2 h-1 at -0.2 VRHE, which are two to three orders of magnitude higher than conventional photo/electrocatalytic N2 fixation. This study introduces insights for decentralized, on-demand ammonia production from air and water and broadens horizons of microdroplet chemistry and pulse strategy for sustainable chemical manufacturing.</w:t>
      </w:r>
    </w:p>
    <w:p>
      <w:pPr>
        <w:spacing w:before="120" w:after="120"/>
      </w:pPr>
      <w:r>
        <w:rPr>
          <w:sz w:val="18"/>
        </w:rPr>
        <w:t>——————————————————————————————————————————————————————————————————————</w:t>
      </w:r>
    </w:p>
    <w:p>
      <w:pPr>
        <w:spacing w:before="160" w:after="40" w:line="240" w:lineRule="auto"/>
      </w:pPr>
      <w:r>
        <w:rPr>
          <w:b/>
        </w:rPr>
        <w:t xml:space="preserve">[95] </w:t>
      </w:r>
      <w:hyperlink r:id="rId361">
        <w:r>
          <w:rPr>
            <w:color w:val="1155CC"/>
            <w:u w:val="single"/>
          </w:rPr>
          <w:t>当胶原蛋白失效时：锌同位素揭示南美索不达米亚的苏美尔人生活方式</w:t>
        </w:r>
      </w:hyperlink>
    </w:p>
    <w:p>
      <w:pPr>
        <w:spacing w:before="0" w:after="80"/>
      </w:pPr>
      <w:r>
        <w:rPr>
          <w:i/>
          <w:sz w:val="20"/>
        </w:rPr>
        <w:t>EN: When collagen fails: Zinc isotopes unlock Sumerian lifeways in southern Mesopotamia</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62">
        <w:r>
          <w:rPr>
            <w:color w:val="1155CC"/>
            <w:u w:val="single"/>
          </w:rPr>
          <w:t>10.1073/pnas.2526276123</w:t>
        </w:r>
      </w:hyperlink>
    </w:p>
    <w:p>
      <w:pPr>
        <w:spacing w:before="0" w:after="120"/>
      </w:pPr>
      <w:r>
        <w:rPr>
          <w:b/>
        </w:rPr>
        <w:t xml:space="preserve">Notes: </w:t>
      </w:r>
      <w:r>
        <w:t>abstract_source=pubmed</w:t>
      </w:r>
    </w:p>
    <w:p>
      <w:pPr>
        <w:spacing w:before="0" w:after="80" w:lineRule="auto" w:line="276"/>
      </w:pPr>
      <w:r>
        <w:rPr>
          <w:b/>
        </w:rPr>
        <w:t xml:space="preserve">摘要（ZH）: </w:t>
      </w:r>
      <w:r>
        <w:t>重建过去的生活方式和饮食对于理解城市社会的兴起至关重要。然而，在如今如南美索不达米亚等干旱环境中，胶原蛋白保存不良长期以来阻碍了对营养级别的直接同位素分析。这一限制使我们对世界上最早的城市中心之一的生计理解存在关键空白。在此，我们对来自公元前三千年的阿布特贝拉（伊拉克）遗址的人类和动物牙釉质进行锌同位素分析，结合δ13C、δ18O和微量元素比率（Ba/Ca和Sr/Ca）。这种多代理方法揭示了一种基于C3谷物、陆地动物产品（可能包括猪）和有限淡水资源的杂食性饮食，尽管没有或几乎没有海鱼消费的证据，尽管</w:t>
      </w:r>
    </w:p>
    <w:p>
      <w:pPr>
        <w:spacing w:before="0" w:after="200" w:lineRule="auto" w:line="276"/>
      </w:pPr>
      <w:r>
        <w:rPr>
          <w:b/>
        </w:rPr>
        <w:t xml:space="preserve">Abstract (EN): </w:t>
      </w:r>
      <w:r>
        <w:t>Reconstructing past lifeways and diets is essential to understanding the emergence of urban societies. However, in what are now arid environments like southern Mesopotamia, poor collagen preservation has long hampered direct isotopic analysis of trophic levels. This limitation has left key gaps in our understanding of subsistence in one of the world's earliest urban heartlands. Here, we apply zinc isotope analysis to human and faunal dental enamel from the third-millennium BCE site of Abu Tbeirah (Iraq), integrating δ13C, δ18O, and trace element ratios (Ba/Ca and Sr/Ca). This multiproxy approach reveals an omnivorous diet based on C3 cereals, terrestrial animal products (likely including pigs), and limited freshwater resources, with no or little evidence of marine fish consumption, despite the site's proximity to the ancient shoreline. Dietary patterns do not vary by sex, suggesting broad access to similar food sources within this nonelite population. Moreover, zinc and carbon isotopes proved valuable in identifying animal feeding practices. Our results provide direct dietary evidence from southern Mesopotamia, overcoming long-standing preservation challenges. The results allow us to evaluate specific expectations about diet and animal management in a collagen-poor context, also highlighting early-life feeding behaviors. They demonstrate the power of zinc isotopes to reconstruct trophic level in collagen-poor contexts, opening broad avenues for bioarchaeological research in early complex societies.</w:t>
      </w:r>
    </w:p>
    <w:p>
      <w:pPr>
        <w:spacing w:before="120" w:after="120"/>
      </w:pPr>
      <w:r>
        <w:rPr>
          <w:sz w:val="18"/>
        </w:rPr>
        <w:t>——————————————————————————————————————————————————————————————————————</w:t>
      </w:r>
    </w:p>
    <w:p>
      <w:pPr>
        <w:spacing w:before="160" w:after="40" w:line="240" w:lineRule="auto"/>
      </w:pPr>
      <w:r>
        <w:rPr>
          <w:b/>
        </w:rPr>
        <w:t xml:space="preserve">[96] </w:t>
      </w:r>
      <w:hyperlink r:id="rId363">
        <w:r>
          <w:rPr>
            <w:color w:val="1155CC"/>
            <w:u w:val="single"/>
          </w:rPr>
          <w:t>膜相关泛素连接酶MARCHF8在HPV阳性头颈癌中降解MHC-I以实现免疫逃逸</w:t>
        </w:r>
      </w:hyperlink>
    </w:p>
    <w:p>
      <w:pPr>
        <w:spacing w:before="0" w:after="80"/>
      </w:pPr>
      <w:r>
        <w:rPr>
          <w:i/>
          <w:sz w:val="20"/>
        </w:rPr>
        <w:t>EN: The membrane-associated ubiquitin ligase MARCHF8 degrades MHC-I in HPV-positive head and neck cancer for immune evasion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64">
        <w:r>
          <w:rPr>
            <w:color w:val="1155CC"/>
            <w:u w:val="single"/>
          </w:rPr>
          <w:t>10.1073/pnas.2525730123</w:t>
        </w:r>
      </w:hyperlink>
    </w:p>
    <w:p>
      <w:pPr>
        <w:spacing w:before="0" w:after="120"/>
      </w:pPr>
      <w:r>
        <w:rPr>
          <w:b/>
        </w:rPr>
        <w:t xml:space="preserve">Notes: </w:t>
      </w:r>
      <w:r>
        <w:t>abstract_source=pubmed</w:t>
      </w:r>
    </w:p>
    <w:p>
      <w:pPr>
        <w:spacing w:before="0" w:after="80" w:lineRule="auto" w:line="276"/>
      </w:pPr>
      <w:r>
        <w:rPr>
          <w:b/>
        </w:rPr>
        <w:t xml:space="preserve">摘要（ZH）: </w:t>
      </w:r>
      <w:r>
        <w:t>主要组织相容性复合体I类（MHC-I）分子的丢失被提议作为癌症免疫逃逸的一种机制。然而，这一机制尚不完全清楚。我们在此报告，膜相关RING-CH型指蛋白8（MARCHF8）在由人乳头瘤病毒（HPV）上调的情况下，对HPV阳性头颈癌（HPV+ HNC）中的MHC-I进行泛素化和降解。抑制MARCHF8可恢复HPV+ HNC细胞上的MHC-I水平，抑制肿瘤生长，并增加自然杀伤（NK）细胞和T细胞在肿瘤微环境中的浸润。此外，Marchf8敲除显著增加了细胞毒性NK细胞与CD8+ T细胞和巨噬细胞之间的交流，并增强了CD8+ T细胞的肿瘤杀伤活性。有趣的是，Marchf8敲除与抗PD-结合，</w:t>
      </w:r>
    </w:p>
    <w:p>
      <w:pPr>
        <w:spacing w:before="0" w:after="200" w:lineRule="auto" w:line="276"/>
      </w:pPr>
      <w:r>
        <w:rPr>
          <w:b/>
        </w:rPr>
        <w:t xml:space="preserve">Abstract (EN): </w:t>
      </w:r>
      <w:r>
        <w:t>The loss of major histocompatibility complex class I (MHC-I) molecules has been proposed as a mechanism for cancer immune evasion. Nevertheless, the mechanism is poorly understood. We report here that membrane-associated RING-CH-type finger 8 (MARCHF8), upregulated by human papillomavirus (HPV), ubiquitinates and degrades MHC-I in HPV-positive head and neck cancer (HPV+ HNC). Inhibiting MARCHF8 restores MHC-I levels on HPV+ HNC cells, suppresses tumor growth, and increases the infiltration of natural killer (NK) and T cells in the tumor microenvironment. Furthermore, Marchf8 knockout markedly increases cross talk between cytotoxic NK cells and CD8+ T cells with macrophages and enhances the tumor-killing activity of CD8+ T cells. Interestingly, Marchf8 knockout, in combination with anti-PD-1 treatment, further enhances tumor suppression and increases NK and T cell infiltration in mice bearing immune checkpoint inhibitor-refractory tumors. Our findings suggest that MARCHF8 could be a promising target for immunotherapy for HPV+ HNC patients.</w:t>
      </w:r>
    </w:p>
    <w:p>
      <w:pPr>
        <w:spacing w:before="120" w:after="120"/>
      </w:pPr>
      <w:r>
        <w:rPr>
          <w:sz w:val="18"/>
        </w:rPr>
        <w:t>——————————————————————————————————————————————————————————————————————</w:t>
      </w:r>
    </w:p>
    <w:p>
      <w:pPr>
        <w:spacing w:before="160" w:after="40" w:line="240" w:lineRule="auto"/>
      </w:pPr>
      <w:r>
        <w:rPr>
          <w:b/>
        </w:rPr>
        <w:t xml:space="preserve">[97] </w:t>
      </w:r>
      <w:hyperlink r:id="rId365">
        <w:r>
          <w:rPr>
            <w:color w:val="1155CC"/>
            <w:u w:val="single"/>
          </w:rPr>
          <w:t>PER2的寡聚化作为哺乳动物昼夜节律钟的动态调节模式</w:t>
        </w:r>
      </w:hyperlink>
    </w:p>
    <w:p>
      <w:pPr>
        <w:spacing w:before="0" w:after="80"/>
      </w:pPr>
      <w:r>
        <w:rPr>
          <w:i/>
          <w:sz w:val="20"/>
        </w:rPr>
        <w:t>EN: Oligomerization of PER2 as a dynamic mode of regulation of the mammalian circadian clock</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66">
        <w:r>
          <w:rPr>
            <w:color w:val="1155CC"/>
            <w:u w:val="single"/>
          </w:rPr>
          <w:t>10.1073/pnas.2525373123</w:t>
        </w:r>
      </w:hyperlink>
    </w:p>
    <w:p>
      <w:pPr>
        <w:spacing w:before="0" w:after="120"/>
      </w:pPr>
      <w:r>
        <w:rPr>
          <w:b/>
        </w:rPr>
        <w:t xml:space="preserve">Notes: </w:t>
      </w:r>
      <w:r>
        <w:t>abstract_source=pubmed</w:t>
      </w:r>
    </w:p>
    <w:p>
      <w:pPr>
        <w:spacing w:before="0" w:after="80" w:lineRule="auto" w:line="276"/>
      </w:pPr>
      <w:r>
        <w:rPr>
          <w:b/>
        </w:rPr>
        <w:t xml:space="preserve">摘要（ZH）: </w:t>
      </w:r>
      <w:r>
        <w:t>PER2是哺乳动物昼夜节律钟中的一个中心转录调节因子，通过抑制其自身转录来关闭负转录-翻译反馈回路。PER2的合成与降解之间的平衡是决定昼夜节律周期的关键因素。PER2的稳定性依赖于拮抗的磷酸化事件——在家族性高级睡眠相位位点的磷酸化稳定了PER2，而在磷酸降解位点的磷酸化促进了降解。磷酸化引发结构变化的分子机制仍不清楚，特别是因为磷酸降解位点位于一个本质无序区域。我们在此展示了包含PER2的结构化PER-ARNT-SIM（PAS）结构域及其下游磷酸降解位点的区域，</w:t>
      </w:r>
    </w:p>
    <w:p>
      <w:pPr>
        <w:spacing w:before="0" w:after="200" w:lineRule="auto" w:line="276"/>
      </w:pPr>
      <w:r>
        <w:rPr>
          <w:b/>
        </w:rPr>
        <w:t xml:space="preserve">Abstract (EN): </w:t>
      </w:r>
      <w:r>
        <w:t>PER2 is a central transcriptional regulator in the mammalian circadian clock that closes the negative transcription-translation feedback loop by repressing its own transcription. The balance between the synthesis of PER2 and its degradation is a key factor that determines the circadian period. PER2 stability hinges on antagonistic phosphorylation events-phosphorylation at the familial advanced sleep phase site stabilizes PER2 while phosphorylation at the phosphodegron promotes degradation. The molecular mechanism by which phosphorylation elicits structural changes remains unclear, particularly because the phosphodegron is located in an intrinsically disordered region. Here, we show that the region encompassing the structured PER-ARNT-SIM (PAS) domains of PER2 and the downstream phosphodegron region form a large ~30 subunit homo-oligomer that resembles PER2 microbodies observed in mouse fibroblasts. Oligomerization is an emergent property that requires the cooperative interplay between the ordered PAS domains and the neighboring disordered segment. The phosphodegron is sequestered within this oligomer and inaccessible to Casein Kinase 1 (CK1). Intriguingly, Dark-state Exchange Saturation Transfer NMR experiments reveal that the oligomer coexists with dimeric PER2 and phosphorylation of the phosphodegron by CK1 occurs via this sparsely populated dimer. Using phosphomimetic variants, we then demonstrate that phosphorylation at the phosphodegron region destabilizes the oligomer. Our findings reveal the existence of structural polymorphism in PER2 and establish that oligomerization prevents CK1 from phosphorylating the phosphodegron, while phosphorylation of the dimer opposes oligomerization. This mutually antagonistic switch links structural assembly to posttranslational modifications and provides a mechanism by which phosphorylation tunes PER2 turnover and regulates circadian time-period.</w:t>
      </w:r>
    </w:p>
    <w:p>
      <w:pPr>
        <w:spacing w:before="120" w:after="120"/>
      </w:pPr>
      <w:r>
        <w:rPr>
          <w:sz w:val="18"/>
        </w:rPr>
        <w:t>——————————————————————————————————————————————————————————————————————</w:t>
      </w:r>
    </w:p>
    <w:p>
      <w:pPr>
        <w:spacing w:before="160" w:after="40" w:line="240" w:lineRule="auto"/>
      </w:pPr>
      <w:r>
        <w:rPr>
          <w:b/>
        </w:rPr>
        <w:t xml:space="preserve">[98] </w:t>
      </w:r>
      <w:hyperlink r:id="rId367">
        <w:r>
          <w:rPr>
            <w:color w:val="1155CC"/>
            <w:u w:val="single"/>
          </w:rPr>
          <w:t>在集体防御掠食中合作的直接和间接利益</w:t>
        </w:r>
      </w:hyperlink>
    </w:p>
    <w:p>
      <w:pPr>
        <w:spacing w:before="0" w:after="80"/>
      </w:pPr>
      <w:r>
        <w:rPr>
          <w:i/>
          <w:sz w:val="20"/>
        </w:rPr>
        <w:t>EN: Direct and indirect benefits of cooperation in collective defense against predation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68">
        <w:r>
          <w:rPr>
            <w:color w:val="1155CC"/>
            <w:u w:val="single"/>
          </w:rPr>
          <w:t>10.1073/pnas.2520025123</w:t>
        </w:r>
      </w:hyperlink>
    </w:p>
    <w:p>
      <w:pPr>
        <w:spacing w:before="0" w:after="120"/>
      </w:pPr>
      <w:r>
        <w:rPr>
          <w:b/>
        </w:rPr>
        <w:t xml:space="preserve">Notes: </w:t>
      </w:r>
      <w:r>
        <w:t>abstract_source=pubmed</w:t>
      </w:r>
    </w:p>
    <w:p>
      <w:pPr>
        <w:spacing w:before="0" w:after="80" w:lineRule="auto" w:line="276"/>
      </w:pPr>
      <w:r>
        <w:rPr>
          <w:b/>
        </w:rPr>
        <w:t xml:space="preserve">摘要（ZH）: </w:t>
      </w:r>
      <w:r>
        <w:t>尽管存在作弊行为，公共物品合作的演化和维持仍然是社会生物学中的一个关键兴趣点。识别生态因素如何决定维持合作的直接和间接利益已被证明具有挑战性，因为这些因素在不同物种和环境中可能显著不同。在此，我们使用社会松毛虫Neodiprion sertifer（膜翅目）作为模型系统研究这一问题。在幼虫阶段，N. sertifer以群体形式生活，并集体分泌防御液体以抵御捕食者。这种行为构成了一种公共物品，因为它的表现是有代价的，并对他人有益，个体在其对群体防御的贡献上存在差异。我们通过实验操控个体对防御的贡献，以评估这些对生存的影响</w:t>
      </w:r>
    </w:p>
    <w:p>
      <w:pPr>
        <w:spacing w:before="0" w:after="200" w:lineRule="auto" w:line="276"/>
      </w:pPr>
      <w:r>
        <w:rPr>
          <w:b/>
        </w:rPr>
        <w:t xml:space="preserve">Abstract (EN): </w:t>
      </w:r>
      <w:r>
        <w:t>The evolution and maintenance of public goods cooperation, despite cheating, remains a key interest in social biology. Identifying how ecological factors determine the direct and indirect benefits that maintain cooperation has proven challenging, as these can vary significantly across species and environments. Here, we study this problem using the social pine sawfly Neodiprion sertifer (Hymenoptera) as a model system. During their larval stage, N. sertifer live in groups and collectively secrete a defensive fluid against predators. This behavior comprises a public good as it is costly to exhibit and beneficial to others, and individuals vary in their contribution to group defense. We experimentally manipulated individual contributions to defense to assess how these influence survival under natural insect predation. Our results indicate that defense has a group-level benefit as individuals were more likely to survive in cooperative groups with a higher proportion of defending larvae. Moreover, being able to deploy defensive fluid confers direct survival benefits. Genetic and phenotypic analyses of natural populations further show that kin selection promotes collective defense, as groups of larvae are often composed of full siblings. We also find that the contribution to defense is female-biased and diminishes in larger, more male-biased groups, and to some extent with decreased kinship, indicating that individuals adjust their contributions based on social context. Overall, we find that contribution to the collective defense provides both direct and indirect benefits and that individuals regulate their contributions mainly based on the social environment, resulting in variation within and among natural populations.</w:t>
      </w:r>
    </w:p>
    <w:p>
      <w:pPr>
        <w:spacing w:before="120" w:after="120"/>
      </w:pPr>
      <w:r>
        <w:rPr>
          <w:sz w:val="18"/>
        </w:rPr>
        <w:t>——————————————————————————————————————————————————————————————————————</w:t>
      </w:r>
    </w:p>
    <w:p>
      <w:pPr>
        <w:spacing w:before="160" w:after="40" w:line="240" w:lineRule="auto"/>
      </w:pPr>
      <w:r>
        <w:rPr>
          <w:b/>
        </w:rPr>
        <w:t xml:space="preserve">[99] </w:t>
      </w:r>
      <w:hyperlink r:id="rId369">
        <w:r>
          <w:rPr>
            <w:color w:val="1155CC"/>
            <w:u w:val="single"/>
          </w:rPr>
          <w:t>细菌报告基因配对scRNA测序揭示锌饥饿与锌毒性在巨噬细胞抗菌防御中的相互作用</w:t>
        </w:r>
      </w:hyperlink>
    </w:p>
    <w:p>
      <w:pPr>
        <w:spacing w:before="0" w:after="80"/>
      </w:pPr>
      <w:r>
        <w:rPr>
          <w:i/>
          <w:sz w:val="20"/>
        </w:rPr>
        <w:t>EN: Bacterial reporter–paired scRNA sequencing reveals cross talk between zinc starvation and zinc toxicity in macrophage antibacterial defense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70">
        <w:r>
          <w:rPr>
            <w:color w:val="1155CC"/>
            <w:u w:val="single"/>
          </w:rPr>
          <w:t>10.1073/pnas.2530503123</w:t>
        </w:r>
      </w:hyperlink>
    </w:p>
    <w:p>
      <w:pPr>
        <w:spacing w:before="0" w:after="120"/>
      </w:pPr>
      <w:r>
        <w:rPr>
          <w:b/>
        </w:rPr>
        <w:t xml:space="preserve">Notes: </w:t>
      </w:r>
      <w:r>
        <w:t>abstract_source=pubmed</w:t>
      </w:r>
    </w:p>
    <w:p>
      <w:pPr>
        <w:spacing w:before="0" w:after="80" w:lineRule="auto" w:line="276"/>
      </w:pPr>
      <w:r>
        <w:rPr>
          <w:b/>
        </w:rPr>
        <w:t xml:space="preserve">摘要（ZH）: </w:t>
      </w:r>
      <w:r>
        <w:t>巨噬细胞部署抗菌锌毒性的机制尚不清楚。为了深入了解这种抗菌途径，我们开发了细菌报告基因配对的人单核细胞来源巨噬细胞（HMDM）单细胞RNA测序，该细胞感染了大肠杆菌锌应激报告菌株。我们识别出携带锌应激大肠杆菌的HMDM亚群和预测与锌毒性或锌应激细菌生存相关的相应哺乳动物基因。与后者一致，编码锌输出蛋白ZNT4的SLC30A4在含有锌应激大肠杆菌的HMDM亚群中富集，其在人巨噬细胞中的过表达增加了细胞内大肠杆菌的生存。在群体水平上，SLC30A4表达迅速下调</w:t>
      </w:r>
    </w:p>
    <w:p>
      <w:pPr>
        <w:spacing w:before="0" w:after="200" w:lineRule="auto" w:line="276"/>
      </w:pPr>
      <w:r>
        <w:rPr>
          <w:b/>
        </w:rPr>
        <w:t xml:space="preserve">Abstract (EN): </w:t>
      </w:r>
      <w:r>
        <w:t>Mechanisms by which macrophages deploy antibacterial zinc toxicity are poorly understood. To gain insight into this antimicrobial pathway, we developed bacterial reporter-paired single-cell RNA sequencing of human monocyte-derived macrophages (HMDM) infected with an Escherichia coli zinc-stress reporter strain. We identified HMDM subpopulations harboring zinc-stressed E. coli and corresponding mammalian genes predicted to be associated with either zinc toxicity or survival of zinc-stressed bacteria. Consistent with the latter, SLC30A4 that encodes zinc exporter ZNT4 was enriched in one subpopulation of HMDM containing zinc-stressed E. coli and its overexpression in human macrophages increased intracellular E. coli survival. At a population level, SLC30A4 expression was rapidly downregulated in human macrophages responding to E. coli and its ectopic expression in macrophages attenuated zinc starvation of intracellular E. coli. This is consistent with a model in which macrophages switch off SLC30A4 to engage zinc starvation, while also deploying zinc toxicity against bacteria adapting to a low-zinc environment. Consistent with this, intramacrophage E. coli rapidly upregulated znuA messenger RNA (mRNA) that is induced during zinc limitation, with zntA mRNA that is induced during zinc stress peaking later. Moreover, E. coli cultured under conditions of zinc limitation displayed greatly enhanced zinc sensitivity. Susceptibility of zinc-sensitive E. coli to killing by macrophages was also attenuated when zinc uptake by E. coli was inactivated, confirming the coordinated actions of zinc starvation and zinc toxicity in macrophage antibacterial responses. Strategies that enhance zinc starvation of intracellular bacteria could be exploited in the design of host-directed therapeutics that amplify macrophage-mediated antibacterial zinc toxicity.</w:t>
      </w:r>
    </w:p>
    <w:p>
      <w:pPr>
        <w:spacing w:before="120" w:after="120"/>
      </w:pPr>
      <w:r>
        <w:rPr>
          <w:sz w:val="18"/>
        </w:rPr>
        <w:t>——————————————————————————————————————————————————————————————————————</w:t>
      </w:r>
    </w:p>
    <w:p>
      <w:pPr>
        <w:spacing w:before="160" w:after="40" w:line="240" w:lineRule="auto"/>
      </w:pPr>
      <w:r>
        <w:rPr>
          <w:b/>
        </w:rPr>
        <w:t xml:space="preserve">[100] </w:t>
      </w:r>
      <w:hyperlink r:id="rId371">
        <w:r>
          <w:rPr>
            <w:color w:val="1155CC"/>
            <w:u w:val="single"/>
          </w:rPr>
          <w:t>开发统计模型作为预测野生鸟类沙门氏菌爆发的预警系统</w:t>
        </w:r>
      </w:hyperlink>
    </w:p>
    <w:p>
      <w:pPr>
        <w:spacing w:before="0" w:after="80"/>
      </w:pPr>
      <w:r>
        <w:rPr>
          <w:i/>
          <w:sz w:val="20"/>
        </w:rPr>
        <w:t>EN: Developing statistical models as an early warning system to predict Salmonella outbreaks in wild birds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72">
        <w:r>
          <w:rPr>
            <w:color w:val="1155CC"/>
            <w:u w:val="single"/>
          </w:rPr>
          <w:t>10.1073/pnas.2537200123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373">
        <w:r>
          <w:rPr>
            <w:color w:val="1155CC"/>
            <w:u w:val="single"/>
          </w:rPr>
          <w:t>不同的BLA记忆痕迹回路在经历自我压力的旁观者雄性小鼠中协调社会偏好动态</w:t>
        </w:r>
      </w:hyperlink>
    </w:p>
    <w:p>
      <w:pPr>
        <w:spacing w:before="0" w:after="80"/>
      </w:pPr>
      <w:r>
        <w:rPr>
          <w:i/>
          <w:sz w:val="20"/>
        </w:rPr>
        <w:t>EN: Divergent BLA engram circuits orchestrate social preference dynamics in bystander male mice with self-experienced stress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74">
        <w:r>
          <w:rPr>
            <w:color w:val="1155CC"/>
            <w:u w:val="single"/>
          </w:rPr>
          <w:t>10.1073/pnas.2516904123</w:t>
        </w:r>
      </w:hyperlink>
    </w:p>
    <w:p>
      <w:pPr>
        <w:spacing w:before="0" w:after="120"/>
      </w:pPr>
      <w:r>
        <w:rPr>
          <w:b/>
        </w:rPr>
        <w:t xml:space="preserve">Notes: </w:t>
      </w:r>
      <w:r>
        <w:t>abstract_source=pubmed</w:t>
      </w:r>
    </w:p>
    <w:p>
      <w:pPr>
        <w:spacing w:before="0" w:after="80" w:lineRule="auto" w:line="276"/>
      </w:pPr>
      <w:r>
        <w:rPr>
          <w:b/>
        </w:rPr>
        <w:t xml:space="preserve">摘要（ZH）: </w:t>
      </w:r>
      <w:r>
        <w:t>个人经历被编码并储存在记忆痕迹细胞中，对于未来社交环境中的社交偏好动态至关重要，但涉及的神经回路机制仍然知之甚少。在此，我们开发了一种小鼠模型，将自我经历的单次社交失败应激与替代性社交失败应激结合，展示了对失败应激经历笼友的社交偏好和对攻击者的社交回避。基底外侧杏仁核痕迹细胞（BLAEC）表现出显著激活，化学遗传学操作证实了它们对社交偏好和社交回避行为的充分性和必要性。基于病毒的细胞类型特异性脑图谱显示BLAEC投射到前扣带回皮层（ACC），这些投射也响应</w:t>
      </w:r>
    </w:p>
    <w:p>
      <w:pPr>
        <w:spacing w:before="0" w:after="200" w:lineRule="auto" w:line="276"/>
      </w:pPr>
      <w:r>
        <w:rPr>
          <w:b/>
        </w:rPr>
        <w:t xml:space="preserve">Abstract (EN): </w:t>
      </w:r>
      <w:r>
        <w:t>Personal experiences are encoded and stored in memory engram cells and are crucial for social preference dynamics in future social contexts, yet the neural circuit mechanisms involved are still poorly understood. Here, we develop a mouse model that combines self-experienced single social defeat stress with vicarious social defeat stress, demonstrating a social preference with defeat stress-experienced cagemate and social avoidance toward an aggressor. Basolateral amygdala engram cells (BLAEC) exhibit significant activation, and chemogenetic manipulations confirm their sufficiency and necessity for both social preference and social avoidance behaviors. Virus-based cell-type-specific brain mapping suggests BLAEC project to anterior cingulate cortex (ACC) and these projections are also responsible for modulating social preference dynamics. Distinct projections from BLA-ACC circuit, including ventral/dorsal hippocampus and zona incerta, exert the diverse effects on these behaviors in male mice. Our findings reveal regulation of social preference dynamics by divergent circuits originating from BLAEC, which may contribute to the neurobiological mechanism of social psychopathologies.</w:t>
      </w:r>
    </w:p>
    <w:p>
      <w:pPr>
        <w:spacing w:before="120" w:after="120"/>
      </w:pPr>
      <w:r>
        <w:rPr>
          <w:sz w:val="18"/>
        </w:rPr>
        <w:t>——————————————————————————————————————————————————————————————————————</w:t>
      </w:r>
    </w:p>
    <w:p>
      <w:pPr>
        <w:spacing w:before="160" w:after="40" w:line="240" w:lineRule="auto"/>
      </w:pPr>
      <w:r>
        <w:rPr>
          <w:b/>
        </w:rPr>
        <w:t xml:space="preserve">[102] </w:t>
      </w:r>
      <w:hyperlink r:id="rId375">
        <w:r>
          <w:rPr>
            <w:color w:val="1155CC"/>
            <w:u w:val="single"/>
          </w:rPr>
          <w:t>单倍二倍体和真社会性进化：一个长期存在的问题终于得到解决</w:t>
        </w:r>
      </w:hyperlink>
    </w:p>
    <w:p>
      <w:pPr>
        <w:spacing w:before="0" w:after="80"/>
      </w:pPr>
      <w:r>
        <w:rPr>
          <w:i/>
          <w:sz w:val="20"/>
        </w:rPr>
        <w:t>EN: Haplodiploidy and the evolution of eusociality: A long-standing question is finally resolved</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76">
        <w:r>
          <w:rPr>
            <w:color w:val="1155CC"/>
            <w:u w:val="single"/>
          </w:rPr>
          <w:t>10.1073/pnas.2600464123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377">
        <w:r>
          <w:rPr>
            <w:color w:val="1155CC"/>
            <w:u w:val="single"/>
          </w:rPr>
          <w:t>波动的计算显微镜：将晶体成核聚焦</w:t>
        </w:r>
      </w:hyperlink>
    </w:p>
    <w:p>
      <w:pPr>
        <w:spacing w:before="0" w:after="80"/>
      </w:pPr>
      <w:r>
        <w:rPr>
          <w:i/>
          <w:sz w:val="20"/>
        </w:rPr>
        <w:t>EN: A computational microscope for fluctuations: Bringing crystal nucleation into focus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78">
        <w:r>
          <w:rPr>
            <w:color w:val="1155CC"/>
            <w:u w:val="single"/>
          </w:rPr>
          <w:t>10.1073/pnas.2600921123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79">
        <w:r>
          <w:rPr>
            <w:color w:val="1155CC"/>
            <w:u w:val="single"/>
          </w:rPr>
          <w:t>从淡水斑马贻贝Dreissena bugensis中提取的湿粘附蛋白的鉴定和特征化</w:t>
        </w:r>
      </w:hyperlink>
    </w:p>
    <w:p>
      <w:pPr>
        <w:spacing w:before="0" w:after="80"/>
      </w:pPr>
      <w:r>
        <w:rPr>
          <w:i/>
          <w:sz w:val="20"/>
        </w:rPr>
        <w:t>EN: Identification and characterization of a wet adhesive protein extracted from Dreissena bugensis, the freshwater quagga mussel</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80">
        <w:r>
          <w:rPr>
            <w:color w:val="1155CC"/>
            <w:u w:val="single"/>
          </w:rPr>
          <w:t>10.1073/pnas.2537453123</w:t>
        </w:r>
      </w:hyperlink>
    </w:p>
    <w:p>
      <w:pPr>
        <w:spacing w:before="0" w:after="120"/>
      </w:pPr>
      <w:r>
        <w:rPr>
          <w:b/>
        </w:rPr>
        <w:t xml:space="preserve">Notes: </w:t>
      </w:r>
      <w:r>
        <w:t>abstract_source=pubmed</w:t>
      </w:r>
    </w:p>
    <w:p>
      <w:pPr>
        <w:spacing w:before="0" w:after="80" w:lineRule="auto" w:line="276"/>
      </w:pPr>
      <w:r>
        <w:rPr>
          <w:b/>
        </w:rPr>
        <w:t xml:space="preserve">摘要（ZH）: </w:t>
      </w:r>
      <w:r>
        <w:t>湿粘附的机制在数百万年中在几种水生生物中进化而来。然而，合成生物兼容湿粘附材料的种类仍然有限。足丝是一种研究良好的蛋白质生物粘附结构，被几种双壳类动物用来在湍流条件下支持固着生活。斑马贻贝（Dreissena bugensis）是一种淡水足丝动物，也是五大湖地区臭名昭著的入侵物种。为了识别斑马贻贝足丝中的粘附蛋白，我们利用定量蛋白质组学，发现了在足丝-基质界面富集的几种蛋白质。在识别的蛋白质中有Dbfp7蛋白家族。Dbfp7是一种小型、多态且大多无序的蛋白质，缺乏显著数量的3,4-二羟基苯丙氨酸</w:t>
      </w:r>
    </w:p>
    <w:p>
      <w:pPr>
        <w:spacing w:before="0" w:after="200" w:lineRule="auto" w:line="276"/>
      </w:pPr>
      <w:r>
        <w:rPr>
          <w:b/>
        </w:rPr>
        <w:t xml:space="preserve">Abstract (EN): </w:t>
      </w:r>
      <w:r>
        <w:t>Mechanisms of wet adhesion have evolved in several aquatic organisms over millions of years. Yet, the repertoire of synthetic biocompatible wet adhesive materials is still limited. The byssus is a well-studied proteinaceous bioadhesive structure utilized by several bivalves to support sessile lifestyles in turbulent conditions. The quagga mussel (Dreissena bugensis) is a freshwater byssate and a notorious invasive species in the Great Lakes region. To identify adhesive proteins in the quagga mussel byssus, we utilized quantitative proteomics and found several proteins enriched at the byssus-substrate interface. Among the identified proteins was the Dbfp7 protein family. Dbfp7 is a small, polymorphic, and mostly disordered protein that lacks significant amounts of 3,4-dihydroxyphenylalanine (DOPA), a modified amino acid found in several marine mussel byssal proteins. Atomic force microscopy nanomechanical mapping of Dbfp7 films demonstrates that this protein exhibits adhesive ability in aqueous conditions. While DOPA is critical for marine mussel adhesion, interfacial electrochemistry of freshwater adhesive plaques suggests that freshwater byssates circumvent catechol-based adhesion. The functional characterization of Dbfp7 as a freshwater mussel adhesive protein advances the understanding of fundamental requirements for biocompatible wet adhesion, a crucial step for the development of bioinspired wet adhesive materials, such as improved medical adhesives.</w:t>
      </w:r>
    </w:p>
    <w:p>
      <w:pPr>
        <w:spacing w:before="120" w:after="120"/>
      </w:pPr>
      <w:r>
        <w:rPr>
          <w:sz w:val="18"/>
        </w:rPr>
        <w:t>——————————————————————————————————————————————————————————————————————</w:t>
      </w:r>
    </w:p>
    <w:p>
      <w:pPr>
        <w:spacing w:before="160" w:after="40" w:line="240" w:lineRule="auto"/>
      </w:pPr>
      <w:r>
        <w:rPr>
          <w:b/>
        </w:rPr>
        <w:t xml:space="preserve">[105] </w:t>
      </w:r>
      <w:hyperlink r:id="rId381">
        <w:r>
          <w:rPr>
            <w:color w:val="1155CC"/>
            <w:u w:val="single"/>
          </w:rPr>
          <w:t>通向室温超导的道路：一种程序化的方法</w:t>
        </w:r>
      </w:hyperlink>
    </w:p>
    <w:p>
      <w:pPr>
        <w:spacing w:before="0" w:after="80"/>
      </w:pPr>
      <w:r>
        <w:rPr>
          <w:i/>
          <w:sz w:val="20"/>
        </w:rPr>
        <w:t>EN: The path to room-temperature superconductivity: A programmatic approach</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82">
        <w:r>
          <w:rPr>
            <w:color w:val="1155CC"/>
            <w:u w:val="single"/>
          </w:rPr>
          <w:t>10.1073/pnas.2520324123</w:t>
        </w:r>
      </w:hyperlink>
    </w:p>
    <w:p>
      <w:pPr>
        <w:spacing w:before="0" w:after="120"/>
      </w:pPr>
      <w:r>
        <w:rPr>
          <w:b/>
        </w:rPr>
        <w:t xml:space="preserve">Notes: </w:t>
      </w:r>
      <w:r>
        <w:t>abstract_source=pubmed</w:t>
      </w:r>
    </w:p>
    <w:p>
      <w:pPr>
        <w:spacing w:before="0" w:after="80" w:lineRule="auto" w:line="276"/>
      </w:pPr>
      <w:r>
        <w:rPr>
          <w:b/>
        </w:rPr>
        <w:t xml:space="preserve">摘要（ZH）: </w:t>
      </w:r>
      <w:r>
        <w:t>室温超导性可以说是凝聚态物理学中最大的挑战，如果能够解决，将具有重大的实际和商业意义。没有物理定律阻止这种情况的发生；事实上，超导性已经在许多不同的材料和条件下被观察到，以至于它几乎成为非磁性金属的“通用”特性。这引导我们认为高温超导性是可能的，尽管实现起来很困难。在此，我们提出了该领域面临的两个重大挑战，分别是预测挑战和工程挑战，并提出了一种克服这些挑战的程序性方法。预测挑战解决了我们预测新型常规超导体能力的问题</w:t>
      </w:r>
    </w:p>
    <w:p>
      <w:pPr>
        <w:spacing w:before="0" w:after="200" w:lineRule="auto" w:line="276"/>
      </w:pPr>
      <w:r>
        <w:rPr>
          <w:b/>
        </w:rPr>
        <w:t xml:space="preserve">Abstract (EN): </w:t>
      </w:r>
      <w:r>
        <w:t>Room-temperature superconductivity is arguably the greatest challenge in condensed matter physics, with significant practical and commercial implications if it can be solved. There are no physical laws preventing this from occurring; indeed, superconductivity has been observed in so many different materials under so many different conditions that it is almost a "generic" property of nonmagnetic metals. This guides our viewpoint that high-temperature superconductivity is possible, if difficult to realize. Here, we lay out two grand challenges facing the field, titled the Prediction Challenge and the Engineering Challenge, and put forward a programmatic approach for overcoming them. The Prediction Challenge addresses the fact that our ability to predict new conventional superconductors has dramatically advanced in recent years, but most predicted materials are not experimentally synthesizable. To address this challenge, we propose a shift from modeling the superconducting critical temperature and dynamic stability toward high-throughput ab initio and predictive thermodynamics/synthesis modeling. The Engineering Challenge describes how we can control superconductivity with various "knobs," including pressure, nanostructuring, and light. However, our ability to predict how a specific knob will modify a given superconductor is limited, making it difficult to fully exploit them. We describe the current status and identify areas where additional work is needed to fully exploit six of the most common knobs. Progress in both of these grand challenges, while closely integrating theory and experiment into a continuous feedback loop and incorporating insights from fields beyond physics and materials science, could unlock the underlying keys to room-temperature superconductivity.</w:t>
      </w:r>
    </w:p>
    <w:p>
      <w:pPr>
        <w:spacing w:before="120" w:after="120"/>
      </w:pPr>
      <w:r>
        <w:rPr>
          <w:sz w:val="18"/>
        </w:rPr>
        <w:t>——————————————————————————————————————————————————————————————————————</w:t>
      </w:r>
    </w:p>
    <w:p>
      <w:pPr>
        <w:spacing w:before="160" w:after="40" w:line="240" w:lineRule="auto"/>
      </w:pPr>
      <w:r>
        <w:rPr>
          <w:b/>
        </w:rPr>
        <w:t xml:space="preserve">[106] </w:t>
      </w:r>
      <w:hyperlink r:id="rId383">
        <w:r>
          <w:rPr>
            <w:color w:val="1155CC"/>
            <w:u w:val="single"/>
          </w:rPr>
          <w:t>银屑病样疾病通过中性粒细胞驱动的炎症防止鳞状皮肤肿瘤的发展</w:t>
        </w:r>
      </w:hyperlink>
    </w:p>
    <w:p>
      <w:pPr>
        <w:spacing w:before="0" w:after="80"/>
      </w:pPr>
      <w:r>
        <w:rPr>
          <w:i/>
          <w:sz w:val="20"/>
        </w:rPr>
        <w:t>EN: Psoriasis-like disease prevents squamous skin tumor development by neutrophil-driven inflammation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84">
        <w:r>
          <w:rPr>
            <w:color w:val="1155CC"/>
            <w:u w:val="single"/>
          </w:rPr>
          <w:t>10.1073/pnas.2536378123</w:t>
        </w:r>
      </w:hyperlink>
    </w:p>
    <w:p>
      <w:pPr>
        <w:spacing w:before="0" w:after="120"/>
      </w:pPr>
      <w:r>
        <w:rPr>
          <w:b/>
        </w:rPr>
        <w:t xml:space="preserve">Notes: </w:t>
      </w:r>
      <w:r>
        <w:t>abstract_source=pubmed</w:t>
      </w:r>
    </w:p>
    <w:p>
      <w:pPr>
        <w:spacing w:before="0" w:after="80" w:lineRule="auto" w:line="276"/>
      </w:pPr>
      <w:r>
        <w:rPr>
          <w:b/>
        </w:rPr>
        <w:t xml:space="preserve">摘要（ZH）: </w:t>
      </w:r>
      <w:r>
        <w:t>银屑病是一种慢性炎症性皮肤病，影响全球数百万人。尽管越来越多的证据将慢性炎症与癌症风险增加联系起来，但银屑病与皮肤鳞状细胞癌（cSCC）之间的关联仍然难以捉摸。通过使用细胞移植和化学诱导的cSCC模型结合可诱导的基因工程小鼠模型，我们研究了慢性皮肤和系统性炎症如何影响鳞状皮肤肿瘤的起始和进展。在此，我们展示了在严重银屑病样疾病的背景下，中性粒细胞依赖性炎症阻止了鳞状皮肤肿瘤的发展。对肿瘤起始阶段的银屑病样皮肤进行细胞和分子分析显示出CD54表达的中性粒细胞的显著浸润</w:t>
      </w:r>
    </w:p>
    <w:p>
      <w:pPr>
        <w:spacing w:before="0" w:after="200" w:lineRule="auto" w:line="276"/>
      </w:pPr>
      <w:r>
        <w:rPr>
          <w:b/>
        </w:rPr>
        <w:t xml:space="preserve">Abstract (EN): </w:t>
      </w:r>
      <w:r>
        <w:t>Psoriasis is a chronic inflammatory skin disease affecting millions of people worldwide. Although growing evidence links chronic inflammation with increased cancer risk, the association between psoriasis and cutaneous squamous cell carcinoma (cSCC) is still elusive. Using cell transplantation and chemical-induced models of cSCC combined with inducible genetically engineered mouse models of psoriasis, we investigated how chronic skin and systemic inflammation affects squamous skin tumor initiation and progression. Here we show that in the context of severe psoriasis-like disease, neutrophil-dependent inflammation prevents squamous skin tumor development. Cellular and molecular analyses of psoriasis-like skin at the tumor initiation stage revealed a marked infiltration of CD54-expressing neutrophils, associated with the release of cytotoxic granules and neutrophil extracellular traps (NETs), as well as enhanced senescence and the expression of senescence-associated secretory phenotype in keratinocytes. Furthermore, single-cell RNA sequencing demonstrated that inflammatory N1-like neutrophils mediate reprogramming of the cell-cell communication networks, while keratinocytes displayed diminished responsiveness to mitogenic signals, including epidermal growth factor and Wnt/β-catenin. Importantly, neutrophil depletion ameliorated psoriasis-like inflammation, abolished the senescence-like phenotype in keratinocytes and restored tumor growth. We propose that the release of neutrophil granules and NETs in psoriasis-like skin eliminate tumor cells and/or mediate oxidative and inflammatory stress-induced senescence in keratinocytes, thereby preventing tumor growth. Taken together, we have defined an innate control of skin tumorigenesis in psoriasis-like disease, which will be relevant for developing cancer prevention strategies.</w:t>
      </w:r>
    </w:p>
    <w:p>
      <w:pPr>
        <w:spacing w:before="120" w:after="120"/>
      </w:pPr>
      <w:r>
        <w:rPr>
          <w:sz w:val="18"/>
        </w:rPr>
        <w:t>——————————————————————————————————————————————————————————————————————</w:t>
      </w:r>
    </w:p>
    <w:p>
      <w:pPr>
        <w:spacing w:before="160" w:after="40" w:line="240" w:lineRule="auto"/>
      </w:pPr>
      <w:r>
        <w:rPr>
          <w:b/>
        </w:rPr>
        <w:t xml:space="preserve">[107] </w:t>
      </w:r>
      <w:hyperlink r:id="rId385">
        <w:r>
          <w:rPr>
            <w:color w:val="1155CC"/>
            <w:u w:val="single"/>
          </w:rPr>
          <w:t>高纬度遥相关驱动南极冰盖黎明时亚热带海洋生物生产力</w:t>
        </w:r>
      </w:hyperlink>
    </w:p>
    <w:p>
      <w:pPr>
        <w:spacing w:before="0" w:after="80"/>
      </w:pPr>
      <w:r>
        <w:rPr>
          <w:i/>
          <w:sz w:val="20"/>
        </w:rPr>
        <w:t>EN: High-latitude teleconnections drive subtropical marine bioproductivity at the dawn of the Antarctic ice sheet</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86">
        <w:r>
          <w:rPr>
            <w:color w:val="1155CC"/>
            <w:u w:val="single"/>
          </w:rPr>
          <w:t>10.1073/pnas.2424082123</w:t>
        </w:r>
      </w:hyperlink>
    </w:p>
    <w:p>
      <w:pPr>
        <w:spacing w:before="0" w:after="120"/>
      </w:pPr>
      <w:r>
        <w:rPr>
          <w:b/>
        </w:rPr>
        <w:t xml:space="preserve">Notes: </w:t>
      </w:r>
      <w:r>
        <w:t>abstract_source=pubmed</w:t>
      </w:r>
    </w:p>
    <w:p>
      <w:pPr>
        <w:spacing w:before="0" w:after="80" w:lineRule="auto" w:line="276"/>
      </w:pPr>
      <w:r>
        <w:rPr>
          <w:b/>
        </w:rPr>
        <w:t xml:space="preserve">摘要（ZH）: </w:t>
      </w:r>
      <w:r>
        <w:t>南极冰盖（AIS）的形成标志着新生代全球气候的重大重组，但亚热带海洋生物圈的反应仍然不明确。来自亚热带南大西洋的新沉积物档案（IODP Exp. 390和393）显示，随着AIS在3400万年前的初步扩展，表层海洋生物生产力代理积累（生物钡）增加了七倍，并出现了与AIS在早期渐新世演化相呼应的亚热带生物生产力的放大天文强迫。我们发现，强烈的40千年倾斜响应特征了亚热带生物生产力在广泛的海洋基础AIS初步建立后的表现。与海洋接触的AIS部分</w:t>
      </w:r>
    </w:p>
    <w:p>
      <w:pPr>
        <w:spacing w:before="0" w:after="200" w:lineRule="auto" w:line="276"/>
      </w:pPr>
      <w:r>
        <w:rPr>
          <w:b/>
        </w:rPr>
        <w:t xml:space="preserve">Abstract (EN): </w:t>
      </w:r>
      <w:r>
        <w:t>The inception of the Antarctic ice sheet (AIS) marked a major global climatic reorganization of the Cenozoic, but the response of the subtropical marine biosphere remains poorly constrained. A new sediment archive from the subtropical South Atlantic (IODP Exp. 390 and 393) reveals a sevenfold increase in surface ocean bioproductivity proxy accumulation (biogenic barium) commensurate with the initial expansion of the AIS 34 Mya, and the emergence of an amplified astronomical forcing of subtropical bioproductivity that mirrors the subsequent evolution of the AIS in the early Oligocene. We find that a strong 40-kyr obliquity response characterizes subtropical bioproductivity following the initial establishment of an expansive marine-based AIS. Portions of the AIS in contact with the marine environment are sensitive to meridional heat delivery controlled by obliquity-forced interactions between the atmosphere and ocean, which can propagate to the lower latitudes via Southern Ocean overturning circulation. The surprising emergence of obliquity forcing of low-latitude bioproductivity enhances our understanding of global teleconnections and feedbacks that regulate global climate, and points to mechanisms driving global marine bioproductivity on astronomical timescales-and their intricate connections to the evolution of the cryosphere.</w:t>
      </w:r>
    </w:p>
    <w:p>
      <w:pPr>
        <w:spacing w:before="120" w:after="120"/>
      </w:pPr>
      <w:r>
        <w:rPr>
          <w:sz w:val="18"/>
        </w:rPr>
        <w:t>——————————————————————————————————————————————————————————————————————</w:t>
      </w:r>
    </w:p>
    <w:p>
      <w:pPr>
        <w:spacing w:before="160" w:after="40" w:line="240" w:lineRule="auto"/>
      </w:pPr>
      <w:r>
        <w:rPr>
          <w:b/>
        </w:rPr>
        <w:t xml:space="preserve">[108] </w:t>
      </w:r>
      <w:hyperlink r:id="rId387">
        <w:r>
          <w:rPr>
            <w:color w:val="1155CC"/>
            <w:u w:val="single"/>
          </w:rPr>
          <w:t>去泛素化酶OTULIN通过去除TRAF6的线性泛素化来减弱RIG-I依赖的抗病毒信号</w:t>
        </w:r>
      </w:hyperlink>
    </w:p>
    <w:p>
      <w:pPr>
        <w:spacing w:before="0" w:after="80"/>
      </w:pPr>
      <w:r>
        <w:rPr>
          <w:i/>
          <w:sz w:val="20"/>
        </w:rPr>
        <w:t>EN: Deubiquitinase OTULIN dampens RIG-I-dependent antiviral signaling by removing linear ubiquitination from TRAF6</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88">
        <w:r>
          <w:rPr>
            <w:color w:val="1155CC"/>
            <w:u w:val="single"/>
          </w:rPr>
          <w:t>10.1073/pnas.2517201123</w:t>
        </w:r>
      </w:hyperlink>
    </w:p>
    <w:p>
      <w:pPr>
        <w:spacing w:before="0" w:after="120"/>
      </w:pPr>
      <w:r>
        <w:rPr>
          <w:b/>
        </w:rPr>
        <w:t xml:space="preserve">Notes: </w:t>
      </w:r>
      <w:r>
        <w:t>abstract_source=pubmed</w:t>
      </w:r>
    </w:p>
    <w:p>
      <w:pPr>
        <w:spacing w:before="0" w:after="80" w:lineRule="auto" w:line="276"/>
      </w:pPr>
      <w:r>
        <w:rPr>
          <w:b/>
        </w:rPr>
        <w:t xml:space="preserve">摘要（ZH）: </w:t>
      </w:r>
      <w:r>
        <w:t>线性泛素化和去泛素化是炎症和细胞死亡中的关键调控机制，但它们在RIG-I样受体（RLR）依赖性信号传导中的作用仍不清楚。在此，我们确定了具有线性连接特异性的OTU去泛素化酶（OTULIN）作为RIG-I依赖性I型干扰素（IFN-I）信号传导的负调控因子。OTULIN的过表达显著减弱了由RNA病毒或合成类似物引发的NF-κB和IFNβ报告基因激活，抑制下游基因表达，损害IFN-I的产生，并减少IκBα、TBK1和IRF3的磷酸化，从而促进病毒复制。相反，在HeLa和iBMDM细胞中敲除OTULIN增强了这些抗病毒信号事件并限制了病毒复制。关键是，重新引入OTUL</w:t>
      </w:r>
    </w:p>
    <w:p>
      <w:pPr>
        <w:spacing w:before="0" w:after="200" w:lineRule="auto" w:line="276"/>
      </w:pPr>
      <w:r>
        <w:rPr>
          <w:b/>
        </w:rPr>
        <w:t xml:space="preserve">Abstract (EN): </w:t>
      </w:r>
      <w:r>
        <w:t>Linear ubiquitination and deubiquitination represent critical regulatory mechanisms in inflammation and cell death, yet their roles in RIG-I-like receptor (RLR)-dependent signaling remain unclear. Here, we identified OTU deubiquitinase with linear linkage specificity (OTULIN) as a negative regulator of RIG-I-dependent type I IFN (IFN-I) signaling. Overexpression of OTULIN markedly attenuated NF-κB and IFNβ reporter activation triggered by RNA viruses or synthetic analogs, suppressed downstream gene expression, impaired IFN-I production, and diminished phosphorylation of IκBα, TBK1, and IRF3, thereby facilitating viral replication. Conversely, knockout of OTULIN in HeLa and iBMDM cells enhanced these antiviral signaling events and restricted viral replication. Critically, reintroducing OTULIN into OTULIN-KO cells via lentiviral transduction reversed this enhanced phenotype, restoring the suppression of IFN-I signaling. Mechanistically, RNA virus infection induced linear ubiquitination of TRAF6 at K104, K142, and K371. LUBAC promoted antiviral innate immune signaling by enhancing the linear ubiquitination of TRAF6, which was antagonized by OTULIN. Notably, the linear ubiquitination of TRAF6 facilitated its K63-linked ubiquitination and strengthened its association with MAVS, amplifying the antiviral response. Furthermore, Otulin+/- mice exhibited enhanced antiviral immunity and more efficient viral clearance than wild-type littermates. Collectively, these findings unveil a regulatory role of OTULIN in attenuating RIG-I-dependent IFN-I signaling through removal of linear ubiquitination from TRAF6, highlighting the essential equilibrium between linear ubiquitination and deubiquitination in antiviral innate immunity and immune homeostasis.</w:t>
      </w:r>
    </w:p>
    <w:p>
      <w:pPr>
        <w:spacing w:before="120" w:after="120"/>
      </w:pPr>
      <w:r>
        <w:rPr>
          <w:sz w:val="18"/>
        </w:rPr>
        <w:t>——————————————————————————————————————————————————————————————————————</w:t>
      </w:r>
    </w:p>
    <w:p>
      <w:pPr>
        <w:spacing w:before="160" w:after="40" w:line="240" w:lineRule="auto"/>
      </w:pPr>
      <w:r>
        <w:rPr>
          <w:b/>
        </w:rPr>
        <w:t xml:space="preserve">[109] </w:t>
      </w:r>
      <w:hyperlink r:id="rId389">
        <w:r>
          <w:rPr>
            <w:color w:val="1155CC"/>
            <w:u w:val="single"/>
          </w:rPr>
          <w:t>阿片类药物特异性脑连接动态区分镇痛作用与次要效应：在雄性小鼠中的研究</w:t>
        </w:r>
      </w:hyperlink>
    </w:p>
    <w:p>
      <w:pPr>
        <w:spacing w:before="0" w:after="80"/>
      </w:pPr>
      <w:r>
        <w:rPr>
          <w:i/>
          <w:sz w:val="20"/>
        </w:rPr>
        <w:t>EN: Opioid-specific brain connectivity dynamics distinguish analgesia from secondary effects: Studies in male mice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90">
        <w:r>
          <w:rPr>
            <w:color w:val="1155CC"/>
            <w:u w:val="single"/>
          </w:rPr>
          <w:t>10.1073/pnas.2505464123</w:t>
        </w:r>
      </w:hyperlink>
    </w:p>
    <w:p>
      <w:pPr>
        <w:spacing w:before="0" w:after="120"/>
      </w:pPr>
      <w:r>
        <w:rPr>
          <w:b/>
        </w:rPr>
        <w:t xml:space="preserve">Notes: </w:t>
      </w:r>
      <w:r>
        <w:t>abstract_source=pubmed</w:t>
      </w:r>
    </w:p>
    <w:p>
      <w:pPr>
        <w:spacing w:before="0" w:after="80" w:lineRule="auto" w:line="276"/>
      </w:pPr>
      <w:r>
        <w:rPr>
          <w:b/>
        </w:rPr>
        <w:t xml:space="preserve">摘要（ZH）: </w:t>
      </w:r>
      <w:r>
        <w:t>μ-阿片受体（MOP）是一个关键的药物靶点，介导阿片类药物的治疗益处和不良反应。然而，关键阿片类药物效应（如镇痛和呼吸抑制）背后的大规模神经回路动态仍然知之甚少，阻碍了更安全镇痛药的开发。在此，我们提出了一个多模式实验框架，将功能性超声成像通过完整的颅骨与行为和分子分析相结合，以研究阿片类药物诱导的大规模功能反应及其在清醒、行为正常的雄性小鼠中的生理相关性。主要阿片类药物-吗啡、芬太尼、美沙酮和丁丙诺啡的给药引发了强烈的、剂量和时间依赖的功能性脑连接重组</w:t>
      </w:r>
    </w:p>
    <w:p>
      <w:pPr>
        <w:spacing w:before="0" w:after="200" w:lineRule="auto" w:line="276"/>
      </w:pPr>
      <w:r>
        <w:rPr>
          <w:b/>
        </w:rPr>
        <w:t xml:space="preserve">Abstract (EN): </w:t>
      </w:r>
      <w:r>
        <w:t>The µ-opioid receptor (MOP) is a critical pharmaceutical target that mediates both the therapeutic benefits and adverse effects of opioid drugs. However, the large-scale neural circuit dynamics underlying key opioid effects, such as analgesia and respiratory depression, remain poorly understood, hindering the development of safer analgesics. Here, we present a multimodal experimental framework that integrates functional ultrasound imaging through the intact skull with behavioral and molecular analyses to investigate opioid-induced large-scale functional responses and their physiological relevance in awake, behaving male mice. Administration of major opioids-morphine, fentanyl, methadone, and buprenorphine-elicited robust, dose- and time-dependent reorganization of functional brain connectivity (FC) patterns, with magnitude scaling according to MOP agonist efficacy. This opioid-specific functional fingerprint is marked by decreased FC between the somatosensory cortex and hippocampal/thalamic regions and increased bilateral FC within the somatosensory cortex. Notably, this fingerprint was attenuated following tolerance induction and abolished by pharmacological or genetic MOP inactivation. Through power Doppler spectral analysis and lagged correlation measurements, we show that morphine perturbs temporal FC dynamics and the propagation of brain-wide oscillatory activity, disrupting critical-state dynamics. Importantly, we identify a dissociation between fast, transient processes-such as cerebral blood volume changes, locomotion, and respiratory depression-and slower processes driving FC reorganization, analgesia, and sustained MOP activation. This study provides mechanistic insights into opioid-induced network reorganization, establishes FC alterations as a reliable biomarker of opioid efficacy, and offers a framework for advancing the development of analgesic compounds with improved therapeutic windows and reduced side effects.</w:t>
      </w:r>
    </w:p>
    <w:p>
      <w:pPr>
        <w:spacing w:before="120" w:after="120"/>
      </w:pPr>
      <w:r>
        <w:rPr>
          <w:sz w:val="18"/>
        </w:rPr>
        <w:t>——————————————————————————————————————————————————————————————————————</w:t>
      </w:r>
    </w:p>
    <w:p>
      <w:pPr>
        <w:spacing w:before="160" w:after="40" w:line="240" w:lineRule="auto"/>
      </w:pPr>
      <w:r>
        <w:rPr>
          <w:b/>
        </w:rPr>
        <w:t xml:space="preserve">[110] </w:t>
      </w:r>
      <w:hyperlink r:id="rId391">
        <w:r>
          <w:rPr>
            <w:color w:val="1155CC"/>
            <w:u w:val="single"/>
          </w:rPr>
          <w:t>随机恢复力使得在贫营养海洋环境中进行粒子觅食成为可能</w:t>
        </w:r>
      </w:hyperlink>
    </w:p>
    <w:p>
      <w:pPr>
        <w:spacing w:before="0" w:after="80"/>
      </w:pPr>
      <w:r>
        <w:rPr>
          <w:i/>
          <w:sz w:val="20"/>
        </w:rPr>
        <w:t>EN: Stochastic resilience enables particle foraging in oligotrophic marine environments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92">
        <w:r>
          <w:rPr>
            <w:color w:val="1155CC"/>
            <w:u w:val="single"/>
          </w:rPr>
          <w:t>10.1073/pnas.2508238123</w:t>
        </w:r>
      </w:hyperlink>
    </w:p>
    <w:p>
      <w:pPr>
        <w:spacing w:before="0" w:after="120"/>
      </w:pPr>
      <w:r>
        <w:rPr>
          <w:b/>
        </w:rPr>
        <w:t xml:space="preserve">Notes: </w:t>
      </w:r>
      <w:r>
        <w:t>abstract_source=pubmed</w:t>
      </w:r>
    </w:p>
    <w:p>
      <w:pPr>
        <w:spacing w:before="0" w:after="80" w:lineRule="auto" w:line="276"/>
      </w:pPr>
      <w:r>
        <w:rPr>
          <w:b/>
        </w:rPr>
        <w:t xml:space="preserve">摘要（ZH）: </w:t>
      </w:r>
      <w:r>
        <w:t>异养细菌在通过降解下沉的海洋颗粒来减缓碳向深海的封存中起着核心作用。某些富营养适应（如表面附着和运动性）在颗粒降解中的作用在沿海地区之外仍不清楚，因为颗粒的稀疏性似乎排除了基于颗粒跳跃的觅食生活方式。我们在此展示，许多寡营养海洋环境比基于平均估计推断的更适合富营养颗粒觅食，因为觅食过程采样了广泛的颗粒-细菌相互作用分布，具有较大的相遇时间、颗粒大小和相关生存结果的变化，并由于不成比例的益</w:t>
      </w:r>
    </w:p>
    <w:p>
      <w:pPr>
        <w:spacing w:before="0" w:after="200" w:lineRule="auto" w:line="276"/>
      </w:pPr>
      <w:r>
        <w:rPr>
          <w:b/>
        </w:rPr>
        <w:t xml:space="preserve">Abstract (EN): </w:t>
      </w:r>
      <w:r>
        <w:t>Heterotrophic bacteria play a central role in attenuating the sequestration of carbon to the deep ocean by degrading sinking marine particles. The role of certain copiotrophic adaptations such as surface attachment and motility in particle degradation has remained unclear outside of coastal regions, where the sparsity of particles would appear to preclude a foraging lifestyle based on particle hopping. We show here instead that many oligotrophic marine environments are much more amenable to copiotrophic particle foraging than would be inferred from average-based estimates, because the foraging process samples a broad distribution of particle-bacteria interactions, with large variation in encounter times, particle sizes, and associated survival outcomes, and due to the disproportionate benefit of a particle encounter. We develop a generalized branching process model for particle foraging to assess environment viability and population growth rates based on encounters with particles, for different oceanographic particle size spectra. The results indicate that even bathypelagic environments can support particle foraging bacteria without requiring long-term starvation tolerance or multiyear feast-famine cycles, because stochastic encounters generate sufficient short-interval, high-reward events to sustain population growth despite long mean encounter times. More generally, stochasticity can confer resilience to microbial populations in resource-scarce marine environments.</w:t>
      </w:r>
    </w:p>
    <w:p>
      <w:pPr>
        <w:spacing w:before="120" w:after="120"/>
      </w:pPr>
      <w:r>
        <w:rPr>
          <w:sz w:val="18"/>
        </w:rPr>
        <w:t>——————————————————————————————————————————————————————————————————————</w:t>
      </w:r>
    </w:p>
    <w:p>
      <w:pPr>
        <w:spacing w:before="160" w:after="40" w:line="240" w:lineRule="auto"/>
      </w:pPr>
      <w:r>
        <w:rPr>
          <w:b/>
        </w:rPr>
        <w:t xml:space="preserve">[111] </w:t>
      </w:r>
      <w:hyperlink r:id="rId393">
        <w:r>
          <w:rPr>
            <w:color w:val="1155CC"/>
            <w:u w:val="single"/>
          </w:rPr>
          <w:t>下沉海洋颗粒中微生物增强的方解石溶解</w:t>
        </w:r>
      </w:hyperlink>
    </w:p>
    <w:p>
      <w:pPr>
        <w:spacing w:before="0" w:after="80"/>
      </w:pPr>
      <w:r>
        <w:rPr>
          <w:i/>
          <w:sz w:val="20"/>
        </w:rPr>
        <w:t>EN: Microbially enhanced dissolution of calcite in sinking marine particles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94">
        <w:r>
          <w:rPr>
            <w:color w:val="1155CC"/>
            <w:u w:val="single"/>
          </w:rPr>
          <w:t>10.1073/pnas.2510025123</w:t>
        </w:r>
      </w:hyperlink>
    </w:p>
    <w:p>
      <w:pPr>
        <w:spacing w:before="0" w:after="120"/>
      </w:pPr>
      <w:r>
        <w:rPr>
          <w:b/>
        </w:rPr>
        <w:t xml:space="preserve">Notes: </w:t>
      </w:r>
      <w:r>
        <w:t>abstract_source=pubmed</w:t>
      </w:r>
    </w:p>
    <w:p>
      <w:pPr>
        <w:spacing w:before="0" w:after="80" w:lineRule="auto" w:line="276"/>
      </w:pPr>
      <w:r>
        <w:rPr>
          <w:b/>
        </w:rPr>
        <w:t xml:space="preserve">摘要（ZH）: </w:t>
      </w:r>
      <w:r>
        <w:t>全球海洋中碳酸钙的浅层循环证据正在增加，但在表层海洋中驱动热力学稳定多晶型物（如文石和方解石）溶解的机制仍未得到约束。在此，我们量化了微生物代谢如何在海洋颗粒中创造酸性微环境，从而增强方解石的局部溶解，尽管在大体水中处于过饱和状态。颗粒去氧化和酸化的时间解耦表明，呼吸产生的二氧化碳并不是观察到的不饱和的唯一驱动因素。在细菌生长的颗粒中发生快速溶解，其速率超过相同大体饱和度下的非生物溶解一个数量级以上。我们观察到最高的p</w:t>
      </w:r>
    </w:p>
    <w:p>
      <w:pPr>
        <w:spacing w:before="0" w:after="200" w:lineRule="auto" w:line="276"/>
      </w:pPr>
      <w:r>
        <w:rPr>
          <w:b/>
        </w:rPr>
        <w:t xml:space="preserve">Abstract (EN): </w:t>
      </w:r>
      <w:r>
        <w:t>Evidence for the shallow cycling of calcium carbonate in the global ocean is mounting, but the mechanisms driving the dissolution of thermodynamically stable polymorphs, like aragonite and calcite, in the surface ocean remain unconstrained. Here, we quantify how microbial metabolism creates acidic microenvironments in marine particles that enhance the local dissolution of calcite despite supersaturated conditions in bulk waters. A temporal decoupling of particle deoxygenation and acidification suggests that respiration-derived carbon dioxide is not the sole driver of the observed undersaturation. Rapid dissolution occurs in particles exhibiting bacterial growth, with rates exceeding abiotic dissolution at the same bulk saturation by more than an order of magnitude. We observe the highest particle-associated dissolution rates at intermediate settling velocities, indicating that a trade-off between elevated mass transfer due to settling and bacterial respiration governs the ensuing dissolution rates. Translation of our experiments to the water column suggests that microbially driven undersaturation in marine particles may dissolve sufficient calcite in the mesopelagic ocean to extend particle transit times by eliminating this vital ballast mineral, reducing the efficiency of organic carbon sequestration.</w:t>
      </w:r>
    </w:p>
    <w:p>
      <w:pPr>
        <w:spacing w:before="120" w:after="120"/>
      </w:pPr>
      <w:r>
        <w:rPr>
          <w:sz w:val="18"/>
        </w:rPr>
        <w:t>——————————————————————————————————————————————————————————————————————</w:t>
      </w:r>
    </w:p>
    <w:p>
      <w:pPr>
        <w:spacing w:before="160" w:after="40" w:line="240" w:lineRule="auto"/>
      </w:pPr>
      <w:r>
        <w:rPr>
          <w:b/>
        </w:rPr>
        <w:t xml:space="preserve">[112] </w:t>
      </w:r>
      <w:hyperlink r:id="rId395">
        <w:r>
          <w:rPr>
            <w:color w:val="1155CC"/>
            <w:u w:val="single"/>
          </w:rPr>
          <w:t>阿拉斯加冰缘湖的快速增长由冰川通过床部加深的退缩驱动</w:t>
        </w:r>
      </w:hyperlink>
    </w:p>
    <w:p>
      <w:pPr>
        <w:spacing w:before="0" w:after="80"/>
      </w:pPr>
      <w:r>
        <w:rPr>
          <w:i/>
          <w:sz w:val="20"/>
        </w:rPr>
        <w:t>EN: Rapid ice-marginal lake growth in Alaska driven by glacier retreat through bed overdeepenings</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96">
        <w:r>
          <w:rPr>
            <w:color w:val="1155CC"/>
            <w:u w:val="single"/>
          </w:rPr>
          <w:t>10.1073/pnas.2513289123</w:t>
        </w:r>
      </w:hyperlink>
    </w:p>
    <w:p>
      <w:pPr>
        <w:spacing w:before="0" w:after="120"/>
      </w:pPr>
      <w:r>
        <w:rPr>
          <w:b/>
        </w:rPr>
        <w:t xml:space="preserve">Notes: </w:t>
      </w:r>
      <w:r>
        <w:t>abstract_source=pubmed</w:t>
      </w:r>
    </w:p>
    <w:p>
      <w:pPr>
        <w:spacing w:before="0" w:after="80" w:lineRule="auto" w:line="276"/>
      </w:pPr>
      <w:r>
        <w:rPr>
          <w:b/>
        </w:rPr>
        <w:t xml:space="preserve">摘要（ZH）: </w:t>
      </w:r>
      <w:r>
        <w:t>近年来，冰缘湖的数量和累积面积在全球范围内扩大，许多湖泊位于冰川床的过深处，这些是通过优先冰川侵蚀形成的亚冰川盆地。然而，目前湖泊扩张率、扩张的关键驱动因素和未来湖泊的最大范围量化不足。这一点值得注意，因为冰川湖泊构成了危险，改变了水文和生态系统，并且在某些情况下，加速了冰川流动和退缩。在此，我们量化了最近的冰缘湖增长，并使用现有的冰厚和地形数据绘制了阿拉斯加的冰川床过深处，作为预测最近和未来湖泊增长位置的指标。该地区的冰缘湖在2018年至2024年间增长了+156平方公里（26平方公里/年），代表</w:t>
      </w:r>
    </w:p>
    <w:p>
      <w:pPr>
        <w:spacing w:before="0" w:after="200" w:lineRule="auto" w:line="276"/>
      </w:pPr>
      <w:r>
        <w:rPr>
          <w:b/>
        </w:rPr>
        <w:t xml:space="preserve">Abstract (EN): </w:t>
      </w:r>
      <w:r>
        <w:t>The number and cumulative area of ice-marginal lakes have expanded globally in recent decades, with many lakes residing in glacier-bed overdeepenings, which are subglacial basins formed through preferential glacial erosion. However, current lake expansion rates, key drivers of expansion, and maximum future lake extents are poorly quantified. This is notable because glacial lakes pose hazards, alter hydrologic and ecological systems, and, in some cases, accelerate glacier flow and retreat. Here, we quantify recent ice-marginal lake growth and use existing ice thickness and topographic data to map glacier-bed overdeepenings in Alaska as a predictor of recent and future locations of lake growth. Ice-marginal lakes in the region grew by +156 km2 (26 km2 y-1) between 2018 and 2024, representing a 50% increase relative to the 2009-2018 rate. Eighty percent of lake growth since 2018 occurred in mapped glacier-bed overdeepenings. Approximately 4,250 km2 (2,966 to 5,503 km2 accounting for ± ice thickness uncertainty) of the overdeepened area is connected to an ice-marginal lake, indicating the potential for more than fourfold lake growth of existing lakes as glaciers retreat. An additional 14,500 km2 (12,469 to 17,134 km2) of remaining glacier area resides on glacier-bed overdeepenings not connected to existing lakes, highlighting the potential for substantial new lake development. Velocities from lake-terminating glaciers show clear passive and dynamic endmembers on a continuum of glacier-lake coupling. Glaciers with ice-marginal lakes thinned 23 to 54% more than glaciers of similar area without lakes, underscoring the critical importance of dynamic glacier-lake coupling on the evolution of glaciers in Alaska.</w:t>
      </w:r>
    </w:p>
    <w:p>
      <w:pPr>
        <w:spacing w:before="120" w:after="120"/>
      </w:pPr>
      <w:r>
        <w:rPr>
          <w:sz w:val="18"/>
        </w:rPr>
        <w:t>——————————————————————————————————————————————————————————————————————</w:t>
      </w:r>
    </w:p>
    <w:p>
      <w:pPr>
        <w:spacing w:before="160" w:after="40" w:line="240" w:lineRule="auto"/>
      </w:pPr>
      <w:r>
        <w:rPr>
          <w:b/>
        </w:rPr>
        <w:t xml:space="preserve">[113] </w:t>
      </w:r>
      <w:hyperlink r:id="rId397">
        <w:r>
          <w:rPr>
            <w:color w:val="1155CC"/>
            <w:u w:val="single"/>
          </w:rPr>
          <w:t>巨噬细胞与癌细胞之间的粘附力促进早期肿瘤发展</w:t>
        </w:r>
      </w:hyperlink>
    </w:p>
    <w:p>
      <w:pPr>
        <w:spacing w:before="0" w:after="80"/>
      </w:pPr>
      <w:r>
        <w:rPr>
          <w:i/>
          <w:sz w:val="20"/>
        </w:rPr>
        <w:t>EN: Adhesion forces between macrophages and cancer cells promote early tumor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398">
        <w:r>
          <w:rPr>
            <w:color w:val="1155CC"/>
            <w:u w:val="single"/>
          </w:rPr>
          <w:t>10.1073/pnas.2514484123</w:t>
        </w:r>
      </w:hyperlink>
    </w:p>
    <w:p>
      <w:pPr>
        <w:spacing w:before="0" w:after="120"/>
      </w:pPr>
      <w:r>
        <w:rPr>
          <w:b/>
        </w:rPr>
        <w:t xml:space="preserve">Notes: </w:t>
      </w:r>
      <w:r>
        <w:t>abstract_source=pubmed</w:t>
      </w:r>
    </w:p>
    <w:p>
      <w:pPr>
        <w:spacing w:before="0" w:after="80" w:lineRule="auto" w:line="276"/>
      </w:pPr>
      <w:r>
        <w:rPr>
          <w:b/>
        </w:rPr>
        <w:t xml:space="preserve">摘要（ZH）: </w:t>
      </w:r>
      <w:r>
        <w:t>巨噬细胞驱动的肿瘤促进的生化机制已被充分记录，但物理力对早期肿瘤发展的贡献仍然知之甚少。在此，我们结合实验分析和物理建模来研究这些力在KrasG12D p53-/- (KP) 肺肿瘤球体在3D中生长的情况。实时显微镜显示，组织驻留的巨噬细胞而非单核细胞促进了早期肿瘤生长。通过定量测量，我们建立了一个物理模型，重现了癌细胞增殖动态和巨噬细胞-肿瘤相互作用。单独生长的KP肿瘤细胞形成了一个由于营养限制而随时间收缩的单一聚集体，而巨噬细胞诱导了多个聚集体的形成，这些聚集体生长、融合并扩大了营养获取，</w:t>
      </w:r>
    </w:p>
    <w:p>
      <w:pPr>
        <w:spacing w:before="0" w:after="200" w:lineRule="auto" w:line="276"/>
      </w:pPr>
      <w:r>
        <w:rPr>
          <w:b/>
        </w:rPr>
        <w:t xml:space="preserve">Abstract (EN): </w:t>
      </w:r>
      <w:r>
        <w:t>Biochemical mechanisms of macrophage-driven tumor promotion are well documented, but the contribution of physical forces to early tumor development remains poorly understood. Here, we combine experimental analyses with physical modeling to investigate these forces in KrasG12D p53-/- (KP) lung tumor spheroids grown in 3D. Real-time microscopy showed that tissue-resident macrophages, but not monocytes, promote early tumor growth. Using quantitative measurements, we built a physical model that recapitulates cancer cell proliferation dynamics and macrophage-tumor interactions. KP tumor cells grown alone formed a single aggregate that contracted over time due to nutrient limitation, whereas macrophages induced the formation of multiple aggregates that grew, fused, and expanded nutrient access, thereby increasing proliferation. Similar macrophage-driven growth was observed when alveolar or bone-marrow-derived macrophages were cocultured with KP or pancreatic carcinoma cells. The model predicted a redistribution of macrophages toward the periphery of aggregates, a pattern confirmed in vitro and previously observed in vivo. It also identified adhesion forces between tumor cells and macrophages as a key driver of spheroid nucleation and growth. Among candidate integrins, CD11c was highly expressed by alveolar macrophages; CD11c blockade reduced adhesion forces, prevented macrophage-driven spheroid nucleation, and impaired tumor growth. Bone-marrow-derived macrophages required simultaneous CD11b and CD11c blockade for similar effects. Finally, CD11c inhibition in RAG-Knock Out (KO) mice reduced tumor survival probability and slowed the growth of ear-implanted tumors, indicating that CD11c-dependent interactions support tumor establishment beyond the lung. Together, these findings uncover a critical physical mechanism through which macrophages promote early tumor progression.</w:t>
      </w:r>
    </w:p>
    <w:p>
      <w:pPr>
        <w:spacing w:before="120" w:after="120"/>
      </w:pPr>
      <w:r>
        <w:rPr>
          <w:sz w:val="18"/>
        </w:rPr>
        <w:t>——————————————————————————————————————————————————————————————————————</w:t>
      </w:r>
    </w:p>
    <w:p>
      <w:pPr>
        <w:spacing w:before="160" w:after="40" w:line="240" w:lineRule="auto"/>
      </w:pPr>
      <w:r>
        <w:rPr>
          <w:b/>
        </w:rPr>
        <w:t xml:space="preserve">[114] </w:t>
      </w:r>
      <w:hyperlink r:id="rId399">
        <w:r>
          <w:rPr>
            <w:color w:val="1155CC"/>
            <w:u w:val="single"/>
          </w:rPr>
          <w:t>香蕉香气是乙酰羟酸合酶和异丙基苹果酸合酶替代同工酶绕过反馈抑制的结果</w:t>
        </w:r>
      </w:hyperlink>
    </w:p>
    <w:p>
      <w:pPr>
        <w:spacing w:before="0" w:after="80"/>
      </w:pPr>
      <w:r>
        <w:rPr>
          <w:i/>
          <w:sz w:val="20"/>
        </w:rPr>
        <w:t>EN: Banana aroma is a result of acetohydroxyacid synthase and isopropylmalate synthase alternative isoforms that bypass feedback inhibition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400">
        <w:r>
          <w:rPr>
            <w:color w:val="1155CC"/>
            <w:u w:val="single"/>
          </w:rPr>
          <w:t>10.1073/pnas.2515301123</w:t>
        </w:r>
      </w:hyperlink>
    </w:p>
    <w:p>
      <w:pPr>
        <w:spacing w:before="0" w:after="120"/>
      </w:pPr>
      <w:r>
        <w:rPr>
          <w:b/>
        </w:rPr>
        <w:t xml:space="preserve">Notes: </w:t>
      </w:r>
      <w:r>
        <w:t>abstract_source=pubmed</w:t>
      </w:r>
    </w:p>
    <w:p>
      <w:pPr>
        <w:spacing w:before="0" w:after="80" w:lineRule="auto" w:line="276"/>
      </w:pPr>
      <w:r>
        <w:rPr>
          <w:b/>
        </w:rPr>
        <w:t xml:space="preserve">摘要（ZH）: </w:t>
      </w:r>
      <w:r>
        <w:t>香蕉果实（Musa spp.）的独特香气源于一个途径的上调，这个途径被认为是反馈受限的。香蕉中的主要特征影响化合物是具有3-甲基丁基基团的支链酯。最近的研究表明，这些酯以及显著的“果香”2-甲基丙基和丁基酯来源于成熟依赖的支链氨基酸缬氨酸和亮氨酸及其相应的α-酮酸前体的从头合成。该生物合成途径具有两个连续的、速率限制的和反馈抑制的酶：乙酰羟酸合酶和异丙基苹果酸合酶。我们发现这些酶在成熟的香蕉果肉中被选择性剪接。未成熟的果实和非果实组织只有</w:t>
      </w:r>
    </w:p>
    <w:p>
      <w:pPr>
        <w:spacing w:before="0" w:after="200" w:lineRule="auto" w:line="276"/>
      </w:pPr>
      <w:r>
        <w:rPr>
          <w:b/>
        </w:rPr>
        <w:t xml:space="preserve">Abstract (EN): </w:t>
      </w:r>
      <w:r>
        <w:t>The distinctive aroma of banana fruit (Musa spp.) results from the upregulation of a pathway that is, paradoxically, understood to be feedback limited. The primary character impact compounds in banana are branched-chain esters with 3-methylbutyl moieties. Recent work has established that these esters, as well as prominent "fruity" 2-methylpropyl and butyl esters, are derived from the ripening-dependent de novo synthesis of the branched-chain amino acids valine and leucine, and their respective α-ketoacid precursors. The biosynthetic pathway possesses two sequential, rate-limiting, and feedback-inhibited enzymes: acetohydroxyacid synthase and isopropylmalate synthase. We found these enzymes to be alternatively spliced in ripening banana fruit pulp. Unripe fruit and nonfruit tissues had only trace levels of alternative splicing. Revealingly, the domains corresponding to the allosteric inhibitory binding of valine and/or leucine were truncated in the altered isoforms. During ripening, the expression and frequency of the shorter splice forms increased concomitantly with production of branched-chain esters and accumulation of their α-ketoacid precursors. Purified proteins of the modified isoforms were active but relieved of feedback inhibition. Transient expression of the shortened isoforms in Nicotiana benthamiana led to a greater accumulation of iso-branched-chain metabolites than the full-length isoforms. Results indicate that a developmentally dependent and simultaneous dysregulation in two sequential steps of the branched-chain amino acid synthetic pathway enables the biosynthesis of banana fruit's unique character-impact esters.</w:t>
      </w:r>
    </w:p>
    <w:p>
      <w:pPr>
        <w:spacing w:before="120" w:after="120"/>
      </w:pPr>
      <w:r>
        <w:rPr>
          <w:sz w:val="18"/>
        </w:rPr>
        <w:t>——————————————————————————————————————————————————————————————————————</w:t>
      </w:r>
    </w:p>
    <w:p>
      <w:pPr>
        <w:spacing w:before="160" w:after="40" w:line="240" w:lineRule="auto"/>
      </w:pPr>
      <w:r>
        <w:rPr>
          <w:b/>
        </w:rPr>
        <w:t xml:space="preserve">[115] </w:t>
      </w:r>
      <w:hyperlink r:id="rId401">
        <w:r>
          <w:rPr>
            <w:color w:val="1155CC"/>
            <w:u w:val="single"/>
          </w:rPr>
          <w:t>阐明工程植物器官大小的设计原则</w:t>
        </w:r>
      </w:hyperlink>
    </w:p>
    <w:p>
      <w:pPr>
        <w:spacing w:before="0" w:after="80"/>
      </w:pPr>
      <w:r>
        <w:rPr>
          <w:i/>
          <w:sz w:val="20"/>
        </w:rPr>
        <w:t>EN: Elucidating the design principles for engineering plant organ size</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402">
        <w:r>
          <w:rPr>
            <w:color w:val="1155CC"/>
            <w:u w:val="single"/>
          </w:rPr>
          <w:t>10.1073/pnas.2516183123</w:t>
        </w:r>
      </w:hyperlink>
    </w:p>
    <w:p>
      <w:pPr>
        <w:spacing w:before="0" w:after="120"/>
      </w:pPr>
      <w:r>
        <w:rPr>
          <w:b/>
        </w:rPr>
        <w:t xml:space="preserve">Notes: </w:t>
      </w:r>
      <w:r>
        <w:t>abstract_source=pubmed</w:t>
      </w:r>
    </w:p>
    <w:p>
      <w:pPr>
        <w:spacing w:before="0" w:after="80" w:lineRule="auto" w:line="276"/>
      </w:pPr>
      <w:r>
        <w:rPr>
          <w:b/>
        </w:rPr>
        <w:t xml:space="preserve">摘要（ZH）: </w:t>
      </w:r>
      <w:r>
        <w:t>对作物形态的改进，例如帮助推动绿色革命的半矮化，通常是由基因表达的变化驱动的。这些变化在物种间的翻译具有挑战性，从而减缓了作物改良的速度。合成转录因子（SynTFs）提供了一种快速的替代方法来生成基因表达的目标性改变。然而，发育途径的复杂性使得如何最佳应用它们以可预测地工程化形态尚不清楚。在这项工作中，我们探讨了数学建模是否可以指导基于SynTF的基因表达调控，以帮助阐明工程化器官大小的设计原则。我们针对植物激素赤霉素（GA）信号通路中的基因，该通路是细胞扩张的中心调节器。我们证明了</w:t>
      </w:r>
    </w:p>
    <w:p>
      <w:pPr>
        <w:spacing w:before="0" w:after="200" w:lineRule="auto" w:line="276"/>
      </w:pPr>
      <w:r>
        <w:rPr>
          <w:b/>
        </w:rPr>
        <w:t xml:space="preserve">Abstract (EN): </w:t>
      </w:r>
      <w:r>
        <w:t>Enhancements to crop morphology, such as the semidwarfing that helped drive the green revolution, are often driven by changes in gene expression. These are challenging to translate across species, which slows the rate of crop improvement. Synthetic transcription factors (SynTFs) offer a rapid alternative to generate targeted alterations to gene expression. However, the complexity of developmental pathways makes it unclear how to best apply them to predictably engineer morphology. In this work, we explore whether mathematical modeling can guide SynTF-based gene expression modulation to help elucidate the design principles of engineering organ size. We targeted genes in the phytohormone, gibberellin (GA), signaling pathway, which is a central regulator of cell expansion. We demonstrate that modulation of GA signaling gene expression can generate consistent dwarfing across tissues and environments in Arabidopsis thaliana, and that the degree of dwarfing is dependent on the strength of regulation, as predicted by modeling. We further validate the model's predictive power by demonstrating its capacity to predict the qualitative impacts of different regulatory architectures for engineering organ size. Additionally, we develop expression parameterized models to quantitatively predict organ size and elucidate how temperature will affect growth. Finally, we show that these insights can be generalized for engineering organ size in tomato (Solanum lycopersicum). This work creates a framework for predictable engineering of an agriculturally important trait across tissues and plant species. It also serves as a proof-of-concept for how mathematical models can guide SynTF-based alterations in gene expression to enable bottom-up design of plant phenotypes.</w:t>
      </w:r>
    </w:p>
    <w:p>
      <w:pPr>
        <w:spacing w:before="120" w:after="120"/>
      </w:pPr>
      <w:r>
        <w:rPr>
          <w:sz w:val="18"/>
        </w:rPr>
        <w:t>——————————————————————————————————————————————————————————————————————</w:t>
      </w:r>
    </w:p>
    <w:p>
      <w:pPr>
        <w:spacing w:before="160" w:after="40" w:line="240" w:lineRule="auto"/>
      </w:pPr>
      <w:r>
        <w:rPr>
          <w:b/>
        </w:rPr>
        <w:t xml:space="preserve">[116] </w:t>
      </w:r>
      <w:hyperlink r:id="rId403">
        <w:r>
          <w:rPr>
            <w:color w:val="1155CC"/>
            <w:u w:val="single"/>
          </w:rPr>
          <w:t>离子碳氮化物上原子分散的钴用于选择性和高效的硝酸盐电还原为氨</w:t>
        </w:r>
      </w:hyperlink>
    </w:p>
    <w:p>
      <w:pPr>
        <w:spacing w:before="0" w:after="80"/>
      </w:pPr>
      <w:r>
        <w:rPr>
          <w:i/>
          <w:sz w:val="20"/>
        </w:rPr>
        <w:t>EN: Atomically Dispersed Cobalt on Ionic Carbon Nitrides for Selective and Efficient Nitrate Electroreduction to Ammonia</w:t>
      </w:r>
    </w:p>
    <w:p>
      <w:pPr>
        <w:spacing w:before="0" w:after="120"/>
      </w:pPr>
      <w:r>
        <w:rPr>
          <w:b/>
        </w:rPr>
        <w:t xml:space="preserve">Source: </w:t>
      </w:r>
      <w:r>
        <w:t>Wiley: Angewandte Chemie International Edition: Table of Contents</w:t>
      </w:r>
      <w:r>
        <w:t xml:space="preserve">    </w:t>
      </w:r>
      <w:r>
        <w:rPr>
          <w:b/>
        </w:rPr>
        <w:t xml:space="preserve">Pub date: </w:t>
      </w:r>
      <w:r>
        <w:t>2026-03-09 07:00:00+00:00</w:t>
      </w:r>
      <w:r>
        <w:t xml:space="preserve">    </w:t>
      </w:r>
      <w:r>
        <w:rPr>
          <w:b/>
        </w:rPr>
        <w:t xml:space="preserve">DOI: </w:t>
      </w:r>
      <w:hyperlink r:id="rId404">
        <w:r>
          <w:rPr>
            <w:color w:val="1155CC"/>
            <w:u w:val="single"/>
          </w:rPr>
          <w:t>10.1002/anie.2543286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硝酸盐直接电化学转化为氨（NH</w:t>
      </w:r>
      <w:r>
        <w:rPr>
          <w:vertAlign w:val="subscript"/>
        </w:rPr>
        <w:t>3</w:t>
      </w:r>
      <w:r>
        <w:t>）代表了一种可持续的NH</w:t>
      </w:r>
      <w:r>
        <w:rPr>
          <w:vertAlign w:val="subscript"/>
        </w:rPr>
        <w:t>3</w:t>
      </w:r>
      <w:r>
        <w:t>生产途径，同时减轻了硝酸盐污染。碳氮化物（CNs）由于其高氮含量和丰富的配位位点，已成为过渡金属单原子催化剂的有前途的载体。然而，传统的CNs通常存在电导率差和难以稳定高密度原子分散金属中心的问题，这限制了硝酸盐还原反应中的催化效率和选择性。在此，我们通过构建钴聚（肼酰亚胺）克服了这些限制</w:t>
      </w:r>
    </w:p>
    <w:p>
      <w:pPr>
        <w:spacing w:before="0" w:after="200" w:lineRule="auto" w:line="276"/>
      </w:pPr>
      <w:r>
        <w:rPr>
          <w:b/>
        </w:rPr>
        <w:t xml:space="preserve">Abstract (EN): </w:t>
      </w:r>
      <w:r>
        <w:t>Direct electrochemical conversion of nitrate to ammonia (NH</w:t>
      </w:r>
      <w:r>
        <w:rPr>
          <w:vertAlign w:val="subscript"/>
        </w:rPr>
        <w:t>3</w:t>
      </w:r>
      <w:r>
        <w:t>) represents a sustainable route for NH</w:t>
      </w:r>
      <w:r>
        <w:rPr>
          <w:vertAlign w:val="subscript"/>
        </w:rPr>
        <w:t>3</w:t>
      </w:r>
      <w:r>
        <w:t>production while simultaneously mitigating nitrate pollution. Carbon nitrides (CNs) have emerged as promising supports for transition‐metal single‐atom catalysts due to their high nitrogen content and abundant coordination sites. However, conventional CNs generally suffer from poor electrical conductivity and difficulty in stabilizing high densities of atomically dispersed metal centers, which limits catalytic efficiency and selectivity in the nitrate reduction reaction. Herein, we overcome these limitations by constructing cobalt poly(heptazine imides) (</w:t>
      </w:r>
      <w:r>
        <w:t xml:space="preserve"> </w:t>
      </w:r>
      <w:r>
        <w:t>Co</w:t>
      </w:r>
      <w:r>
        <w:t xml:space="preserve"> </w:t>
      </w:r>
      <w:r>
        <w:t>PHI), an ionic carbon nitride in which Co</w:t>
      </w:r>
      <w:r>
        <w:t xml:space="preserve"> </w:t>
      </w:r>
      <w:r>
        <w:t>2+</w:t>
      </w:r>
      <w:r>
        <w:t xml:space="preserve"> </w:t>
      </w:r>
      <w:r>
        <w:t>species are coordinated to negatively charged imide‐bridging nitrogen atoms. This coordination environment enables a high density of isolated Co active sites (1.092 wt.%) while enhancing charge transport through the PHI framework. As a result,</w:t>
      </w:r>
      <w:r>
        <w:t xml:space="preserve"> </w:t>
      </w:r>
      <w:r>
        <w:t>Co</w:t>
      </w:r>
      <w:r>
        <w:t xml:space="preserve"> </w:t>
      </w:r>
      <w:r>
        <w:t>PHI achieves a Faradaic efficiency of 93.5% and an NH</w:t>
      </w:r>
      <w:r>
        <w:rPr>
          <w:vertAlign w:val="subscript"/>
        </w:rPr>
        <w:t>3</w:t>
      </w:r>
      <w:r>
        <w:t>yield rate of 46.1 mg·h</w:t>
      </w:r>
      <w:r>
        <w:t xml:space="preserve"> </w:t>
      </w:r>
      <w:r>
        <w:t>−1</w:t>
      </w:r>
      <w:r>
        <w:t xml:space="preserve"> </w:t>
      </w:r>
      <w:r>
        <w:t>·mg</w:t>
      </w:r>
      <w:r>
        <w:t xml:space="preserve"> </w:t>
      </w:r>
      <w:r>
        <w:t>cat.</w:t>
      </w:r>
      <w:r>
        <w:t xml:space="preserve"> </w:t>
      </w:r>
      <w:r>
        <w:t>−1</w:t>
      </w:r>
      <w:r>
        <w:t xml:space="preserve"> </w:t>
      </w:r>
      <w:r>
        <w:t>at −0.8 V versus RHE, outperforming conventional Co─N─C and</w:t>
      </w:r>
      <w:r>
        <w:t xml:space="preserve"> </w:t>
      </w:r>
      <w:r>
        <w:t>Co</w:t>
      </w:r>
      <w:r>
        <w:t xml:space="preserve"> </w:t>
      </w:r>
      <w:r>
        <w:t>─C</w:t>
      </w:r>
      <w:r>
        <w:rPr>
          <w:vertAlign w:val="subscript"/>
        </w:rPr>
        <w:t>3</w:t>
      </w:r>
      <w:r>
        <w:t>N</w:t>
      </w:r>
      <w:r>
        <w:rPr>
          <w:vertAlign w:val="subscript"/>
        </w:rPr>
        <w:t>4</w:t>
      </w:r>
      <w:r>
        <w:t>systems. Combined experimental and theoretical studies show that</w:t>
      </w:r>
      <w:r>
        <w:t xml:space="preserve"> </w:t>
      </w:r>
      <w:r>
        <w:t>Co</w:t>
      </w:r>
      <w:r>
        <w:t xml:space="preserve"> </w:t>
      </w:r>
      <w:r>
        <w:t>PHI promotes strong nitrate adsorption, facilitates water dissociation to supply protons, and stabilizes key intermediates, collectively enabling efficient and selective nitrate‐to‐ammonia conversion.</w:t>
      </w:r>
    </w:p>
    <w:p>
      <w:pPr>
        <w:spacing w:before="120" w:after="120"/>
      </w:pPr>
      <w:r>
        <w:rPr>
          <w:sz w:val="18"/>
        </w:rPr>
        <w:t>——————————————————————————————————————————————————————————————————————</w:t>
      </w:r>
    </w:p>
    <w:p>
      <w:pPr>
        <w:spacing w:before="160" w:after="40" w:line="240" w:lineRule="auto"/>
      </w:pPr>
      <w:r>
        <w:rPr>
          <w:b/>
        </w:rPr>
        <w:t xml:space="preserve">[117] </w:t>
      </w:r>
      <w:hyperlink r:id="rId405">
        <w:r>
          <w:rPr>
            <w:color w:val="1155CC"/>
            <w:u w:val="single"/>
          </w:rPr>
          <w:t>增加的邻苯二甲酸酯暴露和代谢易感性增加乳腺癌风险：在台湾进行的20年随访研究</w:t>
        </w:r>
      </w:hyperlink>
    </w:p>
    <w:p>
      <w:pPr>
        <w:spacing w:before="0" w:after="80"/>
      </w:pPr>
      <w:r>
        <w:rPr>
          <w:i/>
          <w:sz w:val="20"/>
        </w:rPr>
        <w:t>EN: Elevated phthalate exposure and metabolic susceptibility increased breast cancer risk: A 20-y follow-up study in Taiwan</w:t>
      </w:r>
    </w:p>
    <w:p>
      <w:pPr>
        <w:spacing w:before="0" w:after="120"/>
      </w:pPr>
      <w:r>
        <w:rPr>
          <w:b/>
        </w:rPr>
        <w:t xml:space="preserve">Source: </w:t>
      </w:r>
      <w:r>
        <w:t>Proceedings of the National Academy of Sciences: Keyword search for query</w:t>
      </w:r>
      <w:r>
        <w:t xml:space="preserve">    </w:t>
      </w:r>
      <w:r>
        <w:rPr>
          <w:b/>
        </w:rPr>
        <w:t xml:space="preserve">Pub date: </w:t>
      </w:r>
      <w:r>
        <w:t>2026-03-09 07:00:00+00:00</w:t>
      </w:r>
      <w:r>
        <w:t xml:space="preserve">    </w:t>
      </w:r>
      <w:r>
        <w:rPr>
          <w:b/>
        </w:rPr>
        <w:t xml:space="preserve">DOI: </w:t>
      </w:r>
      <w:hyperlink r:id="rId406">
        <w:r>
          <w:rPr>
            <w:color w:val="1155CC"/>
            <w:u w:val="single"/>
          </w:rPr>
          <w:t>10.1073/pnas.2507008123</w:t>
        </w:r>
      </w:hyperlink>
    </w:p>
    <w:p>
      <w:pPr>
        <w:spacing w:before="0" w:after="120"/>
      </w:pPr>
      <w:r>
        <w:rPr>
          <w:b/>
        </w:rPr>
        <w:t xml:space="preserve">Notes: </w:t>
      </w:r>
      <w:r>
        <w:t>abstract_source=pubmed</w:t>
      </w:r>
    </w:p>
    <w:p>
      <w:pPr>
        <w:spacing w:before="0" w:after="80" w:lineRule="auto" w:line="276"/>
      </w:pPr>
      <w:r>
        <w:rPr>
          <w:b/>
        </w:rPr>
        <w:t xml:space="preserve">摘要（ZH）: </w:t>
      </w:r>
      <w:r>
        <w:t>广泛使用的邻苯二甲酸酯，特别是邻苯二甲酸二(2-乙基己基)酯 (DEHP)，在实验动物和人类中增加乳腺癌风险，但其对人类乳腺致癌性的长期随访证据仍不确定。这项嵌套病例对照研究包括来自1991-1992年招募并随访至2010年的台湾11,923名女性的119例侵袭性乳腺癌病例和245名匹配对照。基线和随访访问的尿液样本使用LC-ESI-MS/MS测试了七种邻苯二甲酸酯的11种代谢物。通过单-2-乙基己基邻苯二甲酸酯 (MEHP%) 在五种DEHP代谢物总和 (∑DEHP) 中的百分比评估DEHP代谢易感性。使用条件逻辑回归的95% CI的优势比 (ORs) 检查风险预测因子。DEHP是</w:t>
      </w:r>
    </w:p>
    <w:p>
      <w:pPr>
        <w:spacing w:before="0" w:after="200" w:lineRule="auto" w:line="276"/>
      </w:pPr>
      <w:r>
        <w:rPr>
          <w:b/>
        </w:rPr>
        <w:t xml:space="preserve">Abstract (EN): </w:t>
      </w:r>
      <w:r>
        <w:t>Widely used phthalates, especially di-(2-ethylhexyl) phthalate (DEHP), increase breast cancer risk in experimental animals and humans, but long-term follow-up evidence of its human breast carcinogenicity remains inconclusive. This nested case-control study included 119 invasive breast cancer cases and 245 matched controls from a longitudinal cohort of 11,923 women recruited in 1991-1992 and followed to 2010 in Taiwan. Urine samples at baseline and follow-up visit were tested for 11 metabolites of seven phthalates using LC-ESI-MS/MS. DEHP metabolism susceptibility was evaluated by the percentage of mono-2-ethylhexyl phthalate (MEHP%) in the sum of five DEHP metabolites (∑DEHP). Odds ratios (ORs) with 95% CI from conditional logistic regression were used to examine risk predictors. DEHP was the only phthalate significantly associated with breast cancer risk. Risk increased significantly with elevated urinary levels of ∑DEHP (&gt; 0.381 μmol/g creatinine, OR = 1.71, 95% CI = 1.02 to 2.43), MEHP (&gt; 0.022 μmol/g creatinine, OR = 1.87, 95% CI = 1.07 to 3.25), and MEHP% (&gt; 6.7%, OR = 1.65, 95% CI = 0.96 to 2.82). Elevated ∑DEHP and MEHP% combined with early menarche (≤ 14 years) was associated with further increased risk (OR = 7.52, 95% CI = 2.68 to 21.05). The intraclass correlation coefficient between paired baseline and follow-up samples of 152 women was 0.06 for ∑DEHP and 0.31 for MEHP%. High DEHP exposure, high MEHP%, and early menarche were associated with increased breast cancer risk. MEHP% was a better biomarker for DEHP metabolism.</w:t>
      </w:r>
    </w:p>
    <w:p>
      <w:pPr>
        <w:spacing w:before="120" w:after="120"/>
      </w:pPr>
      <w:r>
        <w:rPr>
          <w:sz w:val="18"/>
        </w:rPr>
        <w:t>——————————————————————————————————————————————————————————————————————</w:t>
      </w:r>
    </w:p>
    <w:p>
      <w:pPr>
        <w:spacing w:before="160" w:after="40" w:line="240" w:lineRule="auto"/>
      </w:pPr>
      <w:r>
        <w:rPr>
          <w:b/>
        </w:rPr>
        <w:t xml:space="preserve">[118] </w:t>
      </w:r>
      <w:hyperlink r:id="rId407">
        <w:r>
          <w:rPr>
            <w:color w:val="1155CC"/>
            <w:u w:val="single"/>
          </w:rPr>
          <w:t>水簇介导的无定形到晶体转变使得稳定的无表面活性剂MOF纳米催化剂的可扩展制造成为可能</w:t>
        </w:r>
      </w:hyperlink>
    </w:p>
    <w:p>
      <w:pPr>
        <w:spacing w:before="0" w:after="80"/>
      </w:pPr>
      <w:r>
        <w:rPr>
          <w:i/>
          <w:sz w:val="20"/>
        </w:rPr>
        <w:t>EN: Water‐Cluster–Mediated Amorphous‐to‐Crystalline Transition Enables Scalable Fabrication of Stable Surfactant‐Free MOF Nanocatalyst</w:t>
      </w:r>
    </w:p>
    <w:p>
      <w:pPr>
        <w:spacing w:before="0" w:after="120"/>
      </w:pPr>
      <w:r>
        <w:rPr>
          <w:b/>
        </w:rPr>
        <w:t xml:space="preserve">Source: </w:t>
      </w:r>
      <w:r>
        <w:t>Wiley: Angewandte Chemie International Edition: Table of Contents</w:t>
      </w:r>
      <w:r>
        <w:t xml:space="preserve">    </w:t>
      </w:r>
      <w:r>
        <w:rPr>
          <w:b/>
        </w:rPr>
        <w:t xml:space="preserve">Pub date: </w:t>
      </w:r>
      <w:r>
        <w:t>2026-03-09 07:19:59+00:00</w:t>
      </w:r>
      <w:r>
        <w:t xml:space="preserve">    </w:t>
      </w:r>
      <w:r>
        <w:rPr>
          <w:b/>
        </w:rPr>
        <w:t xml:space="preserve">DOI: </w:t>
      </w:r>
      <w:hyperlink r:id="rId408">
        <w:r>
          <w:rPr>
            <w:color w:val="1155CC"/>
            <w:u w:val="single"/>
          </w:rPr>
          <w:t>10.1002/anie.5372883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 (MOF) 纳米催化剂在太阳能转化为化学能方面具有前景，但通常在无表面活性剂、高表面活性形式中遭受水解降解。在此，我们报告了一种双功能设计，将无定形纳米结构与水触发的自协调结晶相结合，以生产可扩展、稳定的无表面活性剂MOF纳米催化剂。首先通过超声辅助过程制备无定形吡啶-卟啉前体为六边形纳米片。暴露于水后，环状六聚水簇结合吡啶位点并驱动重组为角共享卟啉六边形3D蜂窝状晶格，产生稳健的六边形纳米棒。受限的水簇稳定了</w:t>
      </w:r>
    </w:p>
    <w:p>
      <w:pPr>
        <w:spacing w:before="0" w:after="200" w:lineRule="auto" w:line="276"/>
      </w:pPr>
      <w:r>
        <w:rPr>
          <w:b/>
        </w:rPr>
        <w:t xml:space="preserve">Abstract (EN): </w:t>
      </w:r>
      <w:r>
        <w:t>Metal–organic framework (MOF) nanocatalysts are promising for solar‐to‐chemical conversion but often suffer hydrolytic degradation, especially in surfactant‐free, highly surface‐active forms. Here, we report a dual‐functional design that integrates amorphous nanostructuring with water‐triggered self‐coordinated crystallization to produce scalable, stable surfactant‐free MOF nanocatalysts. An amorphous pyridyl‐porphyrinic precursor is first prepared as hexagonal nanosheets via an ultrasonic‐assisted process. Upon exposure to water, cyclic hexameric water clusters bind pyridyl sites and drive reorganization into a corner‐sharing porphyrinic‐hexagon 3D honeycomb lattice, yielding robust hexagonal nanorods. Confined water clusters stabilize the lattice for &amp;gt;2 months and generate a pronounced potential gradient that promotes charge separation. The resulting nanocatalysts achieve a hydrogen evolution rate of 223.81 mmol g</w:t>
      </w:r>
      <w:r>
        <w:t xml:space="preserve"> </w:t>
      </w:r>
      <w:r>
        <w:t>−1</w:t>
      </w:r>
      <w:r>
        <w:t xml:space="preserve"> </w:t>
      </w:r>
      <w:r>
        <w:t>h</w:t>
      </w:r>
      <w:r>
        <w:t xml:space="preserve"> </w:t>
      </w:r>
      <w:r>
        <w:t>−1</w:t>
      </w:r>
      <w:r>
        <w:t xml:space="preserve"> </w:t>
      </w:r>
      <w:r>
        <w:t>, representing one of the better values reported for molecular photocatalysts. This work introduces water‐cluster–induced amorphous‐to‐crystalline self‐assembly as a versatile strategy for stabilizing surfactant‐free MOF nanophotocatalysts.</w:t>
      </w:r>
    </w:p>
    <w:p>
      <w:pPr>
        <w:spacing w:before="120" w:after="120"/>
      </w:pPr>
      <w:r>
        <w:rPr>
          <w:sz w:val="18"/>
        </w:rPr>
        <w:t>——————————————————————————————————————————————————————————————————————</w:t>
      </w:r>
    </w:p>
    <w:p>
      <w:pPr>
        <w:spacing w:before="160" w:after="40" w:line="240" w:lineRule="auto"/>
      </w:pPr>
      <w:r>
        <w:rPr>
          <w:b/>
        </w:rPr>
        <w:t xml:space="preserve">[119] </w:t>
      </w:r>
      <w:hyperlink r:id="rId409">
        <w:r>
          <w:rPr>
            <w:color w:val="1155CC"/>
            <w:u w:val="single"/>
          </w:rPr>
          <w:t>“分子定制阳极-电解质界面以增强水系锌-碳电容器的稳定性和可逆性”的更正</w:t>
        </w:r>
      </w:hyperlink>
    </w:p>
    <w:p>
      <w:pPr>
        <w:spacing w:before="0" w:after="80"/>
      </w:pPr>
      <w:r>
        <w:rPr>
          <w:i/>
          <w:sz w:val="20"/>
        </w:rPr>
        <w:t>EN: Correction to “Molecular Customization of Anode‐Electrolyte Interfaces for Enhanced Stability and Reversibility in Aqueous Zinc‐Carbon Capacitors”</w:t>
      </w:r>
    </w:p>
    <w:p>
      <w:pPr>
        <w:spacing w:before="0" w:after="120"/>
      </w:pPr>
      <w:r>
        <w:rPr>
          <w:b/>
        </w:rPr>
        <w:t xml:space="preserve">Source: </w:t>
      </w:r>
      <w:r>
        <w:t>Wiley: Angewandte Chemie International Edition: Table of Contents</w:t>
      </w:r>
      <w:r>
        <w:t xml:space="preserve">    </w:t>
      </w:r>
      <w:r>
        <w:rPr>
          <w:b/>
        </w:rPr>
        <w:t xml:space="preserve">Pub date: </w:t>
      </w:r>
      <w:r>
        <w:t>2026-03-09 07:38:09+00:00</w:t>
      </w:r>
      <w:r>
        <w:t xml:space="preserve">    </w:t>
      </w:r>
      <w:r>
        <w:rPr>
          <w:b/>
        </w:rPr>
        <w:t xml:space="preserve">DOI: </w:t>
      </w:r>
      <w:hyperlink r:id="rId410">
        <w:r>
          <w:rPr>
            <w:color w:val="1155CC"/>
            <w:u w:val="single"/>
          </w:rPr>
          <w:t>10.1002/anie.3111809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 </w:t>
      </w:r>
      <w:hyperlink r:id="rId411">
        <w:r>
          <w:rPr>
            <w:color w:val="1155CC"/>
            <w:u w:val="single"/>
          </w:rPr>
          <w:t>超高效非水太阳能尿素合成通过化学环境协调的钌</w:t>
        </w:r>
      </w:hyperlink>
    </w:p>
    <w:p>
      <w:pPr>
        <w:spacing w:before="0" w:after="80"/>
      </w:pPr>
      <w:r>
        <w:rPr>
          <w:i/>
          <w:sz w:val="20"/>
        </w:rPr>
        <w:t>EN: Ultra‐Efficient, Non‐Aqueous Solar Urea Synthesis Over Chemical Environment‐Orchestrated Ru</w:t>
      </w:r>
    </w:p>
    <w:p>
      <w:pPr>
        <w:spacing w:before="0" w:after="120"/>
      </w:pPr>
      <w:r>
        <w:rPr>
          <w:b/>
        </w:rPr>
        <w:t xml:space="preserve">Source: </w:t>
      </w:r>
      <w:r>
        <w:t>Wiley: Angewandte Chemie International Edition: Table of Contents</w:t>
      </w:r>
      <w:r>
        <w:t xml:space="preserve">    </w:t>
      </w:r>
      <w:r>
        <w:rPr>
          <w:b/>
        </w:rPr>
        <w:t xml:space="preserve">Pub date: </w:t>
      </w:r>
      <w:r>
        <w:t>2026-03-09 07:45:45+00:00</w:t>
      </w:r>
      <w:r>
        <w:t xml:space="preserve">    </w:t>
      </w:r>
      <w:r>
        <w:rPr>
          <w:b/>
        </w:rPr>
        <w:t xml:space="preserve">DOI: </w:t>
      </w:r>
      <w:hyperlink r:id="rId412">
        <w:r>
          <w:rPr>
            <w:color w:val="1155CC"/>
            <w:u w:val="single"/>
          </w:rPr>
          <w:t>10.1002/anie.202526105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阳光驱动的催化尿素合成提供了一种可持续的常压肥料生产途径，但能量密集的液态尿素分离限制了其实用性。来自气态NH3和CO2的非水光热尿素合成提供了一种有前途的替代方案，尽管在干燥和温和条件下的分子活化仍然具有挑战性。在此，我们报告了在酸性Al2O3、碱性MgO和中性SiO2上支持的Ru纳米晶体上的光热尿素合成，达到了2745.71 ± 46.91 µmol的最佳速率</w:t>
      </w:r>
    </w:p>
    <w:p>
      <w:pPr>
        <w:spacing w:before="0" w:after="200" w:lineRule="auto" w:line="276"/>
      </w:pPr>
      <w:r>
        <w:rPr>
          <w:b/>
        </w:rPr>
        <w:t xml:space="preserve">Abstract (EN): </w:t>
      </w:r>
      <w:r>
        <w:t>Sunlight‐driven catalytic urea synthesis offers a sustainable ambient‐pressure pathway for fertilizer production, but energy‐intensive liquid‐urea separation limits its practicality. Non‐aqueous photothermal urea synthesis from gaseous NH</w:t>
      </w:r>
      <w:r>
        <w:rPr>
          <w:vertAlign w:val="subscript"/>
        </w:rPr>
        <w:t>3</w:t>
      </w:r>
      <w:r>
        <w:t>and CO</w:t>
      </w:r>
      <w:r>
        <w:rPr>
          <w:vertAlign w:val="subscript"/>
        </w:rPr>
        <w:t>2</w:t>
      </w:r>
      <w:r>
        <w:t>offers a promising alternative, though molecular activations under dry and mild conditions remain challenging. Here, we report photothermal urea synthesis over Ru nanocrystals supported on acidic Al</w:t>
      </w:r>
      <w:r>
        <w:rPr>
          <w:vertAlign w:val="subscript"/>
        </w:rPr>
        <w:t>2</w:t>
      </w:r>
      <w:r>
        <w:t>O</w:t>
      </w:r>
      <w:r>
        <w:rPr>
          <w:vertAlign w:val="subscript"/>
        </w:rPr>
        <w:t>3</w:t>
      </w:r>
      <w:r>
        <w:t>, basic MgO, and neutral SiO</w:t>
      </w:r>
      <w:r>
        <w:rPr>
          <w:vertAlign w:val="subscript"/>
        </w:rPr>
        <w:t>2</w:t>
      </w:r>
      <w:r>
        <w:t>, achieving an optimal rate of 2745.71 ± 46.91 µmol</w:t>
      </w:r>
      <w:r>
        <w:t xml:space="preserve"> </w:t>
      </w:r>
      <w:r>
        <w:t>urea</w:t>
      </w:r>
      <w:r>
        <w:t xml:space="preserve"> </w:t>
      </w:r>
      <w:r>
        <w:t>g</w:t>
      </w:r>
      <w:r>
        <w:t xml:space="preserve"> </w:t>
      </w:r>
      <w:r>
        <w:t>Ru</w:t>
      </w:r>
      <w:r>
        <w:t xml:space="preserve"> </w:t>
      </w:r>
      <w:r>
        <w:t>−1</w:t>
      </w:r>
      <w:r>
        <w:t xml:space="preserve"> </w:t>
      </w:r>
      <w:r>
        <w:t>h</w:t>
      </w:r>
      <w:r>
        <w:t xml:space="preserve"> </w:t>
      </w:r>
      <w:r>
        <w:t>−1</w:t>
      </w:r>
      <w:r>
        <w:t xml:space="preserve"> </w:t>
      </w:r>
      <w:r>
        <w:t>, an order‐of‐magnitude higher than state‐of‐the‐arts at ambient pressure. Mechanistic studies elucidate a reaction pathway, initiated photothermally by Ru and orchestrated by an acidic chemical environment that promoted the availability of reactants, in which exothermic N–H bond dissociation of NH</w:t>
      </w:r>
      <w:r>
        <w:rPr>
          <w:vertAlign w:val="subscript"/>
        </w:rPr>
        <w:t>3</w:t>
      </w:r>
      <w:r>
        <w:t>matches endothermic C–N coupling with CO</w:t>
      </w:r>
      <w:r>
        <w:rPr>
          <w:vertAlign w:val="subscript"/>
        </w:rPr>
        <w:t>2</w:t>
      </w:r>
      <w:r>
        <w:t>in a thermodynamically favorable manner. This work demonstrates an ultra‐efficient pioneering synthesis paradigm under near‐ambient conditions, circumventing industrial reliance on harsh thermochemical conditions.</w:t>
      </w:r>
    </w:p>
    <w:p>
      <w:pPr>
        <w:spacing w:before="120" w:after="120"/>
      </w:pPr>
      <w:r>
        <w:rPr>
          <w:sz w:val="18"/>
        </w:rPr>
        <w:t>——————————————————————————————————————————————————————————————————————</w:t>
      </w:r>
    </w:p>
    <w:p>
      <w:pPr>
        <w:spacing w:before="160" w:after="40" w:line="240" w:lineRule="auto"/>
      </w:pPr>
      <w:r>
        <w:rPr>
          <w:b/>
        </w:rPr>
        <w:t xml:space="preserve">[121] </w:t>
      </w:r>
      <w:hyperlink r:id="rId413">
        <w:r>
          <w:rPr>
            <w:color w:val="1155CC"/>
            <w:u w:val="single"/>
          </w:rPr>
          <w:t>通过重芳构化阻断的磺鎓Claisen重排实现不对称去芳构化双功能化</w:t>
        </w:r>
      </w:hyperlink>
    </w:p>
    <w:p>
      <w:pPr>
        <w:spacing w:before="0" w:after="80"/>
      </w:pPr>
      <w:r>
        <w:rPr>
          <w:i/>
          <w:sz w:val="20"/>
        </w:rPr>
        <w:t>EN: Asymmetric Dearomative Dual‐Functionalization via Rearomatization‐Blocked Sulfonium Claisen Rearrangement</w:t>
      </w:r>
    </w:p>
    <w:p>
      <w:pPr>
        <w:spacing w:before="0" w:after="120"/>
      </w:pPr>
      <w:r>
        <w:rPr>
          <w:b/>
        </w:rPr>
        <w:t xml:space="preserve">Source: </w:t>
      </w:r>
      <w:r>
        <w:t>Wiley: Angewandte Chemie International Edition: Table of Contents</w:t>
      </w:r>
      <w:r>
        <w:t xml:space="preserve">    </w:t>
      </w:r>
      <w:r>
        <w:rPr>
          <w:b/>
        </w:rPr>
        <w:t xml:space="preserve">Pub date: </w:t>
      </w:r>
      <w:r>
        <w:t>2026-03-09 07:50:00+00:00</w:t>
      </w:r>
      <w:r>
        <w:t xml:space="preserve">    </w:t>
      </w:r>
      <w:r>
        <w:rPr>
          <w:b/>
        </w:rPr>
        <w:t xml:space="preserve">DOI: </w:t>
      </w:r>
      <w:hyperlink r:id="rId414">
        <w:r>
          <w:rPr>
            <w:color w:val="1155CC"/>
            <w:u w:val="single"/>
          </w:rPr>
          <w:t>10.1002/anie.8953687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芳香克莱森重排暂时产生的去芳香化中间体通常不稳定，难以被截获，因此会自发地重新芳香化。在本研究中，我们证明了这种不可避免的重新芳香化可以被有效抑制，从而实现不对称去芳香化双功能化。具体而言，我们开发了一种不对称脱水重排的手性芳基亚砜酰胺，在极低温（−95 °C）下进行，提供了一个独特的窗口来原位截获高度不稳定的去芳香化中间体。包括烯醇硅醚、有机锌试剂和杂原子亲核试剂在内的多种亲核试剂被证明能够有效捕获这些中间体，从而实现双功能化。</w:t>
      </w:r>
    </w:p>
    <w:p>
      <w:pPr>
        <w:spacing w:before="0" w:after="200" w:lineRule="auto" w:line="276"/>
      </w:pPr>
      <w:r>
        <w:rPr>
          <w:b/>
        </w:rPr>
        <w:t xml:space="preserve">Abstract (EN): </w:t>
      </w:r>
      <w:r>
        <w:t>The aromatic Claisen rearrangement transiently generates dearomatized intermediates that are generally too unstable to be intercepted and thus undergo spontaneous rearomatization. In this study, we demonstrate that this otherwise inevitable rearomatization can be effectively suppressed, thereby enabling asymmetric dearomative dual functionalization. Specifically, we have developed an asymmetric dehydrative rearrangement of chiral aryl sulfimides that proceeds at exceptionally low temperature (−95 °C), providing a unique window to intercept the highly unstable dearomatized intermediates in situ. A wide array of nucleophiles—including enol silyl ethers, organozinc reagents, and heteroatom nucleophiles—proved competent in capturing these intermediates, affording dual‐functionalized dearomatization products with up to four contiguous stereocenters. Remarkably, these dearomatization products undergo three distinct desulfurization pathways, furnishing structurally diverse chiral products featuring both axial and point chirality. Computational studies reveal the mechanistic divergence from the conventional rearomatization pathway to the present dearomatization manifold and uncover the origin of the high fidelity in continuous chirality transfer.</w:t>
      </w:r>
    </w:p>
    <w:p>
      <w:pPr>
        <w:spacing w:before="120" w:after="120"/>
      </w:pPr>
      <w:r>
        <w:rPr>
          <w:sz w:val="18"/>
        </w:rPr>
        <w:t>——————————————————————————————————————————————————————————————————————</w:t>
      </w:r>
    </w:p>
    <w:p>
      <w:pPr>
        <w:spacing w:before="160" w:after="40" w:line="240" w:lineRule="auto"/>
      </w:pPr>
      <w:r>
        <w:rPr>
          <w:b/>
        </w:rPr>
        <w:t xml:space="preserve">[122] </w:t>
      </w:r>
      <w:hyperlink r:id="rId415">
        <w:r>
          <w:rPr>
            <w:color w:val="1155CC"/>
            <w:u w:val="single"/>
          </w:rPr>
          <w:t>分子内电荷转移掺杂剂在单晶中实现孤立的三重态激子作为自旋三量子比特</w:t>
        </w:r>
      </w:hyperlink>
    </w:p>
    <w:p>
      <w:pPr>
        <w:spacing w:before="0" w:after="80"/>
      </w:pPr>
      <w:r>
        <w:rPr>
          <w:i/>
          <w:sz w:val="20"/>
        </w:rPr>
        <w:t>EN: Intramolecular Charge‐Transfer Dopants Enable Isolated Triplet Excitons as Spin Qutrits in a Single Crystal</w:t>
      </w:r>
    </w:p>
    <w:p>
      <w:pPr>
        <w:spacing w:before="0" w:after="120"/>
      </w:pPr>
      <w:r>
        <w:rPr>
          <w:b/>
        </w:rPr>
        <w:t xml:space="preserve">Source: </w:t>
      </w:r>
      <w:r>
        <w:t>Wiley: Angewandte Chemie International Edition: Table of Contents</w:t>
      </w:r>
      <w:r>
        <w:t xml:space="preserve">    </w:t>
      </w:r>
      <w:r>
        <w:rPr>
          <w:b/>
        </w:rPr>
        <w:t xml:space="preserve">Pub date: </w:t>
      </w:r>
      <w:r>
        <w:t>2026-03-09 07:51:59+00:00</w:t>
      </w:r>
      <w:r>
        <w:t xml:space="preserve">    </w:t>
      </w:r>
      <w:r>
        <w:rPr>
          <w:b/>
        </w:rPr>
        <w:t xml:space="preserve">DOI: </w:t>
      </w:r>
      <w:hyperlink r:id="rId416">
        <w:r>
          <w:rPr>
            <w:color w:val="1155CC"/>
            <w:u w:val="single"/>
          </w:rPr>
          <w:t>10.1002/anie.202524670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分子晶体能够在宏观距离上实现三重态激子的自旋对齐，为固态量子技术提供了一条分子途径。然而，在典型的晶体中，密集的堆积通过偶极耦合和激子跳跃促进了自旋退相干。尽管稀释掺杂可以缓解这些影响，但由于掺杂剂必须满足严格的结构和能量约束，已报道的例子仍然稀少。在此，我们通过引入一种策略来拓宽掺杂有机晶体的设计空间，该策略采用具有分子内电荷转移（ICT）特性的宿主衍生掺杂剂，保持与宿主晶格的结构兼容性，同时其ICT特性降低了三重态能量以局部化三重态激子。</w:t>
      </w:r>
    </w:p>
    <w:p>
      <w:pPr>
        <w:spacing w:before="0" w:after="200" w:lineRule="auto" w:line="276"/>
      </w:pPr>
      <w:r>
        <w:rPr>
          <w:b/>
        </w:rPr>
        <w:t xml:space="preserve">Abstract (EN): </w:t>
      </w:r>
      <w:r>
        <w:t>Organic molecular crystals enable spin alignment of triplet excitons over macroscopic distances, offering a molecular route to solid‐state quantum technologies. In typical crystals, however, dense packing promotes spin decoherence through dipolar coupling and exciton hopping. Although dilution doping can mitigate these effects, reported examples remain scarce because dopants must satisfy stringent structural and energetic constraints. Here, we broaden the design space for doped organic crystals by introducing a strategy that employs a host‐derived dopant with intramolecular charge‐transfer (ICT) character that maintains structural compatibility with the host lattice, while its ICT character lowers the triplet energy to localize triplet excitons. Ultrafast transient absorption spectroscopy confirms triplet formation, while time‐resolved electron paramagnetic resonance (TREPR) spectroscopy reveals that these oriented triplets possess selectively addressable spin sublevel transitions. Additionally, pulse‐EPR measurements yield a phase memory time (</w:t>
      </w:r>
      <w:r>
        <w:t xml:space="preserve"> </w:t>
      </w:r>
      <w:r>
        <w:t>T</w:t>
      </w:r>
      <w:r>
        <w:t xml:space="preserve"> </w:t>
      </w:r>
      <w:r>
        <w:t>m</w:t>
      </w:r>
      <w:r>
        <w:t xml:space="preserve"> </w:t>
      </w:r>
      <w:r>
        <w:t>) of 7.1 µs at 10 K and 3.5 µs at 85 K, enabled by reduced electron‐electron dipolar coupling and suppressed exciton hopping. Temperature‐dependent studies further show that coherence is ultimately limited by nuclear spin flip–flops at low temperatures and spin‐phonon coupling at higher temperatures. These findings demonstrate that ordered triplet excitons produced by an ICT dopant in single crystals promote spin coherence at elevated temperatures.</w:t>
      </w:r>
    </w:p>
    <w:p>
      <w:pPr>
        <w:spacing w:before="120" w:after="120"/>
      </w:pPr>
      <w:r>
        <w:rPr>
          <w:sz w:val="18"/>
        </w:rPr>
        <w:t>——————————————————————————————————————————————————————————————————————</w:t>
      </w:r>
    </w:p>
    <w:p>
      <w:pPr>
        <w:spacing w:before="160" w:after="40" w:line="240" w:lineRule="auto"/>
      </w:pPr>
      <w:r>
        <w:rPr>
          <w:b/>
        </w:rPr>
        <w:t xml:space="preserve">[123] </w:t>
      </w:r>
      <w:hyperlink r:id="rId417">
        <w:r>
          <w:rPr>
            <w:color w:val="1155CC"/>
            <w:u w:val="single"/>
          </w:rPr>
          <w:t>聚集驱动的彻底级联质子转移过程针对超低阈值近红外有机单晶激光器</w:t>
        </w:r>
      </w:hyperlink>
    </w:p>
    <w:p>
      <w:pPr>
        <w:spacing w:before="0" w:after="80"/>
      </w:pPr>
      <w:r>
        <w:rPr>
          <w:i/>
          <w:sz w:val="20"/>
        </w:rPr>
        <w:t>EN: Aggregation‐Driven Thorough Cascaded Proton Transfer Process Targeting Ultralow‐Threshold Near‐Infrared Organic Single‐Crystal Lasers</w:t>
      </w:r>
    </w:p>
    <w:p>
      <w:pPr>
        <w:spacing w:before="0" w:after="120"/>
      </w:pPr>
      <w:r>
        <w:rPr>
          <w:b/>
        </w:rPr>
        <w:t xml:space="preserve">Source: </w:t>
      </w:r>
      <w:r>
        <w:t>Wiley: Angewandte Chemie International Edition: Table of Contents</w:t>
      </w:r>
      <w:r>
        <w:t xml:space="preserve">    </w:t>
      </w:r>
      <w:r>
        <w:rPr>
          <w:b/>
        </w:rPr>
        <w:t xml:space="preserve">Pub date: </w:t>
      </w:r>
      <w:r>
        <w:t>2026-03-09 08:08:23+00:00</w:t>
      </w:r>
      <w:r>
        <w:t xml:space="preserve">    </w:t>
      </w:r>
      <w:r>
        <w:rPr>
          <w:b/>
        </w:rPr>
        <w:t xml:space="preserve">DOI: </w:t>
      </w:r>
      <w:hyperlink r:id="rId418">
        <w:r>
          <w:rPr>
            <w:color w:val="1155CC"/>
            <w:u w:val="single"/>
          </w:rPr>
          <w:t>10.1002/anie.202525240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近红外（NIR）有机固态激光器（OSSLs）在激光通信系统中具有重要的技术意义，但由于激子利用率有限，仍然面临高阈值和低光学增益的问题。有机增益材料的激发态双质子转移（ESDPT）过程为NIR OSSLs提供了有前景的增益机制，因为其具有优越的六电子能级系统和大红移的受激发射。在此，我们提出了一种新策略，旨在通过聚集效应调节ESDPT过程，其中结晶增强的彻底级联ESDPT过程促进了激子利用率，从而实现了超低激光阈值。令人印象深刻的是，强烈的</w:t>
      </w:r>
    </w:p>
    <w:p>
      <w:pPr>
        <w:spacing w:before="0" w:after="200" w:lineRule="auto" w:line="276"/>
      </w:pPr>
      <w:r>
        <w:rPr>
          <w:b/>
        </w:rPr>
        <w:t xml:space="preserve">Abstract (EN): </w:t>
      </w:r>
      <w:r>
        <w:t>Near‐infrared (NIR) organic solid‐state lasers (OSSLs) are technologically crucial in lasing communication systems, yet they still suffer from the high threshold and low optical gain due to the limited exciton utilization rate. Excited‐state double proton transfer (ESDPT) processes of organic gain materials offer promising gain mechanisms for NIR OSSLs due to the favored six‐electronic‐level energy systems and large red‐shifted stimulated emission. Herein, we proposed a novel strategy aimed at modulating the ESDPT process through aggregation effect, where crystallization‐enhanced thorough cascaded ESDPT process facilitates the exciton utilization rate and thus enables an ultralow lasing threshold. Impressively, the strong</w:t>
      </w:r>
      <w:r>
        <w:t xml:space="preserve"> </w:t>
      </w:r>
      <w:r>
        <w:t>J</w:t>
      </w:r>
      <w:r>
        <w:t xml:space="preserve"> </w:t>
      </w:r>
      <w:r>
        <w:t>‐type coupling of 4260 cm</w:t>
      </w:r>
      <w:r>
        <w:t xml:space="preserve"> </w:t>
      </w:r>
      <w:r>
        <w:t>−1</w:t>
      </w:r>
      <w:r>
        <w:t xml:space="preserve"> </w:t>
      </w:r>
      <w:r>
        <w:t>in DDMC single‐crystal microwires effectively stabilizes TB* level by lowering excited state energy, supporting a thorough ESDPT process. Consequently, all excited electrons decaying by radiative transitions participate in stimulated emission, enabling a high‐gain six‐level energy system with efficient population inversion density (∆</w:t>
      </w:r>
      <w:r>
        <w:t xml:space="preserve"> </w:t>
      </w:r>
      <w:r>
        <w:t>N</w:t>
      </w:r>
      <w:r>
        <w:t xml:space="preserve"> </w:t>
      </w:r>
      <w:r>
        <w:t>). Activated by this efficient energy‐level system, the NIR single‐crystal lasing at ∼870 nm was successfully realized with a record‐low threshold of 486 nJ cm</w:t>
      </w:r>
      <w:r>
        <w:t xml:space="preserve"> </w:t>
      </w:r>
      <w:r>
        <w:t>−2</w:t>
      </w:r>
      <w:r>
        <w:t xml:space="preserve"> </w:t>
      </w:r>
      <w:r>
        <w:t>. Our work elucidates the fundamental mechanism underlying aggregation effects on ESDPT gain materials, offering effective strategy to enhance the exciton utilization rate for low‐threshold and high‐gain NIR OSSLs, and even the electrically‐pumped NIR OSSLs in the future.</w:t>
      </w:r>
    </w:p>
    <w:p>
      <w:pPr>
        <w:spacing w:before="120" w:after="120"/>
      </w:pPr>
      <w:r>
        <w:rPr>
          <w:sz w:val="18"/>
        </w:rPr>
        <w:t>——————————————————————————————————————————————————————————————————————</w:t>
      </w:r>
    </w:p>
    <w:p>
      <w:pPr>
        <w:spacing w:before="160" w:after="40" w:line="240" w:lineRule="auto"/>
      </w:pPr>
      <w:r>
        <w:rPr>
          <w:b/>
        </w:rPr>
        <w:t xml:space="preserve">[124] </w:t>
      </w:r>
      <w:hyperlink r:id="rId419">
        <w:r>
          <w:rPr>
            <w:color w:val="1155CC"/>
            <w:u w:val="single"/>
          </w:rPr>
          <w:t>[ASAP] 通过喷射打印和直接墨水书写的功能性纳米到微结构</w:t>
        </w:r>
      </w:hyperlink>
    </w:p>
    <w:p>
      <w:pPr>
        <w:spacing w:before="0" w:after="80"/>
      </w:pPr>
      <w:r>
        <w:rPr>
          <w:i/>
          <w:sz w:val="20"/>
        </w:rPr>
        <w:t>EN: [ASAP] Functional Nano-to-Microstructures by Jet Printing and Direct Ink Writing</w:t>
      </w:r>
    </w:p>
    <w:p>
      <w:pPr>
        <w:spacing w:before="0" w:after="120"/>
      </w:pPr>
      <w:r>
        <w:rPr>
          <w:b/>
        </w:rPr>
        <w:t xml:space="preserve">Source: </w:t>
      </w:r>
      <w:r>
        <w:t>Chemical Reviews: Latest Articles (ACS Publications)</w:t>
      </w:r>
      <w:r>
        <w:t xml:space="preserve">    </w:t>
      </w:r>
      <w:r>
        <w:rPr>
          <w:b/>
        </w:rPr>
        <w:t xml:space="preserve">Pub date: </w:t>
      </w:r>
      <w:r>
        <w:t>2026-03-09 08:11:02+00:00</w:t>
      </w:r>
      <w:r>
        <w:t xml:space="preserve">    </w:t>
      </w:r>
      <w:r>
        <w:rPr>
          <w:b/>
        </w:rPr>
        <w:t xml:space="preserve">DOI: </w:t>
      </w:r>
      <w:hyperlink r:id="rId420">
        <w:r>
          <w:rPr>
            <w:color w:val="1155CC"/>
            <w:u w:val="single"/>
          </w:rPr>
          <w:t>10.1021/acs.chemrev.5c00713</w:t>
        </w:r>
      </w:hyperlink>
    </w:p>
    <w:p>
      <w:pPr>
        <w:spacing w:before="0" w:after="120"/>
      </w:pPr>
      <w:r>
        <w:rPr>
          <w:b/>
        </w:rPr>
        <w:t xml:space="preserve">Notes: </w:t>
      </w:r>
      <w:r>
        <w:t>abstract_source=pubmed</w:t>
      </w:r>
    </w:p>
    <w:p>
      <w:pPr>
        <w:spacing w:before="0" w:after="80" w:lineRule="auto" w:line="276"/>
      </w:pPr>
      <w:r>
        <w:rPr>
          <w:b/>
        </w:rPr>
        <w:t xml:space="preserve">摘要（ZH）: </w:t>
      </w:r>
      <w:r>
        <w:t>基于喷射的打印技术和直接墨水书写技术已成为互补的、趋同的技术，作为增材制造中用于功能性纳米至微米级结构的关键平台。本文综述了这些方法如何在先进电子和生物界面应用中实现精细特征分辨率和三维结构。流体力学、粘弹性墨水流变学、液滴-基底相互作用和干燥动力学的相互作用被认为是打印保真度的关键决定因素。从柔性薄膜晶体管到生物打印的人造组织的应用案例研究展示了通过打印实现的精确结构控制如何转化为增强的设备性能和电子及生物领域的新功能。</w:t>
      </w:r>
    </w:p>
    <w:p>
      <w:pPr>
        <w:spacing w:before="0" w:after="200" w:lineRule="auto" w:line="276"/>
      </w:pPr>
      <w:r>
        <w:rPr>
          <w:b/>
        </w:rPr>
        <w:t xml:space="preserve">Abstract (EN): </w:t>
      </w:r>
      <w:r>
        <w:t>Jet-based printing techniques and direct ink writing have emerged as complementary, convergent technologies serving as key platforms in additive manufacturing for functional nano- to microscale architectures. This review highlights how these approaches enable fine feature resolution and three-dimensional structures in advanced electronics and biointerfacing applications. The interplay of fluid mechanics, viscoelastic ink rheology, droplet-substrate interactions, and drying dynamics is examined as a critical determinant of printing fidelity. Application-focused case studies, from flexible thin-film transistors to bioprinted artificial tissues, demonstrate how precise structural control via printing translates to enhanced device performance and new functionality in electronic and biological systems. Finally, we discuss the challenges and future opportunities driving the evolution of these printing platforms toward autonomous, adaptive, and intelligent manufacturing systems.</w:t>
      </w:r>
    </w:p>
    <w:p>
      <w:pPr>
        <w:spacing w:before="120" w:after="120"/>
      </w:pPr>
      <w:r>
        <w:rPr>
          <w:sz w:val="18"/>
        </w:rPr>
        <w:t>——————————————————————————————————————————————————————————————————————</w:t>
      </w:r>
    </w:p>
    <w:p>
      <w:pPr>
        <w:spacing w:before="160" w:after="40" w:line="240" w:lineRule="auto"/>
      </w:pPr>
      <w:r>
        <w:rPr>
          <w:b/>
        </w:rPr>
        <w:t xml:space="preserve">[125] </w:t>
      </w:r>
      <w:hyperlink r:id="rId421">
        <w:r>
          <w:rPr>
            <w:color w:val="1155CC"/>
            <w:u w:val="single"/>
          </w:rPr>
          <w:t>Cu/La共催化实现1,3-二烯的1,4-氨基化双功能化</w:t>
        </w:r>
      </w:hyperlink>
    </w:p>
    <w:p>
      <w:pPr>
        <w:spacing w:before="0" w:after="80"/>
      </w:pPr>
      <w:r>
        <w:rPr>
          <w:i/>
          <w:sz w:val="20"/>
        </w:rPr>
        <w:t>EN: Cu/La Cocatalysis Enables 1,4‐Aminative Difunctionalization of 1,3‐Dienes</w:t>
      </w:r>
    </w:p>
    <w:p>
      <w:pPr>
        <w:spacing w:before="0" w:after="120"/>
      </w:pPr>
      <w:r>
        <w:rPr>
          <w:b/>
        </w:rPr>
        <w:t xml:space="preserve">Source: </w:t>
      </w:r>
      <w:r>
        <w:t>Wiley: Angewandte Chemie International Edition: Table of Contents</w:t>
      </w:r>
      <w:r>
        <w:t xml:space="preserve">    </w:t>
      </w:r>
      <w:r>
        <w:rPr>
          <w:b/>
        </w:rPr>
        <w:t xml:space="preserve">Pub date: </w:t>
      </w:r>
      <w:r>
        <w:t>2026-03-09 08:14:02+00:00</w:t>
      </w:r>
      <w:r>
        <w:t xml:space="preserve">    </w:t>
      </w:r>
      <w:r>
        <w:rPr>
          <w:b/>
        </w:rPr>
        <w:t xml:space="preserve">DOI: </w:t>
      </w:r>
      <w:hyperlink r:id="rId422">
        <w:r>
          <w:rPr>
            <w:color w:val="1155CC"/>
            <w:u w:val="single"/>
          </w:rPr>
          <w:t>10.1002/anie.5628405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区域控制是对不饱和烃进行双功能化的核心挑战。实现区域选择性逆转可以从常见前体中解锁结构多样的分子，但通常受到固有的动力学和热力学偏好的不利影响。在此，我们报告了一种由新开发的Cu/La共催化系统支持的1,3-二烯的三组分氨基化双功能化，该系统将现有的1,2-加成通道重定向到区域特异性的1,4-加成路径。终端和内部二烯以及1,3-丁二烯衍生物均兼容，对NH和游离羟基的功能基团耐受性极佳。包括H在内的广泛氧基亲核试剂均适用。</w:t>
      </w:r>
    </w:p>
    <w:p>
      <w:pPr>
        <w:spacing w:before="0" w:after="200" w:lineRule="auto" w:line="276"/>
      </w:pPr>
      <w:r>
        <w:rPr>
          <w:b/>
        </w:rPr>
        <w:t xml:space="preserve">Abstract (EN): </w:t>
      </w:r>
      <w:r>
        <w:t>Regiocontrol represents a central challenge in the difunctionalization of unsaturated hydrocarbons. Achieving regioselectivity reversal can unlock structurally diverse molecules from common precursors, yet it is often disfavored by inherent kinetic and thermodynamic preferences. Herein, we report a three‐component aminative difunctionalization of 1,3‐dienes enabled by a newly developed Cu/La cocatalytic system that redirects the prevailing 1,2‐addition manifold to a regiospecific 1,4‐addition pathway. Both terminal and internal dienes, as well as 1,3‐butadiene derivatives, are compatible, with excellent functional group tolerance even toward NH and free hydroxyl groups. A broad range of oxygen‐based nucleophiles, including H</w:t>
      </w:r>
      <w:r>
        <w:rPr>
          <w:vertAlign w:val="subscript"/>
        </w:rPr>
        <w:t>2</w:t>
      </w:r>
      <w:r>
        <w:t>O, alcohols, and carboxylic acids, along with a biologically relevant fluorine atom, are all efficiently incorporated, yielding 1,4‐allylic amino alcohols, ethers, esters, and fluorides. Mechanistic experiments support a radical‐polar crossover pathway initiated by copper‐mediated generation of an aminyl radical cation (ARC) and indicate that steric modulation by the lanthanide salt is decisive in enforcing 1,4‐regioselectivity.</w:t>
      </w:r>
    </w:p>
    <w:p>
      <w:pPr>
        <w:spacing w:before="120" w:after="120"/>
      </w:pPr>
      <w:r>
        <w:rPr>
          <w:sz w:val="18"/>
        </w:rPr>
        <w:t>——————————————————————————————————————————————————————————————————————</w:t>
      </w:r>
    </w:p>
    <w:p>
      <w:pPr>
        <w:spacing w:before="160" w:after="40" w:line="240" w:lineRule="auto"/>
      </w:pPr>
      <w:r>
        <w:rPr>
          <w:b/>
        </w:rPr>
        <w:t xml:space="preserve">[126] </w:t>
      </w:r>
      <w:hyperlink r:id="rId423">
        <w:r>
          <w:rPr>
            <w:color w:val="1155CC"/>
            <w:u w:val="single"/>
          </w:rPr>
          <w:t>[ASAP] 加勒比海雪卡毒素C-CTX1及其C3-差向异构体的汇聚全合成</w:t>
        </w:r>
      </w:hyperlink>
    </w:p>
    <w:p>
      <w:pPr>
        <w:spacing w:before="0" w:after="80"/>
      </w:pPr>
      <w:r>
        <w:rPr>
          <w:i/>
          <w:sz w:val="20"/>
        </w:rPr>
        <w:t>EN: [ASAP] Convergent Total Synthesis of Caribbean Ciguatoxin C-CTX1 and Its C3-Epimer</w:t>
      </w:r>
    </w:p>
    <w:p>
      <w:pPr>
        <w:spacing w:before="0" w:after="120"/>
      </w:pPr>
      <w:r>
        <w:rPr>
          <w:b/>
        </w:rPr>
        <w:t xml:space="preserve">Source: </w:t>
      </w:r>
      <w:r>
        <w:t>Journal of the American Chemical Society: Latest Articles (ACS Publications)</w:t>
      </w:r>
      <w:r>
        <w:t xml:space="preserve">    </w:t>
      </w:r>
      <w:r>
        <w:rPr>
          <w:b/>
        </w:rPr>
        <w:t xml:space="preserve">Pub date: </w:t>
      </w:r>
      <w:r>
        <w:t>2026-03-09 09:55:18+00:00</w:t>
      </w:r>
      <w:r>
        <w:t xml:space="preserve">    </w:t>
      </w:r>
      <w:r>
        <w:rPr>
          <w:b/>
        </w:rPr>
        <w:t xml:space="preserve">DOI: </w:t>
      </w:r>
      <w:hyperlink r:id="rId424">
        <w:r>
          <w:rPr>
            <w:color w:val="1155CC"/>
            <w:u w:val="single"/>
          </w:rPr>
          <w:t>10.1021/jacs.6c01247</w:t>
        </w:r>
      </w:hyperlink>
    </w:p>
    <w:p>
      <w:pPr>
        <w:spacing w:before="0" w:after="120"/>
      </w:pPr>
      <w:r>
        <w:rPr>
          <w:b/>
        </w:rPr>
        <w:t xml:space="preserve">Notes: </w:t>
      </w:r>
      <w:r>
        <w:t>abstract_source=pubmed</w:t>
      </w:r>
    </w:p>
    <w:p>
      <w:pPr>
        <w:spacing w:before="0" w:after="80" w:lineRule="auto" w:line="276"/>
      </w:pPr>
      <w:r>
        <w:rPr>
          <w:b/>
        </w:rPr>
        <w:t xml:space="preserve">摘要（ZH）: </w:t>
      </w:r>
      <w:r>
        <w:t>加勒比海雪卡毒素C-CTX1是一种高度有效的梯形多环醚毒素，负责雪卡鱼中毒，最近已在加勒比海地区以外被检测到。由于其极端的结构复杂性和天然来源的稀缺性，其结构和生物特性尚未通过化学手段完全验证。我们在此报告了C-CTX1及其天然存在的C3-对映体的首次全合成，通过将ABCDE-和HIJKLMN-环单元结合的趋同片段耦合策略，采用后期自由基环化和闭环复分解构建中央FG-环。该合成提供了明确的结构确认和实用的毫克级别的两种对映体的获取。比较生物评估揭示了一个si</w:t>
      </w:r>
    </w:p>
    <w:p>
      <w:pPr>
        <w:spacing w:before="0" w:after="200" w:lineRule="auto" w:line="276"/>
      </w:pPr>
      <w:r>
        <w:rPr>
          <w:b/>
        </w:rPr>
        <w:t xml:space="preserve">Abstract (EN): </w:t>
      </w:r>
      <w:r>
        <w:t>Caribbean ciguatoxin C-CTX1 is a highly potent ladder-shaped polycyclic ether toxin responsible for ciguatera fish poisoning and has recently been detected beyond the Caribbean Sea region. Because of its extreme structural complexity and scarcity from natural sources, its structure and biological properties have not been fully validated by chemical means. We report here the first total synthesis of C-CTX1 and its naturally occurring C3-epimer through a convergent fragment-coupling strategy joining the ABCDE- and HIJKLMN-ring units, featuring late-stage radical cyclization and ring-closing metathesis to construct the central FG-rings. The synthesis provides definitive structural confirmation and practical milligram-scale access to both epimer. Comparative biological evaluation revealed a significant difference in relative neurotoxicity.</w:t>
      </w:r>
    </w:p>
    <w:p>
      <w:pPr>
        <w:spacing w:before="120" w:after="120"/>
      </w:pPr>
      <w:r>
        <w:rPr>
          <w:sz w:val="18"/>
        </w:rPr>
        <w:t>——————————————————————————————————————————————————————————————————————</w:t>
      </w:r>
    </w:p>
    <w:p>
      <w:pPr>
        <w:spacing w:before="160" w:after="40" w:line="240" w:lineRule="auto"/>
      </w:pPr>
      <w:r>
        <w:rPr>
          <w:b/>
        </w:rPr>
        <w:t xml:space="preserve">[127] </w:t>
      </w:r>
      <w:hyperlink r:id="rId425">
        <w:r>
          <w:rPr>
            <w:color w:val="1155CC"/>
            <w:u w:val="single"/>
          </w:rPr>
          <w:t>[ASAP] 共轭锁定增强的硫杂多环共价有机框架，具有不对称电子分布，用于光催化有氧氧化反应</w:t>
        </w:r>
      </w:hyperlink>
    </w:p>
    <w:p>
      <w:pPr>
        <w:spacing w:before="0" w:after="80"/>
      </w:pPr>
      <w:r>
        <w:rPr>
          <w:i/>
          <w:sz w:val="20"/>
        </w:rPr>
        <w:t>EN: [ASAP] Conjugation Lock-In Reinforced Sulfur-Heteropolycyclic Covalent Organic Frameworks with Asymmetric Electron Distribution for Photocatalytic Aerobic Oxidation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2026-03-09 11:08:29+00:00</w:t>
      </w:r>
      <w:r>
        <w:t xml:space="preserve">    </w:t>
      </w:r>
      <w:r>
        <w:rPr>
          <w:b/>
        </w:rPr>
        <w:t xml:space="preserve">DOI: </w:t>
      </w:r>
      <w:hyperlink r:id="rId426">
        <w:r>
          <w:rPr>
            <w:color w:val="1155CC"/>
            <w:u w:val="single"/>
          </w:rPr>
          <w:t>10.1021/jacs.5c21545</w:t>
        </w:r>
      </w:hyperlink>
    </w:p>
    <w:p>
      <w:pPr>
        <w:spacing w:before="0" w:after="120"/>
      </w:pPr>
      <w:r>
        <w:rPr>
          <w:b/>
        </w:rPr>
        <w:t xml:space="preserve">Notes: </w:t>
      </w:r>
      <w:r>
        <w:t>abstract_source=pubmed</w:t>
      </w:r>
    </w:p>
    <w:p>
      <w:pPr>
        <w:spacing w:before="0" w:after="80" w:lineRule="auto" w:line="276"/>
      </w:pPr>
      <w:r>
        <w:rPr>
          <w:b/>
        </w:rPr>
        <w:t xml:space="preserve">摘要（ZH）: </w:t>
      </w:r>
      <w:r>
        <w:t>在材料科学中，开发能够在苛刻化学条件下运行的稳健的异质光催化剂仍然是一个关键但具有挑战性的目标。在此，我们提出了一种基于共轭锁定增强的后环化策略，以构建具有不对称电子分布的硫杂多环共价有机框架（COFs），用于优越的光催化反应。这是通过使用Lawesson试剂对N-酰肼酮前体进行连续硫化-环化-氧化转化实现的。系统表征表明，硫的引入赋予框架增强的化学稳定性、局部不对称电子密度、快速的电荷载流子迁移、高效的激子解离、扩展的π-共轭和</w:t>
      </w:r>
    </w:p>
    <w:p>
      <w:pPr>
        <w:spacing w:before="0" w:after="200" w:lineRule="auto" w:line="276"/>
      </w:pPr>
      <w:r>
        <w:rPr>
          <w:b/>
        </w:rPr>
        <w:t xml:space="preserve">Abstract (EN): </w:t>
      </w:r>
      <w:r>
        <w:t>The development of robust heterogeneous photocatalysts capable of operating under harsh chemical conditions remains a critical yet challenging goal in materials science. Here, we present a postcyclization strategy based on conjugation lock-in reinforcement to construct sulfur-heteropolycyclic covalent organic frameworks (COFs) with asymmetric electron distribution for superior photocatalytic reactions, which is achieved through a consecutive thionation-cyclization-oxidation transformation of N-acylhydrazone precursors using Lawesson's reagent. Systematic characterization reveals that sulfur incorporation endows the framework with enhanced chemical stability, localized asymmetric electron density, rapid charge carrier migration, efficient exciton dissociation, extended π-conjugation, and a well-defined donor-acceptor architecture, collectively leading to significantly improved photocatalytic activity and durability compared to the original hydrazone-linked COF. Consequently, the modified COF exhibits a H2O2 evolution rate of 5270 μmol g-1 h-1 in pure water, representing a 3-fold enhancement over the precursor COF (1878 μmol g-1 h-1) and surpassing most reported organic and inorganic competitors. Moreover, it achieves complete conversion of benzylamine within 1 h under mild blue light-emitting diode irradiation, demonstrating high efficiency in aerobic oxidation catalysis. These findings establish the lock-in reinforcement strategy coupled with electronic structure modulation as a versatile route to designing durable and highly active photocatalysts for demanding synthetic and energy-conversion applications.</w:t>
      </w:r>
    </w:p>
    <w:p>
      <w:pPr>
        <w:spacing w:before="120" w:after="120"/>
      </w:pPr>
      <w:r>
        <w:rPr>
          <w:sz w:val="18"/>
        </w:rPr>
        <w:t>——————————————————————————————————————————————————————————————————————</w:t>
      </w:r>
    </w:p>
    <w:p>
      <w:pPr>
        <w:spacing w:before="160" w:after="40" w:line="240" w:lineRule="auto"/>
      </w:pPr>
      <w:r>
        <w:rPr>
          <w:b/>
        </w:rPr>
        <w:t xml:space="preserve">[128] </w:t>
      </w:r>
      <w:hyperlink r:id="rId427">
        <w:r>
          <w:rPr>
            <w:color w:val="1155CC"/>
            <w:u w:val="single"/>
          </w:rPr>
          <w:t>[ASAP] 区域选择性合成双极性B–N路易斯对功能化的芘：结构动态、发射调节及其在活细胞成像和电化学发光材料中的应用</w:t>
        </w:r>
      </w:hyperlink>
    </w:p>
    <w:p>
      <w:pPr>
        <w:spacing w:before="0" w:after="80"/>
      </w:pPr>
      <w:r>
        <w:rPr>
          <w:i/>
          <w:sz w:val="20"/>
        </w:rPr>
        <w:t>EN: [ASAP] Regioselective Synthesis of Ambipolar B–N Lewis Pair Functionalized Pyrenes: Structural Dynamics, Emission Tuning, and Applications in Live Cell Imaging and as Electrochemiluminescent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2026-03-09 13:27:31+00:00</w:t>
      </w:r>
      <w:r>
        <w:t xml:space="preserve">    </w:t>
      </w:r>
      <w:r>
        <w:rPr>
          <w:b/>
        </w:rPr>
        <w:t xml:space="preserve">DOI: </w:t>
      </w:r>
      <w:hyperlink r:id="rId428">
        <w:r>
          <w:rPr>
            <w:color w:val="1155CC"/>
            <w:u w:val="single"/>
          </w:rPr>
          <w:t>10.1021/jacs.5c22679</w:t>
        </w:r>
      </w:hyperlink>
    </w:p>
    <w:p>
      <w:pPr>
        <w:spacing w:before="0" w:after="120"/>
      </w:pPr>
      <w:r>
        <w:rPr>
          <w:b/>
        </w:rPr>
        <w:t xml:space="preserve">Notes: </w:t>
      </w:r>
      <w:r>
        <w:t>abstract_source=pubmed</w:t>
      </w:r>
    </w:p>
    <w:p>
      <w:pPr>
        <w:spacing w:before="0" w:after="80" w:lineRule="auto" w:line="276"/>
      </w:pPr>
      <w:r>
        <w:rPr>
          <w:b/>
        </w:rPr>
        <w:t xml:space="preserve">摘要（ZH）: </w:t>
      </w:r>
      <w:r>
        <w:t>多环芳烃（PAHs）的分子内B←N路易斯对功能化正在成为一种强大的策略，用于根据特定应用调整其光学和电子特性。在此，我们报告了通过K区的N导向亲电C-H硼化合成四种含有三芳胺供体和吡啶基硼烷受体取代基的四极性芘荧光体的设计和合成。引入刚性六元B-N杂环大大降低了最低未占分子轨道（LUMO）能级，并使吸收和发射最大值相对于未硼化前体红移。这些芘表现出跨越整个可见光区域的吸收和从强烈的绿色到深红色和近红外的荧光，具有令人印象深刻的量子产率</w:t>
      </w:r>
    </w:p>
    <w:p>
      <w:pPr>
        <w:spacing w:before="0" w:after="200" w:lineRule="auto" w:line="276"/>
      </w:pPr>
      <w:r>
        <w:rPr>
          <w:b/>
        </w:rPr>
        <w:t xml:space="preserve">Abstract (EN): </w:t>
      </w:r>
      <w:r>
        <w:t>Intramolecular B←N Lewis pair functionalization of polycyclic aromatic hydrocarbons (PAHs) is emerging as a powerful strategy for tailoring their optical and electronic properties to specific applications. Herein, we report the design and synthesis of four quadrupolar pyrene fluorophores containing triarylamine donor and pyridyl-borane acceptor substituents by N-directed electrophilic C-H borylation in the K-region. Introduction of rigid six-membered B-N heterocycles greatly decreased the lowest unoccupied molecular orbital (LUMO) energy levels and red-shifted the absorption and emission maxima compared to the nonborylated precursors. These pyrenes exhibit absorptions spanning the entire visible region and intense green to deep red and near-infrared fluorescence, with impressive quantum yields as high as 82%. The simultaneous presence of pyridyl-borane acceptor and arylamine donor units also enables facile reversible multiredox oxidation and reduction processes. The advantageous photophysical and electrochemical characteristics are highly attractive for optoelectronic devices and (bio)imaging applications. The pyrene derivative with the most red-shifted emission, 5-Pf, was further evaluated in live cell imaging studies, showing effective staining of acidic compartments, including lysosomes. In addition, we demonstrate the outstanding performance of 5-Pf as a novel electrochemiluminescent (ECL) luminophore through annihilation and coreactant experiments in cyclic voltammetry and pulsing modes. Spooling ECL spectroscopy revealed a strong emission with a maximum at 646 nm, in good agreement with the photoinduced emission maximum at 660 nm. A superior absolute ECL efficiency (ΦECL) of up to 0.9 ± 0.1%, exceeding that of typically employed [Ru(bpy)3]2+, was achieved during CV scanning with benzoyl peroxide as a coreactant.</w:t>
      </w:r>
    </w:p>
    <w:p>
      <w:pPr>
        <w:spacing w:before="120" w:after="120"/>
      </w:pPr>
      <w:r>
        <w:rPr>
          <w:sz w:val="18"/>
        </w:rPr>
        <w:t>——————————————————————————————————————————————————————————————————————</w:t>
      </w:r>
    </w:p>
    <w:p>
      <w:pPr>
        <w:spacing w:before="160" w:after="40" w:line="240" w:lineRule="auto"/>
      </w:pPr>
      <w:r>
        <w:rPr>
          <w:b/>
        </w:rPr>
        <w:t xml:space="preserve">[129] </w:t>
      </w:r>
      <w:hyperlink r:id="rId429">
        <w:r>
          <w:rPr>
            <w:color w:val="1155CC"/>
            <w:u w:val="single"/>
          </w:rPr>
          <w:t>喹啉的C3和C4区域分歧胺化通过自由基和离子途径</w:t>
        </w:r>
      </w:hyperlink>
    </w:p>
    <w:p>
      <w:pPr>
        <w:spacing w:before="0" w:after="80"/>
      </w:pPr>
      <w:r>
        <w:rPr>
          <w:i/>
          <w:sz w:val="20"/>
        </w:rPr>
        <w:t>EN: Regiodivergent C3 and C4 Amination of Quinolines via Radical and Ionic Pathways</w:t>
      </w:r>
    </w:p>
    <w:p>
      <w:pPr>
        <w:spacing w:before="0" w:after="120"/>
      </w:pPr>
      <w:r>
        <w:rPr>
          <w:b/>
        </w:rPr>
        <w:t xml:space="preserve">Source: </w:t>
      </w:r>
      <w:r>
        <w:t>Wiley: Angewandte Chemie International Edition: Table of Contents</w:t>
      </w:r>
      <w:r>
        <w:t xml:space="preserve">    </w:t>
      </w:r>
      <w:r>
        <w:rPr>
          <w:b/>
        </w:rPr>
        <w:t xml:space="preserve">Pub date: </w:t>
      </w:r>
      <w:r>
        <w:t>2026-03-09 13:40:51+00:00</w:t>
      </w:r>
      <w:r>
        <w:t xml:space="preserve">    </w:t>
      </w:r>
      <w:r>
        <w:rPr>
          <w:b/>
        </w:rPr>
        <w:t xml:space="preserve">DOI: </w:t>
      </w:r>
      <w:hyperlink r:id="rId430">
        <w:r>
          <w:rPr>
            <w:color w:val="1155CC"/>
            <w:u w:val="single"/>
          </w:rPr>
          <w:t>10.1002/anie.202525818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N-杂芳烃的氨化位点对于快速探索结构-活性关系至关重要，但能够在喹啉的C3和C4氨化之间切换的单一前体平台仍然难以实现。在此，我们报道了一种区域分歧的方法，通过正交自由基和离子通道将喹啉氨化引导至C3或C4。在可见光、供体辅助的电子供体-受体（EDA）条件下，N-氨基喹啉盐的均裂N─N裂解生成N中心自由基，通过无痕迹亲核体诱导的去芳构化形成的烯胺中间体（自由基途径）选择性地在C3安装氨基。在没有光和供体的情况下，相同的喹啉盐在</w:t>
      </w:r>
    </w:p>
    <w:p>
      <w:pPr>
        <w:spacing w:before="0" w:after="200" w:lineRule="auto" w:line="276"/>
      </w:pPr>
      <w:r>
        <w:rPr>
          <w:b/>
        </w:rPr>
        <w:t xml:space="preserve">Abstract (EN): </w:t>
      </w:r>
      <w:r>
        <w:t>Controlling the site of amination on N‐heteroarenes is pivotal for rapid exploration of structure–activity relationships, yet a single‐precursor platform that toggles between C3 and C4 amination of quinolines has remained elusive. Here we report a regiodivergent method that channels quinoline amination to C3 or C4 through orthogonal radical and ionic manifolds. Under visible‐light, donor‐assisted electron‐donor–acceptor (EDA) conditions, homolytic N─N cleavage of N‐aminoquinolinium salts generates N‐centered radicals that selectively install amino groups at C3 via capture by an enamine intermediate (radical pathway) formed through traceless nucleophile‐induced dearomatization. In the absence of light and donor, the same quinolinium salt undergoes a two‐electron ionic process: S</w:t>
      </w:r>
      <w:r>
        <w:t xml:space="preserve"> </w:t>
      </w:r>
      <w:r>
        <w:t>N</w:t>
      </w:r>
      <w:r>
        <w:t xml:space="preserve"> </w:t>
      </w:r>
      <w:r>
        <w:t>Ar‐type addition of amines at C4, followed by base‐promoted rearomatization to furnish C4‐aminated products. The method proceeds under mild conditions, accommodates a broad range of quinolines and amine partners, and enables late‐stage diversification. Mechanistic experiments support an EDA‐initiated origin for the C3 manifold and an ionic mechanism for C4, establishing condition‐gated control over quinoline C─N bond formation.</w:t>
      </w:r>
    </w:p>
    <w:p>
      <w:pPr>
        <w:spacing w:before="120" w:after="120"/>
      </w:pPr>
      <w:r>
        <w:rPr>
          <w:sz w:val="18"/>
        </w:rPr>
        <w:t>——————————————————————————————————————————————————————————————————————</w:t>
      </w:r>
    </w:p>
    <w:p>
      <w:pPr>
        <w:spacing w:before="160" w:after="40" w:line="240" w:lineRule="auto"/>
      </w:pPr>
      <w:r>
        <w:rPr>
          <w:b/>
        </w:rPr>
        <w:t xml:space="preserve">[130] </w:t>
      </w:r>
      <w:hyperlink r:id="rId431">
        <w:r>
          <w:rPr>
            <w:color w:val="1155CC"/>
            <w:u w:val="single"/>
          </w:rPr>
          <w:t>[ASAP] 水系锌电池中化学分层和病理性再分布的三维可视化</w:t>
        </w:r>
      </w:hyperlink>
    </w:p>
    <w:p>
      <w:pPr>
        <w:spacing w:before="0" w:after="80"/>
      </w:pPr>
      <w:r>
        <w:rPr>
          <w:i/>
          <w:sz w:val="20"/>
        </w:rPr>
        <w:t>EN: [ASAP] Three-Dimensional Visualization of Chemical Stratification and Pathological Redistribution in Aqueous Zinc Batteries</w:t>
      </w:r>
    </w:p>
    <w:p>
      <w:pPr>
        <w:spacing w:before="0" w:after="120"/>
      </w:pPr>
      <w:r>
        <w:rPr>
          <w:b/>
        </w:rPr>
        <w:t xml:space="preserve">Source: </w:t>
      </w:r>
      <w:r>
        <w:t>ACS Energy Letters: Latest Articles (ACS Publications)</w:t>
      </w:r>
      <w:r>
        <w:t xml:space="preserve">    </w:t>
      </w:r>
      <w:r>
        <w:rPr>
          <w:b/>
        </w:rPr>
        <w:t xml:space="preserve">Pub date: </w:t>
      </w:r>
      <w:r>
        <w:t>2026-03-09 14:15:31+00:00</w:t>
      </w:r>
      <w:r>
        <w:t xml:space="preserve">    </w:t>
      </w:r>
      <w:r>
        <w:rPr>
          <w:b/>
        </w:rPr>
        <w:t xml:space="preserve">DOI: </w:t>
      </w:r>
      <w:hyperlink r:id="rId432">
        <w:r>
          <w:rPr>
            <w:color w:val="1155CC"/>
            <w:u w:val="single"/>
          </w:rPr>
          <w:t>10.1021/acsenergylett.6c00171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[131] </w:t>
      </w:r>
      <w:hyperlink r:id="rId433">
        <w:r>
          <w:rPr>
            <w:color w:val="1155CC"/>
            <w:u w:val="single"/>
          </w:rPr>
          <w:t>[ASAP] 对“使用迭代机器学习和多晶型特异性脑种子纤维放大测定法设计Tau聚集抑制剂”的更正</w:t>
        </w:r>
      </w:hyperlink>
    </w:p>
    <w:p>
      <w:pPr>
        <w:spacing w:before="0" w:after="80"/>
      </w:pPr>
      <w:r>
        <w:rPr>
          <w:i/>
          <w:sz w:val="20"/>
        </w:rPr>
        <w:t>EN: [ASAP] Correction to “Design of Tau Aggregation Inhibitors Using Iterative Machine Learning and a Polymorph-Specific Brain-Seeded Fibril Amplification Assay”</w:t>
      </w:r>
    </w:p>
    <w:p>
      <w:pPr>
        <w:spacing w:before="0" w:after="120"/>
      </w:pPr>
      <w:r>
        <w:rPr>
          <w:b/>
        </w:rPr>
        <w:t xml:space="preserve">Source: </w:t>
      </w:r>
      <w:r>
        <w:t>Journal of the American Chemical Society: Latest Articles (ACS Publications)</w:t>
      </w:r>
      <w:r>
        <w:t xml:space="preserve">    </w:t>
      </w:r>
      <w:r>
        <w:rPr>
          <w:b/>
        </w:rPr>
        <w:t xml:space="preserve">Pub date: </w:t>
      </w:r>
      <w:r>
        <w:t>2026-03-09 14:29:23+00:00</w:t>
      </w:r>
      <w:r>
        <w:t xml:space="preserve">    </w:t>
      </w:r>
      <w:r>
        <w:rPr>
          <w:b/>
        </w:rPr>
        <w:t xml:space="preserve">DOI: </w:t>
      </w:r>
      <w:hyperlink r:id="rId434">
        <w:r>
          <w:rPr>
            <w:color w:val="1155CC"/>
            <w:u w:val="single"/>
          </w:rPr>
          <w:t>10.1021/jacs.5c18723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[132] </w:t>
      </w:r>
      <w:hyperlink r:id="rId435">
        <w:r>
          <w:rPr>
            <w:color w:val="1155CC"/>
            <w:u w:val="single"/>
          </w:rPr>
          <w:t>[ASAP] 免疫逃避的NIR-II纳米平台用于可重复的光动力疗法</w:t>
        </w:r>
      </w:hyperlink>
    </w:p>
    <w:p>
      <w:pPr>
        <w:spacing w:before="0" w:after="80"/>
      </w:pPr>
      <w:r>
        <w:rPr>
          <w:i/>
          <w:sz w:val="20"/>
        </w:rPr>
        <w:t>EN: [ASAP] Immune-Evasive NIR-II Nanoplatforms for Repeatable Photodynamic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2026-03-09 14:43:40+00:00</w:t>
      </w:r>
      <w:r>
        <w:t xml:space="preserve">    </w:t>
      </w:r>
      <w:r>
        <w:rPr>
          <w:b/>
        </w:rPr>
        <w:t xml:space="preserve">DOI: </w:t>
      </w:r>
      <w:hyperlink r:id="rId436">
        <w:r>
          <w:rPr>
            <w:color w:val="1155CC"/>
            <w:u w:val="single"/>
          </w:rPr>
          <w:t>10.1021/jacs.5c21383</w:t>
        </w:r>
      </w:hyperlink>
    </w:p>
    <w:p>
      <w:pPr>
        <w:spacing w:before="0" w:after="120"/>
      </w:pPr>
      <w:r>
        <w:rPr>
          <w:b/>
        </w:rPr>
        <w:t xml:space="preserve">Notes: </w:t>
      </w:r>
      <w:r>
        <w:t>abstract_source=pubmed</w:t>
      </w:r>
    </w:p>
    <w:p>
      <w:pPr>
        <w:spacing w:before="0" w:after="80" w:lineRule="auto" w:line="276"/>
      </w:pPr>
      <w:r>
        <w:rPr>
          <w:b/>
        </w:rPr>
        <w:t xml:space="preserve">摘要（ZH）: </w:t>
      </w:r>
      <w:r>
        <w:t>光动力疗法（PDT）提供了可重复治疗而无累积全身毒性的独特优势。然而，临床转化受到氧依赖性、光热泄漏和多次给药期间免疫清除的阻碍。在此，我们报道了一种新一代光动力纳米平台（KD1负载透明质酸-聚乙二醇纳米颗粒，KD1@HPEG NPs），这是一种免疫规避的近红外II（NIR-II）光动力纳米平台，集成了I型光化学、深组织荧光成像和隐形表面工程，以实现可持续和精确的PDT。硫吡喃光敏剂KD1结合了刚性电子供体取代基，诱导显著的轨道重构，从而增强系间窜跃同时抑制</w:t>
      </w:r>
    </w:p>
    <w:p>
      <w:pPr>
        <w:spacing w:before="0" w:after="200" w:lineRule="auto" w:line="276"/>
      </w:pPr>
      <w:r>
        <w:rPr>
          <w:b/>
        </w:rPr>
        <w:t xml:space="preserve">Abstract (EN): </w:t>
      </w:r>
      <w:r>
        <w:t>Photodynamic therapy (PDT) offers the distinctive advantage of repeatable treatment without cumulative systemic toxicity. However, clinical translation is hindered by oxygen dependency, photothermal leakage, and immune clearance during multiple administrations. Here we report a next-generation photodynamic nanoplatform (KD1-loaded hyaluronic acid-poly(ethylene glycol) nanoparticles, KD1@HPEG NPs), an immune-evasive near-infrared II (NIR-II) photodynamic nanoplatform that integrates Type I photochemistry, deep-tissue fluorescence imaging, and stealth surface engineering to sustainable and precise PDT. The thiopyrylium photosensitizer KD1 incorporates a rigid electron-donating substituent that induces pronounced orbital reconfiguration, thereby enhancing intersystem crossing while suppressing nonradiative decay. This design enables efficient type I reactive oxygen species generation with negligible heat release. KD1@HPEG NPs further improve the stability of KD1, prevent anti-PEG antibody formation to circumvent the accelerated blood clearance effect, and impart intrinsic tumor affinity. These molecular and immunological optimizations support oxygen-independent ROS generation, sustained NIR-II imaging, and preserved therapeutic efficacy under repeated dosing. KD1@HPEG NPs establish a generalizable strategy for long-term, immune-tolerant PDT and offers a clinically viable platform for durable, precision phototheranostics.</w:t>
      </w:r>
    </w:p>
    <w:p>
      <w:pPr>
        <w:spacing w:before="120" w:after="120"/>
      </w:pPr>
      <w:r>
        <w:rPr>
          <w:sz w:val="18"/>
        </w:rPr>
        <w:t>——————————————————————————————————————————————————————————————————————</w:t>
      </w:r>
    </w:p>
    <w:p>
      <w:pPr>
        <w:spacing w:before="160" w:after="40" w:line="240" w:lineRule="auto"/>
      </w:pPr>
      <w:r>
        <w:rPr>
          <w:b/>
        </w:rPr>
        <w:t xml:space="preserve">[133] </w:t>
      </w:r>
      <w:hyperlink r:id="rId437">
        <w:r>
          <w:rPr>
            <w:color w:val="1155CC"/>
            <w:u w:val="single"/>
          </w:rPr>
          <w:t>[ASAP] 从PFAS电化学合成分离的氟化试剂</w:t>
        </w:r>
      </w:hyperlink>
    </w:p>
    <w:p>
      <w:pPr>
        <w:spacing w:before="0" w:after="80"/>
      </w:pPr>
      <w:r>
        <w:rPr>
          <w:i/>
          <w:sz w:val="20"/>
        </w:rPr>
        <w:t>EN: [ASAP] Electrochemical Synthesis of Isolated Fluoride Reagents from PFAS</w:t>
      </w:r>
    </w:p>
    <w:p>
      <w:pPr>
        <w:spacing w:before="0" w:after="120"/>
      </w:pPr>
      <w:r>
        <w:rPr>
          <w:b/>
        </w:rPr>
        <w:t xml:space="preserve">Source: </w:t>
      </w:r>
      <w:r>
        <w:t>Journal of the American Chemical Society: Latest Articles (ACS Publications)</w:t>
      </w:r>
      <w:r>
        <w:t xml:space="preserve">    </w:t>
      </w:r>
      <w:r>
        <w:rPr>
          <w:b/>
        </w:rPr>
        <w:t xml:space="preserve">Pub date: </w:t>
      </w:r>
      <w:r>
        <w:t>2026-03-09 14:45:04+00:00</w:t>
      </w:r>
      <w:r>
        <w:t xml:space="preserve">    </w:t>
      </w:r>
      <w:r>
        <w:rPr>
          <w:b/>
        </w:rPr>
        <w:t xml:space="preserve">DOI: </w:t>
      </w:r>
      <w:hyperlink r:id="rId438">
        <w:r>
          <w:rPr>
            <w:color w:val="1155CC"/>
            <w:u w:val="single"/>
          </w:rPr>
          <w:t>10.1021/jacs.6c01373</w:t>
        </w:r>
      </w:hyperlink>
    </w:p>
    <w:p>
      <w:pPr>
        <w:spacing w:before="0" w:after="120"/>
      </w:pPr>
      <w:r>
        <w:rPr>
          <w:b/>
        </w:rPr>
        <w:t xml:space="preserve">Notes: </w:t>
      </w:r>
      <w:r>
        <w:t>abstract_source=pubmed</w:t>
      </w:r>
    </w:p>
    <w:p>
      <w:pPr>
        <w:spacing w:before="0" w:after="80" w:lineRule="auto" w:line="276"/>
      </w:pPr>
      <w:r>
        <w:rPr>
          <w:b/>
        </w:rPr>
        <w:t xml:space="preserve">摘要（ZH）: </w:t>
      </w:r>
      <w:r>
        <w:t>全氟和多氟烷基物质（PFAS）由于其环境持久性和对健康的不利影响而日益受到关注。从PFAS的浓缩来源（例如制冷剂、防护涂层和泡沫）的分解中回收氟化物可以实现循环经济。最近的努力主要集中在一锅转移氟化策略上，形成可分离氟化试剂的例子有限，而这些试剂代表了最广泛的增值机会。在此，我们建立了一种直接电化学策略，将非聚合物PFAS回收为一系列合成上重要的氟化试剂。电解质和溶剂的选择对于控制生成氟化物或双氟化物离子至关重要，从而能够选择性地获得不同的r</w:t>
      </w:r>
    </w:p>
    <w:p>
      <w:pPr>
        <w:spacing w:before="0" w:after="200" w:lineRule="auto" w:line="276"/>
      </w:pPr>
      <w:r>
        <w:rPr>
          <w:b/>
        </w:rPr>
        <w:t xml:space="preserve">Abstract (EN): </w:t>
      </w:r>
      <w:r>
        <w:t>Per- and polyfluoroalkyl substances (PFAS) are of increasing concern due to their environmental persistence and adverse effects on health. The recovery of fluoride from the decomposition of concentrated sources of PFAS (e.g., refrigerants, protective coatings, and foams) enables a circular economy. Recent efforts have largely focused on one-pot, transfer fluorination strategies, with limited examples of forming isolable fluoride reagents, which represent the broadest opportunities for valorization. Here, we establish a direct electrochemical strategy to recycle nonpolymeric PFAS into a range of synthetically important fluoride reagents. The choice of electrolyte and solvent is critical in controlling whether fluoride or bifluoride ions are generated, enabling selective access to distinct reagents. These findings establish electrochemistry as a powerful and versatile platform for transforming environmentally persistent PFAS waste into valuable chemical resources.</w:t>
      </w:r>
    </w:p>
    <w:p>
      <w:pPr>
        <w:spacing w:before="120" w:after="120"/>
      </w:pPr>
      <w:r>
        <w:rPr>
          <w:sz w:val="18"/>
        </w:rPr>
        <w:t>——————————————————————————————————————————————————————————————————————</w:t>
      </w:r>
    </w:p>
    <w:p>
      <w:pPr>
        <w:spacing w:before="160" w:after="40" w:line="240" w:lineRule="auto"/>
      </w:pPr>
      <w:r>
        <w:rPr>
          <w:b/>
        </w:rPr>
        <w:t xml:space="preserve">[134] </w:t>
      </w:r>
      <w:hyperlink r:id="rId439">
        <w:r>
          <w:rPr>
            <w:color w:val="1155CC"/>
            <w:u w:val="single"/>
          </w:rPr>
          <w:t>[ASAP] NaNbO3:Pr3+陶瓷中内建电场诱导的电光致变色用于双模式时间-温度传感</w:t>
        </w:r>
      </w:hyperlink>
    </w:p>
    <w:p>
      <w:pPr>
        <w:spacing w:before="0" w:after="80"/>
      </w:pPr>
      <w:r>
        <w:rPr>
          <w:i/>
          <w:sz w:val="20"/>
        </w:rPr>
        <w:t>EN: [ASAP] Built-in Electric-Field-Induced Electrophotochromism in NaNbO3:Pr3+ Ceramics toward Dual-Mode Time–Temperature Sensing</w:t>
      </w:r>
    </w:p>
    <w:p>
      <w:pPr>
        <w:spacing w:before="0" w:after="120"/>
      </w:pPr>
      <w:r>
        <w:rPr>
          <w:b/>
        </w:rPr>
        <w:t xml:space="preserve">Source: </w:t>
      </w:r>
      <w:r>
        <w:t>ACS Energy Letters: Latest Articles (ACS Publications)</w:t>
      </w:r>
      <w:r>
        <w:t xml:space="preserve">    </w:t>
      </w:r>
      <w:r>
        <w:rPr>
          <w:b/>
        </w:rPr>
        <w:t xml:space="preserve">Pub date: </w:t>
      </w:r>
      <w:r>
        <w:t>2026-03-09 17:02:30+00:00</w:t>
      </w:r>
      <w:r>
        <w:t xml:space="preserve">    </w:t>
      </w:r>
      <w:r>
        <w:rPr>
          <w:b/>
        </w:rPr>
        <w:t xml:space="preserve">DOI: </w:t>
      </w:r>
      <w:hyperlink r:id="rId440">
        <w:r>
          <w:rPr>
            <w:color w:val="1155CC"/>
            <w:u w:val="single"/>
          </w:rPr>
          <w:t>10.1021/acsenergylett.5c04242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[135] </w:t>
      </w:r>
      <w:hyperlink r:id="rId441">
        <w:r>
          <w:rPr>
            <w:color w:val="1155CC"/>
            <w:u w:val="single"/>
          </w:rPr>
          <w:t>[ASAP] 用于多重RNA成像的生物发光探针</w:t>
        </w:r>
      </w:hyperlink>
    </w:p>
    <w:p>
      <w:pPr>
        <w:spacing w:before="0" w:after="80"/>
      </w:pPr>
      <w:r>
        <w:rPr>
          <w:i/>
          <w:sz w:val="20"/>
        </w:rPr>
        <w:t>EN: [ASAP] Bioluminescent Probes for Multiplexed RNA Imaging</w:t>
      </w:r>
    </w:p>
    <w:p>
      <w:pPr>
        <w:spacing w:before="0" w:after="120"/>
      </w:pPr>
      <w:r>
        <w:rPr>
          <w:b/>
        </w:rPr>
        <w:t xml:space="preserve">Source: </w:t>
      </w:r>
      <w:r>
        <w:t>Journal of the American Chemical Society: Latest Articles (ACS Publications)</w:t>
      </w:r>
      <w:r>
        <w:t xml:space="preserve">    </w:t>
      </w:r>
      <w:r>
        <w:rPr>
          <w:b/>
        </w:rPr>
        <w:t xml:space="preserve">Pub date: </w:t>
      </w:r>
      <w:r>
        <w:t>2026-03-09 18:00:37+00:00</w:t>
      </w:r>
      <w:r>
        <w:t xml:space="preserve">    </w:t>
      </w:r>
      <w:r>
        <w:rPr>
          <w:b/>
        </w:rPr>
        <w:t xml:space="preserve">DOI: </w:t>
      </w:r>
      <w:hyperlink r:id="rId442">
        <w:r>
          <w:rPr>
            <w:color w:val="1155CC"/>
            <w:u w:val="single"/>
          </w:rPr>
          <w:t>10.1021/jacs.5c16597</w:t>
        </w:r>
      </w:hyperlink>
    </w:p>
    <w:p>
      <w:pPr>
        <w:spacing w:before="0" w:after="120"/>
      </w:pPr>
      <w:r>
        <w:rPr>
          <w:b/>
        </w:rPr>
        <w:t xml:space="preserve">Notes: </w:t>
      </w:r>
      <w:r>
        <w:t>abstract_source=pubmed</w:t>
      </w:r>
    </w:p>
    <w:p>
      <w:pPr>
        <w:spacing w:before="0" w:after="80" w:lineRule="auto" w:line="276"/>
      </w:pPr>
      <w:r>
        <w:rPr>
          <w:b/>
        </w:rPr>
        <w:t xml:space="preserve">摘要（ZH）: </w:t>
      </w:r>
      <w:r>
        <w:t>对RNA生物学的全面理解需要在生理环境中可视化转录本及其相互作用的方法。然而，很少有技术能够在活体系统中连续报告多种RNA。我们正在用生物发光探针填补这一空白。生物发光不需要激发光，并且可以在各种环境中实现灵敏的、非侵入性的读数。在此，我们报告了一组用于多重RNA检测的结构化RNA标签和荧光素酶片段（RNA灯笼）。这些灯笼本身发射的光子很少，但当RNA标签将其带入接近时会组装并发光。基于已知的识别不同靶标的RNA结合蛋白，设计了三种正交的标签-灯笼组合。探针经过优化i</w:t>
      </w:r>
    </w:p>
    <w:p>
      <w:pPr>
        <w:spacing w:before="0" w:after="200" w:lineRule="auto" w:line="276"/>
      </w:pPr>
      <w:r>
        <w:rPr>
          <w:b/>
        </w:rPr>
        <w:t xml:space="preserve">Abstract (EN): </w:t>
      </w:r>
      <w:r>
        <w:t>A comprehensive understanding of RNA biology requires methods to visualize transcripts and their interactions within physiological environments. However, few technologies can report on multiple RNAs continuously and in living systems. We are addressing this void with bioluminescent probes. Bioluminescence does not require excitation light and can enable sensitive, noninvasive readouts in a variety of settings. Here, we report a panel of structured RNA tags and luciferase fragments (RNA lanterns) for multiplexed RNA detection. The lanterns emit few photons on their own but assemble and emit light when brought into proximity by the RNA tags. Three orthogonal tag-lantern combinations were designed based on known RNA-binding proteins that recognize distinct targets. The probes were optimized in vitro for selective transcript detection. We further applied the tags and lanterns in cultured cells, achieving multitarget imaging with good subcellular resolution. Collectively, the probes expand the toolkit for RNA imaging and will facilitate efforts to trace RNA targets in living systems.</w:t>
      </w:r>
    </w:p>
    <w:p>
      <w:pPr>
        <w:spacing w:before="120" w:after="120"/>
      </w:pPr>
      <w:r>
        <w:rPr>
          <w:sz w:val="18"/>
        </w:rPr>
        <w:t>——————————————————————————————————————————————————————————————————————</w:t>
      </w:r>
    </w:p>
    <w:p>
      <w:pPr>
        <w:spacing w:before="160" w:after="40" w:line="240" w:lineRule="auto"/>
      </w:pPr>
      <w:r>
        <w:rPr>
          <w:b/>
        </w:rPr>
        <w:t xml:space="preserve">[136] </w:t>
      </w:r>
      <w:hyperlink r:id="rId443">
        <w:r>
          <w:rPr>
            <w:color w:val="1155CC"/>
            <w:u w:val="single"/>
          </w:rPr>
          <w:t>[ASAP] 具有新兴特性和功能的离散金属-有机超分子的分级自组装</w:t>
        </w:r>
      </w:hyperlink>
    </w:p>
    <w:p>
      <w:pPr>
        <w:spacing w:before="0" w:after="80"/>
      </w:pPr>
      <w:r>
        <w:rPr>
          <w:i/>
          <w:sz w:val="20"/>
        </w:rPr>
        <w:t>EN: [ASAP] Hierarchical Self-Assembly of Discrete Metal–Organic Supramolecules with Emergent Properties and Functions</w:t>
      </w:r>
    </w:p>
    <w:p>
      <w:pPr>
        <w:spacing w:before="0" w:after="120"/>
      </w:pPr>
      <w:r>
        <w:rPr>
          <w:b/>
        </w:rPr>
        <w:t xml:space="preserve">Source: </w:t>
      </w:r>
      <w:r>
        <w:t>Chemical Reviews: Latest Articles (ACS Publications)</w:t>
      </w:r>
      <w:r>
        <w:t xml:space="preserve">    </w:t>
      </w:r>
      <w:r>
        <w:rPr>
          <w:b/>
        </w:rPr>
        <w:t xml:space="preserve">Pub date: </w:t>
      </w:r>
      <w:r>
        <w:t>2026-03-09 18:47:30+00:00</w:t>
      </w:r>
      <w:r>
        <w:t xml:space="preserve">    </w:t>
      </w:r>
      <w:r>
        <w:rPr>
          <w:b/>
        </w:rPr>
        <w:t xml:space="preserve">DOI: </w:t>
      </w:r>
      <w:hyperlink r:id="rId444">
        <w:r>
          <w:rPr>
            <w:color w:val="1155CC"/>
            <w:u w:val="single"/>
          </w:rPr>
          <w:t>10.1021/acs.chemrev.5c00992</w:t>
        </w:r>
      </w:hyperlink>
    </w:p>
    <w:p>
      <w:pPr>
        <w:spacing w:before="0" w:after="120"/>
      </w:pPr>
      <w:r>
        <w:rPr>
          <w:b/>
        </w:rPr>
        <w:t xml:space="preserve">Notes: </w:t>
      </w:r>
      <w:r>
        <w:t>abstract_source=pubmed</w:t>
      </w:r>
    </w:p>
    <w:p>
      <w:pPr>
        <w:spacing w:before="0" w:after="80" w:lineRule="auto" w:line="276"/>
      </w:pPr>
      <w:r>
        <w:rPr>
          <w:b/>
        </w:rPr>
        <w:t xml:space="preserve">摘要（ZH）: </w:t>
      </w:r>
      <w:r>
        <w:t>分级自组装，即简单的分子组分经历多个有序的组织步骤，是生物系统中复杂功能结构构建的基础，并激发了人工超分子化学的进步。在此背景下，分级组装的金属超分子结构（HAMSAs）作为多功能平台出现，结合了增强的结构复杂性和单步组装无法获得的新兴特性。本文综述了构建离散金属有机超分子系统的自下而上的分级策略。基于驱动二次组装的主要相互作用，划分了六种代表性途径：配位-配位、配位-金属-金属、c</w:t>
      </w:r>
    </w:p>
    <w:p>
      <w:pPr>
        <w:spacing w:before="0" w:after="200" w:lineRule="auto" w:line="276"/>
      </w:pPr>
      <w:r>
        <w:rPr>
          <w:b/>
        </w:rPr>
        <w:t xml:space="preserve">Abstract (EN): </w:t>
      </w:r>
      <w:r>
        <w:t>Hierarchical self-assembly, wherein simple molecular components undergo multiple, ordered organization steps, underlies the construction of complex functional architectures in biological systems and has inspired advances in artificial supramolecular chemistry. In this context, hierarchically assembled metallosupramolecular architectures (HAMSAs) have emerged as versatile platforms that combine enhanced structural complexity with emergent properties inaccessible to single-step assemblies. This review provides a comprehensive overview of bottom-up hierarchical strategies for constructing discrete metal-organic supramolecular systems. Six representative pathways are delineated based on the dominant interactions driving secondary assembly: coordination-coordination, coordination-metal-metal, coordination-anion induction, coordination-π···π stacking, coordination-dynamic covalent bonding, and coordination-other interactions. Emphasis is placed on elucidating the structure-function relationships underlying hierarchical self-assembly, where structural dynamics, differentiated disassembly/reassembly pathways, and conformational adaptability give rise to higher-order host-guest behaviors, which further evolve into synergistic effects and functional coupling. Through this hierarchical progression from dynamic modularity to emergent multifunctionality, luminescent, catalytic, magnetic, and biochemical functions exemplify how multilevel organization governs complex behaviors. By integrating three decades of developments (1997-2025) with foundational studies, this review aims to establish a conceptual framework for rationally constructing next-generation metallosupramolecular systems with biomimetic complexity and integrated functionality.</w:t>
      </w:r>
    </w:p>
    <w:p>
      <w:pPr>
        <w:spacing w:before="120" w:after="120"/>
      </w:pPr>
      <w:r>
        <w:rPr>
          <w:sz w:val="18"/>
        </w:rPr>
        <w:t>——————————————————————————————————————————————————————————————————————</w:t>
      </w:r>
    </w:p>
    <w:p>
      <w:pPr>
        <w:spacing w:before="160" w:after="40" w:line="240" w:lineRule="auto"/>
      </w:pPr>
      <w:r>
        <w:rPr>
          <w:b/>
        </w:rPr>
        <w:t xml:space="preserve">[137] </w:t>
      </w:r>
      <w:hyperlink r:id="rId445">
        <w:r>
          <w:rPr>
            <w:color w:val="1155CC"/>
            <w:u w:val="single"/>
          </w:rPr>
          <w:t>[ASAP] 苯并呋喃的单硅插入环扩展</w:t>
        </w:r>
      </w:hyperlink>
    </w:p>
    <w:p>
      <w:pPr>
        <w:spacing w:before="0" w:after="80"/>
      </w:pPr>
      <w:r>
        <w:rPr>
          <w:i/>
          <w:sz w:val="20"/>
        </w:rPr>
        <w:t>EN: [ASAP] Ring Expansion of Benzofurans by Single-Silicon Insertion</w:t>
      </w:r>
    </w:p>
    <w:p>
      <w:pPr>
        <w:spacing w:before="0" w:after="120"/>
      </w:pPr>
      <w:r>
        <w:rPr>
          <w:b/>
        </w:rPr>
        <w:t xml:space="preserve">Source: </w:t>
      </w:r>
      <w:r>
        <w:t>Journal of the American Chemical Society: Latest Articles (ACS Publications)</w:t>
      </w:r>
      <w:r>
        <w:t xml:space="preserve">    </w:t>
      </w:r>
      <w:r>
        <w:rPr>
          <w:b/>
        </w:rPr>
        <w:t xml:space="preserve">Pub date: </w:t>
      </w:r>
      <w:r>
        <w:t>2026-03-09 19:17:28+00:00</w:t>
      </w:r>
      <w:r>
        <w:t xml:space="preserve">    </w:t>
      </w:r>
      <w:r>
        <w:rPr>
          <w:b/>
        </w:rPr>
        <w:t xml:space="preserve">DOI: </w:t>
      </w:r>
      <w:hyperlink r:id="rId446">
        <w:r>
          <w:rPr>
            <w:color w:val="1155CC"/>
            <w:u w:val="single"/>
          </w:rPr>
          <w:t>10.1021/jacs.6c00274</w:t>
        </w:r>
      </w:hyperlink>
    </w:p>
    <w:p>
      <w:pPr>
        <w:spacing w:before="0" w:after="120"/>
      </w:pPr>
      <w:r>
        <w:rPr>
          <w:b/>
        </w:rPr>
        <w:t xml:space="preserve">Notes: </w:t>
      </w:r>
      <w:r>
        <w:t>abstract_source=pubmed</w:t>
      </w:r>
    </w:p>
    <w:p>
      <w:pPr>
        <w:spacing w:before="0" w:after="80" w:lineRule="auto" w:line="276"/>
      </w:pPr>
      <w:r>
        <w:rPr>
          <w:b/>
        </w:rPr>
        <w:t xml:space="preserve">摘要（ZH）: </w:t>
      </w:r>
      <w:r>
        <w:t>鉴于有机硅化合物在药物化学中的重要性，将硅原子插入易得的杂环中是一种强大但尚未充分发展的骨架跳跃策略，用于扩展类药化学空间。在此，我们报道了一种镍催化的单硅原子插入反应，用于将易得的苯并呋喃转化为相应的高价值氧硅环。该反应涉及苯并呋喃的C-H键硅化和1,2-氧迁移。所得的氧硅环作为多功能合成子，用于生成各种化合物，并提供了不同环状骨架的途径，如氧硼环、香豆素、苯并氧杂环庚烯和多环氧硅烷，从而多样化了初始的苯并呋喃核心。本研究建立了一种vers</w:t>
      </w:r>
    </w:p>
    <w:p>
      <w:pPr>
        <w:spacing w:before="0" w:after="200" w:lineRule="auto" w:line="276"/>
      </w:pPr>
      <w:r>
        <w:rPr>
          <w:b/>
        </w:rPr>
        <w:t xml:space="preserve">Abstract (EN): </w:t>
      </w:r>
      <w:r>
        <w:t>Given the importance of organosilicon compounds in medicinal chemistry, the insertion of a silicon atom into a readily available heterocycle is a powerful yet underdeveloped scaffold-hopping strategy for expanding drug-like chemical spaces. Herein, we report a Ni-catalyzed single-silicon atom insertion reaction for the transformation of readily available benzofurans into their corresponding high-value oxasilacycles. The reaction involves the C-H bond silylation of benzofurans and 1,2-oxygen migration. The resulting oxasilacycles serve as versatile synthons for generating various compounds and provide access to different cyclic skeletons such as oxaborins, coumarins, benzooxepines, and polycyclic oxasilaalkanes, thereby diversifying the initial benzofuran core. This study establishes a versatile platform for the skeletal editing of benzofurans, broadening the synthetic toolbox for medicinal chemistry.</w:t>
      </w:r>
    </w:p>
    <w:p>
      <w:pPr>
        <w:spacing w:before="120" w:after="120"/>
      </w:pPr>
      <w:r>
        <w:rPr>
          <w:sz w:val="18"/>
        </w:rPr>
        <w:t>——————————————————————————————————————————————————————————————————————</w:t>
      </w:r>
    </w:p>
    <w:p>
      <w:pPr>
        <w:spacing w:before="160" w:after="40" w:line="240" w:lineRule="auto"/>
      </w:pPr>
      <w:r>
        <w:rPr>
          <w:b/>
        </w:rPr>
        <w:t xml:space="preserve">[138] </w:t>
      </w:r>
      <w:hyperlink r:id="rId447">
        <w:r>
          <w:rPr>
            <w:color w:val="1155CC"/>
            <w:u w:val="single"/>
          </w:rPr>
          <w:t>[ASAP] 单晶体的均匀光氧化活性纳米通道用于单分散光氧化低聚化</w:t>
        </w:r>
      </w:hyperlink>
    </w:p>
    <w:p>
      <w:pPr>
        <w:spacing w:before="0" w:after="80"/>
      </w:pPr>
      <w:r>
        <w:rPr>
          <w:i/>
          <w:sz w:val="20"/>
        </w:rPr>
        <w:t>EN: [ASAP] A Single Crystal of Uniform Photoredox-Active Nanochannels for Monodisperse Photo-Oxidative Oligomerization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2026-03-09 19:37:01+00:00</w:t>
      </w:r>
      <w:r>
        <w:t xml:space="preserve">    </w:t>
      </w:r>
      <w:r>
        <w:rPr>
          <w:b/>
        </w:rPr>
        <w:t xml:space="preserve">DOI: </w:t>
      </w:r>
      <w:hyperlink r:id="rId448">
        <w:r>
          <w:rPr>
            <w:color w:val="1155CC"/>
            <w:u w:val="single"/>
          </w:rPr>
          <w:t>10.1021/jacs.5c21638</w:t>
        </w:r>
      </w:hyperlink>
    </w:p>
    <w:p>
      <w:pPr>
        <w:spacing w:before="0" w:after="120"/>
      </w:pPr>
      <w:r>
        <w:rPr>
          <w:b/>
        </w:rPr>
        <w:t xml:space="preserve">Notes: </w:t>
      </w:r>
      <w:r>
        <w:t>abstract_source=pubmed</w:t>
      </w:r>
    </w:p>
    <w:p>
      <w:pPr>
        <w:spacing w:before="0" w:after="80" w:lineRule="auto" w:line="276"/>
      </w:pPr>
      <w:r>
        <w:rPr>
          <w:b/>
        </w:rPr>
        <w:t xml:space="preserve">摘要（ZH）: </w:t>
      </w:r>
      <w:r>
        <w:t>一块由对齐的相同纳米管组成的单晶，具有均匀的通道长度和直径，可能作为具有单分散通道结构的多孔晶体模板。然而，迄今为止报道的纳米管的多分散性使得难以制造具有单分散通道的多孔单晶。该工作报道了由均匀光氧化还原活性纳米管（[Eu24L36]n，其中L是富含氟烷基的双(β-二酮酸)配体）组成的多孔单晶的制造。[Eu24L36]n通过P-和M-Eu6L9单元管的长度限制异构柱状结晶形成Eu24L36纳米管。对[Eu24L36]n的X射线衍射分析显示，Eu24L36纳米管在晶格中是一维对齐并空间隔离的，从而f</w:t>
      </w:r>
    </w:p>
    <w:p>
      <w:pPr>
        <w:spacing w:before="0" w:after="200" w:lineRule="auto" w:line="276"/>
      </w:pPr>
      <w:r>
        <w:rPr>
          <w:b/>
        </w:rPr>
        <w:t xml:space="preserve">Abstract (EN): </w:t>
      </w:r>
      <w:r>
        <w:t>A single crystal of aligned identical nanotubes with uniform channel lengths and diameters might serve as a porous crystal template with a monodisperse channel structure. However, the polydisperse nature of nanotubes reported to date makes them difficult to fabricate a porous single crystal with monodisperse channels. This work reported the fabrication of a porous single crystal comprising uniform photoredox-active nanotubes ([Eu24L36]n, where L is a fluoroalkyl-rich bis(β-diketonate) ligand). [Eu24L36]n was fabricated by length-restricted heterochiral columnar crystallization of P- and M-Eu6L9 unit tubes to form Eu24L36 nanotubes. X-ray diffraction analysis of [Eu24L36]n revealed that Eu24L36 nanotubes were one-dimensionally aligned and spatially isolated in the crystal lattice, thereby forming monodisperse Eu24L36 channels. [Eu24L36]n absorbed pyrrole (Py) monomers upon soaking in Py liquid through a crystal-to-crystal process ([Eu24L36]n + mPy → [mPy⊂Eu24L36]n), which was directly observed by X-ray diffraction. Photoirradiation of [mPy⊂Eu24L36]n drove photo-oxidative oligomerization of the confined Py, during which the nanotube crystal template preserved its crystallinity because of the soft photo-oxidation with the Eu3+ cores. Thus, the confined photo-oxidative oligomerization process ([mPy⊂Eu24L36]n + hν → [(Py)m⊂Eu24L36]n) can be observed directly by X-ray diffraction, which indicated the formation of ∼(Py)24 inside the monodisperse Eu24L36 nanochannels. Likewise, monodisperse photo-oxidative oligomerization of Py to give octa- and nonapyrrole was achieved using the Eu6L9 unit tube as a template. [Eu24L36]n also absorbed ferrocene (Fc) through a crystal-to-crystal process ([Eu24L36]n + mFc → [mFc⊂Eu24L36]n), where the crystalline-state photoinduced electron transfer from the incorporated Fc to the Eu3+ cores can be monitored by quenching of the Eu3+-red luminescence.</w:t>
      </w:r>
    </w:p>
    <w:p>
      <w:pPr>
        <w:spacing w:before="120" w:after="120"/>
      </w:pPr>
      <w:r>
        <w:rPr>
          <w:sz w:val="18"/>
        </w:rPr>
        <w:t>——————————————————————————————————————————————————————————————————————</w:t>
      </w:r>
    </w:p>
    <w:p>
      <w:pPr>
        <w:spacing w:before="160" w:after="40" w:line="240" w:lineRule="auto"/>
      </w:pPr>
      <w:r>
        <w:rPr>
          <w:b/>
        </w:rPr>
        <w:t xml:space="preserve">[139] </w:t>
      </w:r>
      <w:hyperlink r:id="rId449">
        <w:r>
          <w:rPr>
            <w:color w:val="1155CC"/>
            <w:u w:val="single"/>
          </w:rPr>
          <w:t>激光诱导的氧化镍表面羟基化促进单层组装以提高钙钛矿太阳能模块的性能</w:t>
        </w:r>
      </w:hyperlink>
    </w:p>
    <w:p>
      <w:pPr>
        <w:spacing w:before="0" w:after="80"/>
      </w:pPr>
      <w:r>
        <w:rPr>
          <w:i/>
          <w:sz w:val="20"/>
        </w:rPr>
        <w:t>EN: Laser-Induced Surface Hydroxylation of Nickel Oxide Boosting Monolayer Assembly for High-Performance Perovskite Solar Modules</w:t>
      </w:r>
    </w:p>
    <w:p>
      <w:pPr>
        <w:spacing w:before="0" w:after="120"/>
      </w:pPr>
      <w:r>
        <w:rPr>
          <w:b/>
        </w:rPr>
        <w:t xml:space="preserve">Source: </w:t>
      </w:r>
      <w:r>
        <w:t>RSC - Energy Environ. Sci. latest articles</w:t>
      </w:r>
      <w:r>
        <w:t xml:space="preserve">    </w:t>
      </w:r>
      <w:r>
        <w:rPr>
          <w:b/>
        </w:rPr>
        <w:t xml:space="preserve">Pub date: </w:t>
      </w:r>
      <w:r>
        <w:t>2026-03-10 00:00:00+00:00</w:t>
      </w:r>
    </w:p>
    <w:p>
      <w:pPr>
        <w:spacing w:before="0" w:after="120"/>
      </w:pPr>
      <w:r>
        <w:rPr>
          <w:b/>
        </w:rPr>
        <w:t xml:space="preserve">Notes: </w:t>
      </w:r>
      <w:r>
        <w:t>abstract_source=rsc_html</w:t>
      </w:r>
    </w:p>
    <w:p>
      <w:pPr>
        <w:spacing w:before="0" w:after="80" w:lineRule="auto" w:line="276"/>
      </w:pPr>
      <w:r>
        <w:rPr>
          <w:b/>
        </w:rPr>
        <w:t xml:space="preserve">摘要（ZH）: </w:t>
      </w:r>
      <w:r>
        <w:t>自组装单分子层（SAMs）对于高效倒置钙钛矿太阳能电池（PSCs）和模块（PSMs）至关重要，但其在磁控溅射NiOx基底上的稳定性和均匀性由于稀疏的羟基化和不稳定的单/双齿锚定而受到根本限制，导致大面积加工过程中界面退化。传统的羟基化策略由于不稳定的物理吸附基团或环境问题而受到阻碍，阻碍了可扩展的PSM制造。在此，我们引入了一种绿色、精确且可扩展的激光诱导羟基化策略来克服这些挑战。高能激光辐照通过光热效应精确去除NiOx薄膜表面的晶格氧，并诱导产生大量氧空位。随后的空气</w:t>
      </w:r>
    </w:p>
    <w:p>
      <w:pPr>
        <w:spacing w:before="0" w:after="200" w:lineRule="auto" w:line="276"/>
      </w:pPr>
      <w:r>
        <w:rPr>
          <w:b/>
        </w:rPr>
        <w:t xml:space="preserve">Abstract (EN): </w:t>
      </w:r>
      <w:r>
        <w:t>Self-assembled monolayers (SAMs) are crucial for high-efficiency inverted perovskite solar cells (PSCs) and modules (PSMs), yet their stability and uniformity on magnetron-sputtered NiOx substrates are fundamentally limited by sparse hydroxylation and unstable mono-/bidentate anchoring, leading to interfacial degradation during large-area processing. Conventional hydroxylation strategies suffer from unstable physisorbed groups or environmental concerns, impeding scalable PSM manufacturing. Here, we introduced a green, precise, and scalable laser-induced hydroxylation strategy to overcome these challenges. The high-energy laser irradiation precisely removes surface lattice oxygen from NiOx films by photothermal effect, and induces the generation of abundant oxygen vacancies. Subsequent air annealing activates these vacancies for catalytic water dissociation, constructing hydroxyl-rich NiOx surface with supplementary undercoordinated nickel sites. This surface enables SAM anchoring via direct coordination bonds, upgrading to a robust tridentate configuration. Consequently, dense and stable SAM coverage strengthens interfacial electronic coupling, suppresses non-radiative recombination, and promotes ordered perovskite crystallization. The resulted large-area PSM (65 cm2) attained 22.70% efficiency (certified as 22.01%), which represents one of the highest efficiencies ever reported for large-area PSMs (50-200 cm2). The unencapsulated PSM can maintain &gt;91% initial PCE after 1500 hours aging under 85 oC in N2 (ISOS-D-2). This strategy provides a scalable pathway toward stable, high-performance perovskite photovoltaics.</w:t>
      </w:r>
    </w:p>
    <w:p>
      <w:pPr>
        <w:spacing w:before="120" w:after="120"/>
      </w:pPr>
      <w:r>
        <w:rPr>
          <w:sz w:val="18"/>
        </w:rPr>
        <w:t>——————————————————————————————————————————————————————————————————————</w:t>
      </w:r>
    </w:p>
    <w:p>
      <w:pPr>
        <w:spacing w:before="160" w:after="40" w:line="240" w:lineRule="auto"/>
      </w:pPr>
      <w:r>
        <w:rPr>
          <w:b/>
        </w:rPr>
        <w:t xml:space="preserve">[140] </w:t>
      </w:r>
      <w:hyperlink r:id="rId450">
        <w:r>
          <w:rPr>
            <w:color w:val="1155CC"/>
            <w:u w:val="single"/>
          </w:rPr>
          <w:t>界面能量再激发通过激子离域实现20.5%效率的有机太阳能电池</w:t>
        </w:r>
      </w:hyperlink>
    </w:p>
    <w:p>
      <w:pPr>
        <w:spacing w:before="0" w:after="80"/>
      </w:pPr>
      <w:r>
        <w:rPr>
          <w:i/>
          <w:sz w:val="20"/>
        </w:rPr>
        <w:t>EN: Interfacial energy re-excitation enables 20.5% efficiency organic solar cells via exciton delocalization</w:t>
      </w:r>
    </w:p>
    <w:p>
      <w:pPr>
        <w:spacing w:before="0" w:after="120"/>
      </w:pPr>
      <w:r>
        <w:rPr>
          <w:b/>
        </w:rPr>
        <w:t xml:space="preserve">Source: </w:t>
      </w:r>
      <w:r>
        <w:t>Matter</w:t>
      </w:r>
      <w:r>
        <w:t xml:space="preserve">    </w:t>
      </w:r>
      <w:r>
        <w:rPr>
          <w:b/>
        </w:rPr>
        <w:t xml:space="preserve">Pub date: </w:t>
      </w:r>
      <w:r>
        <w:t>2026-03-10 00:00:00+00:00</w:t>
      </w:r>
      <w:r>
        <w:t xml:space="preserve">    </w:t>
      </w:r>
      <w:r>
        <w:rPr>
          <w:b/>
        </w:rPr>
        <w:t xml:space="preserve">DOI: </w:t>
      </w:r>
      <w:hyperlink r:id="rId451">
        <w:r>
          <w:rPr>
            <w:color w:val="1155CC"/>
            <w:u w:val="single"/>
          </w:rPr>
          <w:t>10.1016/j.matt.2026.102668</w:t>
        </w:r>
      </w:hyperlink>
    </w:p>
    <w:p>
      <w:pPr>
        <w:spacing w:before="0" w:after="120"/>
      </w:pPr>
      <w:r>
        <w:rPr>
          <w:b/>
        </w:rPr>
        <w:t xml:space="preserve">Notes: </w:t>
      </w:r>
      <w:r>
        <w:t>abstract_source=rss_cell</w:t>
      </w:r>
    </w:p>
    <w:p>
      <w:pPr>
        <w:spacing w:before="0" w:after="80" w:lineRule="auto" w:line="276"/>
      </w:pPr>
      <w:r>
        <w:rPr>
          <w:b/>
        </w:rPr>
        <w:t xml:space="preserve">摘要（ZH）: </w:t>
      </w:r>
      <w:r>
        <w:t>HMB启用的能量再激发（ERE）机制为高效电荷分离创造了一个离域激子储库，同时并行的分子界面工程增强了π–π堆积，共同实现了创纪录的20.5%效率的高性能有机太阳能电池。</w:t>
      </w:r>
    </w:p>
    <w:p>
      <w:pPr>
        <w:spacing w:before="0" w:after="200" w:lineRule="auto" w:line="276"/>
      </w:pPr>
      <w:r>
        <w:rPr>
          <w:b/>
        </w:rPr>
        <w:t xml:space="preserve">Abstract (EN): </w:t>
      </w:r>
      <w:r>
        <w:t>The HMB-enabled energy re-excitation (ERE) mechanism creates a delocalized exciton reservoir for efficient charge separation, while concurrent molecular interface engineering enhances π–π stacking, collectively enabling high-performance organic solar cells with a record 20.5% efficiency.</w:t>
      </w:r>
    </w:p>
    <w:p>
      <w:pPr>
        <w:spacing w:before="120" w:after="120"/>
      </w:pPr>
      <w:r>
        <w:rPr>
          <w:sz w:val="18"/>
        </w:rPr>
        <w:t>——————————————————————————————————————————————————————————————————————</w:t>
      </w:r>
    </w:p>
    <w:p>
      <w:pPr>
        <w:spacing w:before="160" w:after="40" w:line="240" w:lineRule="auto"/>
      </w:pPr>
      <w:r>
        <w:rPr>
          <w:b/>
        </w:rPr>
        <w:t xml:space="preserve">[141] </w:t>
      </w:r>
      <w:hyperlink r:id="rId452">
        <w:r>
          <w:rPr>
            <w:color w:val="1155CC"/>
            <w:u w:val="single"/>
          </w:rPr>
          <w:t>原位同步辐射X射线散射揭示海水淡化膜上的有机介导尺度机制</w:t>
        </w:r>
      </w:hyperlink>
    </w:p>
    <w:p>
      <w:pPr>
        <w:spacing w:before="0" w:after="80"/>
      </w:pPr>
      <w:r>
        <w:rPr>
          <w:i/>
          <w:sz w:val="20"/>
        </w:rPr>
        <w:t>EN: In situ synchrotron X-ray scattering reveals organic-mediated scaling mechanisms on desalination membranes</w:t>
      </w:r>
    </w:p>
    <w:p>
      <w:pPr>
        <w:spacing w:before="0" w:after="120"/>
      </w:pPr>
      <w:r>
        <w:rPr>
          <w:b/>
        </w:rPr>
        <w:t xml:space="preserve">Source: </w:t>
      </w:r>
      <w:r>
        <w:t>Nature Communications</w:t>
      </w:r>
      <w:r>
        <w:t xml:space="preserve">    </w:t>
      </w:r>
      <w:r>
        <w:rPr>
          <w:b/>
        </w:rPr>
        <w:t xml:space="preserve">Pub date: </w:t>
      </w:r>
      <w:r>
        <w:t>2026-03-10 00:00:00+00:00</w:t>
      </w:r>
      <w:r>
        <w:t xml:space="preserve">    </w:t>
      </w:r>
      <w:r>
        <w:rPr>
          <w:b/>
        </w:rPr>
        <w:t xml:space="preserve">DOI: </w:t>
      </w:r>
      <w:hyperlink r:id="rId453">
        <w:r>
          <w:rPr>
            <w:color w:val="1155CC"/>
            <w:u w:val="single"/>
          </w:rPr>
          <w:t>10.1038/s41467-026-70508-x</w:t>
        </w:r>
      </w:hyperlink>
    </w:p>
    <w:p>
      <w:pPr>
        <w:spacing w:before="0" w:after="120"/>
      </w:pPr>
      <w:r>
        <w:rPr>
          <w:b/>
        </w:rPr>
        <w:t xml:space="preserve">Notes: </w:t>
      </w:r>
      <w:r>
        <w:t>abstract_source=nature_html</w:t>
      </w:r>
    </w:p>
    <w:p>
      <w:pPr>
        <w:spacing w:before="0" w:after="80" w:lineRule="auto" w:line="276"/>
      </w:pPr>
      <w:r>
        <w:rPr>
          <w:b/>
        </w:rPr>
        <w:t xml:space="preserve">摘要（ZH）: </w:t>
      </w:r>
      <w:r>
        <w:t>无机结垢，由复杂的有机-无机相互作用控制，在水环境中呈现出普遍的挑战，对工程系统具有广泛的影响。使用反渗透（RO）海水淡化作为模型平台，我们研究了混合有机污染物如何影响膜-水界面的无机石膏结垢。代表性蛋白质、腐殖质和多糖被用作模型污染物，以揭示它们在调节石膏结晶行为中的作用。通过将先进的原位、时间分辨同步辐射X射线散射与建模、光谱和成像分析相结合，我们在浓度极化层中追踪石膏结垢的演变，这一区域通常无法通过传统表征技术访问。</w:t>
      </w:r>
    </w:p>
    <w:p>
      <w:pPr>
        <w:spacing w:before="0" w:after="200" w:lineRule="auto" w:line="276"/>
      </w:pPr>
      <w:r>
        <w:rPr>
          <w:b/>
        </w:rPr>
        <w:t xml:space="preserve">Abstract (EN): </w:t>
      </w:r>
      <w:r>
        <w:t>Inorganic scaling, governed by complex organic–inorganic interactions, presents a pervasive challenge in aqueous environments with broad implications for engineering systems. Using reverse-osmosis (RO) desalination as a model platform, we investigate how mixed organic foulants influence inorganic gypsum scaling at membrane–water interfaces. Representative proteins, humic substances, and polysaccharides are employed as model foulants to reveal their roles in modulating gypsum crystallization behavior. By integrating advanced in situ, time-resolved synchrotron X-ray scattering within the concentration polarization layer—a region typically inaccessible to conventional characterization techniques—with modelling, spectroscopic, and imaging analyses, we track the evolution of gypsum scaling from nanoscale precursors to mature crystals. Our findings reveal that different classes of organic foulants regulate gypsum crystallization through distinct mechanisms, ranging from inhibiting precursor aggregation in the bulk solution to altering interfacial physicochemical properties that govern the kinetics of heterogeneous nucleation and growth. These findings provide molecular-level insights into the coupled dynamics of organic fouling and inorganic scaling, advancing mechanistic understanding of crystallization at functional interfaces. Such insights offer guidance for the rational design of anti-scaling strategies in engineering systems.</w:t>
      </w:r>
    </w:p>
    <w:p>
      <w:pPr>
        <w:spacing w:before="120" w:after="120"/>
      </w:pPr>
      <w:r>
        <w:rPr>
          <w:sz w:val="18"/>
        </w:rPr>
        <w:t>——————————————————————————————————————————————————————————————————————</w:t>
      </w:r>
    </w:p>
    <w:p>
      <w:pPr>
        <w:spacing w:before="160" w:after="40" w:line="240" w:lineRule="auto"/>
      </w:pPr>
      <w:r>
        <w:rPr>
          <w:b/>
        </w:rPr>
        <w:t xml:space="preserve">[142] </w:t>
      </w:r>
      <w:hyperlink r:id="rId454">
        <w:r>
          <w:rPr>
            <w:color w:val="1155CC"/>
            <w:u w:val="single"/>
          </w:rPr>
          <w:t>多重缠结受体用于水中高亲和力阴离子识别</w:t>
        </w:r>
      </w:hyperlink>
    </w:p>
    <w:p>
      <w:pPr>
        <w:spacing w:before="0" w:after="80"/>
      </w:pPr>
      <w:r>
        <w:rPr>
          <w:i/>
          <w:sz w:val="20"/>
        </w:rPr>
        <w:t>EN: Multiply entangled receptors for high-affinity anion recognition in water</w:t>
      </w:r>
    </w:p>
    <w:p>
      <w:pPr>
        <w:spacing w:before="0" w:after="120"/>
      </w:pPr>
      <w:r>
        <w:rPr>
          <w:b/>
        </w:rPr>
        <w:t xml:space="preserve">Source: </w:t>
      </w:r>
      <w:r>
        <w:t>Chem</w:t>
      </w:r>
      <w:r>
        <w:t xml:space="preserve">    </w:t>
      </w:r>
      <w:r>
        <w:rPr>
          <w:b/>
        </w:rPr>
        <w:t xml:space="preserve">Pub date: </w:t>
      </w:r>
      <w:r>
        <w:t>2026-03-10 00:00:00+00:00</w:t>
      </w:r>
      <w:r>
        <w:t xml:space="preserve">    </w:t>
      </w:r>
      <w:r>
        <w:rPr>
          <w:b/>
        </w:rPr>
        <w:t xml:space="preserve">DOI: </w:t>
      </w:r>
      <w:hyperlink r:id="rId455">
        <w:r>
          <w:rPr>
            <w:color w:val="1155CC"/>
            <w:u w:val="single"/>
          </w:rPr>
          <w:t>10.1016/j.chempr.2026.102936</w:t>
        </w:r>
      </w:hyperlink>
    </w:p>
    <w:p>
      <w:pPr>
        <w:spacing w:before="0" w:after="120"/>
      </w:pPr>
      <w:r>
        <w:rPr>
          <w:b/>
        </w:rPr>
        <w:t xml:space="preserve">Notes: </w:t>
      </w:r>
      <w:r>
        <w:t>abstract_source=rss_cell</w:t>
      </w:r>
    </w:p>
    <w:p>
      <w:pPr>
        <w:spacing w:before="0" w:after="80" w:lineRule="auto" w:line="276"/>
      </w:pPr>
      <w:r>
        <w:rPr>
          <w:b/>
        </w:rPr>
        <w:t xml:space="preserve">摘要（ZH）: </w:t>
      </w:r>
      <w:r>
        <w:t>尽管硫酸盐在生物和环境过程中的重要性，选择性硫酸盐结合在水中仍然具有挑战性。在此，设计了多重缠结的大环以实现水溶液中强硫酸盐结合。这些受体的性能通过结构缠结得到增强，从而强制三维预组织化。这项研究表明，这类受体可能代表了一种有前途的水中阴离子传感和捕获平台。</w:t>
      </w:r>
    </w:p>
    <w:p>
      <w:pPr>
        <w:spacing w:before="0" w:after="200" w:lineRule="auto" w:line="276"/>
      </w:pPr>
      <w:r>
        <w:rPr>
          <w:b/>
        </w:rPr>
        <w:t xml:space="preserve">Abstract (EN): </w:t>
      </w:r>
      <w:r>
        <w:t>Selective sulfate binding in water remains challenging despite its importance in biological and environmental processes. Here, multiply entangled macrocycles are designed to achieve strong sulfate binding in aqueous solution. The performance of these receptors is enhanced by structural entanglement, which enforces three-dimensional preorganization. This study suggests that such receptors could represent a promising platform for anion sensing and capture in water.</w:t>
      </w:r>
    </w:p>
    <w:p>
      <w:pPr>
        <w:spacing w:before="120" w:after="120"/>
      </w:pPr>
      <w:r>
        <w:rPr>
          <w:sz w:val="18"/>
        </w:rPr>
        <w:t>——————————————————————————————————————————————————————————————————————</w:t>
      </w:r>
    </w:p>
    <w:p>
      <w:pPr>
        <w:spacing w:before="160" w:after="40" w:line="240" w:lineRule="auto"/>
      </w:pPr>
      <w:r>
        <w:rPr>
          <w:b/>
        </w:rPr>
        <w:t xml:space="preserve">[143] </w:t>
      </w:r>
      <w:hyperlink r:id="rId456">
        <w:r>
          <w:rPr>
            <w:color w:val="1155CC"/>
            <w:u w:val="single"/>
          </w:rPr>
          <w:t>基于深度学习的亚米级城市施工现场映射揭示中国的双轨城市更新</w:t>
        </w:r>
      </w:hyperlink>
    </w:p>
    <w:p>
      <w:pPr>
        <w:spacing w:before="0" w:after="80"/>
      </w:pPr>
      <w:r>
        <w:rPr>
          <w:i/>
          <w:sz w:val="20"/>
        </w:rPr>
        <w:t>EN: Deep-learning-based sub-meter urban construction site mapping reveals China’s dual-track urban renewal</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457">
        <w:r>
          <w:rPr>
            <w:color w:val="1155CC"/>
            <w:u w:val="single"/>
          </w:rPr>
          <w:t>10.1093/nsr/nwag141</w:t>
        </w:r>
      </w:hyperlink>
    </w:p>
    <w:p>
      <w:pPr>
        <w:spacing w:before="0" w:after="120"/>
      </w:pPr>
      <w:r>
        <w:rPr>
          <w:b/>
        </w:rPr>
        <w:t xml:space="preserve">Notes: </w:t>
      </w:r>
      <w:r>
        <w:t>abstract_source=rss_oup</w:t>
      </w:r>
    </w:p>
    <w:p>
      <w:pPr>
        <w:spacing w:before="0" w:after="80" w:lineRule="auto" w:line="276"/>
      </w:pPr>
      <w:r>
        <w:rPr>
          <w:b/>
        </w:rPr>
        <w:t xml:space="preserve">摘要（ZH）: </w:t>
      </w:r>
      <w:r>
        <w:t>自2015年以来，中国的新型城镇化规划是全球最大的城镇化努力，重塑了国家的社会经济格局，但缺乏高精度、细尺度的进展监测。城市建设工地（UCS）作为城市空间扩展和更新的晴雨表，提供了详细的观察窗口。提出了一种用于全国UCS映射的亚米级分辨率深度学习框架。使用Segment Anything Model (SAM)支持的弱监督方法进行像素级UCS标注，具有94.3%总体准确率的光谱-纹理双分支分割网络（STTBNet）识别了372个城市中的541 177个UCS（包括10平方米的微型工地）。K-means聚类将城市划分为四种类型，揭示了双轨并行模式（增量扩展+存量o</w:t>
      </w:r>
    </w:p>
    <w:p>
      <w:pPr>
        <w:spacing w:before="0" w:after="200" w:lineRule="auto" w:line="276"/>
      </w:pPr>
      <w:r>
        <w:rPr>
          <w:b/>
        </w:rPr>
        <w:t xml:space="preserve">Abstract (EN): </w:t>
      </w:r>
      <w:r>
        <w:t>China’s New-Type Urbanization Plan since 2015, the world’s largest urbanization endeavor, reshapes the nation’s socio-economic landscape but lacks high-precision, fine-scale progress monitoring. Urban construction sites (UCS), barometers of urban spatial expansion and renewal, offer a detailed observational window. A sub-meter resolution deep-learning framework for nationwide UCS mapping is proposed. Using a Segment Anything Model (SAM)-enabled weakly supervised method for pixel-level UCS annotation, a spectral–texture dual-branch segmentation network (STTBNet) with 94.3% overall accuracy identifies 541 177 UCS (including 10 m² micro-sites) across 372 cities. K-means clustering partitions cities into four typologies, uncovering a dual-track parallel pattern (incremental expansion + stock optimization) vs the classical ‘growth–decline–renewal’ trajectory. Spatial analysis shows UCS construction correlates with annual PM₂.₅ concentrations; green dust-proof net coverage (&lt;10%) fails to curb pollution. The framework serves as a ‘microscope’ for evaluating new-type urbanization and supports sustainable planning.</w:t>
      </w:r>
    </w:p>
    <w:p>
      <w:pPr>
        <w:spacing w:before="120" w:after="120"/>
      </w:pPr>
      <w:r>
        <w:rPr>
          <w:sz w:val="18"/>
        </w:rPr>
        <w:t>——————————————————————————————————————————————————————————————————————</w:t>
      </w:r>
    </w:p>
    <w:p>
      <w:pPr>
        <w:spacing w:before="160" w:after="40" w:line="240" w:lineRule="auto"/>
      </w:pPr>
      <w:r>
        <w:rPr>
          <w:b/>
        </w:rPr>
        <w:t xml:space="preserve">[144] </w:t>
      </w:r>
      <w:hyperlink r:id="rId458">
        <w:r>
          <w:rPr>
            <w:color w:val="1155CC"/>
            <w:u w:val="single"/>
          </w:rPr>
          <w:t>环境压力下镍酸盐薄膜中超导性在60 K以上的出现</w:t>
        </w:r>
      </w:hyperlink>
    </w:p>
    <w:p>
      <w:pPr>
        <w:spacing w:before="0" w:after="80"/>
      </w:pPr>
      <w:r>
        <w:rPr>
          <w:i/>
          <w:sz w:val="20"/>
        </w:rPr>
        <w:t>EN: Superconductivity onset above 60 K in ambient-pressure nickelate films</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459">
        <w:r>
          <w:rPr>
            <w:color w:val="1155CC"/>
            <w:u w:val="single"/>
          </w:rPr>
          <w:t>10.1093/nsr/nwag151</w:t>
        </w:r>
      </w:hyperlink>
    </w:p>
    <w:p>
      <w:pPr>
        <w:spacing w:before="0" w:after="120"/>
      </w:pPr>
      <w:r>
        <w:rPr>
          <w:b/>
        </w:rPr>
        <w:t xml:space="preserve">Notes: </w:t>
      </w:r>
      <w:r>
        <w:t>abstract_source=rss_oup</w:t>
      </w:r>
    </w:p>
    <w:p>
      <w:pPr>
        <w:spacing w:before="0" w:after="80" w:lineRule="auto" w:line="276"/>
      </w:pPr>
      <w:r>
        <w:rPr>
          <w:b/>
        </w:rPr>
        <w:t xml:space="preserve">摘要（ZH）: </w:t>
      </w:r>
      <w:r>
        <w:t>镍酸盐的常压超导性在起始转变温度（T</w:t>
      </w:r>
    </w:p>
    <w:p>
      <w:pPr>
        <w:spacing w:before="0" w:after="200" w:lineRule="auto" w:line="276"/>
      </w:pPr>
      <w:r>
        <w:rPr>
          <w:b/>
        </w:rPr>
        <w:t xml:space="preserve">Abstract (EN): </w:t>
      </w:r>
      <w:r>
        <w:t>Ambient-pressure superconductivity in nickelates has been capped at an onset transition temperature (T</w:t>
      </w:r>
    </w:p>
    <w:p>
      <w:pPr>
        <w:spacing w:before="120" w:after="120"/>
      </w:pPr>
      <w:r>
        <w:rPr>
          <w:sz w:val="18"/>
        </w:rPr>
        <w:t>——————————————————————————————————————————————————————————————————————</w:t>
      </w:r>
    </w:p>
    <w:p>
      <w:pPr>
        <w:spacing w:before="160" w:after="40" w:line="240" w:lineRule="auto"/>
      </w:pPr>
      <w:r>
        <w:rPr>
          <w:b/>
        </w:rPr>
        <w:t xml:space="preserve">[145] </w:t>
      </w:r>
      <w:hyperlink r:id="rId460">
        <w:r>
          <w:rPr>
            <w:color w:val="1155CC"/>
            <w:u w:val="single"/>
          </w:rPr>
          <w:t>可逆溶液</w:t>
        </w:r>
      </w:hyperlink>
    </w:p>
    <w:p>
      <w:pPr>
        <w:spacing w:before="0" w:after="80"/>
      </w:pPr>
      <w:r>
        <w:rPr>
          <w:i/>
          <w:sz w:val="20"/>
        </w:rPr>
        <w:t>EN: Reversible solutions</w:t>
      </w:r>
    </w:p>
    <w:p>
      <w:pPr>
        <w:spacing w:before="0" w:after="120"/>
      </w:pPr>
      <w:r>
        <w:rPr>
          <w:b/>
        </w:rPr>
        <w:t xml:space="preserve">Source: </w:t>
      </w:r>
      <w:r>
        <w:t>Nature Energy</w:t>
      </w:r>
      <w:r>
        <w:t xml:space="preserve">    </w:t>
      </w:r>
      <w:r>
        <w:rPr>
          <w:b/>
        </w:rPr>
        <w:t xml:space="preserve">Pub date: </w:t>
      </w:r>
      <w:r>
        <w:t>2026-03-10 00:00:00+00:00</w:t>
      </w:r>
      <w:r>
        <w:t xml:space="preserve">    </w:t>
      </w:r>
      <w:r>
        <w:rPr>
          <w:b/>
        </w:rPr>
        <w:t xml:space="preserve">DOI: </w:t>
      </w:r>
      <w:hyperlink r:id="rId461">
        <w:r>
          <w:rPr>
            <w:color w:val="1155CC"/>
            <w:u w:val="single"/>
          </w:rPr>
          <w:t>10.1038/s41560-026-01966-2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462">
        <w:r>
          <w:rPr>
            <w:color w:val="1155CC"/>
            <w:u w:val="single"/>
          </w:rPr>
          <w:t>在NSCLC脑转移中以单细胞分辨率识别改变的免疫景观及其与免疫检查点抑制剂反应不佳的关联</w:t>
        </w:r>
      </w:hyperlink>
    </w:p>
    <w:p>
      <w:pPr>
        <w:spacing w:before="0" w:after="80"/>
      </w:pPr>
      <w:r>
        <w:rPr>
          <w:i/>
          <w:sz w:val="20"/>
        </w:rPr>
        <w:t>EN: Identification of altered immune landscape at single-cell resolution in NSCLC brain metastasis and its association with poor immune checkpoint inhibitor responses</w:t>
      </w:r>
    </w:p>
    <w:p>
      <w:pPr>
        <w:spacing w:before="0" w:after="120"/>
      </w:pPr>
      <w:r>
        <w:rPr>
          <w:b/>
        </w:rPr>
        <w:t xml:space="preserve">Source: </w:t>
      </w:r>
      <w:r>
        <w:t>Nature Communications</w:t>
      </w:r>
      <w:r>
        <w:t xml:space="preserve">    </w:t>
      </w:r>
      <w:r>
        <w:rPr>
          <w:b/>
        </w:rPr>
        <w:t xml:space="preserve">Pub date: </w:t>
      </w:r>
      <w:r>
        <w:t>2026-03-10 00:00:00+00:00</w:t>
      </w:r>
      <w:r>
        <w:t xml:space="preserve">    </w:t>
      </w:r>
      <w:r>
        <w:rPr>
          <w:b/>
        </w:rPr>
        <w:t xml:space="preserve">DOI: </w:t>
      </w:r>
      <w:hyperlink r:id="rId463">
        <w:r>
          <w:rPr>
            <w:color w:val="1155CC"/>
            <w:u w:val="single"/>
          </w:rPr>
          <w:t>10.1038/s41467-026-70715-6</w:t>
        </w:r>
      </w:hyperlink>
    </w:p>
    <w:p>
      <w:pPr>
        <w:spacing w:before="0" w:after="120"/>
      </w:pPr>
      <w:r>
        <w:rPr>
          <w:b/>
        </w:rPr>
        <w:t xml:space="preserve">Notes: </w:t>
      </w:r>
      <w:r>
        <w:t>abstract_source=nature_html</w:t>
      </w:r>
    </w:p>
    <w:p>
      <w:pPr>
        <w:spacing w:before="0" w:after="80" w:lineRule="auto" w:line="276"/>
      </w:pPr>
      <w:r>
        <w:rPr>
          <w:b/>
        </w:rPr>
        <w:t xml:space="preserve">摘要（ZH）: </w:t>
      </w:r>
      <w:r>
        <w:t>脑转移是晚期非小细胞肺癌（NSCLC）的常见并发症，导致预后不良并降低免疫检查点抑制剂（ICIs）的疗效。然而，这种ICIs反应减弱的机制尚不清楚。我们在此对来自原发肿瘤和脑转移的101,959个肿瘤浸润免疫细胞进行单细胞RNA测序，以描绘其独特的免疫景观。脑转移表现出深刻的免疫抑制重编程，其特征是HSP70高应激反应T细胞和PLTP⁺肿瘤相关巨噬细胞的富集，以及记忆T细胞和cDC2样树突状细胞的耗竭，这些细胞与ICIs结果呈相反关联。结合这些发现，我们得出一个由七个基因组成的脑转移衍生免</w:t>
      </w:r>
    </w:p>
    <w:p>
      <w:pPr>
        <w:spacing w:before="0" w:after="200" w:lineRule="auto" w:line="276"/>
      </w:pPr>
      <w:r>
        <w:rPr>
          <w:b/>
        </w:rPr>
        <w:t xml:space="preserve">Abstract (EN): </w:t>
      </w:r>
      <w:r>
        <w:t>Brain metastasis, a common complication of advanced non-small cell lung cancer (NSCLC), leads to poor prognosis and reduces the efficacy of immune checkpoint inhibitors (ICIs). However, the mechanisms underlying this diminished ICI response remain unclear. Here we perform single-cell RNA sequencing on 101,959 tumor-infiltrating immune cells from primary tumors and brain metastases to delineate their distinct immune landscapes. Brain metastases display profound immunosuppressive reprogramming, characterized by enrichment of HSP70-high stress-responsive T cells and PLTP⁺ tumor-associated macrophages, and depletion of memory T cells and cDC2-like dendritic cells, which show opposing associations with ICI outcomes. Integrating these findings, we derive a seven-gene brain metastasis–derived immune signature (BMIS) that is associated with ICI response and survival in NSCLC and metastatic urothelial carcinoma and provides information complementary to tumor mutational burden. These results highlight immune features specific to brain metastatic NSCLC and suggest candidate biomarkers and therapeutic avenues for improving immunotherapy in this high-risk population.</w:t>
      </w:r>
    </w:p>
    <w:p>
      <w:pPr>
        <w:spacing w:before="120" w:after="120"/>
      </w:pPr>
      <w:r>
        <w:rPr>
          <w:sz w:val="18"/>
        </w:rPr>
        <w:t>——————————————————————————————————————————————————————————————————————</w:t>
      </w:r>
    </w:p>
    <w:p>
      <w:pPr>
        <w:spacing w:before="160" w:after="40" w:line="240" w:lineRule="auto"/>
      </w:pPr>
      <w:r>
        <w:rPr>
          <w:b/>
        </w:rPr>
        <w:t xml:space="preserve">[147] </w:t>
      </w:r>
      <w:hyperlink r:id="rId464">
        <w:r>
          <w:rPr>
            <w:color w:val="1155CC"/>
            <w:u w:val="single"/>
          </w:rPr>
          <w:t>通过光开关NaV1.5通道阻滞剂对心脏节律的光学控制</w:t>
        </w:r>
      </w:hyperlink>
    </w:p>
    <w:p>
      <w:pPr>
        <w:spacing w:before="0" w:after="80"/>
      </w:pPr>
      <w:r>
        <w:rPr>
          <w:i/>
          <w:sz w:val="20"/>
        </w:rPr>
        <w:t>EN: Optical control of the cardiac rhythm with photoswitchable NaV1.5 channel blockers</w:t>
      </w:r>
    </w:p>
    <w:p>
      <w:pPr>
        <w:spacing w:before="0" w:after="120"/>
      </w:pPr>
      <w:r>
        <w:rPr>
          <w:b/>
        </w:rPr>
        <w:t xml:space="preserve">Source: </w:t>
      </w:r>
      <w:r>
        <w:t>Nature Communications</w:t>
      </w:r>
      <w:r>
        <w:t xml:space="preserve">    </w:t>
      </w:r>
      <w:r>
        <w:rPr>
          <w:b/>
        </w:rPr>
        <w:t xml:space="preserve">Pub date: </w:t>
      </w:r>
      <w:r>
        <w:t>2026-03-10 00:00:00+00:00</w:t>
      </w:r>
      <w:r>
        <w:t xml:space="preserve">    </w:t>
      </w:r>
      <w:r>
        <w:rPr>
          <w:b/>
        </w:rPr>
        <w:t xml:space="preserve">DOI: </w:t>
      </w:r>
      <w:hyperlink r:id="rId465">
        <w:r>
          <w:rPr>
            <w:color w:val="1155CC"/>
            <w:u w:val="single"/>
          </w:rPr>
          <w:t>10.1038/s41467-026-70305-6</w:t>
        </w:r>
      </w:hyperlink>
    </w:p>
    <w:p>
      <w:pPr>
        <w:spacing w:before="0" w:after="120"/>
      </w:pPr>
      <w:r>
        <w:rPr>
          <w:b/>
        </w:rPr>
        <w:t xml:space="preserve">Notes: </w:t>
      </w:r>
      <w:r>
        <w:t>abstract_source=nature_html</w:t>
      </w:r>
    </w:p>
    <w:p>
      <w:pPr>
        <w:spacing w:before="0" w:after="80" w:lineRule="auto" w:line="276"/>
      </w:pPr>
      <w:r>
        <w:rPr>
          <w:b/>
        </w:rPr>
        <w:t xml:space="preserve">摘要（ZH）: </w:t>
      </w:r>
      <w:r>
        <w:t>电压门控钠通道NaV1.5对心脏兴奋性至关重要，介导心脏动作电位（AP）的快速去极化阶段，确保心脏的正常电传导。NaV1.5功能障碍与危及生命的心律失常有关，使其成为关键的治疗靶点。奎尼丁作为NaV1.5开放态阻滞剂，在心律失常治疗中显示出疗效，但其低特异性限制了其临床应用。在此，我们报告了一种光药理学策略，通过光开关奎尼丁衍生物实现对NaV1.5功能的精确光学控制。通过系统的结构优化，我们确定了azo-Q2a作为高性能光开关抑制剂，在黑暗或480 nm下表现出低活性</w:t>
      </w:r>
    </w:p>
    <w:p>
      <w:pPr>
        <w:spacing w:before="0" w:after="200" w:lineRule="auto" w:line="276"/>
      </w:pPr>
      <w:r>
        <w:rPr>
          <w:b/>
        </w:rPr>
        <w:t xml:space="preserve">Abstract (EN): </w:t>
      </w:r>
      <w:r>
        <w:t>Voltage-gated sodium channel NaV1.5 is essential for cardiac excitability, mediating the rapid depolarization phase of the cardiac action potential (AP) and ensuring proper electrical conduction in the heart. Dysfunction of NaV1.5 is implicated in life-threatening arrhythmias, making it a critical therapeutic target. Acting as a NaV1.5 open-state blocker, quinidine demonstrates efficacy in arrhythmia treatment, but its low specificity restricts its clinical application. Here, we report an optopharmacological strategy that enables a precise and optical control of NaV1.5 function by means of photoswitchable quinidine derivatives. Through systematic structural optimization, we identify azo-Q2a as a high-performance photoswitchable inhibitor, exhibiting low activity in the dark or under 480 nm light irradiation (trans isomer), while approximately 7-fold higher efficacy is observed under 365 nm light irradiation (cis isomer). Of note, azo-Q2a demonstrates exceptional selectivity for NaV1.5 over cardiac ion channels and other NaV1 subtypes, minimizing potential off-target effects. Furthermore, by solving the cryo-EM structure of the NaV1.5 in complex with the cis-active isomer azo-Q2a (3.0 Å resolution), we reveal the essential binding site that is responsible for the optical control of NaV1.5. Finally, azo-Q2a also attenuates the heart rate of living zebrafish larvae with light, showing its potential in cardiac-related research and treatment. Our work not only establishes azo-Q2a as a robust photoswitchable inhibitor for NaV1.5 but also provides a structural blueprint for the rational design of next-generation optopharmacological antiarrhythmic agents.</w:t>
      </w:r>
    </w:p>
    <w:p>
      <w:pPr>
        <w:spacing w:before="120" w:after="120"/>
      </w:pPr>
      <w:r>
        <w:rPr>
          <w:sz w:val="18"/>
        </w:rPr>
        <w:t>——————————————————————————————————————————————————————————————————————</w:t>
      </w:r>
    </w:p>
    <w:p>
      <w:pPr>
        <w:spacing w:before="160" w:after="40" w:line="240" w:lineRule="auto"/>
      </w:pPr>
      <w:r>
        <w:rPr>
          <w:b/>
        </w:rPr>
        <w:t xml:space="preserve">[148] </w:t>
      </w:r>
      <w:hyperlink r:id="rId466">
        <w:r>
          <w:rPr>
            <w:color w:val="1155CC"/>
            <w:u w:val="single"/>
          </w:rPr>
          <w:t>能源贫困的多重后果：全球元分析</w:t>
        </w:r>
      </w:hyperlink>
    </w:p>
    <w:p>
      <w:pPr>
        <w:spacing w:before="0" w:after="80"/>
      </w:pPr>
      <w:r>
        <w:rPr>
          <w:i/>
          <w:sz w:val="20"/>
        </w:rPr>
        <w:t>EN: The multiple consequences of energy poverty: A global meta-analysis</w:t>
      </w:r>
    </w:p>
    <w:p>
      <w:pPr>
        <w:spacing w:before="0" w:after="120"/>
      </w:pPr>
      <w:r>
        <w:rPr>
          <w:b/>
        </w:rPr>
        <w:t xml:space="preserve">Source: </w:t>
      </w:r>
      <w:r>
        <w:t>ScienceDirect Publication: Energy Policy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 </w:t>
      </w:r>
      <w:hyperlink r:id="rId467">
        <w:r>
          <w:rPr>
            <w:color w:val="1155CC"/>
            <w:u w:val="single"/>
          </w:rPr>
          <w:t>地缘政治碎片化与清洁能源转型：经济制裁如何阻碍可再生能源发展</w:t>
        </w:r>
      </w:hyperlink>
    </w:p>
    <w:p>
      <w:pPr>
        <w:spacing w:before="0" w:after="80"/>
      </w:pPr>
      <w:r>
        <w:rPr>
          <w:i/>
          <w:sz w:val="20"/>
        </w:rPr>
        <w:t>EN: Geopolitical fragmentation and the clean energy transition: How economic sanctions hinder renewable energy development</w:t>
      </w:r>
    </w:p>
    <w:p>
      <w:pPr>
        <w:spacing w:before="0" w:after="120"/>
      </w:pPr>
      <w:r>
        <w:rPr>
          <w:b/>
        </w:rPr>
        <w:t xml:space="preserve">Source: </w:t>
      </w:r>
      <w:r>
        <w:t>ScienceDirect Publication: Energy Policy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468">
        <w:r>
          <w:rPr>
            <w:color w:val="1155CC"/>
            <w:u w:val="single"/>
          </w:rPr>
          <w:t>印度各邦在电力脱碳方面表现如何？基于消费的次国家层面分解分析</w:t>
        </w:r>
      </w:hyperlink>
    </w:p>
    <w:p>
      <w:pPr>
        <w:spacing w:before="0" w:after="80"/>
      </w:pPr>
      <w:r>
        <w:rPr>
          <w:i/>
          <w:sz w:val="20"/>
        </w:rPr>
        <w:t>EN: How do Indian states fare in electricity decarbonization? A consumption-based decomposition analysis at subnational level</w:t>
      </w:r>
    </w:p>
    <w:p>
      <w:pPr>
        <w:spacing w:before="0" w:after="120"/>
      </w:pPr>
      <w:r>
        <w:rPr>
          <w:b/>
        </w:rPr>
        <w:t xml:space="preserve">Source: </w:t>
      </w:r>
      <w:r>
        <w:t>ScienceDirect Publication: Energy Policy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469">
        <w:r>
          <w:rPr>
            <w:color w:val="1155CC"/>
            <w:u w:val="single"/>
          </w:rPr>
          <w:t>在毫开尔文温度下由超导数字电子控制的量子计算机</w:t>
        </w:r>
      </w:hyperlink>
    </w:p>
    <w:p>
      <w:pPr>
        <w:spacing w:before="0" w:after="80"/>
      </w:pPr>
      <w:r>
        <w:rPr>
          <w:i/>
          <w:sz w:val="20"/>
        </w:rPr>
        <w:t>EN: A quantum computer controlled by superconducting digital electronics at millikelvin temperature</w:t>
      </w:r>
    </w:p>
    <w:p>
      <w:pPr>
        <w:spacing w:before="0" w:after="120"/>
      </w:pPr>
      <w:r>
        <w:rPr>
          <w:b/>
        </w:rPr>
        <w:t xml:space="preserve">Source: </w:t>
      </w:r>
      <w:r>
        <w:t>Nature Electronics</w:t>
      </w:r>
      <w:r>
        <w:t xml:space="preserve">    </w:t>
      </w:r>
      <w:r>
        <w:rPr>
          <w:b/>
        </w:rPr>
        <w:t xml:space="preserve">Pub date: </w:t>
      </w:r>
      <w:r>
        <w:t>2026-03-10 00:00:00+00:00</w:t>
      </w:r>
      <w:r>
        <w:t xml:space="preserve">    </w:t>
      </w:r>
      <w:r>
        <w:rPr>
          <w:b/>
        </w:rPr>
        <w:t xml:space="preserve">DOI: </w:t>
      </w:r>
      <w:hyperlink r:id="rId470">
        <w:r>
          <w:rPr>
            <w:color w:val="1155CC"/>
            <w:u w:val="single"/>
          </w:rPr>
          <w:t>10.1038/s41928-026-01576-6</w:t>
        </w:r>
      </w:hyperlink>
    </w:p>
    <w:p>
      <w:pPr>
        <w:spacing w:before="0" w:after="120"/>
      </w:pPr>
      <w:r>
        <w:rPr>
          <w:b/>
        </w:rPr>
        <w:t xml:space="preserve">Notes: </w:t>
      </w:r>
      <w:r>
        <w:t>abstract_source=nature_html</w:t>
      </w:r>
    </w:p>
    <w:p>
      <w:pPr>
        <w:spacing w:before="0" w:after="80" w:lineRule="auto" w:line="276"/>
      </w:pPr>
      <w:r>
        <w:rPr>
          <w:b/>
        </w:rPr>
        <w:t xml:space="preserve">摘要（ZH）: </w:t>
      </w:r>
      <w:r>
        <w:t>超导量子计算平台的发展面临着相当大的扩展挑战，因为需要单独的信号线来控制每个量子比特。这种布线开销是由于室温控制电子设备与在毫开尔文温度下运行的量子比特之间的集成水平低。一个有前途的替代方案是使用与量子比特共存的低温超导数字控制电子设备。在此，我们展示了一个主动量子处理器单元，其中量子比特和单通量量子控制电子设备通过倒装芯片键合集成到一个多芯片模块中。我们的系统使用数字解复用将控制脉冲分配给多个量子比特，从而打破了控制线与量子比特数量的线性扩展。</w:t>
      </w:r>
    </w:p>
    <w:p>
      <w:pPr>
        <w:spacing w:before="0" w:after="200" w:lineRule="auto" w:line="276"/>
      </w:pPr>
      <w:r>
        <w:rPr>
          <w:b/>
        </w:rPr>
        <w:t xml:space="preserve">Abstract (EN): </w:t>
      </w:r>
      <w:r>
        <w:t>The development of superconducting quantum computing platforms faces considerable scaling challenges because individual signal lines are required to control each qubit. This wiring overhead is a result of the low level of integration between the control electronics at room temperature and the qubits operating at millikelvin temperatures. A promising alternative is to use cryogenic superconducting digital control electronics that coexist with qubits. Here we present an active quantum processor unit in which qubits and single-flux quantum control electronics are integrated into a single multi-chip module via flip-chip bonding. Our system uses digital demultiplexing to distribute control pulses to several qubits, thus breaking the linear scaling of control lines to the number of qubits. With this approach, we demonstrate single-qubit fidelities above 99% and up to 99.9%.</w:t>
      </w:r>
    </w:p>
    <w:p>
      <w:pPr>
        <w:spacing w:before="120" w:after="120"/>
      </w:pPr>
      <w:r>
        <w:rPr>
          <w:sz w:val="18"/>
        </w:rPr>
        <w:t>——————————————————————————————————————————————————————————————————————</w:t>
      </w:r>
    </w:p>
    <w:p>
      <w:pPr>
        <w:spacing w:before="160" w:after="40" w:line="240" w:lineRule="auto"/>
      </w:pPr>
      <w:r>
        <w:rPr>
          <w:b/>
        </w:rPr>
        <w:t xml:space="preserve">[152] </w:t>
      </w:r>
      <w:hyperlink r:id="rId471">
        <w:r>
          <w:rPr>
            <w:color w:val="1155CC"/>
            <w:u w:val="single"/>
          </w:rPr>
          <w:t>在欧洲森林中，叶面硝化细菌丰度与树冠硝化之间没有普遍关系</w:t>
        </w:r>
      </w:hyperlink>
    </w:p>
    <w:p>
      <w:pPr>
        <w:spacing w:before="0" w:after="80"/>
      </w:pPr>
      <w:r>
        <w:rPr>
          <w:i/>
          <w:sz w:val="20"/>
        </w:rPr>
        <w:t>EN: No pervasive relationship between phyllosphere nitrifiers abundance and canopy nitrification in European forests</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472">
        <w:r>
          <w:rPr>
            <w:color w:val="1155CC"/>
            <w:u w:val="single"/>
          </w:rPr>
          <w:t>10.1093/nsr/nwag147</w:t>
        </w:r>
      </w:hyperlink>
    </w:p>
    <w:p>
      <w:pPr>
        <w:spacing w:before="0" w:after="120"/>
      </w:pPr>
      <w:r>
        <w:rPr>
          <w:b/>
        </w:rPr>
        <w:t xml:space="preserve">Notes: </w:t>
      </w:r>
      <w:r>
        <w:t>abstract_source=rss_oup</w:t>
      </w:r>
    </w:p>
    <w:p>
      <w:pPr>
        <w:spacing w:before="0" w:after="80" w:lineRule="auto" w:line="276"/>
      </w:pPr>
      <w:r>
        <w:rPr>
          <w:b/>
        </w:rPr>
        <w:t xml:space="preserve">摘要（ZH）: </w:t>
      </w:r>
      <w:r>
        <w:t>最近的一项研究推断出叶面硝化细菌对欧洲森林冠层硝化的显著贡献。然而，通过重新分析欧洲森林的数据，我们没有发现叶面硝化细菌丰度与冠层硝化之间的明确关系。这种关系的缺乏可能归因于冠层硝化和叶面硝化细菌的不确定性，呼吁经验、理论和建模科学家之间的跨学科合作。</w:t>
      </w:r>
    </w:p>
    <w:p>
      <w:pPr>
        <w:spacing w:before="0" w:after="200" w:lineRule="auto" w:line="276"/>
      </w:pPr>
      <w:r>
        <w:rPr>
          <w:b/>
        </w:rPr>
        <w:t xml:space="preserve">Abstract (EN): </w:t>
      </w:r>
      <w:r>
        <w:t>A recent study inferred the substantial contribution of phyllosphere nitrifiers to canopy nitrification in European forests. By re-analyzing the data from European forests, however, we show no clear relationship between phyllosphere nitrifiers abundance and canopy nitrification. A lack of such relationship may be attributed to uncertainties in canopy nitrification and phyllosphere nitrifiers, calling for a need of interdisciplinary collaboration among empirical, theoretical and modeling scientists.</w:t>
      </w:r>
    </w:p>
    <w:p>
      <w:pPr>
        <w:spacing w:before="120" w:after="120"/>
      </w:pPr>
      <w:r>
        <w:rPr>
          <w:sz w:val="18"/>
        </w:rPr>
        <w:t>——————————————————————————————————————————————————————————————————————</w:t>
      </w:r>
    </w:p>
    <w:p>
      <w:pPr>
        <w:spacing w:before="160" w:after="40" w:line="240" w:lineRule="auto"/>
      </w:pPr>
      <w:r>
        <w:rPr>
          <w:b/>
        </w:rPr>
        <w:t xml:space="preserve">[153] </w:t>
      </w:r>
      <w:hyperlink r:id="rId473">
        <w:r>
          <w:rPr>
            <w:color w:val="1155CC"/>
            <w:u w:val="single"/>
          </w:rPr>
          <w:t>通过DFT指导的Mo掺杂解决热解合成BiVO4中的相不稳定性和电荷复合以提高性能</w:t>
        </w:r>
      </w:hyperlink>
    </w:p>
    <w:p>
      <w:pPr>
        <w:spacing w:before="0" w:after="80"/>
      </w:pPr>
      <w:r>
        <w:rPr>
          <w:i/>
          <w:sz w:val="20"/>
        </w:rPr>
        <w:t>EN: Addressing phase instability and charge recombination in pyrolysis-synthesized BiVO4 via DFT-guided Mo doping for enhanced performance</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474">
        <w:r>
          <w:rPr>
            <w:color w:val="1155CC"/>
            <w:u w:val="single"/>
          </w:rPr>
          <w:t>10.1093/nsr/nwag148</w:t>
        </w:r>
      </w:hyperlink>
    </w:p>
    <w:p>
      <w:pPr>
        <w:spacing w:before="0" w:after="120"/>
      </w:pPr>
      <w:r>
        <w:rPr>
          <w:b/>
        </w:rPr>
        <w:t xml:space="preserve">Notes: </w:t>
      </w:r>
      <w:r>
        <w:t>abstract_source=rss_oup</w:t>
      </w:r>
    </w:p>
    <w:p>
      <w:pPr>
        <w:spacing w:before="0" w:after="80" w:lineRule="auto" w:line="276"/>
      </w:pPr>
      <w:r>
        <w:rPr>
          <w:b/>
        </w:rPr>
        <w:t xml:space="preserve">摘要（ZH）: </w:t>
      </w:r>
      <w:r>
        <w:t>通过可扩展的金属有机分解（MOD）方法制备透明的铋钒酸盐（BiVO4, BVO）光阳极长期以来受到严重的电荷复合和相不稳定性的困扰，阻碍了其在太阳能到化学能转换中的应用。在此，我们采用密度泛函理论（DFT）计算，通过评估掺杂剂的载流子传输特性和对相稳定性的热力学影响来筛选掺杂剂。在此基础上，Mo被确定并通过实验验证为一种双重作用的掺杂剂，它抑制了非活性锆型四方（z-t）的形成，同时增强了BVO的电荷传输特性。因此，通过MOD方法制备的相纯单斜白钨矿（m-s）Mo掺杂BVO薄膜产生了优化的透明p</w:t>
      </w:r>
    </w:p>
    <w:p>
      <w:pPr>
        <w:spacing w:before="0" w:after="200" w:lineRule="auto" w:line="276"/>
      </w:pPr>
      <w:r>
        <w:rPr>
          <w:b/>
        </w:rPr>
        <w:t xml:space="preserve">Abstract (EN): </w:t>
      </w:r>
      <w:r>
        <w:t>Preparation of transparent bismuth vanadate (BiVO4, BVO) photoanode via a scalable metal-organic decomposition (MOD) method has been long-term plagued by severe charge recombination and phase instability, preventing its application in solar-to-chemical energy conversion. Here, we employ density functional theory (DFT) calculations to screen dopants by evaluating their carrier transport properties and thermodynamic effects on phase stability. On the basis, Mo is identified and experimentally confirmed as a dual-role dopant that suppresses the formation of the inactive zircon-type tetragonal (z-t) while simultaneously enhancing charge-transport properties of BVO. Consequently, phase-pure monoclinic scheelite (m-s) Mo-doped BVO films prepared by the MOD method yield an optimized transparent photoanode (denoted 3Mo-BVO), exhibiting a remarkable charge separation efficiency of 96.2% at 1.23 V vs. reversible hydrogen electrode. Together with modification of NiFeOx cocatalyst, the 3Mo-BVO photoanode was used for assembly of a tandem device with a photovoltaic (PV) solar cell to achieve overall water splitting with a benchmarking solar-to-hydrogen (STH) efficiency of 4.7%.</w:t>
      </w:r>
    </w:p>
    <w:p>
      <w:pPr>
        <w:spacing w:before="120" w:after="120"/>
      </w:pPr>
      <w:r>
        <w:rPr>
          <w:sz w:val="18"/>
        </w:rPr>
        <w:t>——————————————————————————————————————————————————————————————————————</w:t>
      </w:r>
    </w:p>
    <w:p>
      <w:pPr>
        <w:spacing w:before="160" w:after="40" w:line="240" w:lineRule="auto"/>
      </w:pPr>
      <w:r>
        <w:rPr>
          <w:b/>
        </w:rPr>
        <w:t xml:space="preserve">[154] </w:t>
      </w:r>
      <w:hyperlink r:id="rId475">
        <w:r>
          <w:rPr>
            <w:color w:val="1155CC"/>
            <w:u w:val="single"/>
          </w:rPr>
          <w:t>由空气稳定的手性膦促进的S(IV)立体选择性磺酰胺的有机催化对映选择性合成</w:t>
        </w:r>
      </w:hyperlink>
    </w:p>
    <w:p>
      <w:pPr>
        <w:spacing w:before="0" w:after="80"/>
      </w:pPr>
      <w:r>
        <w:rPr>
          <w:i/>
          <w:sz w:val="20"/>
        </w:rPr>
        <w:t>EN: Organocatalytic enantioselective synthesis of S(IV)-stereogenic sulfinamides enabled by an air-stable chiral phosphine</w:t>
      </w:r>
    </w:p>
    <w:p>
      <w:pPr>
        <w:spacing w:before="0" w:after="120"/>
      </w:pPr>
      <w:r>
        <w:rPr>
          <w:b/>
        </w:rPr>
        <w:t xml:space="preserve">Source: </w:t>
      </w:r>
      <w:r>
        <w:t>Nature Chemistry</w:t>
      </w:r>
      <w:r>
        <w:t xml:space="preserve">    </w:t>
      </w:r>
      <w:r>
        <w:rPr>
          <w:b/>
        </w:rPr>
        <w:t xml:space="preserve">Pub date: </w:t>
      </w:r>
      <w:r>
        <w:t>2026-03-10 00:00:00+00:00</w:t>
      </w:r>
      <w:r>
        <w:t xml:space="preserve">    </w:t>
      </w:r>
      <w:r>
        <w:rPr>
          <w:b/>
        </w:rPr>
        <w:t xml:space="preserve">DOI: </w:t>
      </w:r>
      <w:hyperlink r:id="rId476">
        <w:r>
          <w:rPr>
            <w:color w:val="1155CC"/>
            <w:u w:val="single"/>
          </w:rPr>
          <w:t>10.1038/s41557-026-02095-9</w:t>
        </w:r>
      </w:hyperlink>
    </w:p>
    <w:p>
      <w:pPr>
        <w:spacing w:before="0" w:after="120"/>
      </w:pPr>
      <w:r>
        <w:rPr>
          <w:b/>
        </w:rPr>
        <w:t xml:space="preserve">Notes: </w:t>
      </w:r>
      <w:r>
        <w:t>abstract_source=nature_html</w:t>
      </w:r>
    </w:p>
    <w:p>
      <w:pPr>
        <w:spacing w:before="0" w:after="80" w:lineRule="auto" w:line="276"/>
      </w:pPr>
      <w:r>
        <w:rPr>
          <w:b/>
        </w:rPr>
        <w:t xml:space="preserve">摘要（ZH）: </w:t>
      </w:r>
      <w:r>
        <w:t>具有硫手性中心的富含对映异构体的乙烯基亚砜酰胺在医学上具有重要价值，但通过传统策略难以获得。在此，我们披露了一种通过Morita–Baylis–Hillman酯和亚砜胺之间的对映选择性C−S键形成的有机催化方法，该方法由设计的手性有机膦催化。该催化剂的结构刚性对于该过程中优异的化学、对映和非对映选择性以及其卓越的空气稳定性至关重要。密度泛函理论和实验研究表明，膦鎓物种可能作为催化剂的静止态，而亚砜胺可能同时作为反应伙伴和促进剂，促进关键膦鎓中间体的形成。</w:t>
      </w:r>
    </w:p>
    <w:p>
      <w:pPr>
        <w:spacing w:before="0" w:after="200" w:lineRule="auto" w:line="276"/>
      </w:pPr>
      <w:r>
        <w:rPr>
          <w:b/>
        </w:rPr>
        <w:t xml:space="preserve">Abstract (EN): </w:t>
      </w:r>
      <w:r>
        <w:t>Enantioenriched vinyl sulfinamides with chiral-at-sulfur chirality are medicinally valuable but have limited accessibility with conventional strategies. Here we disclose an organocatalytic approach via enantioselective C−S bond formation between Morita–Baylis–Hillman esters and sulfinylamines catalysed by a designed chiral organophosphine. The structural rigidity of this catalyst is crucial for not only the excellent chemo-, enantio- and diastereoselectivities in this process but also its extraordinary air stability. Density functional theory and experimental studies indicated that the phosphonium species probably serves as the catalyst resting state, and the sulfinylamine may play a dual role as both reaction partner and promoter for the formation of the key phosphonium intermediate. The cyclic vinyl sulfinamides showed promising binding affinity to the mutant spike of severe acute respiratory syndrome coronavirus 2 and ENV of human immunodeficiency virus-1, suggesting that this less-explored chemical space has great potential for further antiviral drug development.</w:t>
      </w:r>
    </w:p>
    <w:p>
      <w:pPr>
        <w:spacing w:before="120" w:after="120"/>
      </w:pPr>
      <w:r>
        <w:rPr>
          <w:sz w:val="18"/>
        </w:rPr>
        <w:t>——————————————————————————————————————————————————————————————————————</w:t>
      </w:r>
    </w:p>
    <w:p>
      <w:pPr>
        <w:spacing w:before="160" w:after="40" w:line="240" w:lineRule="auto"/>
      </w:pPr>
      <w:r>
        <w:rPr>
          <w:b/>
        </w:rPr>
        <w:t xml:space="preserve">[155] </w:t>
      </w:r>
      <w:hyperlink r:id="rId477">
        <w:r>
          <w:rPr>
            <w:color w:val="1155CC"/>
            <w:u w:val="single"/>
          </w:rPr>
          <w:t>Fe改性Ni电极的预催化表面粗糙度转化为氧化反应活性的内在位点</w:t>
        </w:r>
      </w:hyperlink>
    </w:p>
    <w:p>
      <w:pPr>
        <w:spacing w:before="0" w:after="80"/>
      </w:pPr>
      <w:r>
        <w:rPr>
          <w:i/>
          <w:sz w:val="20"/>
        </w:rPr>
        <w:t>EN: Precatalytic surface roughness of Fe-modified Ni electrodes translates into intrinsic sites for oxygen evolution reactivity</w:t>
      </w:r>
    </w:p>
    <w:p>
      <w:pPr>
        <w:spacing w:before="0" w:after="120"/>
      </w:pPr>
      <w:r>
        <w:rPr>
          <w:b/>
        </w:rPr>
        <w:t xml:space="preserve">Source: </w:t>
      </w:r>
      <w:r>
        <w:t>RSC - Energy Environ. Sci. latest articles</w:t>
      </w:r>
      <w:r>
        <w:t xml:space="preserve">    </w:t>
      </w:r>
      <w:r>
        <w:rPr>
          <w:b/>
        </w:rPr>
        <w:t xml:space="preserve">Pub date: </w:t>
      </w:r>
      <w:r>
        <w:t>2026-03-10 00:00:00+00:00</w:t>
      </w:r>
    </w:p>
    <w:p>
      <w:pPr>
        <w:spacing w:before="0" w:after="120"/>
      </w:pPr>
      <w:r>
        <w:rPr>
          <w:b/>
        </w:rPr>
        <w:t xml:space="preserve">Notes: </w:t>
      </w:r>
      <w:r>
        <w:t>abstract_source=rsc_html</w:t>
      </w:r>
    </w:p>
    <w:p>
      <w:pPr>
        <w:spacing w:before="0" w:after="80" w:lineRule="auto" w:line="276"/>
      </w:pPr>
      <w:r>
        <w:rPr>
          <w:b/>
        </w:rPr>
        <w:t xml:space="preserve">摘要（ZH）: </w:t>
      </w:r>
      <w:r>
        <w:t>优化碱性水电解中的电极表面对于性能和长期稳定性至关重要。工业镍基电极通常通过酸浸以增加表面粗糙度，并通过铁沉积来增强氧析出反应（OER）的电催化性能。在此，我们建立了真实镍泡沫电极与形貌控制的Ni(111)模型表面之间的机制联系。我们表明，在催化前状态下，由于表面粗糙度的增加而导致的电催化活性增加，主要不是由于更高的电化学活性表面积，而是由于本质上OER活性相的优先形成。Ni(111)上的不协调阶梯位点有利于活性NiOOH的形成，而平面晶面上则形成非活性NiO。</w:t>
      </w:r>
    </w:p>
    <w:p>
      <w:pPr>
        <w:spacing w:before="0" w:after="200" w:lineRule="auto" w:line="276"/>
      </w:pPr>
      <w:r>
        <w:rPr>
          <w:b/>
        </w:rPr>
        <w:t xml:space="preserve">Abstract (EN): </w:t>
      </w:r>
      <w:r>
        <w:t>Optimizing electrode surfaces in alkaline water electrolysis is critical for performance and long-term stability. Industrial nickel-based electrodes are typically conditioned via acid leaching to increase surface roughness and Fe deposition to enhance electrocatalytic properties for the oxygen evolution reaction (OER). Here, we establish a mechanistic link between real nickel foam electrodes and morphology-controlled Ni(111) model surfaces. We show that increased electrocatalytic activity from induced surface roughness in the precatalytic state is not primarily due to higher electrochemically active surface area, but to the preferential formation of the intrinsically OER active phases. Undercoordinated step sites on Ni(111) favor active NiOOH whereas inactive NiO forms on planar facets. Furthermore, Fe preferentially deposits at step-edge sites, creating a site-specific synergy that stabilizes Fe-promoted NiOOH phases. These findings demonstrate a dual role of surface roughness, revealing how nanoscale surface topology in the preconditioned state directly governs catalytic OER performance.</w:t>
      </w:r>
    </w:p>
    <w:p>
      <w:pPr>
        <w:spacing w:before="120" w:after="120"/>
      </w:pPr>
      <w:r>
        <w:rPr>
          <w:sz w:val="18"/>
        </w:rPr>
        <w:t>——————————————————————————————————————————————————————————————————————</w:t>
      </w:r>
    </w:p>
    <w:p>
      <w:pPr>
        <w:spacing w:before="160" w:after="40" w:line="240" w:lineRule="auto"/>
      </w:pPr>
      <w:r>
        <w:rPr>
          <w:b/>
        </w:rPr>
        <w:t xml:space="preserve">[156] </w:t>
      </w:r>
      <w:hyperlink r:id="rId478">
        <w:r>
          <w:rPr>
            <w:color w:val="1155CC"/>
            <w:u w:val="single"/>
          </w:rPr>
          <w:t>层间化学限制实现高可逆性和耐久性的锂-氯电池</w:t>
        </w:r>
      </w:hyperlink>
    </w:p>
    <w:p>
      <w:pPr>
        <w:spacing w:before="0" w:after="80"/>
      </w:pPr>
      <w:r>
        <w:rPr>
          <w:i/>
          <w:sz w:val="20"/>
        </w:rPr>
        <w:t>EN: Interlayer chemical confinement enables highly reversible and durable lithium-chlorine batteries</w:t>
      </w:r>
    </w:p>
    <w:p>
      <w:pPr>
        <w:spacing w:before="0" w:after="120"/>
      </w:pPr>
      <w:r>
        <w:rPr>
          <w:b/>
        </w:rPr>
        <w:t xml:space="preserve">Source: </w:t>
      </w:r>
      <w:r>
        <w:t>RSC - Energy Environ. Sci. latest articles</w:t>
      </w:r>
      <w:r>
        <w:t xml:space="preserve">    </w:t>
      </w:r>
      <w:r>
        <w:rPr>
          <w:b/>
        </w:rPr>
        <w:t xml:space="preserve">Pub date: </w:t>
      </w:r>
      <w:r>
        <w:t>2026-03-10 00:00:00+00:00</w:t>
      </w:r>
    </w:p>
    <w:p>
      <w:pPr>
        <w:spacing w:before="0" w:after="120"/>
      </w:pPr>
      <w:r>
        <w:rPr>
          <w:b/>
        </w:rPr>
        <w:t xml:space="preserve">Notes: </w:t>
      </w:r>
      <w:r>
        <w:t>abstract_source=rsc_html</w:t>
      </w:r>
    </w:p>
    <w:p>
      <w:pPr>
        <w:spacing w:before="0" w:after="80" w:lineRule="auto" w:line="276"/>
      </w:pPr>
      <w:r>
        <w:rPr>
          <w:b/>
        </w:rPr>
        <w:t xml:space="preserve">摘要（ZH）: </w:t>
      </w:r>
      <w:r>
        <w:t>可充电锂-氯（Li-Cl2）电池代表了一种有前途的高能量密度技术，可用于大规模应用。然而，传统的阴极与Cl2的相互作用较弱，LiCl沉积不均匀，导致Cl2/LiCl转化动力学差和循环寿命有限。在这项研究中，提出了一种中间层化学限制策略，以实现Ti3C2Sx MXenes中高度可逆的Cl2/LiCl转化。具体而言，MXene中间层的受限空间有效抑制了Cl2的逃逸，而硫表面终止与Cl形成共价相互作用，进一步固定Cl2并降低LiCl成核障碍，实现均匀沉积。原位表征结合理论计算揭示了可逆的Cl2/LiC</w:t>
      </w:r>
    </w:p>
    <w:p>
      <w:pPr>
        <w:spacing w:before="0" w:after="200" w:lineRule="auto" w:line="276"/>
      </w:pPr>
      <w:r>
        <w:rPr>
          <w:b/>
        </w:rPr>
        <w:t xml:space="preserve">Abstract (EN): </w:t>
      </w:r>
      <w:r>
        <w:t>Rechargeable lithium-chlorine (Li-Cl2 ) batteries represent a promising high-energy-density technology for use in large-scale applications. However, conventional cathodes suffer from weak interactions with Cl 2 and uneven LiCl deposition, resulting in poor Cl2 /LiCl conversion kinetics and limited cycle life. In this study, an interlayer chemical confinement strategy is proposed to enable highly reversible Cl 2 /LiCl conversion in Ti3C2Sx MXenes. Specifically, the confined space in MXene interlayer effectively suppresses Cl2 escape while the sulfur surface terminations form covalent interactions with Cl to further immobilize Cl2 and lower the LiCl nucleation barrier to achieve uniform deposition. In situ characterization combined with theoretical calculations reveals the reversible Cl2/LiCl redox reaction with a low energy barrier occurs within the confined interlayer space. This confinement strategy imparts the Li-Cl2 battery with a high specific capacity of up to 2200 mAh g-1 , in conjunction with long cycle lives of 1300 and 1200 cycles when operating at 25 and -60 ℃, respectively. This study provides new insights into the nanoconfinement effect and opens a promising avenue for the development of high-performance metal-Cl2 batteries.</w:t>
      </w:r>
    </w:p>
    <w:p>
      <w:pPr>
        <w:spacing w:before="120" w:after="120"/>
      </w:pPr>
      <w:r>
        <w:rPr>
          <w:sz w:val="18"/>
        </w:rPr>
        <w:t>——————————————————————————————————————————————————————————————————————</w:t>
      </w:r>
    </w:p>
    <w:p>
      <w:pPr>
        <w:spacing w:before="160" w:after="40" w:line="240" w:lineRule="auto"/>
      </w:pPr>
      <w:r>
        <w:rPr>
          <w:b/>
        </w:rPr>
        <w:t xml:space="preserve">[157] </w:t>
      </w:r>
      <w:hyperlink r:id="rId479">
        <w:r>
          <w:rPr>
            <w:color w:val="1155CC"/>
            <w:u w:val="single"/>
          </w:rPr>
          <w:t>AI时代的复杂系统科学：科学研究的关键范式</w:t>
        </w:r>
      </w:hyperlink>
    </w:p>
    <w:p>
      <w:pPr>
        <w:spacing w:before="0" w:after="80"/>
      </w:pPr>
      <w:r>
        <w:rPr>
          <w:i/>
          <w:sz w:val="20"/>
        </w:rPr>
        <w:t>EN: Complex Systems Science in the AI Era: A Pivotal Paradigm for Scientific Research</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480">
        <w:r>
          <w:rPr>
            <w:color w:val="1155CC"/>
            <w:u w:val="single"/>
          </w:rPr>
          <w:t>10.1093/nsr/nwag150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481">
        <w:r>
          <w:rPr>
            <w:color w:val="1155CC"/>
            <w:u w:val="single"/>
          </w:rPr>
          <w:t>重新配置生物混合物中的能量流以增强太阳能驱动的生物合成</w:t>
        </w:r>
      </w:hyperlink>
    </w:p>
    <w:p>
      <w:pPr>
        <w:spacing w:before="0" w:after="80"/>
      </w:pPr>
      <w:r>
        <w:rPr>
          <w:i/>
          <w:sz w:val="20"/>
        </w:rPr>
        <w:t>EN: Rewiring energy flow in biohybrids for enhanced solar-driven biosynthesis</w:t>
      </w:r>
    </w:p>
    <w:p>
      <w:pPr>
        <w:spacing w:before="0" w:after="120"/>
      </w:pPr>
      <w:r>
        <w:rPr>
          <w:b/>
        </w:rPr>
        <w:t xml:space="preserve">Source: </w:t>
      </w:r>
      <w:r>
        <w:t>Nature Sustainability</w:t>
      </w:r>
      <w:r>
        <w:t xml:space="preserve">    </w:t>
      </w:r>
      <w:r>
        <w:rPr>
          <w:b/>
        </w:rPr>
        <w:t xml:space="preserve">Pub date: </w:t>
      </w:r>
      <w:r>
        <w:t>2026-03-10 00:00:00+00:00</w:t>
      </w:r>
      <w:r>
        <w:t xml:space="preserve">    </w:t>
      </w:r>
      <w:r>
        <w:rPr>
          <w:b/>
        </w:rPr>
        <w:t xml:space="preserve">DOI: </w:t>
      </w:r>
      <w:hyperlink r:id="rId482">
        <w:r>
          <w:rPr>
            <w:color w:val="1155CC"/>
            <w:u w:val="single"/>
          </w:rPr>
          <w:t>10.1038/s41893-026-01787-x</w:t>
        </w:r>
      </w:hyperlink>
    </w:p>
    <w:p>
      <w:pPr>
        <w:spacing w:before="0" w:after="120"/>
      </w:pPr>
      <w:r>
        <w:rPr>
          <w:b/>
        </w:rPr>
        <w:t xml:space="preserve">Notes: </w:t>
      </w:r>
      <w:r>
        <w:t>abstract_source=nature_html</w:t>
      </w:r>
    </w:p>
    <w:p>
      <w:pPr>
        <w:spacing w:before="0" w:after="80" w:lineRule="auto" w:line="276"/>
      </w:pPr>
      <w:r>
        <w:rPr>
          <w:b/>
        </w:rPr>
        <w:t xml:space="preserve">摘要（ZH）: </w:t>
      </w:r>
      <w:r>
        <w:t>半导体生物杂合体提供了一种可行的方法来利用太阳能合成高价值的富能量长链化合物（ERLCCs）。然而，太阳能驱动的ERLCC生物合成途径常常受到光能转化为细胞质辅因子效率低下的阻碍。在此，我们提出了一种设计策略来重新布置生物杂合体中的能量流动，实现高效的太阳能到ERLCC转化。具体而言，通过调整半导体的形态和结构，我们在工程化的异养弧菌（Vibrio natriegens）底盘中构建了一个细胞内生物界面。该CdS–V. natriegens生物杂合体实现了2,3-丁二醇（BDO）的太阳能转化效率为2.35%。多组学和生化分析鉴定出一种电子介质，硫胺素焦磷酸，外源补充</w:t>
      </w:r>
    </w:p>
    <w:p>
      <w:pPr>
        <w:spacing w:before="0" w:after="200" w:lineRule="auto" w:line="276"/>
      </w:pPr>
      <w:r>
        <w:rPr>
          <w:b/>
        </w:rPr>
        <w:t xml:space="preserve">Abstract (EN): </w:t>
      </w:r>
      <w:r>
        <w:t>Semiconductor biohybrids offer a viable approach to harness solar energy for the biosynthesis of high-value energy-rich long-chain compounds (ERLCCs). However, solar-driven ERLCC biosynthesis routes are often hindered by the inefficient conversion of light energy into cytosolic cofactors. Here we present a design strategy to rewire energy flow in biohybrids, enabling efficient solar-to-ERLCC conversion. Specifically, by tuning the morphology and structure of semiconductors we constructed an intracellular biointerface within engineered heterotrophic Vibrio natriegens chassis. This CdS–V. natriegens biohybrid achieved a solar-to-2,3-butanediol (BDO) conversion efficiency of 2.35%. Multi-omics and biochemical analyses identified an electron mediator, thiamine pyrophosphate, exogenous supplementation of which enhanced cofactor regeneration, further increased the solar-to-BDO efficiency to 2.83% and achieved a carbon yield of 0.497 g g−1. This biohybrid platform was further extended to produce polyhydroxybutyrate and α-farnesene, and upcycle various waste-carbon sources—including mannitol, cellulose, chitosan and industrial wastewater—into BDO. In a 5-l fed-batch bioreactor using wastewater as the sole carbon source, the system achieved a BDO titre of 30.71 g l−1, demonstrating its scalability and robustness. This study establishes a versatile framework for solar-driven microbial biomanufacturing and waste-to-value conversion, paving the way to carbon-efficient chemical production.</w:t>
      </w:r>
    </w:p>
    <w:p>
      <w:pPr>
        <w:spacing w:before="120" w:after="120"/>
      </w:pPr>
      <w:r>
        <w:rPr>
          <w:sz w:val="18"/>
        </w:rPr>
        <w:t>——————————————————————————————————————————————————————————————————————</w:t>
      </w:r>
    </w:p>
    <w:p>
      <w:pPr>
        <w:spacing w:before="160" w:after="40" w:line="240" w:lineRule="auto"/>
      </w:pPr>
      <w:r>
        <w:rPr>
          <w:b/>
        </w:rPr>
        <w:t xml:space="preserve">[159] </w:t>
      </w:r>
      <w:hyperlink r:id="rId483">
        <w:r>
          <w:rPr>
            <w:color w:val="1155CC"/>
            <w:u w:val="single"/>
          </w:rPr>
          <w:t>用于VSC-MTDC系统最佳频率调节的鲁棒Koopman EMPC</w:t>
        </w:r>
      </w:hyperlink>
    </w:p>
    <w:p>
      <w:pPr>
        <w:spacing w:before="0" w:after="80"/>
      </w:pPr>
      <w:r>
        <w:rPr>
          <w:i/>
          <w:sz w:val="20"/>
        </w:rPr>
        <w:t>EN: Robust Koopman EMPC for optimal frequency regulation of VSC-MTDC systems</w:t>
      </w:r>
    </w:p>
    <w:p>
      <w:pPr>
        <w:spacing w:before="0" w:after="120"/>
      </w:pPr>
      <w:r>
        <w:rPr>
          <w:b/>
        </w:rPr>
        <w:t xml:space="preserve">Source: </w:t>
      </w:r>
      <w:r>
        <w:t>ScienceDirect Publication: Applied Energy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484">
        <w:r>
          <w:rPr>
            <w:color w:val="1155CC"/>
            <w:u w:val="single"/>
          </w:rPr>
          <w:t>使用小型支架蛋白进行细胞外囊泡工程</w:t>
        </w:r>
      </w:hyperlink>
    </w:p>
    <w:p>
      <w:pPr>
        <w:spacing w:before="0" w:after="80"/>
      </w:pPr>
      <w:r>
        <w:rPr>
          <w:i/>
          <w:sz w:val="20"/>
        </w:rPr>
        <w:t>EN: Extracellular vesicle engineering using a small scaffold protein</w:t>
      </w:r>
    </w:p>
    <w:p>
      <w:pPr>
        <w:spacing w:before="0" w:after="120"/>
      </w:pPr>
      <w:r>
        <w:rPr>
          <w:b/>
        </w:rPr>
        <w:t xml:space="preserve">Source: </w:t>
      </w:r>
      <w:r>
        <w:t>Nature Communications</w:t>
      </w:r>
      <w:r>
        <w:t xml:space="preserve">    </w:t>
      </w:r>
      <w:r>
        <w:rPr>
          <w:b/>
        </w:rPr>
        <w:t xml:space="preserve">Pub date: </w:t>
      </w:r>
      <w:r>
        <w:t>2026-03-10 00:00:00+00:00</w:t>
      </w:r>
      <w:r>
        <w:t xml:space="preserve">    </w:t>
      </w:r>
      <w:r>
        <w:rPr>
          <w:b/>
        </w:rPr>
        <w:t xml:space="preserve">DOI: </w:t>
      </w:r>
      <w:hyperlink r:id="rId485">
        <w:r>
          <w:rPr>
            <w:color w:val="1155CC"/>
            <w:u w:val="single"/>
          </w:rPr>
          <w:t>10.1038/s41467-026-70451-x</w:t>
        </w:r>
      </w:hyperlink>
    </w:p>
    <w:p>
      <w:pPr>
        <w:spacing w:before="0" w:after="120"/>
      </w:pPr>
      <w:r>
        <w:rPr>
          <w:b/>
        </w:rPr>
        <w:t xml:space="preserve">Notes: </w:t>
      </w:r>
      <w:r>
        <w:t>abstract_source=nature_html</w:t>
      </w:r>
    </w:p>
    <w:p>
      <w:pPr>
        <w:spacing w:before="0" w:after="80" w:lineRule="auto" w:line="276"/>
      </w:pPr>
      <w:r>
        <w:rPr>
          <w:b/>
        </w:rPr>
        <w:t xml:space="preserve">摘要（ZH）: </w:t>
      </w:r>
      <w:r>
        <w:t>细胞外囊泡（EVs）因其生物相容性和低免疫原性而成为有前途的药物递送载体。通过对膜结合的EV分选支架蛋白进行基因工程改造，可以在EV表面安装靶向基团，并在腔内富集治疗性货物。然而，具有简单结构和短序列的支架蛋白选择有限。在此，我们进行基于质谱的蛋白质组学研究，鉴定出ENPP1作为优越的支架蛋白。此外，我们展示了一种截短的144氨基酸变体EN144，能够有效加载多种治疗性货物，并优于传统支架。通过将EN144与IL-6诱饵受体gp130融合，我们创造了工程化的诱饵EVs，能够有效抑制炎症性IL-6跨信号传导。在m</w:t>
      </w:r>
    </w:p>
    <w:p>
      <w:pPr>
        <w:spacing w:before="0" w:after="200" w:lineRule="auto" w:line="276"/>
      </w:pPr>
      <w:r>
        <w:rPr>
          <w:b/>
        </w:rPr>
        <w:t xml:space="preserve">Abstract (EN): </w:t>
      </w:r>
      <w:r>
        <w:t>Extracellular vesicles (EVs) are promising drug-delivery vehicles owing to their biocompatibility and low immunogenicity. Genetic engineering of a membrane-bound EV-sorting scaffold protein empowers EVs by installing targeting moieties on the surface and enriching therapeutic cargo in the lumen. However, the choice of scaffold proteins with simple structures and short sequences is limited. Here, we conduct mass spectrometry-based proteomic studies and identify ENPP1 as a superior scaffold protein. Furthermore, we show that a truncated 144-amino acid variant, EN144, efficiently loads diverse therapeutic cargoes and outperforms conventional scaffolds. By fusing EN144 to the IL-6 decoy receptor gp130, we create engineered decoy EVs that potently inhibit inflammatory IL-6 trans-signaling. In mouse models, these EVs reduce inflammation, improve survival in sepsis, and, when targeted to cartilage, alleviate tissue damage in osteoarthritis. Our work establishes EN144 as a minimal, high-performance scaffold for EV engineering and demonstrates its broad therapeutic potential for inflammatory diseases.</w:t>
      </w:r>
    </w:p>
    <w:p>
      <w:pPr>
        <w:spacing w:before="120" w:after="120"/>
      </w:pPr>
      <w:r>
        <w:rPr>
          <w:sz w:val="18"/>
        </w:rPr>
        <w:t>——————————————————————————————————————————————————————————————————————</w:t>
      </w:r>
    </w:p>
    <w:p>
      <w:pPr>
        <w:spacing w:before="160" w:after="40" w:line="240" w:lineRule="auto"/>
      </w:pPr>
      <w:r>
        <w:rPr>
          <w:b/>
        </w:rPr>
        <w:t xml:space="preserve">[161] </w:t>
      </w:r>
      <w:hyperlink r:id="rId486">
        <w:r>
          <w:rPr>
            <w:color w:val="1155CC"/>
            <w:u w:val="single"/>
          </w:rPr>
          <w:t>解开复杂性</w:t>
        </w:r>
      </w:hyperlink>
    </w:p>
    <w:p>
      <w:pPr>
        <w:spacing w:before="0" w:after="80"/>
      </w:pPr>
      <w:r>
        <w:rPr>
          <w:i/>
          <w:sz w:val="20"/>
        </w:rPr>
        <w:t>EN: Unravel the complexity</w:t>
      </w:r>
    </w:p>
    <w:p>
      <w:pPr>
        <w:spacing w:before="0" w:after="120"/>
      </w:pPr>
      <w:r>
        <w:rPr>
          <w:b/>
        </w:rPr>
        <w:t xml:space="preserve">Source: </w:t>
      </w:r>
      <w:r>
        <w:t>Nature Materials</w:t>
      </w:r>
      <w:r>
        <w:t xml:space="preserve">    </w:t>
      </w:r>
      <w:r>
        <w:rPr>
          <w:b/>
        </w:rPr>
        <w:t xml:space="preserve">Pub date: </w:t>
      </w:r>
      <w:r>
        <w:t>2026-03-10 00:00:00+00:00</w:t>
      </w:r>
      <w:r>
        <w:t xml:space="preserve">    </w:t>
      </w:r>
      <w:r>
        <w:rPr>
          <w:b/>
        </w:rPr>
        <w:t xml:space="preserve">DOI: </w:t>
      </w:r>
      <w:hyperlink r:id="rId487">
        <w:r>
          <w:rPr>
            <w:color w:val="1155CC"/>
            <w:u w:val="single"/>
          </w:rPr>
          <w:t>10.1038/s41563-026-02536-3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488">
        <w:r>
          <w:rPr>
            <w:color w:val="1155CC"/>
            <w:u w:val="single"/>
          </w:rPr>
          <w:t>基于序列阻抗识别的并网可再生能源站在线小信号稳定性评估，考虑测量噪声</w:t>
        </w:r>
      </w:hyperlink>
    </w:p>
    <w:p>
      <w:pPr>
        <w:spacing w:before="0" w:after="80"/>
      </w:pPr>
      <w:r>
        <w:rPr>
          <w:i/>
          <w:sz w:val="20"/>
        </w:rPr>
        <w:t>EN: Sequence impedance identification-based online small-signal stability assessment of grid-connected renewable energy stations considering measurement noise</w:t>
      </w:r>
    </w:p>
    <w:p>
      <w:pPr>
        <w:spacing w:before="0" w:after="120"/>
      </w:pPr>
      <w:r>
        <w:rPr>
          <w:b/>
        </w:rPr>
        <w:t xml:space="preserve">Source: </w:t>
      </w:r>
      <w:r>
        <w:t>ScienceDirect Publication: Applied Energy</w:t>
      </w:r>
      <w:r>
        <w:t xml:space="preserve">    </w:t>
      </w:r>
      <w:r>
        <w:rPr>
          <w:b/>
        </w:rPr>
        <w:t xml:space="preserve">Pub date: </w:t>
      </w:r>
      <w:r>
        <w:t>2026-03-10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489">
        <w:r>
          <w:rPr>
            <w:color w:val="1155CC"/>
            <w:u w:val="single"/>
          </w:rPr>
          <w:t>通过邻近增强的H原子抽取实现醇基团迁移</w:t>
        </w:r>
      </w:hyperlink>
    </w:p>
    <w:p>
      <w:pPr>
        <w:spacing w:before="0" w:after="80"/>
      </w:pPr>
      <w:r>
        <w:rPr>
          <w:i/>
          <w:sz w:val="20"/>
        </w:rPr>
        <w:t>EN: Alcohol group migration by proximity-enhanced H atom abstraction</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490">
        <w:r>
          <w:rPr>
            <w:color w:val="1155CC"/>
            <w:u w:val="single"/>
          </w:rPr>
          <w:t>10.1038/s41586-026-10347-4</w:t>
        </w:r>
      </w:hyperlink>
    </w:p>
    <w:p>
      <w:pPr>
        <w:spacing w:before="0" w:after="120"/>
      </w:pPr>
      <w:r>
        <w:rPr>
          <w:b/>
        </w:rPr>
        <w:t xml:space="preserve">Notes: </w:t>
      </w:r>
      <w:r>
        <w:t>abstract_source=nature_html</w:t>
      </w:r>
    </w:p>
    <w:p>
      <w:pPr>
        <w:spacing w:before="0" w:after="80" w:lineRule="auto" w:line="276"/>
      </w:pPr>
      <w:r>
        <w:rPr>
          <w:b/>
        </w:rPr>
        <w:t xml:space="preserve">摘要（ZH）: </w:t>
      </w:r>
      <w:r>
        <w:t>分子结构的微妙变化可以导致分子功能的深刻变化。然而，即使是微小的结构改进也可能需要对目标分子进行完全重新合成，从而增加分子设计活动的时间和成本1。最近，出现了一些编辑方法，针对微妙的分子扰动，包括原子替换、立体中心反转和官能团重新定位2。这些精密工具有可能通过微调分子结构来简化分子功能的优化。在此，我们报告了一种编辑方法，该方法能够将常见的醇官能团迁移到邻近位点，并具有可预测的立体和区域化学结果。该反应通过可逆H下的1,2-酰氧基自由基迁移步骤进行</w:t>
      </w:r>
    </w:p>
    <w:p>
      <w:pPr>
        <w:spacing w:before="0" w:after="200" w:lineRule="auto" w:line="276"/>
      </w:pPr>
      <w:r>
        <w:rPr>
          <w:b/>
        </w:rPr>
        <w:t xml:space="preserve">Abstract (EN): </w:t>
      </w:r>
      <w:r>
        <w:t>Subtle changes in molecular structure can lead to profound changes in molecular function. However, even minor structural refinements can require the complete re-synthesis of a target molecule, adding time and cost to molecular design campaigns1. Recently, editing methods have emerged targeting subtle molecular perturbations, including atomic substitution, stereocenter inversion and functional group repositioning2. These precision tools hold the potential to streamline the optimization of molecular function by fine-tuning molecular structure. Here we report an editing method that enables the migration of common alcohol functional groups to proximal sites with predictable stereo- and regiochemical outcomes. The reaction proceeds through a 1,2-acyloxy radical migration step under reversible H atom transfer catalysis conditions promoted by excited state decatungstate polyanion. Proximity effects arising from non-covalent interactions between substrate and reagent enable efficient radical formation at polarity-mismatched positions. Application of this tool at a late synthetic stage allows for the precise re-positioning of alcohol functional groups, while integration with common alcohol group installation methods provides new synthetic strategies to access challenging oxygenation patterns.</w:t>
      </w:r>
    </w:p>
    <w:p>
      <w:pPr>
        <w:spacing w:before="120" w:after="120"/>
      </w:pPr>
      <w:r>
        <w:rPr>
          <w:sz w:val="18"/>
        </w:rPr>
        <w:t>——————————————————————————————————————————————————————————————————————</w:t>
      </w:r>
    </w:p>
    <w:p>
      <w:pPr>
        <w:spacing w:before="160" w:after="40" w:line="240" w:lineRule="auto"/>
      </w:pPr>
      <w:r>
        <w:rPr>
          <w:b/>
        </w:rPr>
        <w:t xml:space="preserve">[164] </w:t>
      </w:r>
      <w:hyperlink r:id="rId491">
        <w:r>
          <w:rPr>
            <w:color w:val="1155CC"/>
            <w:u w:val="single"/>
          </w:rPr>
          <w:t>通过“同一健康”承诺预防大流行</w:t>
        </w:r>
      </w:hyperlink>
    </w:p>
    <w:p>
      <w:pPr>
        <w:spacing w:before="0" w:after="80"/>
      </w:pPr>
      <w:r>
        <w:rPr>
          <w:i/>
          <w:sz w:val="20"/>
        </w:rPr>
        <w:t>EN: Prevent pandemics through One Health commitments</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492">
        <w:r>
          <w:rPr>
            <w:color w:val="1155CC"/>
            <w:u w:val="single"/>
          </w:rPr>
          <w:t>10.1038/d41586-026-00778-4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493">
        <w:r>
          <w:rPr>
            <w:color w:val="1155CC"/>
            <w:u w:val="single"/>
          </w:rPr>
          <w:t>‘佩雷的头发’如何从喷发的熔岩中萌发</w:t>
        </w:r>
      </w:hyperlink>
    </w:p>
    <w:p>
      <w:pPr>
        <w:spacing w:before="0" w:after="80"/>
      </w:pPr>
      <w:r>
        <w:rPr>
          <w:i/>
          <w:sz w:val="20"/>
        </w:rPr>
        <w:t>EN: How ‘Pele’s hair’ sprouts from erupting lava</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494">
        <w:r>
          <w:rPr>
            <w:color w:val="1155CC"/>
            <w:u w:val="single"/>
          </w:rPr>
          <w:t>10.1038/d41586-026-00766-8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495">
        <w:r>
          <w:rPr>
            <w:color w:val="1155CC"/>
            <w:u w:val="single"/>
          </w:rPr>
          <w:t>开放获取协议用于作者身份杠杆的伦理风险</w:t>
        </w:r>
      </w:hyperlink>
    </w:p>
    <w:p>
      <w:pPr>
        <w:spacing w:before="0" w:after="80"/>
      </w:pPr>
      <w:r>
        <w:rPr>
          <w:i/>
          <w:sz w:val="20"/>
        </w:rPr>
        <w:t>EN: The ethical risks of open-access agreements being used for authorship leverage</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496">
        <w:r>
          <w:rPr>
            <w:color w:val="1155CC"/>
            <w:u w:val="single"/>
          </w:rPr>
          <w:t>10.1038/d41586-026-00776-6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497">
        <w:r>
          <w:rPr>
            <w:color w:val="1155CC"/>
            <w:u w:val="single"/>
          </w:rPr>
          <w:t>苍蝇能嗅出违禁化学品吗？</w:t>
        </w:r>
      </w:hyperlink>
    </w:p>
    <w:p>
      <w:pPr>
        <w:spacing w:before="0" w:after="80"/>
      </w:pPr>
      <w:r>
        <w:rPr>
          <w:i/>
          <w:sz w:val="20"/>
        </w:rPr>
        <w:t>EN: Could flies sniff out contraband chemicals?</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498">
        <w:r>
          <w:rPr>
            <w:color w:val="1155CC"/>
            <w:u w:val="single"/>
          </w:rPr>
          <w:t>10.1038/d41586-026-00642-5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499">
        <w:r>
          <w:rPr>
            <w:color w:val="1155CC"/>
            <w:u w:val="single"/>
          </w:rPr>
          <w:t>科学中的特权、权力和脆弱性：不稳定的资金可能促使不道德的联系</w:t>
        </w:r>
      </w:hyperlink>
    </w:p>
    <w:p>
      <w:pPr>
        <w:spacing w:before="0" w:after="80"/>
      </w:pPr>
      <w:r>
        <w:rPr>
          <w:i/>
          <w:sz w:val="20"/>
        </w:rPr>
        <w:t>EN: Privilege, power and vulnerability in science: precarious funding can prompt unethical ties</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00">
        <w:r>
          <w:rPr>
            <w:color w:val="1155CC"/>
            <w:u w:val="single"/>
          </w:rPr>
          <w:t>10.1038/d41586-026-00777-5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501">
        <w:r>
          <w:rPr>
            <w:color w:val="1155CC"/>
            <w:u w:val="single"/>
          </w:rPr>
          <w:t>数据如何帮助指导NIH资助政策</w:t>
        </w:r>
      </w:hyperlink>
    </w:p>
    <w:p>
      <w:pPr>
        <w:spacing w:before="0" w:after="80"/>
      </w:pPr>
      <w:r>
        <w:rPr>
          <w:i/>
          <w:sz w:val="20"/>
        </w:rPr>
        <w:t>EN: How data can help to guide NIH funding policy</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02">
        <w:r>
          <w:rPr>
            <w:color w:val="1155CC"/>
            <w:u w:val="single"/>
          </w:rPr>
          <w:t>10.1038/d41586-026-00704-8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03">
        <w:r>
          <w:rPr>
            <w:color w:val="1155CC"/>
            <w:u w:val="single"/>
          </w:rPr>
          <w:t>保持冷静并保持透明：撤回论文的科学家的建议</w:t>
        </w:r>
      </w:hyperlink>
    </w:p>
    <w:p>
      <w:pPr>
        <w:spacing w:before="0" w:after="80"/>
      </w:pPr>
      <w:r>
        <w:rPr>
          <w:i/>
          <w:sz w:val="20"/>
        </w:rPr>
        <w:t>EN: Keep calm and be transparent: advice from scientists who retracted their papers</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04">
        <w:r>
          <w:rPr>
            <w:color w:val="1155CC"/>
            <w:u w:val="single"/>
          </w:rPr>
          <w:t>10.1038/d41586-026-00763-x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505">
        <w:r>
          <w:rPr>
            <w:color w:val="1155CC"/>
            <w:u w:val="single"/>
          </w:rPr>
          <w:t>忘掉SkinTok：护肤的真正科学及其对健康的重要性</w:t>
        </w:r>
      </w:hyperlink>
    </w:p>
    <w:p>
      <w:pPr>
        <w:spacing w:before="0" w:after="80"/>
      </w:pPr>
      <w:r>
        <w:rPr>
          <w:i/>
          <w:sz w:val="20"/>
        </w:rPr>
        <w:t>EN: Forget SkinTok: the real science of skincare and why it matters for your health</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06">
        <w:r>
          <w:rPr>
            <w:color w:val="1155CC"/>
            <w:u w:val="single"/>
          </w:rPr>
          <w:t>10.1038/d41586-026-00700-y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507">
        <w:r>
          <w:rPr>
            <w:color w:val="1155CC"/>
            <w:u w:val="single"/>
          </w:rPr>
          <w:t>停止在战争中使用AI，直到法律达成一致</w:t>
        </w:r>
      </w:hyperlink>
    </w:p>
    <w:p>
      <w:pPr>
        <w:spacing w:before="0" w:after="80"/>
      </w:pPr>
      <w:r>
        <w:rPr>
          <w:i/>
          <w:sz w:val="20"/>
        </w:rPr>
        <w:t>EN: Stop the use of AI in war until laws can be agreed</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08">
        <w:r>
          <w:rPr>
            <w:color w:val="1155CC"/>
            <w:u w:val="single"/>
          </w:rPr>
          <w:t>10.1038/d41586-026-00762-y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509">
        <w:r>
          <w:rPr>
            <w:color w:val="1155CC"/>
            <w:u w:val="single"/>
          </w:rPr>
          <w:t>人工通用智能必须在其科学和社会背景下进行评估</w:t>
        </w:r>
      </w:hyperlink>
    </w:p>
    <w:p>
      <w:pPr>
        <w:spacing w:before="0" w:after="80"/>
      </w:pPr>
      <w:r>
        <w:rPr>
          <w:i/>
          <w:sz w:val="20"/>
        </w:rPr>
        <w:t>EN: Artificial general intelligence must be assessed in its scientific and societal context</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10">
        <w:r>
          <w:rPr>
            <w:color w:val="1155CC"/>
            <w:u w:val="single"/>
          </w:rPr>
          <w:t>10.1038/d41586-026-00775-7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511">
        <w:r>
          <w:rPr>
            <w:color w:val="1155CC"/>
            <w:u w:val="single"/>
          </w:rPr>
          <w:t>从癌症到阿尔茨海默病：对能量的重新关注能否改变生物医学？</w:t>
        </w:r>
      </w:hyperlink>
    </w:p>
    <w:p>
      <w:pPr>
        <w:spacing w:before="0" w:after="80"/>
      </w:pPr>
      <w:r>
        <w:rPr>
          <w:i/>
          <w:sz w:val="20"/>
        </w:rPr>
        <w:t>EN: From cancer to Alzheimer’s: could a renewed focus on energy transform biomedicine?</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12">
        <w:r>
          <w:rPr>
            <w:color w:val="1155CC"/>
            <w:u w:val="single"/>
          </w:rPr>
          <w:t>10.1038/d41586-026-00701-x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13">
        <w:r>
          <w:rPr>
            <w:color w:val="1155CC"/>
            <w:u w:val="single"/>
          </w:rPr>
          <w:t>‘虚拟细胞’捕捉生命的最基本过程：细菌分裂</w:t>
        </w:r>
      </w:hyperlink>
    </w:p>
    <w:p>
      <w:pPr>
        <w:spacing w:before="0" w:after="80"/>
      </w:pPr>
      <w:r>
        <w:rPr>
          <w:i/>
          <w:sz w:val="20"/>
        </w:rPr>
        <w:t>EN: ‘Virtual cell’ captures most-basic process of life: bacterial division</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14">
        <w:r>
          <w:rPr>
            <w:color w:val="1155CC"/>
            <w:u w:val="single"/>
          </w:rPr>
          <w:t>10.1038/d41586-026-00786-4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[176] </w:t>
      </w:r>
      <w:hyperlink r:id="rId515">
        <w:r>
          <w:rPr>
            <w:color w:val="1155CC"/>
            <w:u w:val="single"/>
          </w:rPr>
          <w:t>应力松弛颗粒生物打印材料实现复杂且均匀的类器官自组织</w:t>
        </w:r>
      </w:hyperlink>
    </w:p>
    <w:p>
      <w:pPr>
        <w:spacing w:before="0" w:after="80"/>
      </w:pPr>
      <w:r>
        <w:rPr>
          <w:i/>
          <w:sz w:val="20"/>
        </w:rPr>
        <w:t>EN: Stress-relaxing granular bioprinting materials enable complex and uniform organoid self-organization</w:t>
      </w:r>
    </w:p>
    <w:p>
      <w:pPr>
        <w:spacing w:before="0" w:after="120"/>
      </w:pPr>
      <w:r>
        <w:rPr>
          <w:b/>
        </w:rPr>
        <w:t xml:space="preserve">Source: </w:t>
      </w:r>
      <w:r>
        <w:t>Nature Materials</w:t>
      </w:r>
      <w:r>
        <w:t xml:space="preserve">    </w:t>
      </w:r>
      <w:r>
        <w:rPr>
          <w:b/>
        </w:rPr>
        <w:t xml:space="preserve">Pub date: </w:t>
      </w:r>
      <w:r>
        <w:t>2026-03-10 00:00:00+00:00</w:t>
      </w:r>
      <w:r>
        <w:t xml:space="preserve">    </w:t>
      </w:r>
      <w:r>
        <w:rPr>
          <w:b/>
        </w:rPr>
        <w:t xml:space="preserve">DOI: </w:t>
      </w:r>
      <w:hyperlink r:id="rId516">
        <w:r>
          <w:rPr>
            <w:color w:val="1155CC"/>
            <w:u w:val="single"/>
          </w:rPr>
          <w:t>10.1038/s41563-026-02519-4</w:t>
        </w:r>
      </w:hyperlink>
    </w:p>
    <w:p>
      <w:pPr>
        <w:spacing w:before="0" w:after="120"/>
      </w:pPr>
      <w:r>
        <w:rPr>
          <w:b/>
        </w:rPr>
        <w:t xml:space="preserve">Notes: </w:t>
      </w:r>
      <w:r>
        <w:t>abstract_source=nature_html</w:t>
      </w:r>
    </w:p>
    <w:p>
      <w:pPr>
        <w:spacing w:before="0" w:after="80" w:lineRule="auto" w:line="276"/>
      </w:pPr>
      <w:r>
        <w:rPr>
          <w:b/>
        </w:rPr>
        <w:t xml:space="preserve">摘要（ZH）: </w:t>
      </w:r>
      <w:r>
        <w:t>复杂而稳健的组织自组织需要定义的初始条件和动态边界——邻近组织和细胞外基质积极演变以引导形态发生。组织工程的一个主要挑战是识别与控制初始培养条件兼容的材料特性，同时模拟动态组织边界。在此，我们描述了一种高度可调的颗粒生物材料，MAGIC矩阵，它支持长期生物打印和金标准的组织自组织。我们发现，在与自组织相关的长时间尺度和大变形幅度下，显著的应力松弛是实现最佳形态发生所必需的。我们将优化的MAGIC矩阵应用于精确挤出生物打印饱和细胞悬浮液</w:t>
      </w:r>
    </w:p>
    <w:p>
      <w:pPr>
        <w:spacing w:before="0" w:after="200" w:lineRule="auto" w:line="276"/>
      </w:pPr>
      <w:r>
        <w:rPr>
          <w:b/>
        </w:rPr>
        <w:t xml:space="preserve">Abstract (EN): </w:t>
      </w:r>
      <w:r>
        <w:t>Complex and robust tissue self-organization requires defined initial conditions and dynamic boundaries—neighbouring tissues and extracellular matrix that actively evolve to guide morphogenesis. A major challenge in tissue engineering is identifying material properties that are compatible with controlling initial culture conditions while mimicking dynamic tissue boundaries. Here we describe a highly tunable granular biomaterial, MAGIC matrix, that supports both long-term bioprinting and gold-standard tissue self-organization. We identify that significant stress relaxation at the long timescales and large deformation magnitudes relevant to self-organization is required for optimal morphogenesis. We apply optimized MAGIC matrices toward precise extrusion bioprinting of saturated cell suspensions directly into three-dimensional culture. Carefully controlling initial conditions for tissue growth yields dramatic increases in organoid reproducibility and complexity across multiple tissue types, enabling high-throughput generation of organoid arrays and perfusable three-dimensional microphysiological systems. Our results identify key biomaterial parameters for optimal organoid morphogenesis and lay the foundation for fabricating more complex and reproducible self-organized tissues.</w:t>
      </w:r>
    </w:p>
    <w:p>
      <w:pPr>
        <w:spacing w:before="120" w:after="120"/>
      </w:pPr>
      <w:r>
        <w:rPr>
          <w:sz w:val="18"/>
        </w:rPr>
        <w:t>——————————————————————————————————————————————————————————————————————</w:t>
      </w:r>
    </w:p>
    <w:p>
      <w:pPr>
        <w:spacing w:before="160" w:after="40" w:line="240" w:lineRule="auto"/>
      </w:pPr>
      <w:r>
        <w:rPr>
          <w:b/>
        </w:rPr>
        <w:t xml:space="preserve">[177] </w:t>
      </w:r>
      <w:hyperlink r:id="rId517">
        <w:r>
          <w:rPr>
            <w:color w:val="1155CC"/>
            <w:u w:val="single"/>
          </w:rPr>
          <w:t>用于高纵横比纳米制造的二维晶体硬掩模</w:t>
        </w:r>
      </w:hyperlink>
    </w:p>
    <w:p>
      <w:pPr>
        <w:spacing w:before="0" w:after="80"/>
      </w:pPr>
      <w:r>
        <w:rPr>
          <w:i/>
          <w:sz w:val="20"/>
        </w:rPr>
        <w:t>EN: Two-dimensional crystalline hard masks for high-aspect-ratio nanofabrication</w:t>
      </w:r>
    </w:p>
    <w:p>
      <w:pPr>
        <w:spacing w:before="0" w:after="120"/>
      </w:pPr>
      <w:r>
        <w:rPr>
          <w:b/>
        </w:rPr>
        <w:t xml:space="preserve">Source: </w:t>
      </w:r>
      <w:r>
        <w:t>Nature Materials</w:t>
      </w:r>
      <w:r>
        <w:t xml:space="preserve">    </w:t>
      </w:r>
      <w:r>
        <w:rPr>
          <w:b/>
        </w:rPr>
        <w:t xml:space="preserve">Pub date: </w:t>
      </w:r>
      <w:r>
        <w:t>2026-03-10 00:00:00+00:00</w:t>
      </w:r>
      <w:r>
        <w:t xml:space="preserve">    </w:t>
      </w:r>
      <w:r>
        <w:rPr>
          <w:b/>
        </w:rPr>
        <w:t xml:space="preserve">DOI: </w:t>
      </w:r>
      <w:hyperlink r:id="rId518">
        <w:r>
          <w:rPr>
            <w:color w:val="1155CC"/>
            <w:u w:val="single"/>
          </w:rPr>
          <w:t>10.1038/s41563-026-02524-7</w:t>
        </w:r>
      </w:hyperlink>
    </w:p>
    <w:p>
      <w:pPr>
        <w:spacing w:before="0" w:after="120"/>
      </w:pPr>
      <w:r>
        <w:rPr>
          <w:b/>
        </w:rPr>
        <w:t xml:space="preserve">Notes: </w:t>
      </w:r>
      <w:r>
        <w:t>abstract_source=nature_html</w:t>
      </w:r>
    </w:p>
    <w:p>
      <w:pPr>
        <w:spacing w:before="0" w:after="80" w:lineRule="auto" w:line="276"/>
      </w:pPr>
      <w:r>
        <w:rPr>
          <w:b/>
        </w:rPr>
        <w:t xml:space="preserve">摘要（ZH）: </w:t>
      </w:r>
      <w:r>
        <w:t>具有高蚀刻选择性的硬掩模对于通过深度和各向异性等离子体蚀刻制造高纵横比纳米结构至关重要。虽然大多数二维材料容易受到等离子体损伤，但我们报告说，范德华金属氧卤化物，特别是CrOCl和FeOCl，表现出对侵蚀性SF6/O2等离子体的非凡抵抗力，远远超过传统的硬掩模材料。CrOCl实现了低至约2.4 nm min−1的蚀刻速率和相对于硅的蚀刻选择性&gt;200:1，相对于相同条件下的Si3N4提高了约30倍，相对于Al2O3提高了约2.3倍，相对于TiN提高了约20倍。CrOCl在蚀刻后保持亚纳米级表面粗糙度，甚至表现出等离子体诱导的表面光滑化。除了其固有的蚀刻抗性外，CrOCl还可以通过化学方式进行图案化</w:t>
      </w:r>
    </w:p>
    <w:p>
      <w:pPr>
        <w:spacing w:before="0" w:after="200" w:lineRule="auto" w:line="276"/>
      </w:pPr>
      <w:r>
        <w:rPr>
          <w:b/>
        </w:rPr>
        <w:t xml:space="preserve">Abstract (EN): </w:t>
      </w:r>
      <w:r>
        <w:t>Hard masks with high etch selectivity are essential for fabricating high-aspect-ratio nanostructures via deep and anisotropic plasma etching. While most two-dimensional materials are susceptible to plasma damage, we report that van der Waals metal oxyhalides, specifically CrOCl and FeOCl, exhibit extraordinary resistance to aggressive SF6/O2 plasma, far surpassing conventional hard mask materials. CrOCl achieves etch rates as low as ~2.4 nm min−1 and an etch selectivity &gt;200:1 relative to silicon, representing improvements of ~30× over Si3N4, ~2.3× over Al2O3 and ~20× over TiN under identical conditions. CrOCl maintains subnanometre surface roughness after etching, even exhibiting plasma-induced surface smoothening. Beyond its inherent etch resistance, CrOCl can be chemically patterned using Cl2 plasma and mechanically transferred onto a broad range of substrates, including perovskite oxides, polymers, glasses and monolayer two-dimensional semiconductors, enabling patterning on materials that are typically incompatible with conventional hard masks. Using CrOCl masks, we demonstrate deep silicon etching with aspect ratios exceeding 39:1 and minimal feature distortion. These findings establish van der Waals metal oxyhalides as a versatile and scalable platform for next-generation nanofabrication, combining extreme plasma robustness, high-resolution patternability and broad substrate compatibility in one material system.</w:t>
      </w:r>
    </w:p>
    <w:p>
      <w:pPr>
        <w:spacing w:before="120" w:after="120"/>
      </w:pPr>
      <w:r>
        <w:rPr>
          <w:sz w:val="18"/>
        </w:rPr>
        <w:t>——————————————————————————————————————————————————————————————————————</w:t>
      </w:r>
    </w:p>
    <w:p>
      <w:pPr>
        <w:spacing w:before="160" w:after="40" w:line="240" w:lineRule="auto"/>
      </w:pPr>
      <w:r>
        <w:rPr>
          <w:b/>
        </w:rPr>
        <w:t xml:space="preserve">[178] </w:t>
      </w:r>
      <w:hyperlink r:id="rId519">
        <w:r>
          <w:rPr>
            <w:color w:val="1155CC"/>
            <w:u w:val="single"/>
          </w:rPr>
          <w:t>自由基之间的协同作用促进选择性甲烷氧化</w:t>
        </w:r>
      </w:hyperlink>
    </w:p>
    <w:p>
      <w:pPr>
        <w:spacing w:before="0" w:after="80"/>
      </w:pPr>
      <w:r>
        <w:rPr>
          <w:i/>
          <w:sz w:val="20"/>
        </w:rPr>
        <w:t>EN: Cooperativity between free radicals promotes selective methane oxidation</w:t>
      </w:r>
    </w:p>
    <w:p>
      <w:pPr>
        <w:spacing w:before="0" w:after="120"/>
      </w:pPr>
      <w:r>
        <w:rPr>
          <w:b/>
        </w:rPr>
        <w:t xml:space="preserve">Source: </w:t>
      </w:r>
      <w:r>
        <w:t>Joule</w:t>
      </w:r>
      <w:r>
        <w:t xml:space="preserve">    </w:t>
      </w:r>
      <w:r>
        <w:rPr>
          <w:b/>
        </w:rPr>
        <w:t xml:space="preserve">Pub date: </w:t>
      </w:r>
      <w:r>
        <w:t>2026-03-10 00:00:00+00:00</w:t>
      </w:r>
      <w:r>
        <w:t xml:space="preserve">    </w:t>
      </w:r>
      <w:r>
        <w:rPr>
          <w:b/>
        </w:rPr>
        <w:t xml:space="preserve">DOI: </w:t>
      </w:r>
      <w:hyperlink r:id="rId520">
        <w:r>
          <w:rPr>
            <w:color w:val="1155CC"/>
            <w:u w:val="single"/>
          </w:rPr>
          <w:t>10.1016/j.joule.2026.102336</w:t>
        </w:r>
      </w:hyperlink>
    </w:p>
    <w:p>
      <w:pPr>
        <w:spacing w:before="0" w:after="120"/>
      </w:pPr>
      <w:r>
        <w:rPr>
          <w:b/>
        </w:rPr>
        <w:t xml:space="preserve">Notes: </w:t>
      </w:r>
      <w:r>
        <w:t>abstract_source=rss_cell</w:t>
      </w:r>
    </w:p>
    <w:p>
      <w:pPr>
        <w:spacing w:before="0" w:after="80" w:lineRule="auto" w:line="276"/>
      </w:pPr>
      <w:r>
        <w:rPr>
          <w:b/>
        </w:rPr>
        <w:t xml:space="preserve">摘要（ZH）: </w:t>
      </w:r>
      <w:r>
        <w:t>羟基自由基 (⋅OH) 和超氧阴离子 (O2⋅−)/过氧化氢自由基 (⋅OOH) 具有不同的反应性，是光驱动化学转化中的关键氧化还原介质。我们报告了它们之间一种合作的、分工的机制的发现，这种机制能够加速甲烷光催化升级的反应速率。我们还开发了一种反应工程解决方案，即解耦和逐步策略，其中中间的过氧化甲基可以选择性地有效转化为增值产品，如甲醇或甲醛。</w:t>
      </w:r>
    </w:p>
    <w:p>
      <w:pPr>
        <w:spacing w:before="0" w:after="200" w:lineRule="auto" w:line="276"/>
      </w:pPr>
      <w:r>
        <w:rPr>
          <w:b/>
        </w:rPr>
        <w:t xml:space="preserve">Abstract (EN): </w:t>
      </w:r>
      <w:r>
        <w:t>Hydroxyl radicals (⋅OH) and superoxide anion (O2⋅−)/hydroperoxide radicals (⋅OOH) have distinct reactivities and are key redox mediators in light-driven chemical transformations. We report the discovery of a cooperative, job-sharing mechanism between them, which enables an acceleration of reaction rates in photocatalytic upgrading of methane. We also develop a reaction-engineering solution of decoupled-and-stepwise strategy, in which the intermediate methyl hydroperoxide can be selectively and effectively converted into value-added products such as methanol or formaldehyde.</w:t>
      </w:r>
    </w:p>
    <w:p>
      <w:pPr>
        <w:spacing w:before="120" w:after="120"/>
      </w:pPr>
      <w:r>
        <w:rPr>
          <w:sz w:val="18"/>
        </w:rPr>
        <w:t>——————————————————————————————————————————————————————————————————————</w:t>
      </w:r>
    </w:p>
    <w:p>
      <w:pPr>
        <w:spacing w:before="160" w:after="40" w:line="240" w:lineRule="auto"/>
      </w:pPr>
      <w:r>
        <w:rPr>
          <w:b/>
        </w:rPr>
        <w:t xml:space="preserve">[179] </w:t>
      </w:r>
      <w:hyperlink r:id="rId521">
        <w:r>
          <w:rPr>
            <w:color w:val="1155CC"/>
            <w:u w:val="single"/>
          </w:rPr>
          <w:t>磷氧化物的质子耦合电化学还原</w:t>
        </w:r>
      </w:hyperlink>
    </w:p>
    <w:p>
      <w:pPr>
        <w:spacing w:before="0" w:after="80"/>
      </w:pPr>
      <w:r>
        <w:rPr>
          <w:i/>
          <w:sz w:val="20"/>
        </w:rPr>
        <w:t>EN: Proton-coupled electrochemical reduction of a phosphine oxide</w:t>
      </w:r>
    </w:p>
    <w:p>
      <w:pPr>
        <w:spacing w:before="0" w:after="120"/>
      </w:pPr>
      <w:r>
        <w:rPr>
          <w:b/>
        </w:rPr>
        <w:t xml:space="preserve">Source: </w:t>
      </w:r>
      <w:r>
        <w:t>Chem</w:t>
      </w:r>
      <w:r>
        <w:t xml:space="preserve">    </w:t>
      </w:r>
      <w:r>
        <w:rPr>
          <w:b/>
        </w:rPr>
        <w:t xml:space="preserve">Pub date: </w:t>
      </w:r>
      <w:r>
        <w:t>2026-03-10 00:00:00+00:00</w:t>
      </w:r>
      <w:r>
        <w:t xml:space="preserve">    </w:t>
      </w:r>
      <w:r>
        <w:rPr>
          <w:b/>
        </w:rPr>
        <w:t xml:space="preserve">DOI: </w:t>
      </w:r>
      <w:hyperlink r:id="rId522">
        <w:r>
          <w:rPr>
            <w:color w:val="1155CC"/>
            <w:u w:val="single"/>
          </w:rPr>
          <w:t>10.1016/j.chempr.2026.102946</w:t>
        </w:r>
      </w:hyperlink>
    </w:p>
    <w:p>
      <w:pPr>
        <w:spacing w:before="0" w:after="120"/>
      </w:pPr>
      <w:r>
        <w:rPr>
          <w:b/>
        </w:rPr>
        <w:t xml:space="preserve">Notes: </w:t>
      </w:r>
      <w:r>
        <w:t>abstract_source=rss_cell</w:t>
      </w:r>
    </w:p>
    <w:p>
      <w:pPr>
        <w:spacing w:before="0" w:after="80" w:lineRule="auto" w:line="276"/>
      </w:pPr>
      <w:r>
        <w:rPr>
          <w:b/>
        </w:rPr>
        <w:t xml:space="preserve">摘要（ZH）: </w:t>
      </w:r>
      <w:r>
        <w:t>一个氧化还原活性π-受体骨架能够在温和电位下实现磷氧化物 P=O 键的质子耦合电化学还原，生成相应的膦，并仅产生水作为副产物。这种主族 PCET 策略为可持续的磷氧化物回收和更广泛的强 p-区元素键的活化提供了蓝图。</w:t>
      </w:r>
    </w:p>
    <w:p>
      <w:pPr>
        <w:spacing w:before="0" w:after="200" w:lineRule="auto" w:line="276"/>
      </w:pPr>
      <w:r>
        <w:rPr>
          <w:b/>
        </w:rPr>
        <w:t xml:space="preserve">Abstract (EN): </w:t>
      </w:r>
      <w:r>
        <w:t>A redox-active π-acceptor scaffold enables proton-coupled electrochemical reduction of a phosphine oxide P=O bond to the corresponding phosphine at mild potentials, producing water as the only byproduct. This main-group PCET strategy suggests a blueprint for sustainable phosphine oxide recycling and broader activation of strong p-block element bonds.</w:t>
      </w:r>
    </w:p>
    <w:p>
      <w:pPr>
        <w:spacing w:before="120" w:after="120"/>
      </w:pPr>
      <w:r>
        <w:rPr>
          <w:sz w:val="18"/>
        </w:rPr>
        <w:t>——————————————————————————————————————————————————————————————————————</w:t>
      </w:r>
    </w:p>
    <w:p>
      <w:pPr>
        <w:spacing w:before="160" w:after="40" w:line="240" w:lineRule="auto"/>
      </w:pPr>
      <w:r>
        <w:rPr>
          <w:b/>
        </w:rPr>
        <w:t xml:space="preserve">[180] </w:t>
      </w:r>
      <w:hyperlink r:id="rId523">
        <w:r>
          <w:rPr>
            <w:color w:val="1155CC"/>
            <w:u w:val="single"/>
          </w:rPr>
          <w:t>熔体流动对海洋上地幔岩性和地球化学异质性的控制</w:t>
        </w:r>
      </w:hyperlink>
    </w:p>
    <w:p>
      <w:pPr>
        <w:spacing w:before="0" w:after="80"/>
      </w:pPr>
      <w:r>
        <w:rPr>
          <w:i/>
          <w:sz w:val="20"/>
        </w:rPr>
        <w:t>EN: Melt flow control on lithological and geochemical heterogeneity of the oceanic upper mantle</w:t>
      </w:r>
    </w:p>
    <w:p>
      <w:pPr>
        <w:spacing w:before="0" w:after="120"/>
      </w:pPr>
      <w:r>
        <w:rPr>
          <w:b/>
        </w:rPr>
        <w:t xml:space="preserve">Source: </w:t>
      </w:r>
      <w:r>
        <w:t>National Science Review Advance Access</w:t>
      </w:r>
      <w:r>
        <w:t xml:space="preserve">    </w:t>
      </w:r>
      <w:r>
        <w:rPr>
          <w:b/>
        </w:rPr>
        <w:t xml:space="preserve">Pub date: </w:t>
      </w:r>
      <w:r>
        <w:t>2026-03-10 00:00:00+00:00</w:t>
      </w:r>
      <w:r>
        <w:t xml:space="preserve">    </w:t>
      </w:r>
      <w:r>
        <w:rPr>
          <w:b/>
        </w:rPr>
        <w:t xml:space="preserve">DOI: </w:t>
      </w:r>
      <w:hyperlink r:id="rId524">
        <w:r>
          <w:rPr>
            <w:color w:val="1155CC"/>
            <w:u w:val="single"/>
          </w:rPr>
          <w:t>10.1093/nsr/nwag130</w:t>
        </w:r>
      </w:hyperlink>
    </w:p>
    <w:p>
      <w:pPr>
        <w:spacing w:before="0" w:after="120"/>
      </w:pPr>
      <w:r>
        <w:rPr>
          <w:b/>
        </w:rPr>
        <w:t xml:space="preserve">Notes: </w:t>
      </w:r>
      <w:r>
        <w:t>abstract_source=rss_oup</w:t>
      </w:r>
    </w:p>
    <w:p>
      <w:pPr>
        <w:spacing w:before="0" w:after="80" w:lineRule="auto" w:line="276"/>
      </w:pPr>
      <w:r>
        <w:rPr>
          <w:b/>
        </w:rPr>
        <w:t xml:space="preserve">摘要（ZH）: </w:t>
      </w:r>
      <w:r>
        <w:t>地球上地幔在岩石学和地球化学上是异质的，这可以通过深海橄榄岩和化石海洋地幔橄榄岩的变化来证明。然而，这些橄榄岩之间空间关系的稀缺性阻碍了对地幔多样性起源以及相应地球动力学过程的进一步解释。在此，我们报告了来自西藏蛇绿岩地幔序列的第一根新鲜钻芯（约1300米）的橄榄岩的岩石学和化学数据。这个地幔柱显示出主要异质的岩石结构，由重复的‘层状’方辉橄榄岩、纯橄榄岩和纯橄榄岩组成。方辉橄榄岩和纯橄榄岩分别经历了10–15%和15–25%的熔体消耗。这种消耗不能通过传统的pa生成。</w:t>
      </w:r>
    </w:p>
    <w:p>
      <w:pPr>
        <w:spacing w:before="0" w:after="200" w:lineRule="auto" w:line="276"/>
      </w:pPr>
      <w:r>
        <w:rPr>
          <w:b/>
        </w:rPr>
        <w:t xml:space="preserve">Abstract (EN): </w:t>
      </w:r>
      <w:r>
        <w:t>The Earth’s upper mantle is heterogeneous in lithology and geochemistry, as demonstrated by variations in both abyssal peridotites and fossil oceanic mantle peridotites. The scarcity of spatial relationships between these peridotites, however, hinders further interpretation of the origin of mantle diversity as well as corresponding geodynamic processes. Here, we report the petrographic and chemical data of peridotites from the first fresh drill core (~1300 m) across a Tibetan ophiolitic mantle sequence. This mantle column shows a primarily heterogeneous lithological structure consisting of repetitive ‘layered’ lherzolite, harzburgite, and dunite. Lherzolite and harzburgite have experienced 10–15% and 15–25% melt depletion, respectively. Such depletion cannot be generated by conventional partial melting models alone, but also requires melt-peridotite interaction in the asthenospheric mantle. Our work provides a high-resolution snapshot of the lithological structure and chemistry of the uppermost oceanic mantle and offers a melt flow model within the asthenosphere to explain the lithological variability of mantle rocks found in both mid-ocean ridges and supra-subduction zones.</w:t>
      </w:r>
    </w:p>
    <w:p>
      <w:pPr>
        <w:spacing w:before="120" w:after="120"/>
      </w:pPr>
      <w:r>
        <w:rPr>
          <w:sz w:val="18"/>
        </w:rPr>
        <w:t>——————————————————————————————————————————————————————————————————————</w:t>
      </w:r>
    </w:p>
    <w:p>
      <w:pPr>
        <w:spacing w:before="160" w:after="40" w:line="240" w:lineRule="auto"/>
      </w:pPr>
      <w:r>
        <w:rPr>
          <w:b/>
        </w:rPr>
        <w:t xml:space="preserve">[181] </w:t>
      </w:r>
      <w:hyperlink r:id="rId525">
        <w:r>
          <w:rPr>
            <w:color w:val="1155CC"/>
            <w:u w:val="single"/>
          </w:rPr>
          <w:t>利用Splint RNA介导的单链DNA编码库构建和无标记活细胞选择</w:t>
        </w:r>
      </w:hyperlink>
    </w:p>
    <w:p>
      <w:pPr>
        <w:spacing w:before="0" w:after="80"/>
      </w:pPr>
      <w:r>
        <w:rPr>
          <w:i/>
          <w:sz w:val="20"/>
        </w:rPr>
        <w:t>EN: Splint RNA-mediated single-stranded DNA-encoded library construction and label-free live-cell selection</w:t>
      </w:r>
    </w:p>
    <w:p>
      <w:pPr>
        <w:spacing w:before="0" w:after="120"/>
      </w:pPr>
      <w:r>
        <w:rPr>
          <w:b/>
        </w:rPr>
        <w:t xml:space="preserve">Source: </w:t>
      </w:r>
      <w:r>
        <w:t>Chem</w:t>
      </w:r>
      <w:r>
        <w:t xml:space="preserve">    </w:t>
      </w:r>
      <w:r>
        <w:rPr>
          <w:b/>
        </w:rPr>
        <w:t xml:space="preserve">Pub date: </w:t>
      </w:r>
      <w:r>
        <w:t>2026-03-10 00:00:00+00:00</w:t>
      </w:r>
      <w:r>
        <w:t xml:space="preserve">    </w:t>
      </w:r>
      <w:r>
        <w:rPr>
          <w:b/>
        </w:rPr>
        <w:t xml:space="preserve">DOI: </w:t>
      </w:r>
      <w:hyperlink r:id="rId526">
        <w:r>
          <w:rPr>
            <w:color w:val="1155CC"/>
            <w:u w:val="single"/>
          </w:rPr>
          <w:t>10.1016/j.chempr.2026.102945</w:t>
        </w:r>
      </w:hyperlink>
    </w:p>
    <w:p>
      <w:pPr>
        <w:spacing w:before="0" w:after="120"/>
      </w:pPr>
      <w:r>
        <w:rPr>
          <w:b/>
        </w:rPr>
        <w:t xml:space="preserve">Notes: </w:t>
      </w:r>
      <w:r>
        <w:t>abstract_source=rss_cell</w:t>
      </w:r>
    </w:p>
    <w:p>
      <w:pPr>
        <w:spacing w:before="0" w:after="80" w:lineRule="auto" w:line="276"/>
      </w:pPr>
      <w:r>
        <w:rPr>
          <w:b/>
        </w:rPr>
        <w:t xml:space="preserve">摘要（ZH）: </w:t>
      </w:r>
      <w:r>
        <w:t>一种高效且精确的短链RNA介导的单链DNA（ssDNA）连接系统已经开发出来。该系统在寡核苷酸连接点上表现出优越的单碱基错配识别能力，并在仅有12–14个核苷酸的情况下实现最佳连接效率。利用这些优势，我们建立了一个简洁的ssDEL编码平台，并开发了一种基于SplintR连接酶介导的邻近连接（SIMPL）的PCR方法，用于无标记活细胞选择。</w:t>
      </w:r>
    </w:p>
    <w:p>
      <w:pPr>
        <w:spacing w:before="0" w:after="200" w:lineRule="auto" w:line="276"/>
      </w:pPr>
      <w:r>
        <w:rPr>
          <w:b/>
        </w:rPr>
        <w:t xml:space="preserve">Abstract (EN): </w:t>
      </w:r>
      <w:r>
        <w:t>An efficient and precise short-splint RNA-mediated single-stranded DNA (ssDNA) ligation system has been developed. This system demonstrates superior discrimination of single-base mismatches at oligonucleotide ligation junctions and achieves optimal ligation efficiency with as few as 12–14 nucleotides. Leveraging these advantages, we have established a concise ssDEL-encoding platform and developed a SplintR ligase-mediated proximity ligation (SIMPL)-based PCR method for label-free live-cell selection.</w:t>
      </w:r>
    </w:p>
    <w:p>
      <w:pPr>
        <w:spacing w:before="120" w:after="120"/>
      </w:pPr>
      <w:r>
        <w:rPr>
          <w:sz w:val="18"/>
        </w:rPr>
        <w:t>——————————————————————————————————————————————————————————————————————</w:t>
      </w:r>
    </w:p>
    <w:p>
      <w:pPr>
        <w:spacing w:before="160" w:after="40" w:line="240" w:lineRule="auto"/>
      </w:pPr>
      <w:r>
        <w:rPr>
          <w:b/>
        </w:rPr>
        <w:t xml:space="preserve">[182] </w:t>
      </w:r>
      <w:hyperlink r:id="rId527">
        <w:r>
          <w:rPr>
            <w:color w:val="1155CC"/>
            <w:u w:val="single"/>
          </w:rPr>
          <w:t>西班牙的启示性停电</w:t>
        </w:r>
      </w:hyperlink>
    </w:p>
    <w:p>
      <w:pPr>
        <w:spacing w:before="0" w:after="80"/>
      </w:pPr>
      <w:r>
        <w:rPr>
          <w:i/>
          <w:sz w:val="20"/>
        </w:rPr>
        <w:t>EN: The enlightening blackout in Spain</w:t>
      </w:r>
    </w:p>
    <w:p>
      <w:pPr>
        <w:spacing w:before="0" w:after="120"/>
      </w:pPr>
      <w:r>
        <w:rPr>
          <w:b/>
        </w:rPr>
        <w:t xml:space="preserve">Source: </w:t>
      </w:r>
      <w:r>
        <w:t>Joule</w:t>
      </w:r>
      <w:r>
        <w:t xml:space="preserve">    </w:t>
      </w:r>
      <w:r>
        <w:rPr>
          <w:b/>
        </w:rPr>
        <w:t xml:space="preserve">Pub date: </w:t>
      </w:r>
      <w:r>
        <w:t>2026-03-10 00:00:00+00:00</w:t>
      </w:r>
      <w:r>
        <w:t xml:space="preserve">    </w:t>
      </w:r>
      <w:r>
        <w:rPr>
          <w:b/>
        </w:rPr>
        <w:t xml:space="preserve">DOI: </w:t>
      </w:r>
      <w:hyperlink r:id="rId528">
        <w:r>
          <w:rPr>
            <w:color w:val="1155CC"/>
            <w:u w:val="single"/>
          </w:rPr>
          <w:t>10.1016/j.joule.2026.102344</w:t>
        </w:r>
      </w:hyperlink>
    </w:p>
    <w:p>
      <w:pPr>
        <w:spacing w:before="0" w:after="120"/>
      </w:pPr>
      <w:r>
        <w:rPr>
          <w:b/>
        </w:rPr>
        <w:t xml:space="preserve">Notes: </w:t>
      </w:r>
      <w:r>
        <w:t>abstract_source=rss_cell</w:t>
      </w:r>
    </w:p>
    <w:p>
      <w:pPr>
        <w:spacing w:before="0" w:after="80" w:lineRule="auto" w:line="276"/>
      </w:pPr>
      <w:r>
        <w:rPr>
          <w:b/>
        </w:rPr>
        <w:t xml:space="preserve">摘要（ZH）: </w:t>
      </w:r>
      <w:r>
        <w:t>伊比利亚大停电突显了在系统复杂性和短期与长期选项范围扩大的情况下，以最低成本保证长期电力系统安全性越来越困难。研究认为，可信且无冲突的规划机构对于驾驭这些权衡至关重要。</w:t>
      </w:r>
    </w:p>
    <w:p>
      <w:pPr>
        <w:spacing w:before="0" w:after="200" w:lineRule="auto" w:line="276"/>
      </w:pPr>
      <w:r>
        <w:rPr>
          <w:b/>
        </w:rPr>
        <w:t xml:space="preserve">Abstract (EN): </w:t>
      </w:r>
      <w:r>
        <w:t>The Iberian blackout highlights how guaranteeing long-term power system security at least cost is increasingly difficult as system complexity and the range of short- and long-term options expand. The study argues that credible, conflict-free planning institutions are essential to navigate these trade-offs.</w:t>
      </w:r>
    </w:p>
    <w:p>
      <w:pPr>
        <w:spacing w:before="120" w:after="120"/>
      </w:pPr>
      <w:r>
        <w:rPr>
          <w:sz w:val="18"/>
        </w:rPr>
        <w:t>——————————————————————————————————————————————————————————————————————</w:t>
      </w:r>
    </w:p>
    <w:p>
      <w:pPr>
        <w:spacing w:before="160" w:after="40" w:line="240" w:lineRule="auto"/>
      </w:pPr>
      <w:r>
        <w:rPr>
          <w:b/>
        </w:rPr>
        <w:t xml:space="preserve">[183] </w:t>
      </w:r>
      <w:hyperlink r:id="rId529">
        <w:r>
          <w:rPr>
            <w:color w:val="1155CC"/>
            <w:u w:val="single"/>
          </w:rPr>
          <w:t>在印加帝国崛起之前，活体鹦鹉被运过安第斯山脉</w:t>
        </w:r>
      </w:hyperlink>
    </w:p>
    <w:p>
      <w:pPr>
        <w:spacing w:before="0" w:after="80"/>
      </w:pPr>
      <w:r>
        <w:rPr>
          <w:i/>
          <w:sz w:val="20"/>
        </w:rPr>
        <w:t>EN: Live parrots were carried across the Andes before the Incas’ rise</w:t>
      </w:r>
    </w:p>
    <w:p>
      <w:pPr>
        <w:spacing w:before="0" w:after="120"/>
      </w:pPr>
      <w:r>
        <w:rPr>
          <w:b/>
        </w:rPr>
        <w:t xml:space="preserve">Source: </w:t>
      </w:r>
      <w:r>
        <w:t>Nature</w:t>
      </w:r>
      <w:r>
        <w:t xml:space="preserve">    </w:t>
      </w:r>
      <w:r>
        <w:rPr>
          <w:b/>
        </w:rPr>
        <w:t xml:space="preserve">Pub date: </w:t>
      </w:r>
      <w:r>
        <w:t>2026-03-10 00:00:00+00:00</w:t>
      </w:r>
      <w:r>
        <w:t xml:space="preserve">    </w:t>
      </w:r>
      <w:r>
        <w:rPr>
          <w:b/>
        </w:rPr>
        <w:t xml:space="preserve">DOI: </w:t>
      </w:r>
      <w:hyperlink r:id="rId530">
        <w:r>
          <w:rPr>
            <w:color w:val="1155CC"/>
            <w:u w:val="single"/>
          </w:rPr>
          <w:t>10.1038/d41586-026-00765-9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531">
        <w:r>
          <w:rPr>
            <w:color w:val="1155CC"/>
            <w:u w:val="single"/>
          </w:rPr>
          <w:t>全空气加工的n-i-p钙钛矿太阳能电池通过噻乙酮添加剂实现超过26%的效率</w:t>
        </w:r>
      </w:hyperlink>
    </w:p>
    <w:p>
      <w:pPr>
        <w:spacing w:before="0" w:after="80"/>
      </w:pPr>
      <w:r>
        <w:rPr>
          <w:i/>
          <w:sz w:val="20"/>
        </w:rPr>
        <w:t>EN: All Air‐Processed n‐i‐p Perovskite Solar Cells Exceed 26% Efficiency Enabled by Thiacetazone Additive</w:t>
      </w:r>
    </w:p>
    <w:p>
      <w:pPr>
        <w:spacing w:before="0" w:after="120"/>
      </w:pPr>
      <w:r>
        <w:rPr>
          <w:b/>
        </w:rPr>
        <w:t xml:space="preserve">Source: </w:t>
      </w:r>
      <w:r>
        <w:t>Wiley: Advanced Materials: Table of Contents</w:t>
      </w:r>
      <w:r>
        <w:t xml:space="preserve">    </w:t>
      </w:r>
      <w:r>
        <w:rPr>
          <w:b/>
        </w:rPr>
        <w:t xml:space="preserve">Pub date: </w:t>
      </w:r>
      <w:r>
        <w:t>2026-03-10 03:46:20+00:00</w:t>
      </w:r>
      <w:r>
        <w:t xml:space="preserve">    </w:t>
      </w:r>
      <w:r>
        <w:rPr>
          <w:b/>
        </w:rPr>
        <w:t xml:space="preserve">DOI: </w:t>
      </w:r>
      <w:hyperlink r:id="rId532">
        <w:r>
          <w:rPr>
            <w:color w:val="1155CC"/>
            <w:u w:val="single"/>
          </w:rPr>
          <w:t>10.1002/adma.202523630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基于FAPbI</w:t>
      </w:r>
      <w:r>
        <w:rPr>
          <w:vertAlign w:val="subscript"/>
        </w:rPr>
        <w:t>3</w:t>
      </w:r>
      <w:r>
        <w:t>的钙钛矿太阳能电池（PSCs）比其MAPbI</w:t>
      </w:r>
      <w:r>
        <w:rPr>
          <w:vertAlign w:val="subscript"/>
        </w:rPr>
        <w:t>3</w:t>
      </w:r>
      <w:r>
        <w:t>的对应物更高效，但在空气中制造仍面临更严重的稳定性和可重复性挑战。根本问题在于残留的吸湿性DMSO通过吸收水分扰乱了钙钛矿的结晶，并且FAI和PbI</w:t>
      </w:r>
      <w:r>
        <w:rPr>
          <w:vertAlign w:val="subscript"/>
        </w:rPr>
        <w:t>2</w:t>
      </w:r>
      <w:r>
        <w:t>之间过快的反应导致不完全转化和PbI</w:t>
      </w:r>
      <w:r>
        <w:rPr>
          <w:vertAlign w:val="subscript"/>
        </w:rPr>
        <w:t>2</w:t>
      </w:r>
      <w:r>
        <w:t>残留。在此，我们在PbI</w:t>
      </w:r>
      <w:r>
        <w:rPr>
          <w:vertAlign w:val="subscript"/>
        </w:rPr>
        <w:t>2</w:t>
      </w:r>
      <w:r>
        <w:t>前驱体溶液中引入了噻乙酰胺添加剂。该添加剂与PbI</w:t>
      </w:r>
      <w:r>
        <w:rPr>
          <w:vertAlign w:val="subscript"/>
        </w:rPr>
        <w:t>2</w:t>
      </w:r>
    </w:p>
    <w:p>
      <w:pPr>
        <w:spacing w:before="0" w:after="200" w:lineRule="auto" w:line="276"/>
      </w:pPr>
      <w:r>
        <w:rPr>
          <w:b/>
        </w:rPr>
        <w:t xml:space="preserve">Abstract (EN): </w:t>
      </w:r>
      <w:r>
        <w:t>FAPbI</w:t>
      </w:r>
      <w:r>
        <w:rPr>
          <w:vertAlign w:val="subscript"/>
        </w:rPr>
        <w:t>3</w:t>
      </w:r>
      <w:r>
        <w:t>‐based perovskite solar cells (PSCs) are more efficient than their MAPbI</w:t>
      </w:r>
      <w:r>
        <w:rPr>
          <w:vertAlign w:val="subscript"/>
        </w:rPr>
        <w:t>3</w:t>
      </w:r>
      <w:r>
        <w:t>counterparts, but their fabrication in air still faces more severe stability and reproducibility challenges. The underlying problem lies in the residual hygroscopic DMSO disrupts the perovskite crystallization by absorbing moisture, and an excessively rapid reaction between FAI and PbI</w:t>
      </w:r>
      <w:r>
        <w:rPr>
          <w:vertAlign w:val="subscript"/>
        </w:rPr>
        <w:t>2</w:t>
      </w:r>
      <w:r>
        <w:t>causing incomplete conversion and PbI</w:t>
      </w:r>
      <w:r>
        <w:rPr>
          <w:vertAlign w:val="subscript"/>
        </w:rPr>
        <w:t>2</w:t>
      </w:r>
      <w:r>
        <w:t>residue. Here, we introduce thiacetazone additive into the PbI</w:t>
      </w:r>
      <w:r>
        <w:rPr>
          <w:vertAlign w:val="subscript"/>
        </w:rPr>
        <w:t>2</w:t>
      </w:r>
      <w:r>
        <w:t>precursor solution. This additive interacts with PbI</w:t>
      </w:r>
      <w:r>
        <w:rPr>
          <w:vertAlign w:val="subscript"/>
        </w:rPr>
        <w:t>2</w:t>
      </w:r>
      <w:r>
        <w:t>to significantly reduce PbI</w:t>
      </w:r>
      <w:r>
        <w:rPr>
          <w:vertAlign w:val="subscript"/>
        </w:rPr>
        <w:t>2</w:t>
      </w:r>
      <w:r>
        <w:t>·xDMSO complexes and form a mesoporous film conducive to the subsequent permeation of organic ammonium salt, while simultaneously interacting with FAI to moderate the reaction rate with PbI</w:t>
      </w:r>
      <w:r>
        <w:rPr>
          <w:vertAlign w:val="subscript"/>
        </w:rPr>
        <w:t>2</w:t>
      </w:r>
      <w:r>
        <w:t>. This multifunctional additive improves crystallization, substantially reduces residual PbI</w:t>
      </w:r>
      <w:r>
        <w:rPr>
          <w:vertAlign w:val="subscript"/>
        </w:rPr>
        <w:t>2</w:t>
      </w:r>
      <w:r>
        <w:t>, and effectively passivates defects in the perovskite film. Consequently, the optimized FAPbI</w:t>
      </w:r>
      <w:r>
        <w:rPr>
          <w:vertAlign w:val="subscript"/>
        </w:rPr>
        <w:t>3</w:t>
      </w:r>
      <w:r>
        <w:t>‐based PSCs achieve a record power conversion efficiency (PCE) of 26.52%—the highest value for air‐processed n‐i‐p PSCs reported so far. When the PSCs are fabricated in a high‐humidity atmosphere (70% RH), the PSCs still achieve a high PCE of 23.24%. Unencapsulated devices retain 92% of their initial PCE after 180 days in air (30–40% RH). This strategy provides a promising route to achieve efficient and storage‐stable PSCs under ambient humidity.</w:t>
      </w:r>
    </w:p>
    <w:p>
      <w:pPr>
        <w:spacing w:before="120" w:after="120"/>
      </w:pPr>
      <w:r>
        <w:rPr>
          <w:sz w:val="18"/>
        </w:rPr>
        <w:t>——————————————————————————————————————————————————————————————————————</w:t>
      </w:r>
    </w:p>
    <w:p>
      <w:pPr>
        <w:spacing w:before="160" w:after="40" w:line="240" w:lineRule="auto"/>
      </w:pPr>
      <w:r>
        <w:rPr>
          <w:b/>
        </w:rPr>
        <w:t xml:space="preserve">[185] </w:t>
      </w:r>
      <w:hyperlink r:id="rId533">
        <w:r>
          <w:rPr>
            <w:color w:val="1155CC"/>
            <w:u w:val="single"/>
          </w:rPr>
          <w:t>单原子界面的光响应自适应重构与间歇光和软离子晶格</w:t>
        </w:r>
      </w:hyperlink>
    </w:p>
    <w:p>
      <w:pPr>
        <w:spacing w:before="0" w:after="80"/>
      </w:pPr>
      <w:r>
        <w:rPr>
          <w:i/>
          <w:sz w:val="20"/>
        </w:rPr>
        <w:t>EN: Photoresponsive Adaptive Reconfiguration of Single‐Atom Interface With Intermittent Light and Soft Ionic Lattices</w:t>
      </w:r>
    </w:p>
    <w:p>
      <w:pPr>
        <w:spacing w:before="0" w:after="120"/>
      </w:pPr>
      <w:r>
        <w:rPr>
          <w:b/>
        </w:rPr>
        <w:t xml:space="preserve">Source: </w:t>
      </w:r>
      <w:r>
        <w:t>Wiley: Advanced Materials: Table of Contents</w:t>
      </w:r>
      <w:r>
        <w:t xml:space="preserve">    </w:t>
      </w:r>
      <w:r>
        <w:rPr>
          <w:b/>
        </w:rPr>
        <w:t xml:space="preserve">Pub date: </w:t>
      </w:r>
      <w:r>
        <w:t>2026-03-10 03:50:35+00:00</w:t>
      </w:r>
      <w:r>
        <w:t xml:space="preserve">    </w:t>
      </w:r>
      <w:r>
        <w:rPr>
          <w:b/>
        </w:rPr>
        <w:t xml:space="preserve">DOI: </w:t>
      </w:r>
      <w:hyperlink r:id="rId534">
        <w:r>
          <w:rPr>
            <w:color w:val="1155CC"/>
            <w:u w:val="single"/>
          </w:rPr>
          <w:t>10.1002/adma.202518557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原子催化剂（SACs）中实现动态稳定性是具有挑战性的，因为这需要通过在通常刚性的SAC框架中引入灵活性来平衡强金属-载体相互作用与结构适应性。卤化物钙钛矿由于其柔软的离子晶格和可逆的溶解-沉淀化学提供了一个独特的平台。我们提出了一种通过整合动态宿主化学、带隙工程和光调节金属物种来自适应地稳定卤化物钙钛矿上的SACs的概念。光诱导的带隙漏斗效应引导光生载流子在光照下沉积原子铂，而动态界面通过刷新在黑暗期间防止过早聚集。</w:t>
      </w:r>
    </w:p>
    <w:p>
      <w:pPr>
        <w:spacing w:before="0" w:after="200" w:lineRule="auto" w:line="276"/>
      </w:pPr>
      <w:r>
        <w:rPr>
          <w:b/>
        </w:rPr>
        <w:t xml:space="preserve">Abstract (EN): </w:t>
      </w:r>
      <w:r>
        <w:t>Achieving dynamic stability in single‐atom catalysts (SACs) is challenging, as it requires balancing strong metal‐support interactions with structural adaptability by incorporating flexibility into typically rigid SAC frameworks. Halide perovskites offer a unique platform for this purpose due to their soft ionic lattice and reversible dissolution–precipitation chemistry. We propose a concept for adaptively stabilizing SACs on halide perovskites through the integration of dynamic host chemistry, bandgap engineering, and light‐regulated metal speciation. A light‐induced bandgap funneling effect guides photogenerated carriers to deposit atomic platinum under illumination, while the dynamic interface prevents premature clustering during dark periods by refreshing the catalytic surface. The ionic, electronic, and atomic structural synergy enables a programmable intermittent illumination strategy, which drives continuous renewal of the interfacial atomic configuration and sustains high activity in hydrogen halide splitting and hydrogen production over multiple cycles. This work provides fundamental insights into adaptive catalytic interfaces and suggests new pathways for smart photocatalyst engineering via dynamic material‐light interplay.</w:t>
      </w:r>
    </w:p>
    <w:p>
      <w:pPr>
        <w:spacing w:before="120" w:after="120"/>
      </w:pPr>
      <w:r>
        <w:rPr>
          <w:sz w:val="18"/>
        </w:rPr>
        <w:t>——————————————————————————————————————————————————————————————————————</w:t>
      </w:r>
    </w:p>
    <w:p>
      <w:pPr>
        <w:spacing w:before="160" w:after="40" w:line="240" w:lineRule="auto"/>
      </w:pPr>
      <w:r>
        <w:rPr>
          <w:b/>
        </w:rPr>
        <w:t xml:space="preserve">[186] </w:t>
      </w:r>
      <w:hyperlink r:id="rId535">
        <w:r>
          <w:rPr>
            <w:color w:val="1155CC"/>
            <w:u w:val="single"/>
          </w:rPr>
          <w:t>具有导电氧化物顶电极的透明钙钛矿发光二极管</w:t>
        </w:r>
      </w:hyperlink>
    </w:p>
    <w:p>
      <w:pPr>
        <w:spacing w:before="0" w:after="80"/>
      </w:pPr>
      <w:r>
        <w:rPr>
          <w:i/>
          <w:sz w:val="20"/>
        </w:rPr>
        <w:t>EN: Transparent Perovskite Light‐Emitting Diodes with Conductive Oxide Top Electrodes</w:t>
      </w:r>
    </w:p>
    <w:p>
      <w:pPr>
        <w:spacing w:before="0" w:after="120"/>
      </w:pPr>
      <w:r>
        <w:rPr>
          <w:b/>
        </w:rPr>
        <w:t xml:space="preserve">Source: </w:t>
      </w:r>
      <w:r>
        <w:t>Wiley: Advanced Materials: Table of Contents</w:t>
      </w:r>
      <w:r>
        <w:t xml:space="preserve">    </w:t>
      </w:r>
      <w:r>
        <w:rPr>
          <w:b/>
        </w:rPr>
        <w:t xml:space="preserve">Pub date: </w:t>
      </w:r>
      <w:r>
        <w:t>2026-03-10 03:55:03+00:00</w:t>
      </w:r>
      <w:r>
        <w:t xml:space="preserve">    </w:t>
      </w:r>
      <w:r>
        <w:rPr>
          <w:b/>
        </w:rPr>
        <w:t xml:space="preserve">DOI: </w:t>
      </w:r>
      <w:hyperlink r:id="rId536">
        <w:r>
          <w:rPr>
            <w:color w:val="1155CC"/>
            <w:u w:val="single"/>
          </w:rPr>
          <w:t>10.1002/adma.202521688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透明发光二极管（TrLEDs）允许在显示数据的同时保持周围环境的可见性。这一特性开启了一系列新的应用。基于钙钛矿的发光材料由于其窄发射光谱和颜色可调性而在此类设备中具有前景。在这里，我们展示了使用脉冲激光沉积结合金属氧化物缓冲层沉积氧化铟锡（ITO）电极是一种制造具有多种成分和设备配置的透明钙钛矿LEDs（TrPeLEDs）的通用方法。基于原位形成的钙钛矿纳米晶体（NC）直接沉积在ITO涂层玻璃基板上的绿色TrPeLEDs实现了创纪录的综合光</w:t>
      </w:r>
    </w:p>
    <w:p>
      <w:pPr>
        <w:spacing w:before="0" w:after="200" w:lineRule="auto" w:line="276"/>
      </w:pPr>
      <w:r>
        <w:rPr>
          <w:b/>
        </w:rPr>
        <w:t xml:space="preserve">Abstract (EN): </w:t>
      </w:r>
      <w:r>
        <w:t>Transparent light‐emitting diodes (TrLEDs) allow to simultaneous display data while maintaining the visibility of the surroundings. This feature unlocks a new range of applications. Perovskite‐based emitting materials are promising for such devices in view of their narrow emission spectrum and color tunability. Here, we show that depositing an indium tin oxide (ITO) electrode using pulsed laser deposition in combination with a metal oxide buffer layer is a universal approach for the fabrication of transparent perovskite LEDs (TrPeLEDs) with a variety of compositions and device configurations. Green TrPeLEDs based on in situ formed perovskite nanocrystals (NC) deposited directly on ITO coated glass substrates achieved a record‐high combined luminance of 150 000 cd m</w:t>
      </w:r>
      <w:r>
        <w:t xml:space="preserve"> </w:t>
      </w:r>
      <w:r>
        <w:t>−2</w:t>
      </w:r>
      <w:r>
        <w:t xml:space="preserve"> </w:t>
      </w:r>
      <w:r>
        <w:t>. When instead a TrPeLED using a thin colloidal NCs layer was used it led to LEDs with an average visible transmittance of 80% and a color rendering index above 90.</w:t>
      </w:r>
    </w:p>
    <w:p>
      <w:pPr>
        <w:spacing w:before="120" w:after="120"/>
      </w:pPr>
      <w:r>
        <w:rPr>
          <w:sz w:val="18"/>
        </w:rPr>
        <w:t>——————————————————————————————————————————————————————————————————————</w:t>
      </w:r>
    </w:p>
    <w:p>
      <w:pPr>
        <w:spacing w:before="160" w:after="40" w:line="240" w:lineRule="auto"/>
      </w:pPr>
      <w:r>
        <w:rPr>
          <w:b/>
        </w:rPr>
        <w:t xml:space="preserve">[187] </w:t>
      </w:r>
      <w:hyperlink r:id="rId537">
        <w:r>
          <w:rPr>
            <w:color w:val="1155CC"/>
            <w:u w:val="single"/>
          </w:rPr>
          <w:t>纳米佐剂介导的电免疫疗法增强不可逆电穿孔用于胰腺癌治疗</w:t>
        </w:r>
      </w:hyperlink>
    </w:p>
    <w:p>
      <w:pPr>
        <w:spacing w:before="0" w:after="80"/>
      </w:pPr>
      <w:r>
        <w:rPr>
          <w:i/>
          <w:sz w:val="20"/>
        </w:rPr>
        <w:t>EN: Nanoadjuvant‐Mediated Electro‐Immunotherapy Enhances Irreversible Electroporation for Pancreatic Cancer Treatment</w:t>
      </w:r>
    </w:p>
    <w:p>
      <w:pPr>
        <w:spacing w:before="0" w:after="120"/>
      </w:pPr>
      <w:r>
        <w:rPr>
          <w:b/>
        </w:rPr>
        <w:t xml:space="preserve">Source: </w:t>
      </w:r>
      <w:r>
        <w:t>Wiley: Advanced Materials: Table of Contents</w:t>
      </w:r>
      <w:r>
        <w:t xml:space="preserve">    </w:t>
      </w:r>
      <w:r>
        <w:rPr>
          <w:b/>
        </w:rPr>
        <w:t xml:space="preserve">Pub date: </w:t>
      </w:r>
      <w:r>
        <w:t>2026-03-10 04:12:45+00:00</w:t>
      </w:r>
      <w:r>
        <w:t xml:space="preserve">    </w:t>
      </w:r>
      <w:r>
        <w:rPr>
          <w:b/>
        </w:rPr>
        <w:t xml:space="preserve">DOI: </w:t>
      </w:r>
      <w:hyperlink r:id="rId538">
        <w:r>
          <w:rPr>
            <w:color w:val="1155CC"/>
            <w:u w:val="single"/>
          </w:rPr>
          <w:t>10.1002/adma.202520546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胰腺导管腺癌（PDAC）是一种高度致命的恶性肿瘤，主要归因于其免疫抑制的肿瘤微环境和对传统疗法的有限反应性。不可逆电穿孔（IRE）是一种非热消融技术，具有显著的前景，因为它可以保留关键的肿瘤周围结构并诱导免疫原性细胞死亡。然而，IRE引发的免疫刺激效应通常是短暂的，这限制了持久的治疗效果。为了解决这一限制，我们开发了一种电响应纳米佐剂系统（PSFC），由肽修饰的超顺磁性氧化铁（SPIO）包裹的纳米颗粒组成，旨在与IRE协同作用。在IRE应用后，PSFC纳米颗粒</w:t>
      </w:r>
    </w:p>
    <w:p>
      <w:pPr>
        <w:spacing w:before="0" w:after="200" w:lineRule="auto" w:line="276"/>
      </w:pPr>
      <w:r>
        <w:rPr>
          <w:b/>
        </w:rPr>
        <w:t xml:space="preserve">Abstract (EN): </w:t>
      </w:r>
      <w:r>
        <w:t>Pancreatic ductal adenocarcinoma (PDAC) is a highly lethal malignancy, primarily attributable to its immunosuppressive tumor microenvironment and limited responsiveness to conventional therapies. Irreversible electroporation (IRE), a non‐thermal ablation technique, holds significant promise as it preserves critical peritumoral structures and can induce immunogenic cell death. However, the immunostimulatory effects elicited by IRE are typically transient, which constrains durable therapeutic benefit. To address this limitation, we developed an electro‐responsive nanoadjuvant system (PSFC) composed of peptide‐modified, superparamagnetic iron oxide (SPIO)‐encapsulated nanoparticles engineered to synergize with IRE. Upon IRE application, the PSFC nanoparticles undergo electro‐triggered disassembly, releasing CpG oligodeoxynucleotides (CpG ODNs) to amplify both innate and adaptive immune responses. This approach promotes antigen‐presenting cells’ activation and macrophage polarization toward an M1 phenotype, while enhancing intratumoral T cell activation and pro‐inflammatory cytokine secretion. By enabling spatiotemporal control of immune activation, this combined electro‐immunotherapeutic strategy effectively overcomes the inherent immuno‐resistance of PDAC and yields significantly improved treatment outcomes.</w:t>
      </w:r>
    </w:p>
    <w:p>
      <w:pPr>
        <w:spacing w:before="120" w:after="120"/>
      </w:pPr>
      <w:r>
        <w:rPr>
          <w:sz w:val="18"/>
        </w:rPr>
        <w:t>——————————————————————————————————————————————————————————————————————</w:t>
      </w:r>
    </w:p>
    <w:p>
      <w:pPr>
        <w:spacing w:before="160" w:after="40" w:line="240" w:lineRule="auto"/>
      </w:pPr>
      <w:r>
        <w:rPr>
          <w:b/>
        </w:rPr>
        <w:t xml:space="preserve">[188] </w:t>
      </w:r>
      <w:hyperlink r:id="rId539">
        <w:r>
          <w:rPr>
            <w:color w:val="1155CC"/>
            <w:u w:val="single"/>
          </w:rPr>
          <w:t>基于高导电性Ag片的生物粘合剂用于多功能表皮电子设备</w:t>
        </w:r>
      </w:hyperlink>
    </w:p>
    <w:p>
      <w:pPr>
        <w:spacing w:before="0" w:after="80"/>
      </w:pPr>
      <w:r>
        <w:rPr>
          <w:i/>
          <w:sz w:val="20"/>
        </w:rPr>
        <w:t>EN: Highly Conductive Ag Flakes‐Based Bio‐Adhesive for Multi‐Functional Epidermal Electronics</w:t>
      </w:r>
    </w:p>
    <w:p>
      <w:pPr>
        <w:spacing w:before="0" w:after="120"/>
      </w:pPr>
      <w:r>
        <w:rPr>
          <w:b/>
        </w:rPr>
        <w:t xml:space="preserve">Source: </w:t>
      </w:r>
      <w:r>
        <w:t>Wiley: Advanced Materials: Table of Contents</w:t>
      </w:r>
      <w:r>
        <w:t xml:space="preserve">    </w:t>
      </w:r>
      <w:r>
        <w:rPr>
          <w:b/>
        </w:rPr>
        <w:t xml:space="preserve">Pub date: </w:t>
      </w:r>
      <w:r>
        <w:t>2026-03-10 04:40:43+00:00</w:t>
      </w:r>
      <w:r>
        <w:t xml:space="preserve">    </w:t>
      </w:r>
      <w:r>
        <w:rPr>
          <w:b/>
        </w:rPr>
        <w:t xml:space="preserve">DOI: </w:t>
      </w:r>
      <w:hyperlink r:id="rId540">
        <w:r>
          <w:rPr>
            <w:color w:val="1155CC"/>
            <w:u w:val="single"/>
          </w:rPr>
          <w:t>10.1002/adma.202521677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稳健的皮肤电子界面对于可穿戴生物电子设备的信号保真度至关重要，特别是在动态生理条件下。原位制造生物相容性电子设备提供了一种有前景的策略，通过紧密的界面接触实现贴合的皮肤电子集成。然而，现有的原位可打印导电墨水在高导电性和强附着力之间，以及在环境耐受性和按需可移除性之间存在固有的权衡，显著限制了其实际应用。我们在此报告了一种基于粘弹性超分子聚合物的导电粘合墨水（AgBioA），它同时实现了高电导率（&gt;15 000 S cm−1</w:t>
      </w:r>
    </w:p>
    <w:p>
      <w:pPr>
        <w:spacing w:before="0" w:after="200" w:lineRule="auto" w:line="276"/>
      </w:pPr>
      <w:r>
        <w:rPr>
          <w:b/>
        </w:rPr>
        <w:t xml:space="preserve">Abstract (EN): </w:t>
      </w:r>
      <w:r>
        <w:t>Robust skin‐electronic interfaces are essential for signal fidelity of wearable bioelectronics, particularly under dynamic physiological conditions. In situ fabrication of biocompatible electronics offers a promising strategy to achieve conformal skin‐electronic integration through intimate interfacial contact. However, existing in situ‐printable conductive inks face inherent trade‐offs between high conductivity and strong adhesion, as well as between environmental resilience and on‐demand removability, significantly limiting their practical utility. Here, we report a viscoelastic supramolecular polymer‐based conductive adhesive ink (AgBioA) that simultaneously achieves high electrical conductivity (&amp;gt;15 000 S cm</w:t>
      </w:r>
      <w:r>
        <w:t xml:space="preserve"> </w:t>
      </w:r>
      <w:r>
        <w:t>−1</w:t>
      </w:r>
      <w:r>
        <w:t xml:space="preserve"> </w:t>
      </w:r>
      <w:r>
        <w:t>), strong skin adhesion (∼3 N cm</w:t>
      </w:r>
      <w:r>
        <w:t xml:space="preserve"> </w:t>
      </w:r>
      <w:r>
        <w:t>−1</w:t>
      </w:r>
      <w:r>
        <w:t xml:space="preserve"> </w:t>
      </w:r>
      <w:r>
        <w:t>), excellent environmental stability, ethanol‐triggered on‐demand dissolution, and superior biocompatibility. Our approach leverages a dynamically crosslinked supramolecular network, synthesized by copolymerizing α‐lipoic acid (LA) with 1,3‐diisopropenylbenzene (DIB) and reinforced with citric acid (CA) via hydrogen bonding. This unique design enables two key innovations: first, it ensures robust interfacial adhesion to diverse surfaces, from biological tissues to rigid electronic components; second, it facilitates the uniform dispersion of silver flakes into mechanically stable, percolated networks that guarantee highly reliable conductivity. Exploiting these advantages, we demonstrate fully integrated epidermal devices, including in situ fabricated bioelectrodes for reliable electrocardiography (ECG) and electrodermal activity (EDA) monitoring, and a skin‐conforming photoplethysmography (PPG) sensor where AgBioA functions dually as structural adhesive and conductive interconnect.</w:t>
      </w:r>
    </w:p>
    <w:p>
      <w:pPr>
        <w:spacing w:before="120" w:after="120"/>
      </w:pPr>
      <w:r>
        <w:rPr>
          <w:sz w:val="18"/>
        </w:rPr>
        <w:t>——————————————————————————————————————————————————————————————————————</w:t>
      </w:r>
    </w:p>
    <w:p>
      <w:pPr>
        <w:spacing w:before="160" w:after="40" w:line="240" w:lineRule="auto"/>
      </w:pPr>
      <w:r>
        <w:rPr>
          <w:b/>
        </w:rPr>
        <w:t xml:space="preserve">[189] </w:t>
      </w:r>
      <w:hyperlink r:id="rId541">
        <w:r>
          <w:rPr>
            <w:color w:val="1155CC"/>
            <w:u w:val="single"/>
          </w:rPr>
          <w:t>通过双功能氰基乙酸实现的宽带隙钙钛矿界面-体相统一增强，用于纹理化硅/钙钛矿叠层太阳能电池</w:t>
        </w:r>
      </w:hyperlink>
    </w:p>
    <w:p>
      <w:pPr>
        <w:spacing w:before="0" w:after="80"/>
      </w:pPr>
      <w:r>
        <w:rPr>
          <w:i/>
          <w:sz w:val="20"/>
        </w:rPr>
        <w:t>EN: Unified Interface–Bulk Enhancements in Wide‐Bandgap Perovskites Enabled by Bifunctional Cyanoacetic Acid for Textured Silicon/Perovskite Tandem Solar Cells</w:t>
      </w:r>
    </w:p>
    <w:p>
      <w:pPr>
        <w:spacing w:before="0" w:after="120"/>
      </w:pPr>
      <w:r>
        <w:rPr>
          <w:b/>
        </w:rPr>
        <w:t xml:space="preserve">Source: </w:t>
      </w:r>
      <w:r>
        <w:t>Wiley: Advanced Materials: Table of Contents</w:t>
      </w:r>
      <w:r>
        <w:t xml:space="preserve">    </w:t>
      </w:r>
      <w:r>
        <w:rPr>
          <w:b/>
        </w:rPr>
        <w:t xml:space="preserve">Pub date: </w:t>
      </w:r>
      <w:r>
        <w:t>2026-03-10 04:42:05+00:00</w:t>
      </w:r>
      <w:r>
        <w:t xml:space="preserve">    </w:t>
      </w:r>
      <w:r>
        <w:rPr>
          <w:b/>
        </w:rPr>
        <w:t xml:space="preserve">DOI: </w:t>
      </w:r>
      <w:hyperlink r:id="rId542">
        <w:r>
          <w:rPr>
            <w:color w:val="1155CC"/>
            <w:u w:val="single"/>
          </w:rPr>
          <w:t>10.1002/adma.72738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WBG）钙钛矿太阳能电池（PSCs）对于硅/钙钛矿叠层电池至关重要，但受到埋藏界面无序、体缺陷和离子迁移引起的降解的阻碍，这些挑战在纹理化硅上进一步放大。我们通过将氰基乙酸（CA）引入自组装单层（SAM）和钙钛矿前体中，报告了一种协同的界面-体调控策略。在埋藏界面，CA锚定到基底并与SAM相互作用，形成分子桥，抑制SAM聚集并均匀化界面能量。在钙钛矿中，CA与未配位的Pb2+协调并稳定卤化物，产生均匀的薄膜</w:t>
      </w:r>
    </w:p>
    <w:p>
      <w:pPr>
        <w:spacing w:before="0" w:after="200" w:lineRule="auto" w:line="276"/>
      </w:pPr>
      <w:r>
        <w:rPr>
          <w:b/>
        </w:rPr>
        <w:t xml:space="preserve">Abstract (EN): </w:t>
      </w:r>
      <w:r>
        <w:t>Wide‐bandgap (WBG) perovskite solar cells (PSCs) are essential for silicon/perovskite tandems but are hampered by buried‐interface disorder, bulk defects, and ion‐migration–induced degradation, challenges that are further amplified on textured silicon. We report a synergistic interface–bulk regulation strategy by incorporating cyanoacetic acid (CA) into both the self‐assembled monolayers (SAM) and the perovskite precursor. At the buried interface, CA anchors to substrate and interacts with SAM, forming a molecular bridge that suppresses SAM aggregation and homogenizes interfacial energetics. Within the perovskite, CA coordinates with undercoordinated Pb</w:t>
      </w:r>
      <w:r>
        <w:t xml:space="preserve"> </w:t>
      </w:r>
      <w:r>
        <w:t>2+</w:t>
      </w:r>
      <w:r>
        <w:t xml:space="preserve"> </w:t>
      </w:r>
      <w:r>
        <w:t>and stabilizes halides, producing uniform films with reduced trap densities. These enhancements strengthen the interface and suppress ion migration, nearly doubling the reverse‐bias breakdown voltage. The textured silicon/perovskite interface exhibits enhanced and more balanced interfacial electric fields across silicon pyramids. The optimized 1.66‐eV PSC achieves a steady‐state power conversion efficiency (PCE) of 24.43%, while integration into textured silicon tandem device yields a champion PCE of 32.43% with 93% retention after 1000 h.</w:t>
      </w:r>
    </w:p>
    <w:p>
      <w:pPr>
        <w:spacing w:before="120" w:after="120"/>
      </w:pPr>
      <w:r>
        <w:rPr>
          <w:sz w:val="18"/>
        </w:rPr>
        <w:t>——————————————————————————————————————————————————————————————————————</w:t>
      </w:r>
    </w:p>
    <w:p>
      <w:pPr>
        <w:spacing w:before="160" w:after="40" w:line="240" w:lineRule="auto"/>
      </w:pPr>
      <w:r>
        <w:rPr>
          <w:b/>
        </w:rPr>
        <w:t xml:space="preserve">[190] </w:t>
      </w:r>
      <w:hyperlink r:id="rId543">
        <w:r>
          <w:rPr>
            <w:color w:val="1155CC"/>
            <w:u w:val="single"/>
          </w:rPr>
          <w:t>实现具有高居里温度和低阻尼的二维铁磁体：Cr1.8Te2</w:t>
        </w:r>
      </w:hyperlink>
    </w:p>
    <w:p>
      <w:pPr>
        <w:spacing w:before="0" w:after="80"/>
      </w:pPr>
      <w:r>
        <w:rPr>
          <w:i/>
          <w:sz w:val="20"/>
        </w:rPr>
        <w:t>EN: Realizing a Two‐Dimensional Ferromagnet With High Curie Temperature and Low Damping: Cr1.8Te2</w:t>
      </w:r>
    </w:p>
    <w:p>
      <w:pPr>
        <w:spacing w:before="0" w:after="120"/>
      </w:pPr>
      <w:r>
        <w:rPr>
          <w:b/>
        </w:rPr>
        <w:t xml:space="preserve">Source: </w:t>
      </w:r>
      <w:r>
        <w:t>Wiley: Advanced Materials: Table of Contents</w:t>
      </w:r>
      <w:r>
        <w:t xml:space="preserve">    </w:t>
      </w:r>
      <w:r>
        <w:rPr>
          <w:b/>
        </w:rPr>
        <w:t xml:space="preserve">Pub date: </w:t>
      </w:r>
      <w:r>
        <w:t>2026-03-10 04:43:44+00:00</w:t>
      </w:r>
      <w:r>
        <w:t xml:space="preserve">    </w:t>
      </w:r>
      <w:r>
        <w:rPr>
          <w:b/>
        </w:rPr>
        <w:t xml:space="preserve">DOI: </w:t>
      </w:r>
      <w:hyperlink r:id="rId544">
        <w:r>
          <w:rPr>
            <w:color w:val="1155CC"/>
            <w:u w:val="single"/>
          </w:rPr>
          <w:t>10.1002/adma.202520911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二维铁磁体的兴起不仅显著推进了基础物理学和材料科学，还为各种应用提供了极好的机会，特别是在自旋电子学中。迄今为止报道的二维铁磁体要么显示出低于室温（RT）的居里温度（</w:t>
      </w:r>
      <w:r>
        <w:t xml:space="preserve"> </w:t>
      </w:r>
      <w:r>
        <w:t>T</w:t>
      </w:r>
      <w:r>
        <w:t xml:space="preserve"> </w:t>
      </w:r>
      <w:r>
        <w:t>c</w:t>
      </w:r>
      <w:r>
        <w:t xml:space="preserve"> </w:t>
      </w:r>
      <w:r>
        <w:t>），要么具有高磁阻尼（</w:t>
      </w:r>
      <w:r>
        <w:t xml:space="preserve"> </w:t>
      </w:r>
      <w:r>
        <w:t>α</w:t>
      </w:r>
      <w:r>
        <w:t xml:space="preserve"> </w:t>
      </w:r>
      <w:r>
        <w:t>），这极大地限制了它们的应用。在此，利用最先进的互联分子束外延和磁控溅射系统，我们制备了高质量的自插层Cr</w:t>
      </w:r>
      <w:r>
        <w:t xml:space="preserve"> </w:t>
      </w:r>
      <w:r>
        <w:t>1.8</w:t>
      </w:r>
      <w:r>
        <w:t xml:space="preserve"> </w:t>
      </w:r>
      <w:r>
        <w:t>Te</w:t>
      </w:r>
      <w:r>
        <w:rPr>
          <w:vertAlign w:val="subscript"/>
        </w:rPr>
        <w:t>2</w:t>
      </w:r>
      <w:r>
        <w:t>薄膜和Cr</w:t>
      </w:r>
    </w:p>
    <w:p>
      <w:pPr>
        <w:spacing w:before="0" w:after="200" w:lineRule="auto" w:line="276"/>
      </w:pPr>
      <w:r>
        <w:rPr>
          <w:b/>
        </w:rPr>
        <w:t xml:space="preserve">Abstract (EN): </w:t>
      </w:r>
      <w:r>
        <w:t>The rise of the 2D ferromagnets not only significantly advances fundamental physics and materials science but also provides excellent opportunities for various applications, particularly in spintronics. The 2D ferromagnets reported so far either show a Curie temperature (</w:t>
      </w:r>
      <w:r>
        <w:t xml:space="preserve"> </w:t>
      </w:r>
      <w:r>
        <w:t>T</w:t>
      </w:r>
      <w:r>
        <w:t xml:space="preserve"> </w:t>
      </w:r>
      <w:r>
        <w:t>c</w:t>
      </w:r>
      <w:r>
        <w:t xml:space="preserve"> </w:t>
      </w:r>
      <w:r>
        <w:t>) below room temperature (RT) or possess a high magnetic damping (</w:t>
      </w:r>
      <w:r>
        <w:t xml:space="preserve"> </w:t>
      </w:r>
      <w:r>
        <w:t>α</w:t>
      </w:r>
      <w:r>
        <w:t xml:space="preserve"> </w:t>
      </w:r>
      <w:r>
        <w:t>), which strongly limits their applications. Here, utilizing a state‐of‐the‐art interconnected molecular beam epitaxy and magnetron sputtering system, we fabricate high‐quality self‐intercalated Cr</w:t>
      </w:r>
      <w:r>
        <w:t xml:space="preserve"> </w:t>
      </w:r>
      <w:r>
        <w:t>1.8</w:t>
      </w:r>
      <w:r>
        <w:t xml:space="preserve"> </w:t>
      </w:r>
      <w:r>
        <w:t>Te</w:t>
      </w:r>
      <w:r>
        <w:rPr>
          <w:vertAlign w:val="subscript"/>
        </w:rPr>
        <w:t>2</w:t>
      </w:r>
      <w:r>
        <w:t>films and Cr</w:t>
      </w:r>
      <w:r>
        <w:t xml:space="preserve"> </w:t>
      </w:r>
      <w:r>
        <w:t>1.8</w:t>
      </w:r>
      <w:r>
        <w:t xml:space="preserve"> </w:t>
      </w:r>
      <w:r>
        <w:t>Te</w:t>
      </w:r>
      <w:r>
        <w:rPr>
          <w:vertAlign w:val="subscript"/>
        </w:rPr>
        <w:t>2</w:t>
      </w:r>
      <w:r>
        <w:t>/Pt heterostructures with clean interfaces. We find that the Cr</w:t>
      </w:r>
      <w:r>
        <w:t xml:space="preserve"> </w:t>
      </w:r>
      <w:r>
        <w:t>1.8</w:t>
      </w:r>
      <w:r>
        <w:t xml:space="preserve"> </w:t>
      </w:r>
      <w:r>
        <w:t>Te</w:t>
      </w:r>
      <w:r>
        <w:rPr>
          <w:vertAlign w:val="subscript"/>
        </w:rPr>
        <w:t>2</w:t>
      </w:r>
      <w:r>
        <w:t>simultaneously achieves a high</w:t>
      </w:r>
      <w:r>
        <w:t xml:space="preserve"> </w:t>
      </w:r>
      <w:r>
        <w:t>T</w:t>
      </w:r>
      <w:r>
        <w:t xml:space="preserve"> </w:t>
      </w:r>
      <w:r>
        <w:t>c</w:t>
      </w:r>
      <w:r>
        <w:t xml:space="preserve"> </w:t>
      </w:r>
      <w:r>
        <w:t>(∼340 K) and a record‐low</w:t>
      </w:r>
      <w:r>
        <w:t xml:space="preserve"> </w:t>
      </w:r>
      <w:r>
        <w:t>α</w:t>
      </w:r>
      <w:r>
        <w:t xml:space="preserve"> </w:t>
      </w:r>
      <w:r>
        <w:t>(∼0.02) among all 2D ferromagnets with</w:t>
      </w:r>
      <w:r>
        <w:t xml:space="preserve"> </w:t>
      </w:r>
      <w:r>
        <w:t>T</w:t>
      </w:r>
      <w:r>
        <w:t xml:space="preserve"> </w:t>
      </w:r>
      <w:r>
        <w:t>c</w:t>
      </w:r>
      <w:r>
        <w:t xml:space="preserve"> </w:t>
      </w:r>
      <w:r>
        <w:t>exceeding RT. These unique features enable the first observation of spin injection from a 2D ferromagnet via spin pumping in Cr</w:t>
      </w:r>
      <w:r>
        <w:t xml:space="preserve"> </w:t>
      </w:r>
      <w:r>
        <w:t>1.8</w:t>
      </w:r>
      <w:r>
        <w:t xml:space="preserve"> </w:t>
      </w:r>
      <w:r>
        <w:t>Te</w:t>
      </w:r>
      <w:r>
        <w:rPr>
          <w:vertAlign w:val="subscript"/>
        </w:rPr>
        <w:t>2</w:t>
      </w:r>
      <w:r>
        <w:t>/Pt bilayers under ambient conditions. Our findings establish self‐intercalated Cr</w:t>
      </w:r>
      <w:r>
        <w:t xml:space="preserve"> </w:t>
      </w:r>
      <w:r>
        <w:t>1.8</w:t>
      </w:r>
      <w:r>
        <w:t xml:space="preserve"> </w:t>
      </w:r>
      <w:r>
        <w:t>Te</w:t>
      </w:r>
      <w:r>
        <w:rPr>
          <w:vertAlign w:val="subscript"/>
        </w:rPr>
        <w:t>2</w:t>
      </w:r>
      <w:r>
        <w:t>as an efficient spin current source at RT, highlighting its great potential for practical spintronic applications.</w:t>
      </w:r>
    </w:p>
    <w:p>
      <w:pPr>
        <w:spacing w:before="120" w:after="120"/>
      </w:pPr>
      <w:r>
        <w:rPr>
          <w:sz w:val="18"/>
        </w:rPr>
        <w:t>——————————————————————————————————————————————————————————————————————</w:t>
      </w:r>
    </w:p>
    <w:p>
      <w:pPr>
        <w:spacing w:before="160" w:after="40" w:line="240" w:lineRule="auto"/>
      </w:pPr>
      <w:r>
        <w:rPr>
          <w:b/>
        </w:rPr>
        <w:t xml:space="preserve">[191] </w:t>
      </w:r>
      <w:hyperlink r:id="rId545">
        <w:r>
          <w:rPr>
            <w:color w:val="1155CC"/>
            <w:u w:val="single"/>
          </w:rPr>
          <w:t>自供电柔性摩擦电门控离子凝胶晶体管用于类神经触觉传感和人类活动识别</w:t>
        </w:r>
      </w:hyperlink>
    </w:p>
    <w:p>
      <w:pPr>
        <w:spacing w:before="0" w:after="80"/>
      </w:pPr>
      <w:r>
        <w:rPr>
          <w:i/>
          <w:sz w:val="20"/>
        </w:rPr>
        <w:t>EN: Self‐Powered Flexible Triboelectric‐Gated Ion‐Gel Transistor for Neuromorphic Tactile Sensing and Human Activity Recognition</w:t>
      </w:r>
    </w:p>
    <w:p>
      <w:pPr>
        <w:spacing w:before="0" w:after="120"/>
      </w:pPr>
      <w:r>
        <w:rPr>
          <w:b/>
        </w:rPr>
        <w:t xml:space="preserve">Source: </w:t>
      </w:r>
      <w:r>
        <w:t>Wiley: Advanced Materials: Table of Contents</w:t>
      </w:r>
      <w:r>
        <w:t xml:space="preserve">    </w:t>
      </w:r>
      <w:r>
        <w:rPr>
          <w:b/>
        </w:rPr>
        <w:t xml:space="preserve">Pub date: </w:t>
      </w:r>
      <w:r>
        <w:t>2026-03-10 06:31:49+00:00</w:t>
      </w:r>
      <w:r>
        <w:t xml:space="preserve">    </w:t>
      </w:r>
      <w:r>
        <w:rPr>
          <w:b/>
        </w:rPr>
        <w:t xml:space="preserve">DOI: </w:t>
      </w:r>
      <w:hyperlink r:id="rId546">
        <w:r>
          <w:rPr>
            <w:color w:val="1155CC"/>
            <w:u w:val="single"/>
          </w:rPr>
          <w:t>10.1002/adma.202520540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穿戴和柔性神经形态设备能够准确模拟突触行为，同时自主响应机械刺激，在智能传感和仿生计算方面具有巨大潜力。在此，我们展示了一种完全柔性的突触设备，其中在塑料基板上制造的石墨烯通道离子凝胶栅极晶体管（g‐IGT）由基于聚（偏氟乙烯‐共‐三氟乙烯）的摩擦电纳米发电机（TENG）直接驱动，实现了自供电触觉传感和模拟权重存储。该设备通过感觉‐短期‐长期记忆转换模拟多存储器层次结构，其特征是突触衰减时间为约70 ms（感觉）、0.2–0.45 s（短期）和&amp;gt;2.0 s（长期）。此外，</w:t>
      </w:r>
    </w:p>
    <w:p>
      <w:pPr>
        <w:spacing w:before="0" w:after="200" w:lineRule="auto" w:line="276"/>
      </w:pPr>
      <w:r>
        <w:rPr>
          <w:b/>
        </w:rPr>
        <w:t xml:space="preserve">Abstract (EN): </w:t>
      </w:r>
      <w:r>
        <w:t>Wearable and flexible neuromorphic devices capable of accurately emulating synaptic behaviors while autonomously responding to mechanical stimuli hold great promise for intelligent sensing and bio‐inspired computing. Here, we present a fully flexible synaptic device in which a graphene‐channel ion‐gel‐gated transistor (g‐IGT) fabricated on a plastic substrate is directly driven by a poly(vinylidene fluoride‐co‐trifluoroethylene)‐based triboelectric nanogenerator (TENG), enabling self‐powered tactile sensing and analog weight storage. The device emulates the multistore memory hierarchy through sensory–short‐term–long‐term memory transitions, characterized by synaptic decay times of ∼70 ms (sensory), 0.2–0.45 s (short‐term), and &amp;gt;2.0 s (long‐term). Furthermore, rate‐coded learning is demonstrated through spike‐rate‐dependent plasticity, enabling frequency‐selective potentiation and depression. When the experimentally measured weight‐update profiles are implemented in a single‐layer perceptron for human activity recognition, the neural network system achieves &amp;gt;88% classification accuracy, even under 1.1 MPa bending stress. Furthermore, the network system maintains relatively stable performance (&amp;gt;75%) even under the extreme environment with a high noise level. These results establish the TENG‐driven g‐IGT as a viable route toward mechanically compliant, battery‐free neuromorphic platforms capable of sensing, learning, and adapting in situ.</w:t>
      </w:r>
    </w:p>
    <w:p>
      <w:pPr>
        <w:spacing w:before="120" w:after="120"/>
      </w:pPr>
      <w:r>
        <w:rPr>
          <w:sz w:val="18"/>
        </w:rPr>
        <w:t>——————————————————————————————————————————————————————————————————————</w:t>
      </w:r>
    </w:p>
    <w:p>
      <w:pPr>
        <w:spacing w:before="160" w:after="40" w:line="240" w:lineRule="auto"/>
      </w:pPr>
      <w:r>
        <w:rPr>
          <w:b/>
        </w:rPr>
        <w:t xml:space="preserve">[192] </w:t>
      </w:r>
      <w:hyperlink r:id="rId547">
        <w:r>
          <w:rPr>
            <w:color w:val="1155CC"/>
            <w:u w:val="single"/>
          </w:rPr>
          <w:t>一步侧链切割和原位掺杂开壳层热电聚合物</w:t>
        </w:r>
      </w:hyperlink>
    </w:p>
    <w:p>
      <w:pPr>
        <w:spacing w:before="0" w:after="80"/>
      </w:pPr>
      <w:r>
        <w:rPr>
          <w:i/>
          <w:sz w:val="20"/>
        </w:rPr>
        <w:t>EN: One‐Step Side‐Chain Cleaving and In Situ Doping of Open‐Shell Thermoelectric Polymers</w:t>
      </w:r>
    </w:p>
    <w:p>
      <w:pPr>
        <w:spacing w:before="0" w:after="120"/>
      </w:pPr>
      <w:r>
        <w:rPr>
          <w:b/>
        </w:rPr>
        <w:t xml:space="preserve">Source: </w:t>
      </w:r>
      <w:r>
        <w:t>Wiley: Angewandte Chemie International Edition: Table of Contents</w:t>
      </w:r>
      <w:r>
        <w:t xml:space="preserve">    </w:t>
      </w:r>
      <w:r>
        <w:rPr>
          <w:b/>
        </w:rPr>
        <w:t xml:space="preserve">Pub date: </w:t>
      </w:r>
      <w:r>
        <w:t>2026-03-10 06:49:58+00:00</w:t>
      </w:r>
      <w:r>
        <w:t xml:space="preserve">    </w:t>
      </w:r>
      <w:r>
        <w:rPr>
          <w:b/>
        </w:rPr>
        <w:t xml:space="preserve">DOI: </w:t>
      </w:r>
      <w:hyperlink r:id="rId548">
        <w:r>
          <w:rPr>
            <w:color w:val="1155CC"/>
            <w:u w:val="single"/>
          </w:rPr>
          <w:t>10.1002/anie.4521405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壳共轭聚合物由于其固有的准醌结构和自由基特性，是很有前途的热电（TE）材料。然而，这些聚合物的电荷传输性能通常受到结构无序和空气敏感性的限制。在这项工作中，我们开发了一种一步“切割和掺杂”策略，以实现高导电性无侧链开壳聚合物。通过三氟甲磺酸（TfOH）处理三种苯并[1,2-c;4,5-c']双噻二唑（BBT）基开壳聚合物，即PBBTSi-T、PBBTSi-2T和PBBTSi-TVT的固体薄膜，有效地切割了绝缘的硅烷侧链，同时原位掺杂了聚合物主链。这一步过程产生了高度o</w:t>
      </w:r>
    </w:p>
    <w:p>
      <w:pPr>
        <w:spacing w:before="0" w:after="200" w:lineRule="auto" w:line="276"/>
      </w:pPr>
      <w:r>
        <w:rPr>
          <w:b/>
        </w:rPr>
        <w:t xml:space="preserve">Abstract (EN): </w:t>
      </w:r>
      <w:r>
        <w:t>Open‐shell conjugated polymers are promising thermoelectric (TE) materials due to their intrinsic pro‐quinoid structure and radical characteristics. Nevertheless, the charge transport properties of these polymers are often limited by structural disorder and air sensitivity. In this work, we developed a one‐step “cleaving and doping” strategy to achieve highly conductive side‐chain‐free open‐shell polymers. The treatment of solid films of three benzo[1,2‐c;4,5‐c’]bisthiadiazole (BBT)‐based open‐shell polymers, namely PBBTSi‐T, PBBTSi‐2T, and PBBTSi‐TVT, with trifluoromethanesulfonic acid (TfOH) effectively cleaved the insulating silane side chains while simultaneously doping the polymer backbone in situ. This one‐step process yields a highly ordered molecular packing and efficient doping without any additional dopants, thereby synergistically optimizing carrier mobility and carrier concentration of films. The side‐chain‐free polymer, PBBT‐2T, reaches a maximum conductivity of 358.5 S cm</w:t>
      </w:r>
      <w:r>
        <w:t xml:space="preserve"> </w:t>
      </w:r>
      <w:r>
        <w:t>−1</w:t>
      </w:r>
      <w:r>
        <w:t xml:space="preserve"> </w:t>
      </w:r>
      <w:r>
        <w:t>and a maximum power factor of 41.4 µW m</w:t>
      </w:r>
      <w:r>
        <w:t xml:space="preserve"> </w:t>
      </w:r>
      <w:r>
        <w:t>−1</w:t>
      </w:r>
      <w:r>
        <w:t xml:space="preserve"> </w:t>
      </w:r>
      <w:r>
        <w:t>K</w:t>
      </w:r>
      <w:r>
        <w:t xml:space="preserve"> </w:t>
      </w:r>
      <w:r>
        <w:t>−2</w:t>
      </w:r>
      <w:r>
        <w:t xml:space="preserve"> </w:t>
      </w:r>
      <w:r>
        <w:t>. These values rank among the highest ever reported for open‐shell polymers. Moreover, the resulting films exhibit excellent stability in air and at elevated temperatures. This study demonstrates a powerful approach for achieving high‐performance and stable open‐shell TE polymers.</w:t>
      </w:r>
    </w:p>
    <w:p>
      <w:pPr>
        <w:spacing w:before="120" w:after="120"/>
      </w:pPr>
      <w:r>
        <w:rPr>
          <w:sz w:val="18"/>
        </w:rPr>
        <w:t>——————————————————————————————————————————————————————————————————————</w:t>
      </w:r>
    </w:p>
    <w:p>
      <w:pPr>
        <w:spacing w:before="160" w:after="40" w:line="240" w:lineRule="auto"/>
      </w:pPr>
      <w:r>
        <w:rPr>
          <w:b/>
        </w:rPr>
        <w:t xml:space="preserve">[193] </w:t>
      </w:r>
      <w:hyperlink r:id="rId549">
        <w:r>
          <w:rPr>
            <w:color w:val="1155CC"/>
            <w:u w:val="single"/>
          </w:rPr>
          <w:t>睡眠剥夺对低频全球脑活动的年龄依赖性影响</w:t>
        </w:r>
      </w:hyperlink>
    </w:p>
    <w:p>
      <w:pPr>
        <w:spacing w:before="0" w:after="80"/>
      </w:pPr>
      <w:r>
        <w:rPr>
          <w:i/>
          <w:sz w:val="20"/>
        </w:rPr>
        <w:t>EN: Sleep deprivation exhibits an age-dependent effect on infraslow global brain activity</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50">
        <w:r>
          <w:rPr>
            <w:color w:val="1155CC"/>
            <w:u w:val="single"/>
          </w:rPr>
          <w:t>10.1073/pnas.2528913123</w:t>
        </w:r>
      </w:hyperlink>
    </w:p>
    <w:p>
      <w:pPr>
        <w:spacing w:before="0" w:after="120"/>
      </w:pPr>
      <w:r>
        <w:rPr>
          <w:b/>
        </w:rPr>
        <w:t xml:space="preserve">Notes: </w:t>
      </w:r>
      <w:r>
        <w:t>abstract_source=pubmed</w:t>
      </w:r>
    </w:p>
    <w:p>
      <w:pPr>
        <w:spacing w:before="0" w:after="80" w:lineRule="auto" w:line="276"/>
      </w:pPr>
      <w:r>
        <w:rPr>
          <w:b/>
        </w:rPr>
        <w:t xml:space="preserve">摘要（ZH）: </w:t>
      </w:r>
      <w:r>
        <w:t>在静息态功能磁共振成像（fMRI）中，通过全球平均血氧水平依赖（gBOLD）信号量化的超慢（&lt;0.1 Hz）全球脑活动在睡眠期间升高，并与脑脊液（CSF）动力学耦合，这是与阿尔茨海默病等神经退行性疾病相关的脑废物清除的关键途径。然而，睡眠剥夺对gBOLD活动的影响及其与衰老的相互作用仍然知之甚少。使用严格控制的实验室内完全睡眠剥夺（TSD）协议，我们证明TSD显著增加了gBOLD信号幅度及其与CSF流动的耦合，表明可能增强急性睡眠丧失后糖淋巴清除的补偿机制。值得注意的是，t</w:t>
      </w:r>
    </w:p>
    <w:p>
      <w:pPr>
        <w:spacing w:before="0" w:after="200" w:lineRule="auto" w:line="276"/>
      </w:pPr>
      <w:r>
        <w:rPr>
          <w:b/>
        </w:rPr>
        <w:t xml:space="preserve">Abstract (EN): </w:t>
      </w:r>
      <w:r>
        <w:t>Infraslow (&lt;0.1 Hz) global brain activity, quantified by the global mean blood-oxygenation-level-dependent (gBOLD) signal in resting-state functional magnetic resonance imaging (fMRI), is elevated during sleep and coupled to cerebrospinal fluid (CSF) dynamics, a key pathway for the brain waste clearance implicated in neurodegenerative disorders such as Alzheimer's disease. However, the effect of sleep deprivation on gBOLD activity and its interaction with aging remain poorly understood. Using a rigorously controlled in-laboratory total sleep deprivation (TSD) protocol, we demonstrate that TSD significantly increases both the gBOLD signal amplitude and its coupling with CSF flow, suggesting a compensatory mechanism that may enhance glymphatic clearance following acute sleep loss. Notably, these TSD-induced enhancements exhibit robust age dependency, with markedly attenuated responses in midlife adults (40 to 50 y). The absence of this compensatory mechanism in midlife may exacerbate age-related impairments in neurotoxic clearance and increase dementia susceptibility, thereby offering mechanistic insights into the nexus between sleep disruption, aging, and neurodegeneration.</w:t>
      </w:r>
    </w:p>
    <w:p>
      <w:pPr>
        <w:spacing w:before="120" w:after="120"/>
      </w:pPr>
      <w:r>
        <w:rPr>
          <w:sz w:val="18"/>
        </w:rPr>
        <w:t>——————————————————————————————————————————————————————————————————————</w:t>
      </w:r>
    </w:p>
    <w:p>
      <w:pPr>
        <w:spacing w:before="160" w:after="40" w:line="240" w:lineRule="auto"/>
      </w:pPr>
      <w:r>
        <w:rPr>
          <w:b/>
        </w:rPr>
        <w:t xml:space="preserve">[194] </w:t>
      </w:r>
      <w:hyperlink r:id="rId551">
        <w:r>
          <w:rPr>
            <w:color w:val="1155CC"/>
            <w:u w:val="single"/>
          </w:rPr>
          <w:t>FZR1 mRNA的N6-甲基腺苷修饰通过靶向MAVS–TRAF3/6轴正向调节抗病毒先天免疫</w:t>
        </w:r>
      </w:hyperlink>
    </w:p>
    <w:p>
      <w:pPr>
        <w:spacing w:before="0" w:after="80"/>
      </w:pPr>
      <w:r>
        <w:rPr>
          <w:i/>
          <w:sz w:val="20"/>
        </w:rPr>
        <w:t>EN: N6-methyladenosine modification of FZR1 mRNA positively regulates antiviral innate immunity by targeting the MAVS–TRAF3/6 axis</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52">
        <w:r>
          <w:rPr>
            <w:color w:val="1155CC"/>
            <w:u w:val="single"/>
          </w:rPr>
          <w:t>10.1073/pnas.2536412123</w:t>
        </w:r>
      </w:hyperlink>
    </w:p>
    <w:p>
      <w:pPr>
        <w:spacing w:before="0" w:after="120"/>
      </w:pPr>
      <w:r>
        <w:rPr>
          <w:b/>
        </w:rPr>
        <w:t xml:space="preserve">Notes: </w:t>
      </w:r>
      <w:r>
        <w:t>abstract_source=pubmed</w:t>
      </w:r>
    </w:p>
    <w:p>
      <w:pPr>
        <w:spacing w:before="0" w:after="80" w:lineRule="auto" w:line="276"/>
      </w:pPr>
      <w:r>
        <w:rPr>
          <w:b/>
        </w:rPr>
        <w:t xml:space="preserve">摘要（ZH）: </w:t>
      </w:r>
      <w:r>
        <w:t>视黄酸诱导基因-I样受体（RLRs）的激活对于I型干扰素（IFN-I）产生和抗病毒先天免疫的启动非常重要。然而，调节RLR信号的表观遗传机制仍然知之甚少，需要进一步研究。在这里，我们证明了与有丝分裂退出和G1/S过渡至关重要的Fizzy相关蛋白1（FZR1）增强了对RNA病毒的抗病毒先天免疫反应。在机制上，水泡性口炎病毒感染增加了FZR1 mRNA的N6-甲基腺苷（m6A）修饰，这增强了FZR1的翻译并提高了细胞内FZR1蛋白水平。上调的FZR1减弱了线粒体抗病毒信号蛋白（MAVS）与6-磷酸果糖-2-激酶/果糖-2,6-二磷酸</w:t>
      </w:r>
    </w:p>
    <w:p>
      <w:pPr>
        <w:spacing w:before="0" w:after="200" w:lineRule="auto" w:line="276"/>
      </w:pPr>
      <w:r>
        <w:rPr>
          <w:b/>
        </w:rPr>
        <w:t xml:space="preserve">Abstract (EN): </w:t>
      </w:r>
      <w:r>
        <w:t>Activation of retinoic acid-inducible gene-I-like receptors (RLRs) is important for type I interferon (IFN-I) production and antiviral innate immunity initiation. However, the epigenetic mechanisms that regulate RLR signaling remain poorly understood and require further investigation. Here, we demonstrate that Fizzy-related protein 1 (FZR1), which is essential for mitotic exit and G1/S transition, potentiates antiviral innate immune responses against RNA viruses. Mechanistically, vesicular stomatitis virus infection increases N6-methyladenosine (m6A) modification of FZR1 mRNA, which enhances FZR1 translation and elevates intracellular FZR1 protein levels. Upregulated FZR1 attenuates mitochondrial antiviral-signaling protein (MAVS) binding to 6-Phosphofructo-2-Kinase/Fructose-2, 6-Biphosphatase 3, a glycolytic rate-limiting enzyme, thereby promoting MAVS aggregation. Furthermore, FZR1 facilitates tumor necrosis factor receptor-associated factor 3/6 (TRAF3/6) autoubiquitination independently of the anaphase-promoting complex/cyclosome, subsequently activating interferon regulatory factor 3 and P65 of nuclear factor κB to drive the production of IFN-I and proinflammatory cytokines. Consequently, FZR1 deficiency impairs antiviral responses and increases viral titer in vitro and in vivo. Pharmacological inhibition of FZR1 significantly attenuates MAVS activation and TRAF3/6 ubiquitination, thereby abolishing FZR1-mediated antiviral immunity both in vitro and in vivo. Collectively, these findings reveal a molecular mechanism by which m6A modification of FZR1 activates the MAVS-TRAF3/6 signaling axis to potentiate IFN-I-dependent antiviral innate immunity.</w:t>
      </w:r>
    </w:p>
    <w:p>
      <w:pPr>
        <w:spacing w:before="120" w:after="120"/>
      </w:pPr>
      <w:r>
        <w:rPr>
          <w:sz w:val="18"/>
        </w:rPr>
        <w:t>——————————————————————————————————————————————————————————————————————</w:t>
      </w:r>
    </w:p>
    <w:p>
      <w:pPr>
        <w:spacing w:before="160" w:after="40" w:line="240" w:lineRule="auto"/>
      </w:pPr>
      <w:r>
        <w:rPr>
          <w:b/>
        </w:rPr>
        <w:t xml:space="preserve">[195] </w:t>
      </w:r>
      <w:hyperlink r:id="rId553">
        <w:r>
          <w:rPr>
            <w:color w:val="1155CC"/>
            <w:u w:val="single"/>
          </w:rPr>
          <w:t>混合带电-中性多组分弹性膜中的静电驱动图案形成</w:t>
        </w:r>
      </w:hyperlink>
    </w:p>
    <w:p>
      <w:pPr>
        <w:spacing w:before="0" w:after="80"/>
      </w:pPr>
      <w:r>
        <w:rPr>
          <w:i/>
          <w:sz w:val="20"/>
        </w:rPr>
        <w:t>EN: Electrostatically driven pattern formation in mixed charged–neutral multicomponent elastic membranes</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54">
        <w:r>
          <w:rPr>
            <w:color w:val="1155CC"/>
            <w:u w:val="single"/>
          </w:rPr>
          <w:t>10.1073/pnas.2536038123</w:t>
        </w:r>
      </w:hyperlink>
    </w:p>
    <w:p>
      <w:pPr>
        <w:spacing w:before="0" w:after="120"/>
      </w:pPr>
      <w:r>
        <w:rPr>
          <w:b/>
        </w:rPr>
        <w:t xml:space="preserve">Notes: </w:t>
      </w:r>
      <w:r>
        <w:t>abstract_source=pubmed</w:t>
      </w:r>
    </w:p>
    <w:p>
      <w:pPr>
        <w:spacing w:before="0" w:after="80" w:lineRule="auto" w:line="276"/>
      </w:pPr>
      <w:r>
        <w:rPr>
          <w:b/>
        </w:rPr>
        <w:t xml:space="preserve">摘要（ZH）: </w:t>
      </w:r>
      <w:r>
        <w:t>多组分晶体和非晶弹性壳体表现出异质的表面图案，这些图案在细胞环境中提供了独特的功能性。这种图案通常源于膜中短程吸引和长程排斥相互作用之间的竞争。在此，我们证明了静电排斥和弹性变形之间的内在竞争足以驱动弹性壳体的自发表面图案化，而无需额外的吸引相互作用。通过数值模拟，我们展示了在不同拓扑结构（包括球体、圆盘和平面周期性膜）中，具有异质表面电荷组成的机械均匀膜中的图案形成。我们还研究了晶体中的图案</w:t>
      </w:r>
    </w:p>
    <w:p>
      <w:pPr>
        <w:spacing w:before="0" w:after="200" w:lineRule="auto" w:line="276"/>
      </w:pPr>
      <w:r>
        <w:rPr>
          <w:b/>
        </w:rPr>
        <w:t xml:space="preserve">Abstract (EN): </w:t>
      </w:r>
      <w:r>
        <w:t>Multicomponent crystalline and amorphous elastic shells exhibit heterogeneous surface patterns that provide distinctive functionalities in cellular environments. Such patterning typically arises from the competition between short-range attractive and long-range repulsive interactions in membranes. Here, we demonstrate that the intrinsic competition between electrostatic repulsion and elastic deformation is sufficient to drive spontaneous surface patterning in elastic shells, requiring no additional attractive interactions. Using numerical simulations, we demonstrate pattern formation in mechanically homogeneous membranes with heterogeneous surface charge composition across different topologies, including spheres, discs, and flat periodic membranes. We also examine patterns in crystalline and amorphous shells of coassembled charged and neutral components with different bending rigidities. At low charge fraction, discrete charged surface domains form. At intermediate charge fraction, the competition between electrostatics and elasticity leads to elongated domains (rods) of the charged component, which results in lamellar patterns at nearly equal fraction of the charged and neutral components. At high charge fraction, nanodomains of the neutral component form. Amorphous shells exhibit similar progressions but with disordered structures rather than ordered lamellar patterns. These pattern morphologies are observed in both the closed shells and flat membranes. As salt concentration increases, all patterns coarsen due to the screening of electrostatic interactions.</w:t>
      </w:r>
    </w:p>
    <w:p>
      <w:pPr>
        <w:spacing w:before="120" w:after="120"/>
      </w:pPr>
      <w:r>
        <w:rPr>
          <w:sz w:val="18"/>
        </w:rPr>
        <w:t>——————————————————————————————————————————————————————————————————————</w:t>
      </w:r>
    </w:p>
    <w:p>
      <w:pPr>
        <w:spacing w:before="160" w:after="40" w:line="240" w:lineRule="auto"/>
      </w:pPr>
      <w:r>
        <w:rPr>
          <w:b/>
        </w:rPr>
        <w:t xml:space="preserve">[196] </w:t>
      </w:r>
      <w:hyperlink r:id="rId555">
        <w:r>
          <w:rPr>
            <w:color w:val="1155CC"/>
            <w:u w:val="single"/>
          </w:rPr>
          <w:t>霍乱弧菌多糖裂解酶RbmB与霍乱弧菌多糖（VPS）片段结合的晶体结构提供了对底物识别和切割的见解</w:t>
        </w:r>
      </w:hyperlink>
    </w:p>
    <w:p>
      <w:pPr>
        <w:spacing w:before="0" w:after="80"/>
      </w:pPr>
      <w:r>
        <w:rPr>
          <w:i/>
          <w:sz w:val="20"/>
        </w:rPr>
        <w:t>EN: Crystal structure of Vibrio cholerae polysaccharide lyase RbmB bound to Vibrio polysaccharide (VPS) fragments provides insights into substrate recognition and cleavage</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56">
        <w:r>
          <w:rPr>
            <w:color w:val="1155CC"/>
            <w:u w:val="single"/>
          </w:rPr>
          <w:t>10.1073/pnas.2534280123</w:t>
        </w:r>
      </w:hyperlink>
    </w:p>
    <w:p>
      <w:pPr>
        <w:spacing w:before="0" w:after="120"/>
      </w:pPr>
      <w:r>
        <w:rPr>
          <w:b/>
        </w:rPr>
        <w:t xml:space="preserve">Notes: </w:t>
      </w:r>
      <w:r>
        <w:t>abstract_source=pubmed</w:t>
      </w:r>
    </w:p>
    <w:p>
      <w:pPr>
        <w:spacing w:before="0" w:after="80" w:lineRule="auto" w:line="276"/>
      </w:pPr>
      <w:r>
        <w:rPr>
          <w:b/>
        </w:rPr>
        <w:t xml:space="preserve">摘要（ZH）: </w:t>
      </w:r>
      <w:r>
        <w:t>胞外多糖是由细菌分泌的碳水化合物聚合物，执行包括附着于表面、保护环境压力以及作为生物膜生产中的关键成分等多种功能。人类病原体霍乱弧菌产生一种称为VPS的胞外多糖，它通过与一系列分泌的辅助蛋白的交联相互作用对其生物膜基质的形成至关重要。VPS由一个重复的四糖单元组成，其中包含一个独特修饰的α-L-古洛糖基（具有N-乙酰基、O-乙酰基和酰胺连接的甘氨酸修饰）。在包含生物膜生产基因的簇中编码有一种称为RbmB的糖苷裂解酶，它可以裂解VPS，并被认为与生物膜的分散有关。在此我们描述了~2 Å X射线晶体结构</w:t>
      </w:r>
    </w:p>
    <w:p>
      <w:pPr>
        <w:spacing w:before="0" w:after="200" w:lineRule="auto" w:line="276"/>
      </w:pPr>
      <w:r>
        <w:rPr>
          <w:b/>
        </w:rPr>
        <w:t xml:space="preserve">Abstract (EN): </w:t>
      </w:r>
      <w:r>
        <w:t>Exopolysaccharides are carbohydrate polymers secreted by bacteria to perform various roles including adhesion to surfaces, protection from environmental stressors, and as key components in the production of biofilms. The human pathogen Vibrio cholerae produces an exopolysaccharide called VPS, which is essential for the formation of its biofilm matrix through crosslinking interactions with a series of secreted accessory proteins. VPS consists of a repeating tetrasaccharide unit consisting of a uniquely modified α-L-gulose moiety (with N-acetyl, O-acetyl, and amide-linked glycine modifications). Encoded within the cluster containing the biofilm-production genes is a glycoside lyase called RbmB, which cleaves VPS and has been implicated in biofilm dispersal. Here we describe the ~2 Å X-ray structure of RbmB bound to tetrameric and octameric fragments of VPS representing 10 total monosaccharides of an enzyme-product complex. The structure, along with molecular dynamics simulations and complementary functional analyses of mutant proteins in vitro and in vivo, illustrates how recognition and cleavage of VPS relies on salt-bridging interactions between arginine residues in RbmB and the amide-linked glycine moiety uniquely found on the VPS L-gulose and a ~30° bend near the cleavage site that strains the scissile bond. We further present results regarding the localization of RbmB in V. cholerae cells, suggesting that cleavage of VPS by RbmB likely takes place in the periplasm. Sequence conservation suggests that homologous biofilm systems found in many Vibrio species likely utilize a similar VPS cleavage mechanism suggesting that RbmB could be an effective tool for dispersing biofilms across the Vibrio genus and beyond.</w:t>
      </w:r>
    </w:p>
    <w:p>
      <w:pPr>
        <w:spacing w:before="120" w:after="120"/>
      </w:pPr>
      <w:r>
        <w:rPr>
          <w:sz w:val="18"/>
        </w:rPr>
        <w:t>——————————————————————————————————————————————————————————————————————</w:t>
      </w:r>
    </w:p>
    <w:p>
      <w:pPr>
        <w:spacing w:before="160" w:after="40" w:line="240" w:lineRule="auto"/>
      </w:pPr>
      <w:r>
        <w:rPr>
          <w:b/>
        </w:rPr>
        <w:t xml:space="preserve">[197] </w:t>
      </w:r>
      <w:hyperlink r:id="rId557">
        <w:r>
          <w:rPr>
            <w:color w:val="1155CC"/>
            <w:u w:val="single"/>
          </w:rPr>
          <w:t>组蛋白修饰时钟用于稳健的跨物种生物年龄预测和阐明衰老调控</w:t>
        </w:r>
      </w:hyperlink>
    </w:p>
    <w:p>
      <w:pPr>
        <w:spacing w:before="0" w:after="80"/>
      </w:pPr>
      <w:r>
        <w:rPr>
          <w:i/>
          <w:sz w:val="20"/>
        </w:rPr>
        <w:t>EN: Histone modification clocks for robust cross-species biological age prediction and elucidating senescence 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58">
        <w:r>
          <w:rPr>
            <w:color w:val="1155CC"/>
            <w:u w:val="single"/>
          </w:rPr>
          <w:t>10.1073/pnas.2533687123</w:t>
        </w:r>
      </w:hyperlink>
    </w:p>
    <w:p>
      <w:pPr>
        <w:spacing w:before="0" w:after="120"/>
      </w:pPr>
      <w:r>
        <w:rPr>
          <w:b/>
        </w:rPr>
        <w:t xml:space="preserve">Notes: </w:t>
      </w:r>
      <w:r>
        <w:t>abstract_source=pubmed</w:t>
      </w:r>
    </w:p>
    <w:p>
      <w:pPr>
        <w:spacing w:before="0" w:after="80" w:lineRule="auto" w:line="276"/>
      </w:pPr>
      <w:r>
        <w:rPr>
          <w:b/>
        </w:rPr>
        <w:t xml:space="preserve">摘要（ZH）: </w:t>
      </w:r>
      <w:r>
        <w:t>组蛋白修饰代表了一种尚未开发的生物年龄预测资源，能够克服传统DNA甲基化表观遗传时钟的局限性。在此，我们通过系统分析六种组织类型和六种组蛋白标记的公开ChIP-seq数据集，开发并验证了基于组蛋白修饰的表观遗传时钟。我们识别了与年龄相关的位点，并构建了36个组织特异性的表观遗传时钟，这些时钟表现出对技术和生物噪声的强大抵抗力，其性能可与已建立的DNA甲基化时钟相媲美。我们的模型成功检测到白血病样本中的生物年龄加速，并捕捉到治疗干预后的年龄逆转。重要的是，我们发现许多与衰老相关的位点遵循非线性趋势</w:t>
      </w:r>
    </w:p>
    <w:p>
      <w:pPr>
        <w:spacing w:before="0" w:after="200" w:lineRule="auto" w:line="276"/>
      </w:pPr>
      <w:r>
        <w:rPr>
          <w:b/>
        </w:rPr>
        <w:t xml:space="preserve">Abstract (EN): </w:t>
      </w:r>
      <w:r>
        <w:t>Histone modifications represent an untapped resource for biological age prediction that overcomes limitations of traditional DNA methylation-based epigenetic clocks. Here, we developed and validated histone modification-based epigenetic clocks by systematically analyzing publicly available ChIP-seq datasets spanning six tissue types and six histone marks. We identified age-associated loci and constructed 36 tissue-specific epigenetic clocks that demonstrated strong resilience to technical and biological noise, with performance comparable to established DNA methylation clocks. Our models successfully detected biological age acceleration in leukemia samples and captured age reversal following therapeutic interventions. Importantly, we found that many aging-associated loci follow nonlinear trajectories with peak modification levels at midlife, revealing previously unrecognized dynamics in epigenetic aging. We observed age-related fragmentation of super enhancer regions, suggesting progressive chromatin disorganization during aging. Functional validation of a model-selected H3K27ac peak near IGF2BP3 confirmed its causal role in cellular senescence through regulation of TRA2A expression. Extending beyond mammals, we demonstrated the applicability of histone-based clocks in Drosophila melanogaster, a species lacking DNA methylation, highlighting the evolutionary conservation and broader utility of histone modifications as aging biomarkers. Our findings establish histone modifications as accurate, biologically meaningful, and robust indicators of biological age with potential applications in aging research, disease monitoring, and therapeutic development across diverse species.</w:t>
      </w:r>
    </w:p>
    <w:p>
      <w:pPr>
        <w:spacing w:before="120" w:after="120"/>
      </w:pPr>
      <w:r>
        <w:rPr>
          <w:sz w:val="18"/>
        </w:rPr>
        <w:t>——————————————————————————————————————————————————————————————————————</w:t>
      </w:r>
    </w:p>
    <w:p>
      <w:pPr>
        <w:spacing w:before="160" w:after="40" w:line="240" w:lineRule="auto"/>
      </w:pPr>
      <w:r>
        <w:rPr>
          <w:b/>
        </w:rPr>
        <w:t xml:space="preserve">[198] </w:t>
      </w:r>
      <w:hyperlink r:id="rId559">
        <w:r>
          <w:rPr>
            <w:color w:val="1155CC"/>
            <w:u w:val="single"/>
          </w:rPr>
          <w:t>对LLM世界模型的专家评估：高温超导性的案例研究</w:t>
        </w:r>
      </w:hyperlink>
    </w:p>
    <w:p>
      <w:pPr>
        <w:spacing w:before="0" w:after="80"/>
      </w:pPr>
      <w:r>
        <w:rPr>
          <w:i/>
          <w:sz w:val="20"/>
        </w:rPr>
        <w:t>EN: Expert evaluation of LLM world models: A high-Tc superconductivity case study</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60">
        <w:r>
          <w:rPr>
            <w:color w:val="1155CC"/>
            <w:u w:val="single"/>
          </w:rPr>
          <w:t>10.1073/pnas.2533676123</w:t>
        </w:r>
      </w:hyperlink>
    </w:p>
    <w:p>
      <w:pPr>
        <w:spacing w:before="0" w:after="120"/>
      </w:pPr>
      <w:r>
        <w:rPr>
          <w:b/>
        </w:rPr>
        <w:t xml:space="preserve">Notes: </w:t>
      </w:r>
      <w:r>
        <w:t>abstract_source=pubmed</w:t>
      </w:r>
    </w:p>
    <w:p>
      <w:pPr>
        <w:spacing w:before="0" w:after="80" w:lineRule="auto" w:line="276"/>
      </w:pPr>
      <w:r>
        <w:rPr>
          <w:b/>
        </w:rPr>
        <w:t xml:space="preserve">摘要（ZH）: </w:t>
      </w:r>
      <w:r>
        <w:t>大型语言模型（LLMs）作为科学文献探索的强大工具显示出巨大潜力。然而，它们在提供科学准确和全面回答复杂问题方面的有效性仍然是一个活跃的研究领域。以高温铜氧化物领域为例，我们评估了LLM系统在专家水平上理解文献的能力。我们构建了一个由专家策划的数据库，包含1,726篇科学论文，涵盖了该领域的历史，并制定了一套67个专家提出的问题，以探讨对文献的深刻理解。然后，我们评估了六种不同的基于LLM的系统来回答这些问题，包括商业上可用的封闭模型和一个定制的检索增强模型。</w:t>
      </w:r>
    </w:p>
    <w:p>
      <w:pPr>
        <w:spacing w:before="0" w:after="200" w:lineRule="auto" w:line="276"/>
      </w:pPr>
      <w:r>
        <w:rPr>
          <w:b/>
        </w:rPr>
        <w:t xml:space="preserve">Abstract (EN): </w:t>
      </w:r>
      <w:r>
        <w:t>Large Language Models (LLMs) show great promise as a powerful tool for scientific literature exploration. However, their effectiveness in providing scientifically accurate and comprehensive answers to complex questions within specialized domains remains an active area of research. Using the field of high-temperature cuprates as an exemplar, we evaluate the ability of LLM systems to understand the literature at the level of an expert. We construct an expert-curated database of 1,726 scientific papers that covers the history of the field, and a set of 67 expert-formulated questions that probe deep understanding of the literature. We then evaluate six different LLM-based systems for answering these questions, including both commercially available closed models and a custom retrieval-augmented generation (RAG) system capable of retrieving images alongside text. Experts then evaluate the answers of these systems against a rubric that assesses balanced perspectives, factual comprehensiveness, succinctness, and evidentiary support. Among the six systems, two using RAG on curated literature outperformed existing closed models across key metrics, particularly in providing comprehensive and well-supported answers. We discuss promising aspects of LLM performances as well as critical short-comings of all the models. The set of expert-formulated questions and the rubric will be valuable for assessing expert level performance of LLM based reasoning systems.</w:t>
      </w:r>
    </w:p>
    <w:p>
      <w:pPr>
        <w:spacing w:before="120" w:after="120"/>
      </w:pPr>
      <w:r>
        <w:rPr>
          <w:sz w:val="18"/>
        </w:rPr>
        <w:t>——————————————————————————————————————————————————————————————————————</w:t>
      </w:r>
    </w:p>
    <w:p>
      <w:pPr>
        <w:spacing w:before="160" w:after="40" w:line="240" w:lineRule="auto"/>
      </w:pPr>
      <w:r>
        <w:rPr>
          <w:b/>
        </w:rPr>
        <w:t xml:space="preserve">[199] </w:t>
      </w:r>
      <w:hyperlink r:id="rId561">
        <w:r>
          <w:rPr>
            <w:color w:val="1155CC"/>
            <w:u w:val="single"/>
          </w:rPr>
          <w:t>通过全脑功能连接预测阿片类药物渴望的个体潜伏期</w:t>
        </w:r>
      </w:hyperlink>
    </w:p>
    <w:p>
      <w:pPr>
        <w:spacing w:before="0" w:after="80"/>
      </w:pPr>
      <w:r>
        <w:rPr>
          <w:i/>
          <w:sz w:val="20"/>
        </w:rPr>
        <w:t>EN: Predicting individual incubation of opioid craving by whole-brain functional connectivity</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62">
        <w:r>
          <w:rPr>
            <w:color w:val="1155CC"/>
            <w:u w:val="single"/>
          </w:rPr>
          <w:t>10.1073/pnas.2531921123</w:t>
        </w:r>
      </w:hyperlink>
    </w:p>
    <w:p>
      <w:pPr>
        <w:spacing w:before="0" w:after="120"/>
      </w:pPr>
      <w:r>
        <w:rPr>
          <w:b/>
        </w:rPr>
        <w:t xml:space="preserve">Notes: </w:t>
      </w:r>
      <w:r>
        <w:t>abstract_source=pubmed</w:t>
      </w:r>
    </w:p>
    <w:p>
      <w:pPr>
        <w:spacing w:before="0" w:after="80" w:lineRule="auto" w:line="276"/>
      </w:pPr>
      <w:r>
        <w:rPr>
          <w:b/>
        </w:rPr>
        <w:t xml:space="preserve">摘要（ZH）: </w:t>
      </w:r>
      <w:r>
        <w:t>在阿片类药物成瘾治疗中，由于渴望而在戒断期间引发的高复发风险仍然是一个主要挑战。多种大脑区域与阿片类药物渴望有关，但这一过程的全脑神经机制仍然知之甚少。使用静息态fMRI和基于连接组的预测建模，我们识别出一个全脑连接组，可以预测在自愿戒断后，由电屏障诱导的个体大鼠羟考酮渴望的时间依赖性增加（孵化）。羟考酮渴望的孵化被操作性定义为从早期（第1天）到晚期（第15天）戒断期间复发测试中非强化杠杆按压的增加（孵化分数）。我们发现全脑功能连接的变化在</w:t>
      </w:r>
    </w:p>
    <w:p>
      <w:pPr>
        <w:spacing w:before="0" w:after="200" w:lineRule="auto" w:line="276"/>
      </w:pPr>
      <w:r>
        <w:rPr>
          <w:b/>
        </w:rPr>
        <w:t xml:space="preserve">Abstract (EN): </w:t>
      </w:r>
      <w:r>
        <w:t>A high risk of relapse triggered by craving during abstinence remains a main challenge in opioid addiction treatment. Multiple brain regions have been implicated in opioid craving, but the brain-wide neural mechanisms underlying this process remain poorly understood. Using resting-state fMRI and connectome-based predictive modeling, we identified a whole-brain connectome that predicted the time-dependent increases (incubation) in oxycodone craving in individual rats after voluntary abstinence induced by exposure to an electric barrier. Incubation of oxycodone craving was operationally defined as the increase in nonreinforced lever pressing during relapse tests from early (day 1) to late (day 15) abstinence (incubation score). We found that changes in whole-brain functional connectivity during abstinence, but not during oxycodone self-administration, predicted the incubation score. Greater decreases in functional connectivity were associated with higher incubation scores. The predictive connectome involved complex interactions across multiple brain systems, including frontal-striatal, frontal-insula, insula-striatal, and hippocampal and sensorimotor circuits. To test causality of the predictive connectome, we examined the effect of pharmacological inactivation of dorsomedial striatum (DMS), which significantly decreased oxycodone seeking after electric barrier-induced abstinence. DMS inactivation increased connectivity strength within the predictive connectome, supporting a causal role of this connectome in incubation of oxycodone craving. The predictive connectome did not predict food-reward seeking after electric barrier-induced abstinence, indicating specificity to oxycodone craving. Our findings identify a brain-wide connectome marker that predicts individual differences in the incubation of opioid craving and provide potential targets for developing personalized interventions and monitoring therapeutic outcomes in opioid addiction treatment.</w:t>
      </w:r>
    </w:p>
    <w:p>
      <w:pPr>
        <w:spacing w:before="120" w:after="120"/>
      </w:pPr>
      <w:r>
        <w:rPr>
          <w:sz w:val="18"/>
        </w:rPr>
        <w:t>——————————————————————————————————————————————————————————————————————</w:t>
      </w:r>
    </w:p>
    <w:p>
      <w:pPr>
        <w:spacing w:before="160" w:after="40" w:line="240" w:lineRule="auto"/>
      </w:pPr>
      <w:r>
        <w:rPr>
          <w:b/>
        </w:rPr>
        <w:t xml:space="preserve">[200] </w:t>
      </w:r>
      <w:hyperlink r:id="rId563">
        <w:r>
          <w:rPr>
            <w:color w:val="1155CC"/>
            <w:u w:val="single"/>
          </w:rPr>
          <w:t>可视化量子反常霍尔效应的崩溃</w:t>
        </w:r>
      </w:hyperlink>
    </w:p>
    <w:p>
      <w:pPr>
        <w:spacing w:before="0" w:after="80"/>
      </w:pPr>
      <w:r>
        <w:rPr>
          <w:i/>
          <w:sz w:val="20"/>
        </w:rPr>
        <w:t>EN: Visualizing the breakdown of the quantum anomalous Hall effect</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64">
        <w:r>
          <w:rPr>
            <w:color w:val="1155CC"/>
            <w:u w:val="single"/>
          </w:rPr>
          <w:t>10.1073/pnas.2515400123</w:t>
        </w:r>
      </w:hyperlink>
    </w:p>
    <w:p>
      <w:pPr>
        <w:spacing w:before="0" w:after="120"/>
      </w:pPr>
      <w:r>
        <w:rPr>
          <w:b/>
        </w:rPr>
        <w:t xml:space="preserve">Notes: </w:t>
      </w:r>
      <w:r>
        <w:t>abstract_source=pubmed</w:t>
      </w:r>
    </w:p>
    <w:p>
      <w:pPr>
        <w:spacing w:before="0" w:after="80" w:lineRule="auto" w:line="276"/>
      </w:pPr>
      <w:r>
        <w:rPr>
          <w:b/>
        </w:rPr>
        <w:t xml:space="preserve">摘要（ZH）: </w:t>
      </w:r>
      <w:r>
        <w:t>跨电子、机械、冷原子和光子平台的拓扑非平凡物质的研究正在迅速推进，但理解拓扑保护的破坏仍然是一个主要挑战。在这项工作中，我们使用磁成像结合全球电传输测量来可视化磁性掺杂拓扑绝缘体中量子反常霍尔效应（QAHE）的电流诱导破坏。我们发现耗散在靠近电接触的局部热点处出现，在这些地方，霍尔角的突然变化导致电流密度的显著扭曲。使用局部磁化变化作为电子温度的代理，我们直接观察到电子在热点处与晶格失去平衡，并通过</w:t>
      </w:r>
    </w:p>
    <w:p>
      <w:pPr>
        <w:spacing w:before="0" w:after="200" w:lineRule="auto" w:line="276"/>
      </w:pPr>
      <w:r>
        <w:rPr>
          <w:b/>
        </w:rPr>
        <w:t xml:space="preserve">Abstract (EN): </w:t>
      </w:r>
      <w:r>
        <w:t>of topologically nontrivial matter across electronic, mechanical, cold-atom, and photonic platforms is advancing rapidly, yet understanding the breakdown of topological protection remains a major challenge. In this work, we use magnetic imaging combined with global electrical transport measurements to visualize the current-induced breakdown of the quantum anomalous Hall effect (QAHE) in a magnetically doped topological insulator. We find that dissipation emerges at localized hot spots near electrical contacts, where an abrupt change in Hall angle leads to significant distortions of the current density. Using changes in the local magnetization as a proxy for electron temperature, we directly observe that the electrons are driven out of equilibrium with the lattice at the hot spots and throughout the device in the breakdown regime. By characterizing energy relaxation processes in our device, we show that the breakdown of quantization is governed entirely by electron heating, and that a vanishing thermal relaxation strength at millikelvin temperatures limits the robustness of the QAHE. Our findings provide a framework for diagnosing energy relaxation in topological materials and will guide realizing robust topological protection in magnetic topological insulators.</w:t>
      </w:r>
    </w:p>
    <w:p>
      <w:pPr>
        <w:spacing w:before="120" w:after="120"/>
      </w:pPr>
      <w:r>
        <w:rPr>
          <w:sz w:val="18"/>
        </w:rPr>
        <w:t>——————————————————————————————————————————————————————————————————————</w:t>
      </w:r>
    </w:p>
    <w:p>
      <w:pPr>
        <w:spacing w:before="160" w:after="40" w:line="240" w:lineRule="auto"/>
      </w:pPr>
      <w:r>
        <w:rPr>
          <w:b/>
        </w:rPr>
        <w:t xml:space="preserve">[201] </w:t>
      </w:r>
      <w:hyperlink r:id="rId565">
        <w:r>
          <w:rPr>
            <w:color w:val="1155CC"/>
            <w:u w:val="single"/>
          </w:rPr>
          <w:t>巨噬细胞-胶质细胞相互作用在西尼罗河病毒感染期间调节对肠神经元的免疫损伤</w:t>
        </w:r>
      </w:hyperlink>
    </w:p>
    <w:p>
      <w:pPr>
        <w:spacing w:before="0" w:after="80"/>
      </w:pPr>
      <w:r>
        <w:rPr>
          <w:i/>
          <w:sz w:val="20"/>
        </w:rPr>
        <w:t>EN: Macrophage–glia interactions regulate immune damage to enteric neurons during West Nile virus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66">
        <w:r>
          <w:rPr>
            <w:color w:val="1155CC"/>
            <w:u w:val="single"/>
          </w:rPr>
          <w:t>10.1073/pnas.2537058123</w:t>
        </w:r>
      </w:hyperlink>
    </w:p>
    <w:p>
      <w:pPr>
        <w:spacing w:before="0" w:after="120"/>
      </w:pPr>
      <w:r>
        <w:rPr>
          <w:b/>
        </w:rPr>
        <w:t xml:space="preserve">Notes: </w:t>
      </w:r>
      <w:r>
        <w:t>abstract_source=pubmed</w:t>
      </w:r>
    </w:p>
    <w:p>
      <w:pPr>
        <w:spacing w:before="0" w:after="80" w:lineRule="auto" w:line="276"/>
      </w:pPr>
      <w:r>
        <w:rPr>
          <w:b/>
        </w:rPr>
        <w:t xml:space="preserve">摘要（ZH）: </w:t>
      </w:r>
      <w:r>
        <w:t>功能性胃肠道（GI）疾病影响全球大量人口，通常由肠道感染引发，这些感染通过不受控制的免疫反应对肠神经元和神经胶质细胞造成损伤。然而，限制感染引起的炎症并保护肠神经系统的机制仍然知之甚少。在此，我们定义了西尼罗河病毒（WNV）感染后的神经元-神经胶质细胞-巨噬细胞相互作用；这种模型嗜神经病毒通过T细胞介导的细胞溶解机制导致小鼠GI道运动障碍。对WNV感染的反应，RNA测序分析显示，驻留的肌层巨噬细胞上调抗病毒、促炎和免疫调节基因。而药理学研究显示</w:t>
      </w:r>
    </w:p>
    <w:p>
      <w:pPr>
        <w:spacing w:before="0" w:after="200" w:lineRule="auto" w:line="276"/>
      </w:pPr>
      <w:r>
        <w:rPr>
          <w:b/>
        </w:rPr>
        <w:t xml:space="preserve">Abstract (EN): </w:t>
      </w:r>
      <w:r>
        <w:t>Functional gastrointestinal (GI) tract disorders affect a substantial proportion of the global population and are often preceded by intestinal infections that cause injury to enteric neurons and glia through unrestrained immune responses. However, the mechanisms that limit infection-induced inflammation and protect the enteric nervous system remain poorly understood. Here, we defined such neuron-glia-macrophage interactions after West Nile virus (WNV) infection; this model neurotropic virus causes GI tract dysmotility in mice via injury of enteric neurons through a T cell-mediated cytolytic mechanism. In response to WNV infection, RNA sequencing analysis showed that resident muscularis macrophages upregulate antiviral, proinflammatory, and immunomodulatory genes. Whereas pharmacological depletion of resident macrophages did not affect the viral burden in the GI tract, it instead reshaped the enteric glial response to WNV, resulting in excessive production of T cell and neutrophil chemoattractants. The amplified recruitment of these immune cell types worsened enteric neuronal injury. Together, our findings identify resident muscularis macrophages as key regulators of glia-driven inflammation during enteric viral infection and reveal their role in protecting enteric neurons from immune-mediated damage.</w:t>
      </w:r>
    </w:p>
    <w:p>
      <w:pPr>
        <w:spacing w:before="120" w:after="120"/>
      </w:pPr>
      <w:r>
        <w:rPr>
          <w:sz w:val="18"/>
        </w:rPr>
        <w:t>——————————————————————————————————————————————————————————————————————</w:t>
      </w:r>
    </w:p>
    <w:p>
      <w:pPr>
        <w:spacing w:before="160" w:after="40" w:line="240" w:lineRule="auto"/>
      </w:pPr>
      <w:r>
        <w:rPr>
          <w:b/>
        </w:rPr>
        <w:t xml:space="preserve">[202] </w:t>
      </w:r>
      <w:hyperlink r:id="rId567">
        <w:r>
          <w:rPr>
            <w:color w:val="1155CC"/>
            <w:u w:val="single"/>
          </w:rPr>
          <w:t>关于lenacapavir诱导的HIV-1衣壳异常组装的机制见解</w:t>
        </w:r>
      </w:hyperlink>
    </w:p>
    <w:p>
      <w:pPr>
        <w:spacing w:before="0" w:after="80"/>
      </w:pPr>
      <w:r>
        <w:rPr>
          <w:i/>
          <w:sz w:val="20"/>
        </w:rPr>
        <w:t>EN: Mechanistic insights into lenacapavir-induced off-pathway HIV-1 capsid assembly</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68">
        <w:r>
          <w:rPr>
            <w:color w:val="1155CC"/>
            <w:u w:val="single"/>
          </w:rPr>
          <w:t>10.1073/pnas.2524995123</w:t>
        </w:r>
      </w:hyperlink>
    </w:p>
    <w:p>
      <w:pPr>
        <w:spacing w:before="0" w:after="120"/>
      </w:pPr>
      <w:r>
        <w:rPr>
          <w:b/>
        </w:rPr>
        <w:t xml:space="preserve">Notes: </w:t>
      </w:r>
      <w:r>
        <w:t>abstract_source=pubmed</w:t>
      </w:r>
    </w:p>
    <w:p>
      <w:pPr>
        <w:spacing w:before="0" w:after="80" w:lineRule="auto" w:line="276"/>
      </w:pPr>
      <w:r>
        <w:rPr>
          <w:b/>
        </w:rPr>
        <w:t xml:space="preserve">摘要（ZH）: </w:t>
      </w:r>
      <w:r>
        <w:t>HIV-1衣壳是由六聚体和五聚体衣壳蛋白（CA）组成的富勒烯锥体，包装病毒基因组并介导核进入。由Gilead开发的强效分子长效抑制剂Lenacapavir（LEN）通过结合相邻CA亚基之间的苯丙氨酸-甘氨酸（FG）口袋来破坏衣壳形态发生。有趣的是，细胞多阴离子肌醇六磷酸（IP6）通过协调中心孔促进锥形衣壳组装，该孔与FG口袋变构耦合。由于LEN和IP6参与重叠的结构元素，它们可以竞争影响衣壳组装途径和结果。使用粗粒度分子模拟，我们显示LEN加速六聚体形成，同时抑制五聚体的合并</w:t>
      </w:r>
    </w:p>
    <w:p>
      <w:pPr>
        <w:spacing w:before="0" w:after="200" w:lineRule="auto" w:line="276"/>
      </w:pPr>
      <w:r>
        <w:rPr>
          <w:b/>
        </w:rPr>
        <w:t xml:space="preserve">Abstract (EN): </w:t>
      </w:r>
      <w:r>
        <w:t>The HIV-1 capsid is a fullerene cone composed of hexameric and pentameric capsid proteins (CA) that packages the viral genome and mediates nuclear entry. Lenacapavir (LEN), a potent molecular long-acting inhibitor developed by Gilead, disrupts capsid morphogenesis by binding a phenylalanine-glycine (FG) pocket at the interface between adjacent CA subunits. Interestingly, cellular polyanion inositol hexakisphosphate (IP6) promotes conical capsid assembly by coordinating the central pore, which is allosterically coupled to the FG pocket. Because LEN and IP6 engage overlapping structural elements, they can compete to influence the capsid assembly pathway and outcomes. Using coarse-grained molecular simulations, we show that LEN accelerates hexamer formation while suppressing pentamer incorporation, yielding malformed, multilayered, and incomplete capsids. Simulations incorporating a ribonucleoprotein model further reveal that LEN-treated capsids often fail to encapsulate RNA, indicating impaired maturation. Our calculations confirm that LEN impairs the formation of high-curvature CA lattice regions necessary for closure, supporting a model of off-pathway assembly as a mechanism of viral inhibition. These findings define the core mechanism by which a small-molecule inhibitor disrupts the much larger-scale HIV-1 morphogenesis and underscore general principles for targeting self-assembling multi-protein complexes.</w:t>
      </w:r>
    </w:p>
    <w:p>
      <w:pPr>
        <w:spacing w:before="120" w:after="120"/>
      </w:pPr>
      <w:r>
        <w:rPr>
          <w:sz w:val="18"/>
        </w:rPr>
        <w:t>——————————————————————————————————————————————————————————————————————</w:t>
      </w:r>
    </w:p>
    <w:p>
      <w:pPr>
        <w:spacing w:before="160" w:after="40" w:line="240" w:lineRule="auto"/>
      </w:pPr>
      <w:r>
        <w:rPr>
          <w:b/>
        </w:rPr>
        <w:t xml:space="preserve">[203] </w:t>
      </w:r>
      <w:hyperlink r:id="rId569">
        <w:r>
          <w:rPr>
            <w:color w:val="1155CC"/>
            <w:u w:val="single"/>
          </w:rPr>
          <w:t>酵母中的合成ERFVII依赖性回路揭示了植物早期缺氧反应的调节</w:t>
        </w:r>
      </w:hyperlink>
    </w:p>
    <w:p>
      <w:pPr>
        <w:spacing w:before="0" w:after="80"/>
      </w:pPr>
      <w:r>
        <w:rPr>
          <w:i/>
          <w:sz w:val="20"/>
        </w:rPr>
        <w:t>EN: A synthetic ERFVII-dependent circuit in yeast sheds light on the regulation of early hypoxic responses of plants</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70">
        <w:r>
          <w:rPr>
            <w:color w:val="1155CC"/>
            <w:u w:val="single"/>
          </w:rPr>
          <w:t>10.1073/pnas.2524358123</w:t>
        </w:r>
      </w:hyperlink>
    </w:p>
    <w:p>
      <w:pPr>
        <w:spacing w:before="0" w:after="120"/>
      </w:pPr>
      <w:r>
        <w:rPr>
          <w:b/>
        </w:rPr>
        <w:t xml:space="preserve">Notes: </w:t>
      </w:r>
      <w:r>
        <w:t>abstract_source=pubmed</w:t>
      </w:r>
    </w:p>
    <w:p>
      <w:pPr>
        <w:spacing w:before="0" w:after="80" w:lineRule="auto" w:line="276"/>
      </w:pPr>
      <w:r>
        <w:rPr>
          <w:b/>
        </w:rPr>
        <w:t xml:space="preserve">摘要（ZH）: </w:t>
      </w:r>
      <w:r>
        <w:t>植物面临缺氧条件，要么是慢性的，因为特定组织的氧气水平波动或稳定在低水平，要么是急性的，如洪水时。在维管植物中，对缺氧的转录适应反应由乙烯反应因子VII（ERFVIIs）迅速启动，通过N-降解途径（Cys-NDP）的半胱氨酸分支由植物半胱氨酸氧化酶（PCOs）调节进行氧气感应。然而，这个相对简单的调节回路，包括既有组成型表达又有缺氧诱导的ERFVIIs和PCOs，与缺氧引发的多种信号线索和途径相互作用。为了理解PCO介导的氧气感应机制在缺氧反应产生中的作用，我们将PCO/ERFVII回路从拟南芥中隔离</w:t>
      </w:r>
    </w:p>
    <w:p>
      <w:pPr>
        <w:spacing w:before="0" w:after="200" w:lineRule="auto" w:line="276"/>
      </w:pPr>
      <w:r>
        <w:rPr>
          <w:b/>
        </w:rPr>
        <w:t xml:space="preserve">Abstract (EN): </w:t>
      </w:r>
      <w:r>
        <w:t>Plants face hypoxic conditions either chronically, as particular tissues are characterized by fluctuating or stable low oxygen levels, or acutely, when flooded. In vascular plants, transcriptional adaptive responses to hypoxia are rapidly mounted by Ethylene Response Factors VII (ERFVIIs), regulated by Plant Cysteine Oxidases (PCOs) through the cysteine branch of the N-degron pathway (Cys-NDP) for oxygen sensing. However, this relatively simple regulatory circuit, consisting of both constitutively expressed as well as hypoxia-inducible ERFVIIs and PCOs, interacts with diverse signaling cues and pathways invoked by hypoxia. To understand the share of the PCO-mediated oxygen sensing mechanism in the production of hypoxia responses, we insulated the PCO/ERFVII circuit from Arabidopsis thaliana and adapted it to Saccharomyces cerevisiae. Using a reporter gene to monitor the output of the circuit allowed us to compare the speed and amplitude of response to hypoxia in the engineered yeast and the source organism. Hypoxia triggered ERFVII stabilization both in Arabidopsis and yeast, leading to a similarly fast transcriptional response that was however larger in plants. A simple hypoxia-inducible feedback loop improved the amplitude of response in yeast, demonstrating the importance of this regulation in the endogenous PCO/ERFVII circuit. Finally, computational modeling of the yeast circuit enabled us to identify promoter competition and presence of hypoxia-inducible PCOs as key parameters that shape early hypoxia responses in plant cells.</w:t>
      </w:r>
    </w:p>
    <w:p>
      <w:pPr>
        <w:spacing w:before="120" w:after="120"/>
      </w:pPr>
      <w:r>
        <w:rPr>
          <w:sz w:val="18"/>
        </w:rPr>
        <w:t>——————————————————————————————————————————————————————————————————————</w:t>
      </w:r>
    </w:p>
    <w:p>
      <w:pPr>
        <w:spacing w:before="160" w:after="40" w:line="240" w:lineRule="auto"/>
      </w:pPr>
      <w:r>
        <w:rPr>
          <w:b/>
        </w:rPr>
        <w:t xml:space="preserve">[204] </w:t>
      </w:r>
      <w:hyperlink r:id="rId571">
        <w:r>
          <w:rPr>
            <w:color w:val="1155CC"/>
            <w:u w:val="single"/>
          </w:rPr>
          <w:t>东部牡蛎宿主和微生物组基因的共表达表明钙化液体化学的协调调节</w:t>
        </w:r>
      </w:hyperlink>
    </w:p>
    <w:p>
      <w:pPr>
        <w:spacing w:before="0" w:after="80"/>
      </w:pPr>
      <w:r>
        <w:rPr>
          <w:i/>
          <w:sz w:val="20"/>
        </w:rPr>
        <w:t>EN: Coexpression among eastern oyster host and microbiome genes suggests coordinated regulation of calcifying fluid chemistry</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72">
        <w:r>
          <w:rPr>
            <w:color w:val="1155CC"/>
            <w:u w:val="single"/>
          </w:rPr>
          <w:t>10.1073/pnas.2521539123</w:t>
        </w:r>
      </w:hyperlink>
    </w:p>
    <w:p>
      <w:pPr>
        <w:spacing w:before="0" w:after="120"/>
      </w:pPr>
      <w:r>
        <w:rPr>
          <w:b/>
        </w:rPr>
        <w:t xml:space="preserve">Notes: </w:t>
      </w:r>
      <w:r>
        <w:t>abstract_source=pubmed</w:t>
      </w:r>
    </w:p>
    <w:p>
      <w:pPr>
        <w:spacing w:before="0" w:after="80" w:lineRule="auto" w:line="276"/>
      </w:pPr>
      <w:r>
        <w:rPr>
          <w:b/>
        </w:rPr>
        <w:t xml:space="preserve">摘要（ZH）: </w:t>
      </w:r>
      <w:r>
        <w:t>海洋动物如牡蛎等会构建贝壳，它们仔细调节其内部钙化液的化学成分，但这种控制背后的分子机制以及微生物在钙化中是否发挥作用尚不清楚。为了更好地理解牡蛎的分子机制及其钙化液微生物的作用，我们进行了模拟潮汐周期的实验，测量了钙化液的pH值和总溶解无机碳，并通过转录组学表征了宿主和微生物的基因表达。这些实验表明，尽管潮汐pH值波动，钙化液的pH值仍相对稳定，同时牡蛎的离子运输和酸碱调节转录物增加。这些数据提供了潮汐的直接证据</w:t>
      </w:r>
    </w:p>
    <w:p>
      <w:pPr>
        <w:spacing w:before="0" w:after="200" w:lineRule="auto" w:line="276"/>
      </w:pPr>
      <w:r>
        <w:rPr>
          <w:b/>
        </w:rPr>
        <w:t xml:space="preserve">Abstract (EN): </w:t>
      </w:r>
      <w:r>
        <w:t>Marine animals that build shells, such as oysters, carefully regulate the chemistry of their internal calcifying fluids, but the molecular mechanisms behind this control, as well as whether microbes play a role in calcification, are poorly understood. To better understand oysters' molecular mechanisms and the role of their calcifying-fluid microbes, we conducted experiments that simulated a tidal cycle, measured calcifying fluid pH and total dissolved inorganic carbon, and characterized host and microbial gene expression via transcriptomics. These experiments showed that calcifying fluid pH remained relatively stable throughout tidal pH fluctuations, with corresponding increases in oyster transcripts for ion transport and acid-base regulation. These data provide direct evidence that tidal fluctuations drive rapid changes in oyster calcifying fluid chemistry. Most surprisingly, increases in microbial transcripts related to nitrogen and sulfur cycling correlated to higher calcifying fluid DIC, and coexpression network analysis revealed patterns of gene expression that linked oyster immune and neural pathways to microbial redox processes, providing molecular evidence of potential host modulation of microbial metabolism. Together, these results reveal that oysters actively regulate their calcifying fluid pH over short timescales, and the endemic microbiome metabolic responses can yield metabolites that influence calcifying fluid pH, alkalinity, and ultimately calcification. These data offer a perspective on oyster physiological capacity and, most importantly, the potential role of microbes in oyster calcification. In light of ongoing changes in ocean pH and temperature, oysters provide a model for studying animal-microbial responses to environmental acidification and how their interactions may shape biomineralization.</w:t>
      </w:r>
    </w:p>
    <w:p>
      <w:pPr>
        <w:spacing w:before="120" w:after="120"/>
      </w:pPr>
      <w:r>
        <w:rPr>
          <w:sz w:val="18"/>
        </w:rPr>
        <w:t>——————————————————————————————————————————————————————————————————————</w:t>
      </w:r>
    </w:p>
    <w:p>
      <w:pPr>
        <w:spacing w:before="160" w:after="40" w:line="240" w:lineRule="auto"/>
      </w:pPr>
      <w:r>
        <w:rPr>
          <w:b/>
        </w:rPr>
        <w:t xml:space="preserve">[205] </w:t>
      </w:r>
      <w:hyperlink r:id="rId573">
        <w:r>
          <w:rPr>
            <w:color w:val="1155CC"/>
            <w:u w:val="single"/>
          </w:rPr>
          <w:t>准液层厚度控制笼形水合物的生长速率</w:t>
        </w:r>
      </w:hyperlink>
    </w:p>
    <w:p>
      <w:pPr>
        <w:spacing w:before="0" w:after="80"/>
      </w:pPr>
      <w:r>
        <w:rPr>
          <w:i/>
          <w:sz w:val="20"/>
        </w:rPr>
        <w:t>EN: The quasi-liquid layer thickness controls clathrate hydrates’ growth rate</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74">
        <w:r>
          <w:rPr>
            <w:color w:val="1155CC"/>
            <w:u w:val="single"/>
          </w:rPr>
          <w:t>10.1073/pnas.2521343123</w:t>
        </w:r>
      </w:hyperlink>
    </w:p>
    <w:p>
      <w:pPr>
        <w:spacing w:before="0" w:after="120"/>
      </w:pPr>
      <w:r>
        <w:rPr>
          <w:b/>
        </w:rPr>
        <w:t xml:space="preserve">Notes: </w:t>
      </w:r>
      <w:r>
        <w:t>abstract_source=pubmed</w:t>
      </w:r>
    </w:p>
    <w:p>
      <w:pPr>
        <w:spacing w:before="0" w:after="80" w:lineRule="auto" w:line="276"/>
      </w:pPr>
      <w:r>
        <w:rPr>
          <w:b/>
        </w:rPr>
        <w:t xml:space="preserve">摘要（ZH）: </w:t>
      </w:r>
      <w:r>
        <w:t>天然气水合物是令人着迷的材料，在碳封存、水淡化、间歇性天然气储存、化学分离等应用中提供了许多吸引人的好处。然而，其缓慢的生长动力学阻碍了基于水合物技术的成本效益实现。为了解决这一挑战，已确定化学添加剂可以控制水合物的生长速率。其中，表面活性剂十二烷基硫酸钠（SDS）和氨基酸L-色氨酸（TRP）在低浓度下都有效。虽然SDS广泛可用但引发环境问题，TRP则对环境无害。尽管SDS和TRP都具有界面活性，但其增强水合物生长能力的分子机制尚不清楚，也不</w:t>
      </w:r>
    </w:p>
    <w:p>
      <w:pPr>
        <w:spacing w:before="0" w:after="200" w:lineRule="auto" w:line="276"/>
      </w:pPr>
      <w:r>
        <w:rPr>
          <w:b/>
        </w:rPr>
        <w:t xml:space="preserve">Abstract (EN): </w:t>
      </w:r>
      <w:r>
        <w:t>Clathrate hydrates are fascinating materials that offer many attractive benefits for carbon sequestration, water desalination, intermittent natural gas storage, chemical separations, and other applications. However, their slow growth kinetics prevents the cost-effective realization of hydrate-based technologies. To overcome this challenge, chemical additives have been identified to control hydrates' growth rate. Among others, the surfactant sodium dodecyl sulfate (SDS) and the amino acid L-tryptophan (TRP) are both effective at low concentrations. While SDS is widely available but raises environmental concerns, TRP is environmentally benign. Although both SDS and TRP are interfacially active, the molecular mechanism responsible for their ability to enhance hydrate growth is not known, nor is the reason why these compounds are effective at low concentrations. It is demonstrated here that both SDS and TRP, when adsorbed, affect the thickness of the quasi-liquid layer (QLL) at the hydrate-water interface, which, in turn, promotes the adsorption of CO2 from the liquid phase to the growing hydrate. The QLL amplifies the effect to mesoscopic length scales, explaining why small amounts of these surface-active compounds enhance hydrate growth rate.</w:t>
      </w:r>
    </w:p>
    <w:p>
      <w:pPr>
        <w:spacing w:before="120" w:after="120"/>
      </w:pPr>
      <w:r>
        <w:rPr>
          <w:sz w:val="18"/>
        </w:rPr>
        <w:t>——————————————————————————————————————————————————————————————————————</w:t>
      </w:r>
    </w:p>
    <w:p>
      <w:pPr>
        <w:spacing w:before="160" w:after="40" w:line="240" w:lineRule="auto"/>
      </w:pPr>
      <w:r>
        <w:rPr>
          <w:b/>
        </w:rPr>
        <w:t xml:space="preserve">[206] </w:t>
      </w:r>
      <w:hyperlink r:id="rId575">
        <w:r>
          <w:rPr>
            <w:color w:val="1155CC"/>
            <w:u w:val="single"/>
          </w:rPr>
          <w:t>集体细菌凝聚受到活性湍流出现的根本限制</w:t>
        </w:r>
      </w:hyperlink>
    </w:p>
    <w:p>
      <w:pPr>
        <w:spacing w:before="0" w:after="80"/>
      </w:pPr>
      <w:r>
        <w:rPr>
          <w:i/>
          <w:sz w:val="20"/>
        </w:rPr>
        <w:t>EN: Collective bacterial condensation is fundamentally constrained by the emergence of active turbulence</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76">
        <w:r>
          <w:rPr>
            <w:color w:val="1155CC"/>
            <w:u w:val="single"/>
          </w:rPr>
          <w:t>10.1073/pnas.2519476123</w:t>
        </w:r>
      </w:hyperlink>
    </w:p>
    <w:p>
      <w:pPr>
        <w:spacing w:before="0" w:after="120"/>
      </w:pPr>
      <w:r>
        <w:rPr>
          <w:b/>
        </w:rPr>
        <w:t xml:space="preserve">Notes: </w:t>
      </w:r>
      <w:r>
        <w:t>abstract_source=pubmed</w:t>
      </w:r>
    </w:p>
    <w:p>
      <w:pPr>
        <w:spacing w:before="0" w:after="80" w:lineRule="auto" w:line="276"/>
      </w:pPr>
      <w:r>
        <w:rPr>
          <w:b/>
        </w:rPr>
        <w:t xml:space="preserve">摘要（ZH）: </w:t>
      </w:r>
      <w:r>
        <w:t>集体细菌凝聚源于细菌在其环境中产生化学梯度的能力与其趋化能力之间的正反馈。这种反馈驱动了局部细胞积累的自发形成，其特征是即使在没有物理边界的情况下也存在明显的细胞密度梯度。通过跟踪在均匀酸性环境中的细菌凝聚动态，我们表明凝聚受到相关细菌游动的自发出现和相关活性湍流的关键限制。这些集体行为产生了涡旋状的细胞运动，具有明显的径向分量，指向细胞密度梯度的下方。这反过来又引发了局部流体运动，扩大了</w:t>
      </w:r>
    </w:p>
    <w:p>
      <w:pPr>
        <w:spacing w:before="0" w:after="200" w:lineRule="auto" w:line="276"/>
      </w:pPr>
      <w:r>
        <w:rPr>
          <w:b/>
        </w:rPr>
        <w:t xml:space="preserve">Abstract (EN): </w:t>
      </w:r>
      <w:r>
        <w:t>Collective bacterial condensation arises from positive feedback between the ability of bacteria to generate chemical gradients in their environment and their chemotactic ability to follow those gradients. This feedback drives the spontaneous formation of local cell accumulations, characterized by sharp cell-density gradients, even in the absence of physical boundaries. By following the dynamics of bacterial condensation in uniform acidic environments, we show that condensation is critically constrained by the spontaneous emergence of correlated bacterial swimming and the associated active turbulence. These collective behaviors generate vortex-like cell motion with a pronounced radial component directed down the cell-density gradient. This, in turn, induces local fluid motion that broadens the condensate and expels nonchemotactic bacteria. When condensates are strongly confined in thin layers, the radial component of fluid motion diminishes and condensation is enhanced. Moreover, in porous environments, correlated bacterial motion is strongly suppressed, allowing spontaneous condensation to progress even further until it reaches the limits imposed by the nonlocal nature of bacterial chemotaxis. Overall, these findings highlight the fundamental interplay between self-generated bacterial condensation and correlated swimming.</w:t>
      </w:r>
    </w:p>
    <w:p>
      <w:pPr>
        <w:spacing w:before="120" w:after="120"/>
      </w:pPr>
      <w:r>
        <w:rPr>
          <w:sz w:val="18"/>
        </w:rPr>
        <w:t>——————————————————————————————————————————————————————————————————————</w:t>
      </w:r>
    </w:p>
    <w:p>
      <w:pPr>
        <w:spacing w:before="160" w:after="40" w:line="240" w:lineRule="auto"/>
      </w:pPr>
      <w:r>
        <w:rPr>
          <w:b/>
        </w:rPr>
        <w:t xml:space="preserve">[207] </w:t>
      </w:r>
      <w:hyperlink r:id="rId577">
        <w:r>
          <w:rPr>
            <w:color w:val="1155CC"/>
            <w:u w:val="single"/>
          </w:rPr>
          <w:t>Mycobacterium smegmatis bd-II末端氧化酶采用羧酸盐转移机制</w:t>
        </w:r>
      </w:hyperlink>
    </w:p>
    <w:p>
      <w:pPr>
        <w:spacing w:before="0" w:after="80"/>
      </w:pPr>
      <w:r>
        <w:rPr>
          <w:i/>
          <w:sz w:val="20"/>
        </w:rPr>
        <w:t>EN: The Mycobacterium smegmatis bd-II terminal oxidase employs a carboxylate shift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78">
        <w:r>
          <w:rPr>
            <w:color w:val="1155CC"/>
            <w:u w:val="single"/>
          </w:rPr>
          <w:t>10.1073/pnas.2515348123</w:t>
        </w:r>
      </w:hyperlink>
    </w:p>
    <w:p>
      <w:pPr>
        <w:spacing w:before="0" w:after="120"/>
      </w:pPr>
      <w:r>
        <w:rPr>
          <w:b/>
        </w:rPr>
        <w:t xml:space="preserve">Notes: </w:t>
      </w:r>
      <w:r>
        <w:t>abstract_source=pubmed</w:t>
      </w:r>
    </w:p>
    <w:p>
      <w:pPr>
        <w:spacing w:before="0" w:after="80" w:lineRule="auto" w:line="276"/>
      </w:pPr>
      <w:r>
        <w:rPr>
          <w:b/>
        </w:rPr>
        <w:t xml:space="preserve">摘要（ZH）: </w:t>
      </w:r>
      <w:r>
        <w:t>细胞色素bd是一种在低氧条件下表达的末端氧化酶，对于许多病原体的生存至关重要。在此，我们通过结合生化研究、冷冻电子显微镜（cryo-EM）和多尺度模拟，表征了来自结核分枝杆菌的细胞色素bd-II，这是一种迄今未被表征的bd氧化酶进化组（qOR-2）的成员。在其天然宿主中过表达appCB操纵子导致产生高活性的bd-II（kobs = 30 e- s-1），结合高分辨率（2.8 Å）的cryo-EM结构和多尺度模拟，揭示了其功能所需的独特质子通道和氧通道。我们提出一种pH依赖的分子开关，涉及血红素d的配位变化和周围体积大的残基调节底物进入。</w:t>
      </w:r>
    </w:p>
    <w:p>
      <w:pPr>
        <w:spacing w:before="0" w:after="200" w:lineRule="auto" w:line="276"/>
      </w:pPr>
      <w:r>
        <w:rPr>
          <w:b/>
        </w:rPr>
        <w:t xml:space="preserve">Abstract (EN): </w:t>
      </w:r>
      <w:r>
        <w:t>Cytochrome bd is a terminal oxidase expressed under low oxygen conditions and central for the survival of many pathogens. Here, we characterize the cyt bd-II from Mycobacterium smegmatis, a member of a hitherto uncharacterized evolutionary group (qOR-2) of bd oxidases, by combining biochemical studies with cryo-electron microscopy (cryo-EM), and multiscale simulations. Overexpressing the appCB operon in its native host led to production of a highly active bd-II (kobs = 30 e- s-1) that together with a high-resolution (2.8 Å) cryo-EM structure and multiscale simulations reveal unique proton pathways and oxygen channels responsible for its function. We propose that a pH-dependent molecular switch, involving coordination changes of heme d and surrounding bulky residues regulate substrate access into the active site. Taken together, our findings provide detailed mechanistic insight of qOR-2 type bd oxidases, and a basis for understanding the evolution of the superfamily.</w:t>
      </w:r>
    </w:p>
    <w:p>
      <w:pPr>
        <w:spacing w:before="120" w:after="120"/>
      </w:pPr>
      <w:r>
        <w:rPr>
          <w:sz w:val="18"/>
        </w:rPr>
        <w:t>——————————————————————————————————————————————————————————————————————</w:t>
      </w:r>
    </w:p>
    <w:p>
      <w:pPr>
        <w:spacing w:before="160" w:after="40" w:line="240" w:lineRule="auto"/>
      </w:pPr>
      <w:r>
        <w:rPr>
          <w:b/>
        </w:rPr>
        <w:t xml:space="preserve">[208] </w:t>
      </w:r>
      <w:hyperlink r:id="rId579">
        <w:r>
          <w:rPr>
            <w:color w:val="1155CC"/>
            <w:u w:val="single"/>
          </w:rPr>
          <w:t>泛素特异性肽酶-19将TDP-43聚集与ER应激联系起来</w:t>
        </w:r>
      </w:hyperlink>
    </w:p>
    <w:p>
      <w:pPr>
        <w:spacing w:before="0" w:after="80"/>
      </w:pPr>
      <w:r>
        <w:rPr>
          <w:i/>
          <w:sz w:val="20"/>
        </w:rPr>
        <w:t>EN: Ubiquitin-specific peptidase-19 links TDP-43 aggregation to ER stress</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80">
        <w:r>
          <w:rPr>
            <w:color w:val="1155CC"/>
            <w:u w:val="single"/>
          </w:rPr>
          <w:t>10.1073/pnas.2514355123</w:t>
        </w:r>
      </w:hyperlink>
    </w:p>
    <w:p>
      <w:pPr>
        <w:spacing w:before="0" w:after="120"/>
      </w:pPr>
      <w:r>
        <w:rPr>
          <w:b/>
        </w:rPr>
        <w:t xml:space="preserve">Notes: </w:t>
      </w:r>
      <w:r>
        <w:t>abstract_source=pubmed</w:t>
      </w:r>
    </w:p>
    <w:p>
      <w:pPr>
        <w:spacing w:before="0" w:after="80" w:lineRule="auto" w:line="276"/>
      </w:pPr>
      <w:r>
        <w:rPr>
          <w:b/>
        </w:rPr>
        <w:t xml:space="preserve">摘要（ZH）: </w:t>
      </w:r>
      <w:r>
        <w:t>TAR DNA结合蛋白43（TDP-43）的聚集和沉积是肌萎缩侧索硬化症（ALS）和额颞叶变性-TDP（FTLD-TDP）的显著病理特征。TDP-43的蛋白质稳态和聚集受多种翻译后修饰控制，包括泛素化。虽然已知多种E3泛素连接酶促进TDP-43的清除，但关于去泛素化酶（DUBs）在控制TDP-43蛋白质稳态中的作用知之甚少。通过对DUBs的无偏发现筛选，我们在体外和体内模型以及人脑组织中识别并证明，泛素特异性肽酶-19（USP19）作为TDP-43导向的DUB，去除TDP-43上的K48和K63连接的泛素结合物，并优先促进</w:t>
      </w:r>
    </w:p>
    <w:p>
      <w:pPr>
        <w:spacing w:before="0" w:after="200" w:lineRule="auto" w:line="276"/>
      </w:pPr>
      <w:r>
        <w:rPr>
          <w:b/>
        </w:rPr>
        <w:t xml:space="preserve">Abstract (EN): </w:t>
      </w:r>
      <w:r>
        <w:t>Aggregation and deposition of TAR DNA-binding protein 43 (TDP-43) is a salient pathological signature of amyotrophic lateral sclerosis (ALS) and frontotemporal lobar degeneration-TDP (FTLD-TDP). TDP-43 proteostasis and aggregation are controlled by several posttranslational modifications, including ubiquitination. While multiple E3 ubiquitin ligases are known to facilitate TDP-43 clearance, little is known about the role of deubiquitinases (DUBs) in controlling TDP-43 proteostasis. Through an unbiased discovery screen of DUBs, here we identify and demonstrate using in vitro and in vivo models, as well as human brain tissue, that ubiquitin-specific peptidase-19 (USP19) acts as a TDP-43-directed DUB that removes K48- and K63-linked ubiquitin conjugates from TDP-43 and preferentially promotes cytoplasmic aggregation of TDP-43 C-terminal fragments (TDP-CTFs) through its catalytic activity. Specifically, the endoplasmic reticulum (ER)-anchored USP19 isoform (USP19-ER) exhibits superior activity in deubiquitinating TDP-CTFs, enhancing its phase separation and aggregation, compared to its cytosolic isoform (USP19-Cyto). Furthermore, as TDP-CTFs are generated at the ER, USP19 acts to couple the aggregation of TDP-CTFs to ER stress (ATF6, ATF4, IRE1, &amp; CHOP). In humans, USP19 protein levels increase in FTLD-TDP brains, which extensively colocalize with cytoplasmic phospho-TDP-43 (pTDP-43) pathology. Importantly, we demonstrate in vivo that genetic reduction of usp19 mitigates pTDP-43 pathology, astrogliosis, and ER stress while reversing long-term potentiation (LTP) and motor deficits in a mouse model of TDP-43 pathogenesis (TAR4 mice). These findings establish a critical role of USP19 at the nexus of TDP-43 proteostasis and ER stress, implicating its pathogenic role in FTLD-TDP and ALS.</w:t>
      </w:r>
    </w:p>
    <w:p>
      <w:pPr>
        <w:spacing w:before="120" w:after="120"/>
      </w:pPr>
      <w:r>
        <w:rPr>
          <w:sz w:val="18"/>
        </w:rPr>
        <w:t>——————————————————————————————————————————————————————————————————————</w:t>
      </w:r>
    </w:p>
    <w:p>
      <w:pPr>
        <w:spacing w:before="160" w:after="40" w:line="240" w:lineRule="auto"/>
      </w:pPr>
      <w:r>
        <w:rPr>
          <w:b/>
        </w:rPr>
        <w:t xml:space="preserve">[209] </w:t>
      </w:r>
      <w:hyperlink r:id="rId581">
        <w:r>
          <w:rPr>
            <w:color w:val="1155CC"/>
            <w:u w:val="single"/>
          </w:rPr>
          <w:t>沉积古DNA揭示南部多格兰地区在北部冰川避难所的一致早期定居</w:t>
        </w:r>
      </w:hyperlink>
    </w:p>
    <w:p>
      <w:pPr>
        <w:spacing w:before="0" w:after="80"/>
      </w:pPr>
      <w:r>
        <w:rPr>
          <w:i/>
          <w:sz w:val="20"/>
        </w:rPr>
        <w:t>EN: Early colonization before inundation consistent with northern glacial refugia in Southern Doggerland revealed by sedimentary ancient DNA</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82">
        <w:r>
          <w:rPr>
            <w:color w:val="1155CC"/>
            <w:u w:val="single"/>
          </w:rPr>
          <w:t>10.1073/pnas.2508402123</w:t>
        </w:r>
      </w:hyperlink>
    </w:p>
    <w:p>
      <w:pPr>
        <w:spacing w:before="0" w:after="120"/>
      </w:pPr>
      <w:r>
        <w:rPr>
          <w:b/>
        </w:rPr>
        <w:t xml:space="preserve">Notes: </w:t>
      </w:r>
      <w:r>
        <w:t>abstract_source=pubmed</w:t>
      </w:r>
    </w:p>
    <w:p>
      <w:pPr>
        <w:spacing w:before="0" w:after="80" w:lineRule="auto" w:line="276"/>
      </w:pPr>
      <w:r>
        <w:rPr>
          <w:b/>
        </w:rPr>
        <w:t xml:space="preserve">摘要（ZH）: </w:t>
      </w:r>
      <w:r>
        <w:t>在全新世中期形成现今北海之前，西北欧通过多格兰地块相连。虽然过去一个世纪以来已知多格兰是森林覆盖的，但尚不清楚森林化的开始时间或其环境是否比周围的欧洲地区更适合人类居住。在这项研究中，我们利用沉积古DNA（sedaDNA）重建了从晚更新世晚期到全新世晚期的南河河系的古生态。我们从41个岩芯的252个沉积样本中获取sedaDNA，覆盖了河系的长度和源头区域。通过将沉积学和sedaDNA数据整合到一个埋藏学模型中，我们识别出安全和不安全的sedaDNA信号。安全的sedaDNA信号是</w:t>
      </w:r>
    </w:p>
    <w:p>
      <w:pPr>
        <w:spacing w:before="0" w:after="200" w:lineRule="auto" w:line="276"/>
      </w:pPr>
      <w:r>
        <w:rPr>
          <w:b/>
        </w:rPr>
        <w:t xml:space="preserve">Abstract (EN): </w:t>
      </w:r>
      <w:r>
        <w:t>Prior to the formation of the present-day North Sea during the mid-Holocene, North-Western Europe was connected through the Doggerland landmass. While it has been known for the past century that Doggerland was forested, it has not been clear when the onset of forestation occurred or whether the environment was more habitable for humans than surrounding European areas. In this study, we reconstruct the paleoecology of a river system, the Southern River, from the late Late Pleistocene to the late Holocene using sedimentary ancient DNA (sedaDNA) from 252 sediment samples from 41 cores spanning the length of the river system and headwater area. We identify secure and insecure sedaDNA signals by integrating sedimentological and sedaDNA data into a taphonomic model. Secure sedaDNA signals are found in silty and fine sand deposits where 95 to 98% originates from local deposition, but coarse sands and gravels are insecure with 60 to 70% of the sedaDNA associated with mixed ecosystem signals from reworked and influxed sediments. Secure sediments reveal the presence of several temperate tree genera such as Quercus, Ulmus, and Corylus over 16,000 y ago in the Late Pleniglacial, and thermal indicator genus Tilia several thousand years earlier than has been recorded for surrounding European areas. In this area, we also detect an anomalous signal of the genus Pterocarya, considered extinct in the region since the Hoxnian Stage (~400 ka). These observations are consistent with colonization from nearby northern glacial refugia, suggesting a favorable environment in which the cultural Mesolithic could develop.</w:t>
      </w:r>
    </w:p>
    <w:p>
      <w:pPr>
        <w:spacing w:before="120" w:after="120"/>
      </w:pPr>
      <w:r>
        <w:rPr>
          <w:sz w:val="18"/>
        </w:rPr>
        <w:t>——————————————————————————————————————————————————————————————————————</w:t>
      </w:r>
    </w:p>
    <w:p>
      <w:pPr>
        <w:spacing w:before="160" w:after="40" w:line="240" w:lineRule="auto"/>
      </w:pPr>
      <w:r>
        <w:rPr>
          <w:b/>
        </w:rPr>
        <w:t xml:space="preserve">[210] </w:t>
      </w:r>
      <w:hyperlink r:id="rId583">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84">
        <w:r>
          <w:rPr>
            <w:color w:val="1155CC"/>
            <w:u w:val="single"/>
          </w:rPr>
          <w:t>10.1073/iti1026123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[211] </w:t>
      </w:r>
      <w:hyperlink r:id="rId585">
        <w:r>
          <w:rPr>
            <w:color w:val="1155CC"/>
            <w:u w:val="single"/>
          </w:rPr>
          <w:t>通过r2SCAN+V方法捕捉非紧凑共价键中的电子定位</w:t>
        </w:r>
      </w:hyperlink>
    </w:p>
    <w:p>
      <w:pPr>
        <w:spacing w:before="0" w:after="80"/>
      </w:pPr>
      <w:r>
        <w:rPr>
          <w:i/>
          <w:sz w:val="20"/>
        </w:rPr>
        <w:t>EN: Electron localization in noncompact covalent bonds captured by the r2SCAN+V approach</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86">
        <w:r>
          <w:rPr>
            <w:color w:val="1155CC"/>
            <w:u w:val="single"/>
          </w:rPr>
          <w:t>10.1073/pnas.2529764123</w:t>
        </w:r>
      </w:hyperlink>
    </w:p>
    <w:p>
      <w:pPr>
        <w:spacing w:before="0" w:after="120"/>
      </w:pPr>
      <w:r>
        <w:rPr>
          <w:b/>
        </w:rPr>
        <w:t xml:space="preserve">Notes: </w:t>
      </w:r>
      <w:r>
        <w:t>abstract_source=pubmed</w:t>
      </w:r>
    </w:p>
    <w:p>
      <w:pPr>
        <w:spacing w:before="0" w:after="80" w:lineRule="auto" w:line="276"/>
      </w:pPr>
      <w:r>
        <w:rPr>
          <w:b/>
        </w:rPr>
        <w:t xml:space="preserve">摘要（ZH）: </w:t>
      </w:r>
      <w:r>
        <w:t>在密度泛函理论中，SCAN（强约束和适当规范）和r2SCAN（正则化恢复SCAN）泛函在预测各种材料（包括过渡金属化合物）的电子、磁性和结构性质方面显著优于GGA（广义梯度近似）泛函，如PBE（Perdew-Burke-Ernzerhof）。然而，仍然存在一些令人困惑的情况，其中SCAN/r2SCAN表现不佳，例如在计算石墨烯的能带结构、铁的磁矩、Cr2分子的势能曲线和VO2的键长时。本研究识别出这些具有挑战性的材料的一个共同特征：通过s-s、p-p或d-d电子杂化的非紧凑共价键合。虽然SCAN/r2SCAN在捕捉</w:t>
      </w:r>
    </w:p>
    <w:p>
      <w:pPr>
        <w:spacing w:before="0" w:after="200" w:lineRule="auto" w:line="276"/>
      </w:pPr>
      <w:r>
        <w:rPr>
          <w:b/>
        </w:rPr>
        <w:t xml:space="preserve">Abstract (EN): </w:t>
      </w:r>
      <w:r>
        <w:t>In density functional theory, the SCAN (Strongly Constrained and Appropriately Normed) and r2SCAN (regularized-restored SCAN) functionals significantly improve over GGA (Generalized Gradient Approximation) functionals such as PBE (Perdew-Burke-Ernzerhof) in predicting electronic, magnetic, and structural properties across various materials, including transition-metal compounds. However, there remain puzzling cases where SCAN/r2SCAN underperform, such as in calculating the band structure of graphene, the magnetic moment of Fe, the potential energy curve of the Cr2 molecule, and the bond length of VO2. This research identifies a common characteristic among these challenging materials: noncompact covalent bonding through s-s, p-p, or d-d electron hybridization. While SCAN/r2SCAN excel at capturing electron localization at local atomic sites, they struggle to accurately describe electron localization in noncompact covalent bonds, resulting in a biased improvement. To address this issue, we propose the r2SCAN+V approach as a practical modification that improves accuracy across all the tested materials. The parameter V is 4 eV for metallic Fe, but substantially lower for the other cases. Our findings provide valuable insights for the future development of advanced functionals.</w:t>
      </w:r>
    </w:p>
    <w:p>
      <w:pPr>
        <w:spacing w:before="120" w:after="120"/>
      </w:pPr>
      <w:r>
        <w:rPr>
          <w:sz w:val="18"/>
        </w:rPr>
        <w:t>——————————————————————————————————————————————————————————————————————</w:t>
      </w:r>
    </w:p>
    <w:p>
      <w:pPr>
        <w:spacing w:before="160" w:after="40" w:line="240" w:lineRule="auto"/>
      </w:pPr>
      <w:r>
        <w:rPr>
          <w:b/>
        </w:rPr>
        <w:t xml:space="preserve">[212] </w:t>
      </w:r>
      <w:hyperlink r:id="rId587">
        <w:r>
          <w:rPr>
            <w:color w:val="1155CC"/>
            <w:u w:val="single"/>
          </w:rPr>
          <w:t>免疫细胞利用间歇性整合素介导的牵引力进行三维迁移</w:t>
        </w:r>
      </w:hyperlink>
    </w:p>
    <w:p>
      <w:pPr>
        <w:spacing w:before="0" w:after="80"/>
      </w:pPr>
      <w:r>
        <w:rPr>
          <w:i/>
          <w:sz w:val="20"/>
        </w:rPr>
        <w:t>EN: Immune cells employ intermittent integrin-mediated traction forces for 3D migration</w:t>
      </w:r>
    </w:p>
    <w:p>
      <w:pPr>
        <w:spacing w:before="0" w:after="120"/>
      </w:pPr>
      <w:r>
        <w:rPr>
          <w:b/>
        </w:rPr>
        <w:t xml:space="preserve">Source: </w:t>
      </w:r>
      <w:r>
        <w:t>Proceedings of the National Academy of Sciences: Keyword search for query</w:t>
      </w:r>
      <w:r>
        <w:t xml:space="preserve">    </w:t>
      </w:r>
      <w:r>
        <w:rPr>
          <w:b/>
        </w:rPr>
        <w:t xml:space="preserve">Pub date: </w:t>
      </w:r>
      <w:r>
        <w:t>2026-03-10 07:00:00+00:00</w:t>
      </w:r>
      <w:r>
        <w:t xml:space="preserve">    </w:t>
      </w:r>
      <w:r>
        <w:rPr>
          <w:b/>
        </w:rPr>
        <w:t xml:space="preserve">DOI: </w:t>
      </w:r>
      <w:hyperlink r:id="rId588">
        <w:r>
          <w:rPr>
            <w:color w:val="1155CC"/>
            <w:u w:val="single"/>
          </w:rPr>
          <w:t>10.1073/pnas.2524427123</w:t>
        </w:r>
      </w:hyperlink>
    </w:p>
    <w:p>
      <w:pPr>
        <w:spacing w:before="0" w:after="120"/>
      </w:pPr>
      <w:r>
        <w:rPr>
          <w:b/>
        </w:rPr>
        <w:t xml:space="preserve">Notes: </w:t>
      </w:r>
      <w:r>
        <w:t>abstract_source=pubmed</w:t>
      </w:r>
    </w:p>
    <w:p>
      <w:pPr>
        <w:spacing w:before="0" w:after="80" w:lineRule="auto" w:line="276"/>
      </w:pPr>
      <w:r>
        <w:rPr>
          <w:b/>
        </w:rPr>
        <w:t xml:space="preserve">摘要（ZH）: </w:t>
      </w:r>
      <w:r>
        <w:t>为了到达血流之外的目标，免疫细胞可以穿出血管并迁移通过结缔组织。在组织浸润过程中，免疫细胞以变形虫样方式迁移，其特征是弱的基质粘附和低牵引力，使其能够实现高达10 µm/min的高迁移速度。目前尚不清楚免疫细胞如何在密集基质中克服空间障碍与变形虫样迁移相协调。在这里，我们展示了NK92（自然杀伤）细胞在通过纤维状人羊膜（HAM）组织移动时，可以从其默认的变形虫样迁移模式切换到收缩的、间充质样迁移模式。随后，我们在具有已知机械性能和孔径的重构3D胶原网络中研究免疫细胞迁移</w:t>
      </w:r>
    </w:p>
    <w:p>
      <w:pPr>
        <w:spacing w:before="0" w:after="200" w:lineRule="auto" w:line="276"/>
      </w:pPr>
      <w:r>
        <w:rPr>
          <w:b/>
        </w:rPr>
        <w:t xml:space="preserve">Abstract (EN): </w:t>
      </w:r>
      <w:r>
        <w:t>To reach targets outside the bloodstream, immune cells can extravasate and migrate through connective tissue. During tissue infiltration, immune cells migrate in an amoeboid fashion, characterized by weak matrix adhesions and low traction forces, that allows them to achieve high migration speeds of up to 10 µm/min. How immune cells reconcile amoeboid migration with the need to overcome steric hindrance in dense matrices is currently not understood. Here we show that NK92 (natural killer) cells can switch from their default amoeboid migration mode to a contractile, mesenchymal-like migration mode when moving through fibrous human amniotic membrane (HAM) tissue. We subsequently study immune cell migration in reconstituted 3D collagen networks with known mechanical properties and pore sizes and apply time-lapse confocal reflection microscopy to obtain simultaneous measurements of migration speed, directional persistence, and cell contractility. We find that NK92 cells exert substantial acto-myosin driven, integrin-mediated contractile forces of up to 100 nN on the extracellular matrix during short contractile phases. This burst-like contractile behavior is also found in primary B, T, NK cells, neutrophils, and monocytes, and is tightly related to the fraction of cells that become stuck in narrow pores of the surrounding matrix. Our results demonstrate that steric hindrance guides the rapid regulation of integrin-mediated adhesion to the ECM in a large number of immune cell subtypes.</w:t>
      </w:r>
    </w:p>
    <w:p>
      <w:pPr>
        <w:spacing w:before="120" w:after="120"/>
      </w:pPr>
      <w:r>
        <w:rPr>
          <w:sz w:val="18"/>
        </w:rPr>
        <w:t>——————————————————————————————————————————————————————————————————————</w:t>
      </w:r>
    </w:p>
    <w:p>
      <w:pPr>
        <w:spacing w:before="160" w:after="40" w:line="240" w:lineRule="auto"/>
      </w:pPr>
      <w:r>
        <w:rPr>
          <w:b/>
        </w:rPr>
        <w:t xml:space="preserve">[213] </w:t>
      </w:r>
      <w:hyperlink r:id="rId589">
        <w:r>
          <w:rPr>
            <w:color w:val="1155CC"/>
            <w:u w:val="single"/>
          </w:rPr>
          <w:t>周期性掺入硼原子的高杂芳烃的构象驱动双荧光特性</w:t>
        </w:r>
      </w:hyperlink>
    </w:p>
    <w:p>
      <w:pPr>
        <w:spacing w:before="0" w:after="80"/>
      </w:pPr>
      <w:r>
        <w:rPr>
          <w:i/>
          <w:sz w:val="20"/>
        </w:rPr>
        <w:t>EN: Conformationally Driven Dual Fluorescence Properties of Higher Heteroacenes With Periodically Incorporated Boron Atoms</w:t>
      </w:r>
    </w:p>
    <w:p>
      <w:pPr>
        <w:spacing w:before="0" w:after="120"/>
      </w:pPr>
      <w:r>
        <w:rPr>
          <w:b/>
        </w:rPr>
        <w:t xml:space="preserve">Source: </w:t>
      </w:r>
      <w:r>
        <w:t>Wiley: Angewandte Chemie International Edition: Table of Contents</w:t>
      </w:r>
      <w:r>
        <w:t xml:space="preserve">    </w:t>
      </w:r>
      <w:r>
        <w:rPr>
          <w:b/>
        </w:rPr>
        <w:t xml:space="preserve">Pub date: </w:t>
      </w:r>
      <w:r>
        <w:t>2026-03-10 07:36:38+00:00</w:t>
      </w:r>
      <w:r>
        <w:t xml:space="preserve">    </w:t>
      </w:r>
      <w:r>
        <w:rPr>
          <w:b/>
        </w:rPr>
        <w:t xml:space="preserve">DOI: </w:t>
      </w:r>
      <w:hyperlink r:id="rId590">
        <w:r>
          <w:rPr>
            <w:color w:val="1155CC"/>
            <w:u w:val="single"/>
          </w:rPr>
          <w:t>10.1002/anie.3365679</w:t>
        </w:r>
      </w:hyperlink>
    </w:p>
    <w:p>
      <w:pPr>
        <w:spacing w:before="0" w:after="120"/>
      </w:pPr>
      <w:r>
        <w:rPr>
          <w:b/>
        </w:rPr>
        <w:t xml:space="preserve">Notes: </w:t>
      </w:r>
      <w:r>
        <w:t>abstract_source=pubmed</w:t>
      </w:r>
    </w:p>
    <w:p>
      <w:pPr>
        <w:spacing w:before="0" w:after="80" w:lineRule="auto" w:line="276"/>
      </w:pPr>
      <w:r>
        <w:rPr>
          <w:b/>
        </w:rPr>
        <w:t xml:space="preserve">摘要（ZH）: </w:t>
      </w:r>
      <w:r>
        <w:t>六硼七蒽（B6-hept），具有周期性排列的硼原子，以及其较短的同系物四硼五蒽（B4-pent）和二硼蒽（B2-ant），通过邻-双（二氢硼基）芳烃的环缩合合成。活性硼中心被2,4,6-三异丙基苯基（Tip）基团有效保护，使其能够在环境条件下处理。随着硼桥数量的增加，电子受体能力以及多步可逆氧化还原性质逐步增强。B6-hept在溶液中表现出显著的双重荧光，其相对强度取决于激发波长和溶剂粘度。DFT计算表明，这一现象源于两种可互换的构象，即弯曲-锯齿</w:t>
      </w:r>
    </w:p>
    <w:p>
      <w:pPr>
        <w:spacing w:before="0" w:after="200" w:lineRule="auto" w:line="276"/>
      </w:pPr>
      <w:r>
        <w:rPr>
          <w:b/>
        </w:rPr>
        <w:t xml:space="preserve">Abstract (EN): </w:t>
      </w:r>
      <w:r>
        <w:t>Hexaboraheptacene (B6-hept), featuring a periodic arrangement of boron atoms, together with its shorter homologues tetraborapentacene (B4-pent) and diboraanthracene (B2-ant), were synthesized via cyclocondensation of o-bis(dihydroboryl)arenes. The reactive boron centers are effectively protected by 2,4,6-triisopropylphenyl (Tip) groups, enabling handling under ambient conditions. As the number of boron bridges increases, the electron-accepting ability as well as the multistep reversible redox properties are progressively enhanced. B6-hept exhibits pronounced dual fluorescence in solution, in which relative intensities depend on the excitation wavelength and solvent viscosity. DFT calculations suggest that this phenomenon originates from two interconvertible conformers, namely, the bent-zigzag and twisted forms, which result from a delicate balance between the extended π-system and the steric demands of the Tip groups. This interpretation is supported by the fact that B4-pent displays only weak dual emission, while B2-ant shows none. This study not only introduces a new class of heteroacenes with potential applications in optoelectronics and electrocatalysis, but also provides insight into steric-design strategies for tuning the conformational landscapes of boron-containing π-systems.</w:t>
      </w:r>
    </w:p>
    <w:p>
      <w:pPr>
        <w:spacing w:before="120" w:after="120"/>
      </w:pPr>
      <w:r>
        <w:rPr>
          <w:sz w:val="18"/>
        </w:rPr>
        <w:t>——————————————————————————————————————————————————————————————————————</w:t>
      </w:r>
    </w:p>
    <w:p>
      <w:pPr>
        <w:spacing w:before="160" w:after="40" w:line="240" w:lineRule="auto"/>
      </w:pPr>
      <w:r>
        <w:rPr>
          <w:b/>
        </w:rPr>
        <w:t xml:space="preserve">[214] </w:t>
      </w:r>
      <w:hyperlink r:id="rId591">
        <w:r>
          <w:rPr>
            <w:color w:val="1155CC"/>
            <w:u w:val="single"/>
          </w:rPr>
          <w:t>通过CdS/NiPc S-型异质结中Ni 3d-S 3p轨道杂化加速界面电荷转移以实现高选择性H2O2光合成</w:t>
        </w:r>
      </w:hyperlink>
    </w:p>
    <w:p>
      <w:pPr>
        <w:spacing w:before="0" w:after="80"/>
      </w:pPr>
      <w:r>
        <w:rPr>
          <w:i/>
          <w:sz w:val="20"/>
        </w:rPr>
        <w:t>EN: Accelerated Interfacial Charge Transfer via Ni 3d‐S 3p Orbital Hybridization in a CdS/NiPc S‐Scheme Heterojunction for Highly‐Selective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2026-03-10 07:40:20+00:00</w:t>
      </w:r>
      <w:r>
        <w:t xml:space="preserve">    </w:t>
      </w:r>
      <w:r>
        <w:rPr>
          <w:b/>
        </w:rPr>
        <w:t xml:space="preserve">DOI: </w:t>
      </w:r>
      <w:hyperlink r:id="rId592">
        <w:r>
          <w:rPr>
            <w:color w:val="1155CC"/>
            <w:u w:val="single"/>
          </w:rPr>
          <w:t>10.1002/anie.202525871</w:t>
        </w:r>
      </w:hyperlink>
    </w:p>
    <w:p>
      <w:pPr>
        <w:spacing w:before="0" w:after="120"/>
      </w:pPr>
      <w:r>
        <w:rPr>
          <w:b/>
        </w:rPr>
        <w:t xml:space="preserve">Notes: </w:t>
      </w:r>
      <w:r>
        <w:t>abstract_source=pubmed</w:t>
      </w:r>
    </w:p>
    <w:p>
      <w:pPr>
        <w:spacing w:before="0" w:after="80" w:lineRule="auto" w:line="276"/>
      </w:pPr>
      <w:r>
        <w:rPr>
          <w:b/>
        </w:rPr>
        <w:t xml:space="preserve">摘要（ZH）: </w:t>
      </w:r>
      <w:r>
        <w:t>光生载流子的快速复合严重限制了光催化H2O2生产的效率。虽然S-型异质结可以显著促进电荷分离和转移，但界面电荷转移的原子级机制仍然理解不足。在此，通过简便的一步水热法制备了具有界面Ni─S键的原型硫化镉/酞菁镍（CdS/NiPc）S-型异质结光催化剂。Ni─S键通过Ni 3d-S 3p轨道杂化作为原子尺度的电荷转移通道，显著加速了界面上的定向电荷迁移。因此，优化的CdS/NiPc-10%实现了34.4 mmol·L-1·g-1·h-1的显著H2O2生产速率，以及</w:t>
      </w:r>
    </w:p>
    <w:p>
      <w:pPr>
        <w:spacing w:before="0" w:after="200" w:lineRule="auto" w:line="276"/>
      </w:pPr>
      <w:r>
        <w:rPr>
          <w:b/>
        </w:rPr>
        <w:t xml:space="preserve">Abstract (EN): </w:t>
      </w:r>
      <w:r>
        <w:t>The rapid recombination of photogenerated charge carriers severely restricts the efficiency of photocatalytic H2O2 production. While S-scheme heterojunctions can prominently promote charge separation and transfer, the atomic-level mechanism of interfacial charge transfer remains inadequately understood. Herein, a prototype cadmium sulfide/nickel phthalocyanine (CdS/NiPc) S-scheme heterojunction photocatalyst with interfacial Ni─S bonds was fabricated via a facile one-step hydrothermal method. The Ni─S bond serves as an atomic-scale charge transfer channel through Ni 3d-S 3p orbital hybridization, significantly accelerating oriented charge migration across the interface. Consequently, the optimized CdS/NiPc-10% achieves a remarkable H2O2 production rate of 34.4 mmol·L-1·g-1·h-1, along with excellent cycling stability. Combined X-ray absorption fine structure (XAFS), in situ irradiated X-ray photoelectron spectroscopy (ISIXPS), and femtosecond transient absorption spectroscopy (fs-TAS) analysis confirm the existence of Ni─S bond and dominant S-scheme charge transport pathway. Moreover, density functional theory (DFT) calculations and electron paramagnetic resonance (EPR) spectra reveal that the Ni 3d-S 3p orbital hybridization adjusts the O2 adsorption configuration from Yeager-type to Pauling-type, suppressing O─O bond cleavage and stabilizing the *OOH intermediate, thereby promoting the two-electron oxygen reduction pathway for selective H2O2 production. This work elucidates how interfacial chemical bonds regulate charge dynamics via orbital hybridization, offering new insights for designing efficient S-scheme photocatalysts.</w:t>
      </w:r>
    </w:p>
    <w:p>
      <w:pPr>
        <w:spacing w:before="120" w:after="120"/>
      </w:pPr>
      <w:r>
        <w:rPr>
          <w:sz w:val="18"/>
        </w:rPr>
        <w:t>——————————————————————————————————————————————————————————————————————</w:t>
      </w:r>
    </w:p>
    <w:p>
      <w:pPr>
        <w:spacing w:before="160" w:after="40" w:line="240" w:lineRule="auto"/>
      </w:pPr>
      <w:r>
        <w:rPr>
          <w:b/>
        </w:rPr>
        <w:t xml:space="preserve">[215] </w:t>
      </w:r>
      <w:hyperlink r:id="rId593">
        <w:r>
          <w:rPr>
            <w:color w:val="1155CC"/>
            <w:u w:val="single"/>
          </w:rPr>
          <w:t>基于多肽杂化材料的纳米催化剂：迈向催化多样性和材料整合</w:t>
        </w:r>
      </w:hyperlink>
    </w:p>
    <w:p>
      <w:pPr>
        <w:spacing w:before="0" w:after="80"/>
      </w:pPr>
      <w:r>
        <w:rPr>
          <w:i/>
          <w:sz w:val="20"/>
        </w:rPr>
        <w:t>EN: Nanocatalysts Built on Polypeptide Hybrid Materials: Towards Catalytic Versatility and Material Integration</w:t>
      </w:r>
    </w:p>
    <w:p>
      <w:pPr>
        <w:spacing w:before="0" w:after="120"/>
      </w:pPr>
      <w:r>
        <w:rPr>
          <w:b/>
        </w:rPr>
        <w:t xml:space="preserve">Source: </w:t>
      </w:r>
      <w:r>
        <w:t>Wiley: Angewandte Chemie International Edition: Table of Contents</w:t>
      </w:r>
      <w:r>
        <w:t xml:space="preserve">    </w:t>
      </w:r>
      <w:r>
        <w:rPr>
          <w:b/>
        </w:rPr>
        <w:t xml:space="preserve">Pub date: </w:t>
      </w:r>
      <w:r>
        <w:t>2026-03-10 07:44:31+00:00</w:t>
      </w:r>
      <w:r>
        <w:t xml:space="preserve">    </w:t>
      </w:r>
      <w:r>
        <w:rPr>
          <w:b/>
        </w:rPr>
        <w:t xml:space="preserve">DOI: </w:t>
      </w:r>
      <w:hyperlink r:id="rId594">
        <w:r>
          <w:rPr>
            <w:color w:val="1155CC"/>
            <w:u w:val="single"/>
          </w:rPr>
          <w:t>10.1002/anie.202523588</w:t>
        </w:r>
      </w:hyperlink>
    </w:p>
    <w:p>
      <w:pPr>
        <w:spacing w:before="0" w:after="120"/>
      </w:pPr>
      <w:r>
        <w:rPr>
          <w:b/>
        </w:rPr>
        <w:t xml:space="preserve">Notes: </w:t>
      </w:r>
      <w:r>
        <w:t>abstract_source=pubmed</w:t>
      </w:r>
    </w:p>
    <w:p>
      <w:pPr>
        <w:spacing w:before="0" w:after="80" w:lineRule="auto" w:line="276"/>
      </w:pPr>
      <w:r>
        <w:rPr>
          <w:b/>
        </w:rPr>
        <w:t xml:space="preserve">摘要（ZH）: </w:t>
      </w:r>
      <w:r>
        <w:t>纳米酶和许多其他类型的纳米催化剂是新兴的纳米材料，表现出高催化活性和稳健性。与天然酶相比，纳米催化剂展示了包括成本效益、显著稳定性和优异耐久性等优势。然而，尽管取得了实质性进展，纳米催化剂，尤其是纳米酶，仍面临催化多样性和材料可加工性的关键限制。在本文中，我们通过自催化制备策略报告了一种多肽融合二氧化硅纳米颗粒平台，以同时解决这两个挑战。该纳米催化剂开发系统不仅实现了纳米催化剂介导的多肽合成的首例，还将纳米酶的应用场景扩展到细胞内催化</w:t>
      </w:r>
    </w:p>
    <w:p>
      <w:pPr>
        <w:spacing w:before="0" w:after="200" w:lineRule="auto" w:line="276"/>
      </w:pPr>
      <w:r>
        <w:rPr>
          <w:b/>
        </w:rPr>
        <w:t xml:space="preserve">Abstract (EN): </w:t>
      </w:r>
      <w:r>
        <w:t>Nanozymes and many other types of nanocatalysts are emerging nanomaterials exhibiting high catalytic activity and robustness. Compared to natural enzymes, nanocatalysts have demonstrated advantages including cost-effectiveness, remarkable stability, and excellent durability. Yet, despite the substantial progress, nanocatalysts, especially nanozymes, are still facing critical limitations in catalytic diversity and material processability. In this article, we report a polypeptide-fused silica nanoparticle platform through an autocatalytic preparation strategy to simultaneously address both challenges. This nanocatalyst development system not only achieves the first example of nanocatalyst-mediated polypeptide synthesis, but also extends nanozymes' application scenarios to intracellular catalysis and membrane catalysis systems, expanding catalytic functionality while enabling convenient integration into other functional materials by improving nanozymes' processibility, as evidenced in the preparation and proof-of-concept application of nanozyme-bearing mix-matrix membranes (MMMs).</w:t>
      </w:r>
    </w:p>
    <w:p>
      <w:pPr>
        <w:spacing w:before="120" w:after="120"/>
      </w:pPr>
      <w:r>
        <w:rPr>
          <w:sz w:val="18"/>
        </w:rPr>
        <w:t>——————————————————————————————————————————————————————————————————————</w:t>
      </w:r>
    </w:p>
    <w:p>
      <w:pPr>
        <w:spacing w:before="160" w:after="40" w:line="240" w:lineRule="auto"/>
      </w:pPr>
      <w:r>
        <w:rPr>
          <w:b/>
        </w:rPr>
        <w:t xml:space="preserve">[216] </w:t>
      </w:r>
      <w:hyperlink r:id="rId595">
        <w:r>
          <w:rPr>
            <w:color w:val="1155CC"/>
            <w:u w:val="single"/>
          </w:rPr>
          <w:t>[ASAP] 在金属有机框架中光诱导结合和还原CO2于瞬态开放的Ce(III)位点</w:t>
        </w:r>
      </w:hyperlink>
    </w:p>
    <w:p>
      <w:pPr>
        <w:spacing w:before="0" w:after="80"/>
      </w:pPr>
      <w:r>
        <w:rPr>
          <w:i/>
          <w:sz w:val="20"/>
        </w:rPr>
        <w:t>EN: [ASAP] Light-Induced Binding and Reduction of CO2 over Transient Open Ce(III) Sites in a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2026-03-10 08:59:23+00:00</w:t>
      </w:r>
      <w:r>
        <w:t xml:space="preserve">    </w:t>
      </w:r>
      <w:r>
        <w:rPr>
          <w:b/>
        </w:rPr>
        <w:t xml:space="preserve">DOI: </w:t>
      </w:r>
      <w:hyperlink r:id="rId596">
        <w:r>
          <w:rPr>
            <w:color w:val="1155CC"/>
            <w:u w:val="single"/>
          </w:rPr>
          <w:t>10.1021/jacs.5c20721</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材料与金属酶共享一些共同特征，包括在功能化腔体或口袋中模板化动态底物活化的位点隔离金属中心。我们报告了在一种基于铈的MOF，Ce-UiO-66-NH2中，光诱导的CO2可逆结合，该MOF结合了氨基功能化的连接体，使得在H2O中无需牺牲剂即可实现CO2到CO的光还原。观察到CO的生产速率为126 μmol·g-1·h-1，选择性为100%，优于其非胺类类似物（Ce-UiO-66）和迄今为止报道的基准催化剂。原位红外、X射线吸收、电子顺磁共振和瞬态吸收光谱揭示了光激发诱导配体到金属的电荷转移以生成瞬态</w:t>
      </w:r>
    </w:p>
    <w:p>
      <w:pPr>
        <w:spacing w:before="0" w:after="200" w:lineRule="auto" w:line="276"/>
      </w:pPr>
      <w:r>
        <w:rPr>
          <w:b/>
        </w:rPr>
        <w:t xml:space="preserve">Abstract (EN): </w:t>
      </w:r>
      <w:r>
        <w:t>Metal-organic framework (MOF) materials share some common features with metalloenzymes including site-isolated metal centers that template dynamic substrate activation within a functionalized cavity or pocket. We report the light-induced reversible binding of CO2 in a cerium-based MOF, Ce-UiO-66-NH2, incorporating an amino functionalized linker, which enables photoreduction of CO2 to CO in H2O without using sacrificial agents. A production rate for CO of 126 μmol·g-1·h-1 with 100% selectivity is observed, outperforming its non-amine analogue (Ce-UiO-66) and benchmark catalysts reported to date. In situ infrared, X-ray absorption, electron paramagnetic resonance and transient absorption spectroscopy reveal that photoexcitation induces a ligand-to-metal charge transfer to generate transient open Ce(III) sites that bind CO2 in a μ-(η1-O)(η1-C) binding mode. This binding is reversible and activates CO2 for subsequent photoreduction to CO. This work will promote the design of photocatalysts capable of synthesizing fuels from CO2.</w:t>
      </w:r>
    </w:p>
    <w:p>
      <w:pPr>
        <w:spacing w:before="120" w:after="120"/>
      </w:pPr>
      <w:r>
        <w:rPr>
          <w:sz w:val="18"/>
        </w:rPr>
        <w:t>——————————————————————————————————————————————————————————————————————</w:t>
      </w:r>
    </w:p>
    <w:p>
      <w:pPr>
        <w:spacing w:before="160" w:after="40" w:line="240" w:lineRule="auto"/>
      </w:pPr>
      <w:r>
        <w:rPr>
          <w:b/>
        </w:rPr>
        <w:t xml:space="preserve">[217] </w:t>
      </w:r>
      <w:hyperlink r:id="rId597">
        <w:r>
          <w:rPr>
            <w:color w:val="1155CC"/>
            <w:u w:val="single"/>
          </w:rPr>
          <w:t>[ASAP] 关于亚胺键双层二维共价有机框架层状生长的机制见解</w:t>
        </w:r>
      </w:hyperlink>
    </w:p>
    <w:p>
      <w:pPr>
        <w:spacing w:before="0" w:after="80"/>
      </w:pPr>
      <w:r>
        <w:rPr>
          <w:i/>
          <w:sz w:val="20"/>
        </w:rPr>
        <w:t>EN: [ASAP] Mechanistic Insights into Layered Growth of Imine-Linked Bilayer 2D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2026-03-10 19:33:54+00:00</w:t>
      </w:r>
      <w:r>
        <w:t xml:space="preserve">    </w:t>
      </w:r>
      <w:r>
        <w:rPr>
          <w:b/>
        </w:rPr>
        <w:t xml:space="preserve">DOI: </w:t>
      </w:r>
      <w:hyperlink r:id="rId598">
        <w:r>
          <w:rPr>
            <w:color w:val="1155CC"/>
            <w:u w:val="single"/>
          </w:rPr>
          <w:t>10.1021/jacs.5c19958</w:t>
        </w:r>
      </w:hyperlink>
    </w:p>
    <w:p>
      <w:pPr>
        <w:spacing w:before="0" w:after="120"/>
      </w:pPr>
      <w:r>
        <w:rPr>
          <w:b/>
        </w:rPr>
        <w:t xml:space="preserve">Notes: </w:t>
      </w:r>
      <w:r>
        <w:t>abstract_source=pubmed</w:t>
      </w:r>
    </w:p>
    <w:p>
      <w:pPr>
        <w:spacing w:before="0" w:after="80" w:lineRule="auto" w:line="276"/>
      </w:pPr>
      <w:r>
        <w:rPr>
          <w:b/>
        </w:rPr>
        <w:t xml:space="preserve">摘要（ZH）: </w:t>
      </w:r>
      <w:r>
        <w:t>二维共价有机框架（2D COFs）的结晶度和堆叠顺序对其物理性质和性能具有重要影响。然而，对于亚胺键合系统而言，直接分子分辨率的层状2D COFs生长的洞察仍然难以获得。在此，构建了一个亚胺键合的双层2D COF于固液界面，能够通过时间依赖的扫描隧道显微镜（STM）可视化层间生长。STM成像揭示了一种层状生长机制，涉及缺陷介导的成核、晶格引导的定向传播、跨缺陷生长和定向域合并。该生长路径导致局部有序-无序堆叠嵌入在主要AA堆叠域中。这些发现提供了直接的</w:t>
      </w:r>
    </w:p>
    <w:p>
      <w:pPr>
        <w:spacing w:before="0" w:after="200" w:lineRule="auto" w:line="276"/>
      </w:pPr>
      <w:r>
        <w:rPr>
          <w:b/>
        </w:rPr>
        <w:t xml:space="preserve">Abstract (EN): </w:t>
      </w:r>
      <w:r>
        <w:t>The crystallinity and stacking order of two-dimensional covalent organic frameworks (2D COFs) critically govern their physical properties and performance. However, direct molecular-resolution insight into the growth of layered 2D COFs remains elusive, particularly for imine-linked systems. Herein, an imine-linked bilayer 2D COF is constructed at the solid-liquid interface, enabling time-dependent scanning tunneling microscopy (STM) visualization of interlayer growth. STM imaging reveals a layered growth mechanism involving defect-mediated nucleation, lattice-guided directional propagation, cross-defect growth, and oriented domain coalescence. This growth pathway gives rise to local ordered-on-disordered stacking embedded within predominantly AA stacking domains. These findings provide direct molecular-level insights into layered growth under surface-confined conditions and offer a conceptual perspective for considering stacking disorder in bulk imine-linked COFs.</w:t>
      </w:r>
    </w:p>
    <w:p>
      <w:pPr>
        <w:spacing w:before="120" w:after="120"/>
      </w:pPr>
      <w:r>
        <w:rPr>
          <w:sz w:val="18"/>
        </w:rPr>
        <w:t>——————————————————————————————————————————————————————————————————————</w:t>
      </w:r>
    </w:p>
    <w:p>
      <w:pPr>
        <w:spacing w:before="160" w:after="40" w:line="240" w:lineRule="auto"/>
      </w:pPr>
      <w:r>
        <w:rPr>
          <w:b/>
        </w:rPr>
        <w:t xml:space="preserve">[218] </w:t>
      </w:r>
      <w:hyperlink r:id="rId599">
        <w:r>
          <w:rPr>
            <w:color w:val="1155CC"/>
            <w:u w:val="single"/>
          </w:rPr>
          <w:t>[ASAP] 实验研究重新定义庚甲青花素光截断的机制</w:t>
        </w:r>
      </w:hyperlink>
    </w:p>
    <w:p>
      <w:pPr>
        <w:spacing w:before="0" w:after="80"/>
      </w:pPr>
      <w:r>
        <w:rPr>
          <w:i/>
          <w:sz w:val="20"/>
        </w:rPr>
        <w:t>EN: [ASAP] Experimental Study Redefines the Mechanism of Heptamethine Cyanine Phototruncation</w:t>
      </w:r>
    </w:p>
    <w:p>
      <w:pPr>
        <w:spacing w:before="0" w:after="120"/>
      </w:pPr>
      <w:r>
        <w:rPr>
          <w:b/>
        </w:rPr>
        <w:t xml:space="preserve">Source: </w:t>
      </w:r>
      <w:r>
        <w:t>Journal of the American Chemical Society: Latest Articles (ACS Publications)</w:t>
      </w:r>
      <w:r>
        <w:t xml:space="preserve">    </w:t>
      </w:r>
      <w:r>
        <w:rPr>
          <w:b/>
        </w:rPr>
        <w:t xml:space="preserve">Pub date: </w:t>
      </w:r>
      <w:r>
        <w:t>2026-03-10 19:55:27+00:00</w:t>
      </w:r>
      <w:r>
        <w:t xml:space="preserve">    </w:t>
      </w:r>
      <w:r>
        <w:rPr>
          <w:b/>
        </w:rPr>
        <w:t xml:space="preserve">DOI: </w:t>
      </w:r>
      <w:hyperlink r:id="rId600">
        <w:r>
          <w:rPr>
            <w:color w:val="1155CC"/>
            <w:u w:val="single"/>
          </w:rPr>
          <w:t>10.1021/jacs.5c18903</w:t>
        </w:r>
      </w:hyperlink>
    </w:p>
    <w:p>
      <w:pPr>
        <w:spacing w:before="0" w:after="120"/>
      </w:pPr>
      <w:r>
        <w:rPr>
          <w:b/>
        </w:rPr>
        <w:t xml:space="preserve">Notes: </w:t>
      </w:r>
      <w:r>
        <w:t>abstract_source=pubmed</w:t>
      </w:r>
    </w:p>
    <w:p>
      <w:pPr>
        <w:spacing w:before="0" w:after="80" w:lineRule="auto" w:line="276"/>
      </w:pPr>
      <w:r>
        <w:rPr>
          <w:b/>
        </w:rPr>
        <w:t xml:space="preserve">摘要（ZH）: </w:t>
      </w:r>
      <w:r>
        <w:t>氰染料因其可调谐的近红外吸收和荧光特性而在现代生物医学领域中广受欢迎。氰染料的一个应用涉及通过一个两碳片段的光化学缩短多亚甲基链。这个过程被称为光截断或光蓝化，因为生成的氰染料的吸收带发生高频位移。最近的一项量子化学研究提出了这一过程的机制；然而，它无法解释在特定条件下反应显著增强的原因。在此，我们展示了对原型七甲氰染料（Cy7）光截断的广泛研究结果。为了阐明其潜在机制，采用了全面的分析方法</w:t>
      </w:r>
    </w:p>
    <w:p>
      <w:pPr>
        <w:spacing w:before="0" w:after="200" w:lineRule="auto" w:line="276"/>
      </w:pPr>
      <w:r>
        <w:rPr>
          <w:b/>
        </w:rPr>
        <w:t xml:space="preserve">Abstract (EN): </w:t>
      </w:r>
      <w:r>
        <w:t>Cyanine dyes are popular chromophores used in contemporary biomedical fields due to their tunable near-infrared absorption and fluorescence properties. One such application of cyanines involves the photochemical shortening of the polymethine chain by a two-carbon fragment. This process is referred to as phototruncation or photoblueing because the resulting cyanine's absorption band shifts hypsochromically. A recent quantum-chemical study has proposed a mechanism for this process; however, it cannot explain the substantial enhancement of the reaction under specific conditions. Here, we present the results of an extensive investigation of phototruncation of the prototypical heptamethine cyanine dye (Cy7). To elucidate the underlying mechanism, a comprehensive analytical approach was employed, encompassing kinetic studies, isotopic labeling, transient spectroscopy, femtosecond stimulated Raman spectroscopy, collision-induced dissociation, and infrared photodissociation spectroscopy. Our findings demonstrate that phototruncation occurs efficiently in aqueous solutions of a specific organic buffer composition. It is sensitive to reactant concentrations and pH, and its efficiency increases with the addition of electron acceptors. The reaction involves ultrafast electron transfer from a singlet-excited cyanine dye to oxygen, forming a radical dication intermediate. This intermediate reacts with another oxygen molecule and subsequently with a buffer constituent featuring an ethanolamine scaffold. The reaction continues with oxidation, cyclization, and elimination steps to form pentamethine cyanine (Cy5) in yields up to 33%. We also demonstrate that Cy5 undergoes phototruncation via the same mechanism but with lower efficiency. The triplet-excited Cy7 also undergoes phototruncation. The findings of this study lay the foundation for the further exploitation of this unique process.</w:t>
      </w:r>
    </w:p>
    <w:p>
      <w:pPr>
        <w:spacing w:before="120" w:after="120"/>
      </w:pPr>
      <w:r>
        <w:rPr>
          <w:sz w:val="18"/>
        </w:rPr>
        <w:t>——————————————————————————————————————————————————————————————————————</w:t>
      </w:r>
    </w:p>
    <w:p>
      <w:pPr>
        <w:spacing w:before="160" w:after="40" w:line="240" w:lineRule="auto"/>
      </w:pPr>
      <w:r>
        <w:rPr>
          <w:b/>
        </w:rPr>
        <w:t xml:space="preserve">[219] </w:t>
      </w:r>
      <w:hyperlink r:id="rId601">
        <w:r>
          <w:rPr>
            <w:color w:val="1155CC"/>
            <w:u w:val="single"/>
          </w:rPr>
          <w:t>当女孩在尼日利亚继续上学时，童婚现象大幅下降</w:t>
        </w:r>
      </w:hyperlink>
    </w:p>
    <w:p>
      <w:pPr>
        <w:spacing w:before="0" w:after="80"/>
      </w:pPr>
      <w:r>
        <w:rPr>
          <w:i/>
          <w:sz w:val="20"/>
        </w:rPr>
        <w:t>EN: Child marriages plunged when girls stayed in school in Nigeria</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02">
        <w:r>
          <w:rPr>
            <w:color w:val="1155CC"/>
            <w:u w:val="single"/>
          </w:rPr>
          <w:t>10.1038/d41586-026-00796-2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[220] </w:t>
      </w:r>
      <w:hyperlink r:id="rId603">
        <w:r>
          <w:rPr>
            <w:color w:val="1155CC"/>
            <w:u w:val="single"/>
          </w:rPr>
          <w:t>植物防御中的环之联盟</w:t>
        </w:r>
      </w:hyperlink>
    </w:p>
    <w:p>
      <w:pPr>
        <w:spacing w:before="0" w:after="80"/>
      </w:pPr>
      <w:r>
        <w:rPr>
          <w:i/>
          <w:sz w:val="20"/>
        </w:rPr>
        <w:t>EN: A fellowship of the rings in plant defence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04">
        <w:r>
          <w:rPr>
            <w:color w:val="1155CC"/>
            <w:u w:val="single"/>
          </w:rPr>
          <w:t>10.1038/d41586-026-00494-z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[221] </w:t>
      </w:r>
      <w:hyperlink r:id="rId605">
        <w:r>
          <w:rPr>
            <w:color w:val="1155CC"/>
            <w:u w:val="single"/>
          </w:rPr>
          <w:t>人工智能可能使人类表达‘同质化’——是否有大脑能抵抗其影响？</w:t>
        </w:r>
      </w:hyperlink>
    </w:p>
    <w:p>
      <w:pPr>
        <w:spacing w:before="0" w:after="80"/>
      </w:pPr>
      <w:r>
        <w:rPr>
          <w:i/>
          <w:sz w:val="20"/>
        </w:rPr>
        <w:t>EN: AI can ‘same-ify’ human expression — can some brains resist its pull?</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06">
        <w:r>
          <w:rPr>
            <w:color w:val="1155CC"/>
            <w:u w:val="single"/>
          </w:rPr>
          <w:t>10.1038/d41586-026-00781-9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[222] </w:t>
      </w:r>
      <w:hyperlink r:id="rId607">
        <w:r>
          <w:rPr>
            <w:color w:val="1155CC"/>
            <w:u w:val="single"/>
          </w:rPr>
          <w:t>大学已成为房地产企业。这对研究意味着什么？</w:t>
        </w:r>
      </w:hyperlink>
    </w:p>
    <w:p>
      <w:pPr>
        <w:spacing w:before="0" w:after="80"/>
      </w:pPr>
      <w:r>
        <w:rPr>
          <w:i/>
          <w:sz w:val="20"/>
        </w:rPr>
        <w:t>EN: Universities have become property businesses. What does that mean for research?</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08">
        <w:r>
          <w:rPr>
            <w:color w:val="1155CC"/>
            <w:u w:val="single"/>
          </w:rPr>
          <w:t>10.1038/d41586-025-04167-1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609">
        <w:r>
          <w:rPr>
            <w:color w:val="1155CC"/>
            <w:u w:val="single"/>
          </w:rPr>
          <w:t>统计数据达到“危机点”：各国面临数据严重短缺的困境</w:t>
        </w:r>
      </w:hyperlink>
    </w:p>
    <w:p>
      <w:pPr>
        <w:spacing w:before="0" w:after="80"/>
      </w:pPr>
      <w:r>
        <w:rPr>
          <w:i/>
          <w:sz w:val="20"/>
        </w:rPr>
        <w:t>EN: Statistics reach a 'crisis point': nations struggle with a critical lack of data</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10">
        <w:r>
          <w:rPr>
            <w:color w:val="1155CC"/>
            <w:u w:val="single"/>
          </w:rPr>
          <w:t>10.1038/d41586-026-00699-2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611">
        <w:r>
          <w:rPr>
            <w:color w:val="1155CC"/>
            <w:u w:val="single"/>
          </w:rPr>
          <w:t>循环肿瘤DNA的动态可以指导治疗决策以改善结果</w:t>
        </w:r>
      </w:hyperlink>
    </w:p>
    <w:p>
      <w:pPr>
        <w:spacing w:before="0" w:after="80"/>
      </w:pPr>
      <w:r>
        <w:rPr>
          <w:i/>
          <w:sz w:val="20"/>
        </w:rPr>
        <w:t>EN: Dynamics of circulating tumour DNA can guide treatment decisions for improved outcomes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12">
        <w:r>
          <w:rPr>
            <w:color w:val="1155CC"/>
            <w:u w:val="single"/>
          </w:rPr>
          <w:t>10.1038/d41586-026-00715-5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613">
        <w:r>
          <w:rPr>
            <w:color w:val="1155CC"/>
            <w:u w:val="single"/>
          </w:rPr>
          <w:t>一种能够创建4D相机的硅芯片</w:t>
        </w:r>
      </w:hyperlink>
    </w:p>
    <w:p>
      <w:pPr>
        <w:spacing w:before="0" w:after="80"/>
      </w:pPr>
      <w:r>
        <w:rPr>
          <w:i/>
          <w:sz w:val="20"/>
        </w:rPr>
        <w:t>EN: A silicon chip that enables the creation of 4D cameras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14">
        <w:r>
          <w:rPr>
            <w:color w:val="1155CC"/>
            <w:u w:val="single"/>
          </w:rPr>
          <w:t>10.1038/d41586-026-00727-1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615">
        <w:r>
          <w:rPr>
            <w:color w:val="1155CC"/>
            <w:u w:val="single"/>
          </w:rPr>
          <w:t>光子“跳台”将光束从硅芯片引导</w:t>
        </w:r>
      </w:hyperlink>
    </w:p>
    <w:p>
      <w:pPr>
        <w:spacing w:before="0" w:after="80"/>
      </w:pPr>
      <w:r>
        <w:rPr>
          <w:i/>
          <w:sz w:val="20"/>
        </w:rPr>
        <w:t>EN: Photonic ‘ski jump’ steers light beam from silicon chip</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16">
        <w:r>
          <w:rPr>
            <w:color w:val="1155CC"/>
            <w:u w:val="single"/>
          </w:rPr>
          <w:t>10.1038/d41586-026-00489-w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617">
        <w:r>
          <w:rPr>
            <w:color w:val="1155CC"/>
            <w:u w:val="single"/>
          </w:rPr>
          <w:t>肠道微生物影响老年期的认知</w:t>
        </w:r>
      </w:hyperlink>
    </w:p>
    <w:p>
      <w:pPr>
        <w:spacing w:before="0" w:after="80"/>
      </w:pPr>
      <w:r>
        <w:rPr>
          <w:i/>
          <w:sz w:val="20"/>
        </w:rPr>
        <w:t>EN: Gut microbes affect cognition during ageing</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18">
        <w:r>
          <w:rPr>
            <w:color w:val="1155CC"/>
            <w:u w:val="single"/>
          </w:rPr>
          <w:t>10.1038/d41586-026-00492-1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619">
        <w:r>
          <w:rPr>
            <w:color w:val="1155CC"/>
            <w:u w:val="single"/>
          </w:rPr>
          <w:t>利用蚊子为蝙蝠接种疫苗可以遏制致命疾病的传播</w:t>
        </w:r>
      </w:hyperlink>
    </w:p>
    <w:p>
      <w:pPr>
        <w:spacing w:before="0" w:after="80"/>
      </w:pPr>
      <w:r>
        <w:rPr>
          <w:i/>
          <w:sz w:val="20"/>
        </w:rPr>
        <w:t>EN: Using mosquitoes to vaccinate bats could curb the spread of deadly diseases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20">
        <w:r>
          <w:rPr>
            <w:color w:val="1155CC"/>
            <w:u w:val="single"/>
          </w:rPr>
          <w:t>10.1038/d41586-026-00795-3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[229] </w:t>
      </w:r>
      <w:hyperlink r:id="rId621">
        <w:r>
          <w:rPr>
            <w:color w:val="1155CC"/>
            <w:u w:val="single"/>
          </w:rPr>
          <w:t>物理学面临风险：英国科学领袖谈最新资金削减的问题</w:t>
        </w:r>
      </w:hyperlink>
    </w:p>
    <w:p>
      <w:pPr>
        <w:spacing w:before="0" w:after="80"/>
      </w:pPr>
      <w:r>
        <w:rPr>
          <w:i/>
          <w:sz w:val="20"/>
        </w:rPr>
        <w:t>EN: Physics at risk: UK science leader on what's wrong with the latest funding cuts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22">
        <w:r>
          <w:rPr>
            <w:color w:val="1155CC"/>
            <w:u w:val="single"/>
          </w:rPr>
          <w:t>10.1038/d41586-026-00757-9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[230] </w:t>
      </w:r>
      <w:hyperlink r:id="rId623">
        <w:r>
          <w:rPr>
            <w:color w:val="1155CC"/>
            <w:u w:val="single"/>
          </w:rPr>
          <w:t>量子纠缠作为成像遥远天体的工具</w:t>
        </w:r>
      </w:hyperlink>
    </w:p>
    <w:p>
      <w:pPr>
        <w:spacing w:before="0" w:after="80"/>
      </w:pPr>
      <w:r>
        <w:rPr>
          <w:i/>
          <w:sz w:val="20"/>
        </w:rPr>
        <w:t>EN: Quantum entanglement as a tool to image distant astronomical objects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24">
        <w:r>
          <w:rPr>
            <w:color w:val="1155CC"/>
            <w:u w:val="single"/>
          </w:rPr>
          <w:t>10.1038/d41586-026-00724-4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625">
        <w:r>
          <w:rPr>
            <w:color w:val="1155CC"/>
            <w:u w:val="single"/>
          </w:rPr>
          <w:t>一种全雌鱼类如何违背进化预期</w:t>
        </w:r>
      </w:hyperlink>
    </w:p>
    <w:p>
      <w:pPr>
        <w:spacing w:before="0" w:after="80"/>
      </w:pPr>
      <w:r>
        <w:rPr>
          <w:i/>
          <w:sz w:val="20"/>
        </w:rPr>
        <w:t>EN: How an all-female fish species defies evolutionary expectations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26">
        <w:r>
          <w:rPr>
            <w:color w:val="1155CC"/>
            <w:u w:val="single"/>
          </w:rPr>
          <w:t>10.1038/d41586-026-00493-0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627">
        <w:r>
          <w:rPr>
            <w:color w:val="1155CC"/>
            <w:u w:val="single"/>
          </w:rPr>
          <w:t>第一个机器人，单数</w:t>
        </w:r>
      </w:hyperlink>
    </w:p>
    <w:p>
      <w:pPr>
        <w:spacing w:before="0" w:after="80"/>
      </w:pPr>
      <w:r>
        <w:rPr>
          <w:i/>
          <w:sz w:val="20"/>
        </w:rPr>
        <w:t>EN: First bot, singular</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28">
        <w:r>
          <w:rPr>
            <w:color w:val="1155CC"/>
            <w:u w:val="single"/>
          </w:rPr>
          <w:t>10.1038/d41586-026-00610-z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629">
        <w:r>
          <w:rPr>
            <w:color w:val="1155CC"/>
            <w:u w:val="single"/>
          </w:rPr>
          <w:t>这颗超新星太亮了——现在天文学家可能知道原因了</w:t>
        </w:r>
      </w:hyperlink>
    </w:p>
    <w:p>
      <w:pPr>
        <w:spacing w:before="0" w:after="80"/>
      </w:pPr>
      <w:r>
        <w:rPr>
          <w:i/>
          <w:sz w:val="20"/>
        </w:rPr>
        <w:t>EN: This supernova is too bright – now astronomers might know why</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30">
        <w:r>
          <w:rPr>
            <w:color w:val="1155CC"/>
            <w:u w:val="single"/>
          </w:rPr>
          <w:t>10.1038/d41586-026-00801-8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631">
        <w:r>
          <w:rPr>
            <w:color w:val="1155CC"/>
            <w:u w:val="single"/>
          </w:rPr>
          <w:t>通过熔盐中的电化学活化实现快速充电的铝硫化聚丙烯腈电池</w:t>
        </w:r>
      </w:hyperlink>
    </w:p>
    <w:p>
      <w:pPr>
        <w:spacing w:before="0" w:after="80"/>
      </w:pPr>
      <w:r>
        <w:rPr>
          <w:i/>
          <w:sz w:val="20"/>
        </w:rPr>
        <w:t>EN: A fast-charging aluminum-sulfurized polyacrylonitrile battery enabled by electrochemical activation in molten salts</w:t>
      </w:r>
    </w:p>
    <w:p>
      <w:pPr>
        <w:spacing w:before="0" w:after="120"/>
      </w:pPr>
      <w:r>
        <w:rPr>
          <w:b/>
        </w:rPr>
        <w:t xml:space="preserve">Source: </w:t>
      </w:r>
      <w:r>
        <w:t>Joule</w:t>
      </w:r>
      <w:r>
        <w:t xml:space="preserve">    </w:t>
      </w:r>
      <w:r>
        <w:rPr>
          <w:b/>
        </w:rPr>
        <w:t xml:space="preserve">Pub date: </w:t>
      </w:r>
      <w:r>
        <w:t>2026-03-11 00:00:00+00:00</w:t>
      </w:r>
      <w:r>
        <w:t xml:space="preserve">    </w:t>
      </w:r>
      <w:r>
        <w:rPr>
          <w:b/>
        </w:rPr>
        <w:t xml:space="preserve">DOI: </w:t>
      </w:r>
      <w:hyperlink r:id="rId632">
        <w:r>
          <w:rPr>
            <w:color w:val="1155CC"/>
            <w:u w:val="single"/>
          </w:rPr>
          <w:t>10.1016/j.joule.2026.102341</w:t>
        </w:r>
      </w:hyperlink>
    </w:p>
    <w:p>
      <w:pPr>
        <w:spacing w:before="0" w:after="120"/>
      </w:pPr>
      <w:r>
        <w:rPr>
          <w:b/>
        </w:rPr>
        <w:t xml:space="preserve">Notes: </w:t>
      </w:r>
      <w:r>
        <w:t>abstract_source=rss_cell</w:t>
      </w:r>
    </w:p>
    <w:p>
      <w:pPr>
        <w:spacing w:before="0" w:after="80" w:lineRule="auto" w:line="276"/>
      </w:pPr>
      <w:r>
        <w:rPr>
          <w:b/>
        </w:rPr>
        <w:t xml:space="preserve">摘要（ZH）: </w:t>
      </w:r>
      <w:r>
        <w:t>本研究介绍了一种快速充电的熔盐铝-SPAN电池。关键在于研究了SPAN阴极在首次放电过程中的电化学活化行为。形成的Al–N4配位结构表现出双重功能：（1）Al–N4构型中的残余Al3+降低了原始SPAN的HOMO-LUMO间隙，增强了阴极导电性，（2）该结构作为活性位点，吸附并催化硫物种的转化。</w:t>
      </w:r>
    </w:p>
    <w:p>
      <w:pPr>
        <w:spacing w:before="0" w:after="200" w:lineRule="auto" w:line="276"/>
      </w:pPr>
      <w:r>
        <w:rPr>
          <w:b/>
        </w:rPr>
        <w:t xml:space="preserve">Abstract (EN): </w:t>
      </w:r>
      <w:r>
        <w:t>This study presents a fast-charging molten salt Al-SPAN battery. Crucially, the electrochemical activation behavior of the SPAN cathode during the first discharge is investigated. The formed Al–N4 coordination structure exhibits dual functionality: (1) residual Al3+ in the Al–N4 configuration reduces the HOMO-LUMO gap of pristine SPAN, enhancing cathode conductivity, and (2) the structure serves as active sites that adsorb and catalyze sulfur species transformation.</w:t>
      </w:r>
    </w:p>
    <w:p>
      <w:pPr>
        <w:spacing w:before="120" w:after="120"/>
      </w:pPr>
      <w:r>
        <w:rPr>
          <w:sz w:val="18"/>
        </w:rPr>
        <w:t>——————————————————————————————————————————————————————————————————————</w:t>
      </w:r>
    </w:p>
    <w:p>
      <w:pPr>
        <w:spacing w:before="160" w:after="40" w:line="240" w:lineRule="auto"/>
      </w:pPr>
      <w:r>
        <w:rPr>
          <w:b/>
        </w:rPr>
        <w:t xml:space="preserve">[235] </w:t>
      </w:r>
      <w:hyperlink r:id="rId633">
        <w:r>
          <w:rPr>
            <w:color w:val="1155CC"/>
            <w:u w:val="single"/>
          </w:rPr>
          <w:t>马尔堡病毒糖蛋白及其与NPC1受体复合物的结构</w:t>
        </w:r>
      </w:hyperlink>
    </w:p>
    <w:p>
      <w:pPr>
        <w:spacing w:before="0" w:after="80"/>
      </w:pPr>
      <w:r>
        <w:rPr>
          <w:i/>
          <w:sz w:val="20"/>
        </w:rPr>
        <w:t>EN: Structures of Marburgvirus glycoprotein and its complex with NPC1 receptor</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34">
        <w:r>
          <w:rPr>
            <w:color w:val="1155CC"/>
            <w:u w:val="single"/>
          </w:rPr>
          <w:t>10.1038/s41586-026-10240-0</w:t>
        </w:r>
      </w:hyperlink>
    </w:p>
    <w:p>
      <w:pPr>
        <w:spacing w:before="0" w:after="120"/>
      </w:pPr>
      <w:r>
        <w:rPr>
          <w:b/>
        </w:rPr>
        <w:t xml:space="preserve">Notes: </w:t>
      </w:r>
      <w:r>
        <w:t>abstract_source=nature_html</w:t>
      </w:r>
    </w:p>
    <w:p>
      <w:pPr>
        <w:spacing w:before="0" w:after="80" w:lineRule="auto" w:line="276"/>
      </w:pPr>
      <w:r>
        <w:rPr>
          <w:b/>
        </w:rPr>
        <w:t xml:space="preserve">摘要（ZH）: </w:t>
      </w:r>
      <w:r>
        <w:t>马尔堡病毒（MBVs）引起的出血热比埃博拉病毒（EBOV）1,2,3,4的致死率更高。我们在此展示MBV糖蛋白（GP）比EBOV GP更有效地介导病毒进入。使用冷冻电镜，我们确定了MBV GP在三种状态下的结构：（1）未结合；（2）与其内体受体NPC1结合；（3）与中和纳米抗体复合。糖基帽将受体结合位点从NPC1中屏蔽，但仅部分屏蔽纳米抗体，从而实现有限的免疫逃逸。在糖基帽切割后，NPC1以与EBOV GP不同的方向结合MBV GP，提供额外的锚点并增强受体亲和力。NPC1结合还诱导MBV GP的显著构象变化，可能促进膜融合。此外，MBV</w:t>
      </w:r>
    </w:p>
    <w:p>
      <w:pPr>
        <w:spacing w:before="0" w:after="200" w:lineRule="auto" w:line="276"/>
      </w:pPr>
      <w:r>
        <w:rPr>
          <w:b/>
        </w:rPr>
        <w:t xml:space="preserve">Abstract (EN): </w:t>
      </w:r>
      <w:r>
        <w:t>Marburgviruses (MBVs) cause severe haemorrhagic fever with higher fatality rates than Ebola virus (EBOV)1,2,3,4. Here we show that the MBV glycoprotein (GP) mediates viral entry more efficiently than EBOV GP. Using cryo-EM, we determined structures of MBV GP in three states: (1) unbound; (2) bound to its endosomal receptor NPC1; and (3) complexed with a neutralizing nanobody. The glycan cap shields the receptor-binding site from NPC1 but only partially from the nanobody, enabling limited immune evasion. After glycan cap cleavage, NPC1 binds to MBV GP in a distinct orientation compared with EBOV GP, providing an additional anchor and enhancing receptor affinity. NPC1 engagement also induces substantial conformational changes in MBV GP, probably facilitating membrane fusion. Furthermore, MBV GP is susceptible to the neutralizing nanobody, which mimics NPC1 at the receptor-binding site. Together, our findings reveal MBV GP as a highly efficient entry mediator and suggest structural mechanisms that may contribute to its enhanced entry efficiency.</w:t>
      </w:r>
    </w:p>
    <w:p>
      <w:pPr>
        <w:spacing w:before="120" w:after="120"/>
      </w:pPr>
      <w:r>
        <w:rPr>
          <w:sz w:val="18"/>
        </w:rPr>
        <w:t>——————————————————————————————————————————————————————————————————————</w:t>
      </w:r>
    </w:p>
    <w:p>
      <w:pPr>
        <w:spacing w:before="160" w:after="40" w:line="240" w:lineRule="auto"/>
      </w:pPr>
      <w:r>
        <w:rPr>
          <w:b/>
        </w:rPr>
        <w:t xml:space="preserve">[236] </w:t>
      </w:r>
      <w:hyperlink r:id="rId635">
        <w:r>
          <w:rPr>
            <w:color w:val="1155CC"/>
            <w:u w:val="single"/>
          </w:rPr>
          <w:t>通过“大推动”干预，尼日利亚少女婚姻减少了80%</w:t>
        </w:r>
      </w:hyperlink>
    </w:p>
    <w:p>
      <w:pPr>
        <w:spacing w:before="0" w:after="80"/>
      </w:pPr>
      <w:r>
        <w:rPr>
          <w:i/>
          <w:sz w:val="20"/>
        </w:rPr>
        <w:t>EN: Marriage of adolescent girls in Nigeria reduced by 80% by ‘big push’ intervention</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36">
        <w:r>
          <w:rPr>
            <w:color w:val="1155CC"/>
            <w:u w:val="single"/>
          </w:rPr>
          <w:t>10.1038/d41586-026-00720-8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637">
        <w:r>
          <w:rPr>
            <w:color w:val="1155CC"/>
            <w:u w:val="single"/>
          </w:rPr>
          <w:t>电场驱动的原位修饰SAMs在分子结中实现高整流</w:t>
        </w:r>
      </w:hyperlink>
    </w:p>
    <w:p>
      <w:pPr>
        <w:spacing w:before="0" w:after="80"/>
      </w:pPr>
      <w:r>
        <w:rPr>
          <w:i/>
          <w:sz w:val="20"/>
        </w:rPr>
        <w:t>EN: Electric-field-driven in situ modification of SAMs enables high rectification in molecular junctions</w:t>
      </w:r>
    </w:p>
    <w:p>
      <w:pPr>
        <w:spacing w:before="0" w:after="120"/>
      </w:pPr>
      <w:r>
        <w:rPr>
          <w:b/>
        </w:rPr>
        <w:t xml:space="preserve">Source: </w:t>
      </w:r>
      <w:r>
        <w:t>Matter</w:t>
      </w:r>
      <w:r>
        <w:t xml:space="preserve">    </w:t>
      </w:r>
      <w:r>
        <w:rPr>
          <w:b/>
        </w:rPr>
        <w:t xml:space="preserve">Pub date: </w:t>
      </w:r>
      <w:r>
        <w:t>2026-03-11 00:00:00+00:00</w:t>
      </w:r>
      <w:r>
        <w:t xml:space="preserve">    </w:t>
      </w:r>
      <w:r>
        <w:rPr>
          <w:b/>
        </w:rPr>
        <w:t xml:space="preserve">DOI: </w:t>
      </w:r>
      <w:hyperlink r:id="rId638">
        <w:r>
          <w:rPr>
            <w:color w:val="1155CC"/>
            <w:u w:val="single"/>
          </w:rPr>
          <w:t>10.1016/j.matt.2026.102671</w:t>
        </w:r>
      </w:hyperlink>
    </w:p>
    <w:p>
      <w:pPr>
        <w:spacing w:before="0" w:after="120"/>
      </w:pPr>
      <w:r>
        <w:rPr>
          <w:b/>
        </w:rPr>
        <w:t xml:space="preserve">Notes: </w:t>
      </w:r>
      <w:r>
        <w:t>abstract_source=rss_cell</w:t>
      </w:r>
    </w:p>
    <w:p>
      <w:pPr>
        <w:spacing w:before="0" w:after="80" w:lineRule="auto" w:line="276"/>
      </w:pPr>
      <w:r>
        <w:rPr>
          <w:b/>
        </w:rPr>
        <w:t xml:space="preserve">摘要（ZH）: </w:t>
      </w:r>
      <w:r>
        <w:t>分子电子器件承诺极端小型化，但通常受限于不稳定性和差的可重复性。该研究表明，强电场可以驱动大面积分子结中的原位化学修饰，产生更稳健的器件并具有高效的电流整流。这一策略为可靠的分子电子学开辟了一条新途径，对电化学、表面化学和合成化学具有更广泛的影响。</w:t>
      </w:r>
    </w:p>
    <w:p>
      <w:pPr>
        <w:spacing w:before="0" w:after="200" w:lineRule="auto" w:line="276"/>
      </w:pPr>
      <w:r>
        <w:rPr>
          <w:b/>
        </w:rPr>
        <w:t xml:space="preserve">Abstract (EN): </w:t>
      </w:r>
      <w:r>
        <w:t>Molecular electronic devices promise extreme miniaturization but are often limited by instability and poor reproducibility. This work demonstrates that strong electric fields can drive in situ chemical modification within large-area molecular junctions, producing more robust devices with highly efficient current rectification. This strategy opens a new pathway toward reliable molecular electronics, with broader implications for electrochemistry, surface chemistry, and synthetic chemistry.</w:t>
      </w:r>
    </w:p>
    <w:p>
      <w:pPr>
        <w:spacing w:before="120" w:after="120"/>
      </w:pPr>
      <w:r>
        <w:rPr>
          <w:sz w:val="18"/>
        </w:rPr>
        <w:t>——————————————————————————————————————————————————————————————————————</w:t>
      </w:r>
    </w:p>
    <w:p>
      <w:pPr>
        <w:spacing w:before="160" w:after="40" w:line="240" w:lineRule="auto"/>
      </w:pPr>
      <w:r>
        <w:rPr>
          <w:b/>
        </w:rPr>
        <w:t xml:space="preserve">[238] </w:t>
      </w:r>
      <w:hyperlink r:id="rId639">
        <w:r>
          <w:rPr>
            <w:color w:val="1155CC"/>
            <w:u w:val="single"/>
          </w:rPr>
          <w:t>水介导的可重构拓扑和多孔肽材料的力学性能</w:t>
        </w:r>
      </w:hyperlink>
    </w:p>
    <w:p>
      <w:pPr>
        <w:spacing w:before="0" w:after="80"/>
      </w:pPr>
      <w:r>
        <w:rPr>
          <w:i/>
          <w:sz w:val="20"/>
        </w:rPr>
        <w:t>EN: Water-mediated reconfigurable topology and mechanics in porous peptide materials</w:t>
      </w:r>
    </w:p>
    <w:p>
      <w:pPr>
        <w:spacing w:before="0" w:after="120"/>
      </w:pPr>
      <w:r>
        <w:rPr>
          <w:b/>
        </w:rPr>
        <w:t xml:space="preserve">Source: </w:t>
      </w:r>
      <w:r>
        <w:t>Matter</w:t>
      </w:r>
      <w:r>
        <w:t xml:space="preserve">    </w:t>
      </w:r>
      <w:r>
        <w:rPr>
          <w:b/>
        </w:rPr>
        <w:t xml:space="preserve">Pub date: </w:t>
      </w:r>
      <w:r>
        <w:t>2026-03-11 00:00:00+00:00</w:t>
      </w:r>
      <w:r>
        <w:t xml:space="preserve">    </w:t>
      </w:r>
      <w:r>
        <w:rPr>
          <w:b/>
        </w:rPr>
        <w:t xml:space="preserve">DOI: </w:t>
      </w:r>
      <w:hyperlink r:id="rId640">
        <w:r>
          <w:rPr>
            <w:color w:val="1155CC"/>
            <w:u w:val="single"/>
          </w:rPr>
          <w:t>10.1016/j.matt.2026.102669</w:t>
        </w:r>
      </w:hyperlink>
    </w:p>
    <w:p>
      <w:pPr>
        <w:spacing w:before="0" w:after="120"/>
      </w:pPr>
      <w:r>
        <w:rPr>
          <w:b/>
        </w:rPr>
        <w:t xml:space="preserve">Notes: </w:t>
      </w:r>
      <w:r>
        <w:t>abstract_source=rss_cell</w:t>
      </w:r>
    </w:p>
    <w:p>
      <w:pPr>
        <w:spacing w:before="0" w:after="80" w:lineRule="auto" w:line="276"/>
      </w:pPr>
      <w:r>
        <w:rPr>
          <w:b/>
        </w:rPr>
        <w:t xml:space="preserve">摘要（ZH）: </w:t>
      </w:r>
      <w:r>
        <w:t>报道了一种有效策略，开发动态固态材料，在易于获得的温度和湿度变化下可逆地在软硬状态之间切换。受限水动力学和柔性侧链相互作用的相互作用允许固态中的分子重组。水含量决定分子堆积和材料特性，较高的水含量导致刚性，较低的含量导致柔软性。这种方法使得能够创建具有相依功能的可重构材料，适用于软多孔和肽/蛋白质基系统，开启催化、分离和过滤的新机会。</w:t>
      </w:r>
    </w:p>
    <w:p>
      <w:pPr>
        <w:spacing w:before="0" w:after="200" w:lineRule="auto" w:line="276"/>
      </w:pPr>
      <w:r>
        <w:rPr>
          <w:b/>
        </w:rPr>
        <w:t xml:space="preserve">Abstract (EN): </w:t>
      </w:r>
      <w:r>
        <w:t>An effective strategy to develop dynamic solid-state materials that reversibly switch between soft and hard states in response to easily accessible temperature and humidity changes is reported. The interplay of confined water dynamics and flexible side-chain interactions allows molecular reorganization in the solid state. Water content determines molecular packing and material properties, with higher water content resulting in stiffness and lower content yielding softness. This approach enables the creation of reconfigurable materials with phase-dependent functionalities, applicable to soft porous and peptide/protein-based systems, enabling new opportunities in catalysis, separation, and filtration.</w:t>
      </w:r>
    </w:p>
    <w:p>
      <w:pPr>
        <w:spacing w:before="120" w:after="120"/>
      </w:pPr>
      <w:r>
        <w:rPr>
          <w:sz w:val="18"/>
        </w:rPr>
        <w:t>——————————————————————————————————————————————————————————————————————</w:t>
      </w:r>
    </w:p>
    <w:p>
      <w:pPr>
        <w:spacing w:before="160" w:after="40" w:line="240" w:lineRule="auto"/>
      </w:pPr>
      <w:r>
        <w:rPr>
          <w:b/>
        </w:rPr>
        <w:t xml:space="preserve">[239] </w:t>
      </w:r>
      <w:hyperlink r:id="rId641">
        <w:r>
          <w:rPr>
            <w:color w:val="1155CC"/>
            <w:u w:val="single"/>
          </w:rPr>
          <w:t>同时发生的气候极端事件和生物携带效应主导了北方植被生长的严重季节性减少</w:t>
        </w:r>
      </w:hyperlink>
    </w:p>
    <w:p>
      <w:pPr>
        <w:spacing w:before="0" w:after="80"/>
      </w:pPr>
      <w:r>
        <w:rPr>
          <w:i/>
          <w:sz w:val="20"/>
        </w:rPr>
        <w:t>EN: Concurrent climate extremes and biological carryover effects dominate severe seasonal reductions in northern vegetation growth</w:t>
      </w:r>
    </w:p>
    <w:p>
      <w:pPr>
        <w:spacing w:before="0" w:after="120"/>
      </w:pPr>
      <w:r>
        <w:rPr>
          <w:b/>
        </w:rPr>
        <w:t xml:space="preserve">Source: </w:t>
      </w:r>
      <w:r>
        <w:t>One Earth</w:t>
      </w:r>
      <w:r>
        <w:t xml:space="preserve">    </w:t>
      </w:r>
      <w:r>
        <w:rPr>
          <w:b/>
        </w:rPr>
        <w:t xml:space="preserve">Pub date: </w:t>
      </w:r>
      <w:r>
        <w:t>2026-03-11 00:00:00+00:00</w:t>
      </w:r>
      <w:r>
        <w:t xml:space="preserve">    </w:t>
      </w:r>
      <w:r>
        <w:rPr>
          <w:b/>
        </w:rPr>
        <w:t xml:space="preserve">DOI: </w:t>
      </w:r>
      <w:hyperlink r:id="rId642">
        <w:r>
          <w:rPr>
            <w:color w:val="1155CC"/>
            <w:u w:val="single"/>
          </w:rPr>
          <w:t>10.1016/j.oneear.2026.101624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643">
        <w:r>
          <w:rPr>
            <w:color w:val="1155CC"/>
            <w:u w:val="single"/>
          </w:rPr>
          <w:t>以色列-加沙冲突的碳排放量超过3000万吨</w:t>
        </w:r>
      </w:hyperlink>
    </w:p>
    <w:p>
      <w:pPr>
        <w:spacing w:before="0" w:after="80"/>
      </w:pPr>
      <w:r>
        <w:rPr>
          <w:i/>
          <w:sz w:val="20"/>
        </w:rPr>
        <w:t>EN: Israel-Gaza conflict carbon emissions exceeded 30 million tons</w:t>
      </w:r>
    </w:p>
    <w:p>
      <w:pPr>
        <w:spacing w:before="0" w:after="120"/>
      </w:pPr>
      <w:r>
        <w:rPr>
          <w:b/>
        </w:rPr>
        <w:t xml:space="preserve">Source: </w:t>
      </w:r>
      <w:r>
        <w:t>One Earth</w:t>
      </w:r>
      <w:r>
        <w:t xml:space="preserve">    </w:t>
      </w:r>
      <w:r>
        <w:rPr>
          <w:b/>
        </w:rPr>
        <w:t xml:space="preserve">Pub date: </w:t>
      </w:r>
      <w:r>
        <w:t>2026-03-11 00:00:00+00:00</w:t>
      </w:r>
      <w:r>
        <w:t xml:space="preserve">    </w:t>
      </w:r>
      <w:r>
        <w:rPr>
          <w:b/>
        </w:rPr>
        <w:t xml:space="preserve">DOI: </w:t>
      </w:r>
      <w:hyperlink r:id="rId644">
        <w:r>
          <w:rPr>
            <w:color w:val="1155CC"/>
            <w:u w:val="single"/>
          </w:rPr>
          <w:t>10.1016/j.oneear.2026.101648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645">
        <w:r>
          <w:rPr>
            <w:color w:val="1155CC"/>
            <w:u w:val="single"/>
          </w:rPr>
          <w:t>作者更正：基因组不稳定性引发的肠干细胞坏死性凋亡导致肠道炎症</w:t>
        </w:r>
      </w:hyperlink>
    </w:p>
    <w:p>
      <w:pPr>
        <w:spacing w:before="0" w:after="80"/>
      </w:pPr>
      <w:r>
        <w:rPr>
          <w:i/>
          <w:sz w:val="20"/>
        </w:rPr>
        <w:t>EN: Author Correction: Gut stem cell necroptosis by genome instability triggers bowel inflammation</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46">
        <w:r>
          <w:rPr>
            <w:color w:val="1155CC"/>
            <w:u w:val="single"/>
          </w:rPr>
          <w:t>10.1038/s41586-026-10302-3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[242] </w:t>
      </w:r>
      <w:hyperlink r:id="rId647">
        <w:r>
          <w:rPr>
            <w:color w:val="1155CC"/>
            <w:u w:val="single"/>
          </w:rPr>
          <w:t>利用固态核自旋检测量子错误</w:t>
        </w:r>
      </w:hyperlink>
    </w:p>
    <w:p>
      <w:pPr>
        <w:spacing w:before="0" w:after="80"/>
      </w:pPr>
      <w:r>
        <w:rPr>
          <w:i/>
          <w:sz w:val="20"/>
        </w:rPr>
        <w:t>EN: Detecting quantum errors with solid-state nuclear spins</w:t>
      </w:r>
    </w:p>
    <w:p>
      <w:pPr>
        <w:spacing w:before="0" w:after="120"/>
      </w:pPr>
      <w:r>
        <w:rPr>
          <w:b/>
        </w:rPr>
        <w:t xml:space="preserve">Source: </w:t>
      </w:r>
      <w:r>
        <w:t>Nature Electronics</w:t>
      </w:r>
      <w:r>
        <w:t xml:space="preserve">    </w:t>
      </w:r>
      <w:r>
        <w:rPr>
          <w:b/>
        </w:rPr>
        <w:t xml:space="preserve">Pub date: </w:t>
      </w:r>
      <w:r>
        <w:t>2026-03-11 00:00:00+00:00</w:t>
      </w:r>
      <w:r>
        <w:t xml:space="preserve">    </w:t>
      </w:r>
      <w:r>
        <w:rPr>
          <w:b/>
        </w:rPr>
        <w:t xml:space="preserve">DOI: </w:t>
      </w:r>
      <w:hyperlink r:id="rId648">
        <w:r>
          <w:rPr>
            <w:color w:val="1155CC"/>
            <w:u w:val="single"/>
          </w:rPr>
          <w:t>10.1038/s41928-026-01583-7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649">
        <w:r>
          <w:rPr>
            <w:color w:val="1155CC"/>
            <w:u w:val="single"/>
          </w:rPr>
          <w:t>通过量化阳极空间退化实现锂离子电池的快速无损诊断</w:t>
        </w:r>
      </w:hyperlink>
    </w:p>
    <w:p>
      <w:pPr>
        <w:spacing w:before="0" w:after="80"/>
      </w:pPr>
      <w:r>
        <w:rPr>
          <w:i/>
          <w:sz w:val="20"/>
        </w:rPr>
        <w:t>EN: Rapid and non-destructive diagnosis of lithium-ion batteries via quantification of anode spatial degradation</w:t>
      </w:r>
    </w:p>
    <w:p>
      <w:pPr>
        <w:spacing w:before="0" w:after="120"/>
      </w:pPr>
      <w:r>
        <w:rPr>
          <w:b/>
        </w:rPr>
        <w:t xml:space="preserve">Source: </w:t>
      </w:r>
      <w:r>
        <w:t>Joule</w:t>
      </w:r>
      <w:r>
        <w:t xml:space="preserve">    </w:t>
      </w:r>
      <w:r>
        <w:rPr>
          <w:b/>
        </w:rPr>
        <w:t xml:space="preserve">Pub date: </w:t>
      </w:r>
      <w:r>
        <w:t>2026-03-11 00:00:00+00:00</w:t>
      </w:r>
      <w:r>
        <w:t xml:space="preserve">    </w:t>
      </w:r>
      <w:r>
        <w:rPr>
          <w:b/>
        </w:rPr>
        <w:t xml:space="preserve">DOI: </w:t>
      </w:r>
      <w:hyperlink r:id="rId650">
        <w:r>
          <w:rPr>
            <w:color w:val="1155CC"/>
            <w:u w:val="single"/>
          </w:rPr>
          <w:t>10.1016/j.joule.2026.102343</w:t>
        </w:r>
      </w:hyperlink>
    </w:p>
    <w:p>
      <w:pPr>
        <w:spacing w:before="0" w:after="120"/>
      </w:pPr>
      <w:r>
        <w:rPr>
          <w:b/>
        </w:rPr>
        <w:t xml:space="preserve">Notes: </w:t>
      </w:r>
      <w:r>
        <w:t>abstract_source=rss_cell</w:t>
      </w:r>
    </w:p>
    <w:p>
      <w:pPr>
        <w:spacing w:before="0" w:after="80" w:lineRule="auto" w:line="276"/>
      </w:pPr>
      <w:r>
        <w:rPr>
          <w:b/>
        </w:rPr>
        <w:t xml:space="preserve">摘要（ZH）: </w:t>
      </w:r>
      <w:r>
        <w:t>本研究确立了阳极退化的空间分布作为商业锂离子电池健康状态的诊断描述符，并通过脉冲诱导的过电压松弛非侵入性地捕捉到这一点。诊断信号紧密反映了退化行为，通过事后分析验证，并能够在不同操作场景中准确预测未来的容量衰减。</w:t>
      </w:r>
    </w:p>
    <w:p>
      <w:pPr>
        <w:spacing w:before="0" w:after="200" w:lineRule="auto" w:line="276"/>
      </w:pPr>
      <w:r>
        <w:rPr>
          <w:b/>
        </w:rPr>
        <w:t xml:space="preserve">Abstract (EN): </w:t>
      </w:r>
      <w:r>
        <w:t>This study establishes the spatial distribution of anode degradation as a diagnostic descriptor of the health state of commercial lithium-ion batteries and captures it non-invasively using pulse-induced overvoltage relaxation. The diagnostic signal closely reflects degradation behavior, as validated through post-mortem analysis, and enables accurate prediction of future capacity fade across diverse operating scenarios.</w:t>
      </w:r>
    </w:p>
    <w:p>
      <w:pPr>
        <w:spacing w:before="120" w:after="120"/>
      </w:pPr>
      <w:r>
        <w:rPr>
          <w:sz w:val="18"/>
        </w:rPr>
        <w:t>——————————————————————————————————————————————————————————————————————</w:t>
      </w:r>
    </w:p>
    <w:p>
      <w:pPr>
        <w:spacing w:before="160" w:after="40" w:line="240" w:lineRule="auto"/>
      </w:pPr>
      <w:r>
        <w:rPr>
          <w:b/>
        </w:rPr>
        <w:t xml:space="preserve">[244] </w:t>
      </w:r>
      <w:hyperlink r:id="rId651">
        <w:r>
          <w:rPr>
            <w:color w:val="1155CC"/>
            <w:u w:val="single"/>
          </w:rPr>
          <w:t>通过溶剂化水凝胶的结构解析预测流变性能</w:t>
        </w:r>
      </w:hyperlink>
    </w:p>
    <w:p>
      <w:pPr>
        <w:spacing w:before="0" w:after="80"/>
      </w:pPr>
      <w:r>
        <w:rPr>
          <w:i/>
          <w:sz w:val="20"/>
        </w:rPr>
        <w:t>EN: Prediction of rheological properties via structure elucidation of solvated hydrogels</w:t>
      </w:r>
    </w:p>
    <w:p>
      <w:pPr>
        <w:spacing w:before="0" w:after="120"/>
      </w:pPr>
      <w:r>
        <w:rPr>
          <w:b/>
        </w:rPr>
        <w:t xml:space="preserve">Source: </w:t>
      </w:r>
      <w:r>
        <w:t>Nature Materials</w:t>
      </w:r>
      <w:r>
        <w:t xml:space="preserve">    </w:t>
      </w:r>
      <w:r>
        <w:rPr>
          <w:b/>
        </w:rPr>
        <w:t xml:space="preserve">Pub date: </w:t>
      </w:r>
      <w:r>
        <w:t>2026-03-11 00:00:00+00:00</w:t>
      </w:r>
      <w:r>
        <w:t xml:space="preserve">    </w:t>
      </w:r>
      <w:r>
        <w:rPr>
          <w:b/>
        </w:rPr>
        <w:t xml:space="preserve">DOI: </w:t>
      </w:r>
      <w:hyperlink r:id="rId652">
        <w:r>
          <w:rPr>
            <w:color w:val="1155CC"/>
            <w:u w:val="single"/>
          </w:rPr>
          <w:t>10.1038/s41563-026-02491-z</w:t>
        </w:r>
      </w:hyperlink>
    </w:p>
    <w:p>
      <w:pPr>
        <w:spacing w:before="0" w:after="120"/>
      </w:pPr>
      <w:r>
        <w:rPr>
          <w:b/>
        </w:rPr>
        <w:t xml:space="preserve">Notes: </w:t>
      </w:r>
      <w:r>
        <w:t>abstract_source=nature_html</w:t>
      </w:r>
    </w:p>
    <w:p>
      <w:pPr>
        <w:spacing w:before="0" w:after="80" w:lineRule="auto" w:line="276"/>
      </w:pPr>
      <w:r>
        <w:rPr>
          <w:b/>
        </w:rPr>
        <w:t xml:space="preserve">摘要（ZH）: </w:t>
      </w:r>
      <w:r>
        <w:t>水凝胶是广泛应用于药物输送系统、隐形眼镜和组织工程支架的常见材料。然而，它们需要相当大的扰动才能观察到其纳米尺度的溶液相结构，这对于预测体积性质是必要的。尽管研究表明，甲基纤维素作为典型的水凝胶材料，可以用半柔性生物聚合物网络模型来描述，但在预测流变性质的浓度依赖性和观察到的高阶特征方面仍存在明显的不一致。在此，我们通过液相透射电子显微镜以高时空分辨率成像溶解的水凝胶，以避免脱溶和剪切伪影。通过散射和扫描电子显微镜验证。</w:t>
      </w:r>
    </w:p>
    <w:p>
      <w:pPr>
        <w:spacing w:before="0" w:after="200" w:lineRule="auto" w:line="276"/>
      </w:pPr>
      <w:r>
        <w:rPr>
          <w:b/>
        </w:rPr>
        <w:t xml:space="preserve">Abstract (EN): </w:t>
      </w:r>
      <w:r>
        <w:t>Hydrogels are prevalent materials with applications ranging from drug delivery systems, contact lenses and tissue engineering scaffolds. However, they require considerable perturbation to observe their nanoscale, solution-phase structures necessary for predicting bulk properties. Although studies suggest that methylcellulose, a quintessential hydrogel material, can be described by a semiflexible biopolymer network model, there remain demonstrable inconsistencies in the predicted concentration dependence of rheological properties and in the observation of higher-order features. Here we image solvated hydrogels with high spatiotemporal resolution via liquid-phase transmission electron microscopy to avoid desolvation and shear artefacts. Corroborated by scattering and scanning electron microscopy, we observe that methylcellulose hydrogels form a network with high persistence length and micrometre-scale fibril bundles arranged in hierarchical assemblies, providing a more accurate prediction of bulk rheology. In addition, network structures are observed for hydroxypropyl methylcellulose and hydroxypropyl cellulose. These observations across multiple-length scales lead to a clearer understanding of how nanoscale structure impacts microscale structure and macroscopic behaviour, aiding the development of more accurate structure–property relationships for hydrogel materials.</w:t>
      </w:r>
    </w:p>
    <w:p>
      <w:pPr>
        <w:spacing w:before="120" w:after="120"/>
      </w:pPr>
      <w:r>
        <w:rPr>
          <w:sz w:val="18"/>
        </w:rPr>
        <w:t>——————————————————————————————————————————————————————————————————————</w:t>
      </w:r>
    </w:p>
    <w:p>
      <w:pPr>
        <w:spacing w:before="160" w:after="40" w:line="240" w:lineRule="auto"/>
      </w:pPr>
      <w:r>
        <w:rPr>
          <w:b/>
        </w:rPr>
        <w:t xml:space="preserve">[245] </w:t>
      </w:r>
      <w:hyperlink r:id="rId653">
        <w:r>
          <w:rPr>
            <w:color w:val="1155CC"/>
            <w:u w:val="single"/>
          </w:rPr>
          <w:t>光响应化学系统实现多尺度结构有序化</w:t>
        </w:r>
      </w:hyperlink>
    </w:p>
    <w:p>
      <w:pPr>
        <w:spacing w:before="0" w:after="80"/>
      </w:pPr>
      <w:r>
        <w:rPr>
          <w:i/>
          <w:sz w:val="20"/>
        </w:rPr>
        <w:t>EN: Photo-responsive chemical systems enabling multiscale structural ordering</w:t>
      </w:r>
    </w:p>
    <w:p>
      <w:pPr>
        <w:spacing w:before="0" w:after="120"/>
      </w:pPr>
      <w:r>
        <w:rPr>
          <w:b/>
        </w:rPr>
        <w:t xml:space="preserve">Source: </w:t>
      </w:r>
      <w:r>
        <w:t>RSC - Chem. Soc. Rev. latest articles</w:t>
      </w:r>
      <w:r>
        <w:t xml:space="preserve">    </w:t>
      </w:r>
      <w:r>
        <w:rPr>
          <w:b/>
        </w:rPr>
        <w:t xml:space="preserve">Pub date: </w:t>
      </w:r>
      <w:r>
        <w:t>2026-03-11 00:00:00+00:00</w:t>
      </w:r>
    </w:p>
    <w:p>
      <w:pPr>
        <w:spacing w:before="0" w:after="120"/>
      </w:pPr>
      <w:r>
        <w:rPr>
          <w:b/>
        </w:rPr>
        <w:t xml:space="preserve">Notes: </w:t>
      </w:r>
      <w:r>
        <w:t>abstract_source=rsc_html</w:t>
      </w:r>
    </w:p>
    <w:p>
      <w:pPr>
        <w:spacing w:before="0" w:after="80" w:lineRule="auto" w:line="276"/>
      </w:pPr>
      <w:r>
        <w:rPr>
          <w:b/>
        </w:rPr>
        <w:t xml:space="preserve">摘要（ZH）: </w:t>
      </w:r>
      <w:r>
        <w:t>除了元素组成和分子结构外，有序的多尺度结构（自组装结构、晶体结构、相结构等）在决定材料功能，尤其是光电性能方面起着同等重要的作用。光作为一种具有优越时空分辨率和非侵入性特征的独特外部刺激，为动态构建和操控此类有序结构提供了无与伦比的能力。由于以往关于光响应材料的综述普遍忽视了光如何控制多尺度结构有序性，本综述全面调查了旨在实现和控制多尺度结构有序性的光响应化学系统这一快速发展的领域。我们首先通过阐明基础</w:t>
      </w:r>
    </w:p>
    <w:p>
      <w:pPr>
        <w:spacing w:before="0" w:after="200" w:lineRule="auto" w:line="276"/>
      </w:pPr>
      <w:r>
        <w:rPr>
          <w:b/>
        </w:rPr>
        <w:t xml:space="preserve">Abstract (EN): </w:t>
      </w:r>
      <w:r>
        <w:t>Beyond elemental composition and molecular structure, ordered multiscale architectures (self-assembled structure, crystal structure, phase structure, etc.) play a comparably important role in determining material functions, especially the optoelectronic properties. Light, a unique external stimulus with superior spatiotemporal resolution and non-invasive nature, provides unparalleled capabilities for dynamically constructing and manipulating such ordered structures. Since previous reviews on light-responsive materials have generally overlooked how light can govern multiscale structural ordering, this review comprehensively surveys the rapidly advancing field of photo-responsive chemical systems designed to achieve and control multiscale structural ordering. We begin by elucidating the fundamental photochemical and photophysical mechanisms at the molecular level, which serve as the primary triggers for molecular structural, configurational, or conformational transformations. Based on these events that initiate molecular perturbation, the core of the review critically examines several key light-mediated strategies for constructing and manipulating ordered hierarchical architectures, notably photo-triggered polymerization-induced self-assembly, liquid crystal-assisted phase structural amplification, photo-induced self-assembly mediated by host–guest interaction, and the emerging paradigm of photoexcitation-induced assembly (PEIA). We discuss how these strategies successfully translate molecular or nanoscale events into well-defined, macroscopic ordered states in real time and in situ. Finally, we provide a forward-looking perspective on the existing challenges and promising future research directions.</w:t>
      </w:r>
    </w:p>
    <w:p>
      <w:pPr>
        <w:spacing w:before="120" w:after="120"/>
      </w:pPr>
      <w:r>
        <w:rPr>
          <w:sz w:val="18"/>
        </w:rPr>
        <w:t>——————————————————————————————————————————————————————————————————————</w:t>
      </w:r>
    </w:p>
    <w:p>
      <w:pPr>
        <w:spacing w:before="160" w:after="40" w:line="240" w:lineRule="auto"/>
      </w:pPr>
      <w:r>
        <w:rPr>
          <w:b/>
        </w:rPr>
        <w:t xml:space="preserve">[246] </w:t>
      </w:r>
      <w:hyperlink r:id="rId654">
        <w:r>
          <w:rPr>
            <w:color w:val="1155CC"/>
            <w:u w:val="single"/>
          </w:rPr>
          <w:t>用于硅和钙钛矿/硅叠层太阳能电池的双面隧道氧化物钝化接触以提高效率</w:t>
        </w:r>
      </w:hyperlink>
    </w:p>
    <w:p>
      <w:pPr>
        <w:spacing w:before="0" w:after="80"/>
      </w:pPr>
      <w:r>
        <w:rPr>
          <w:i/>
          <w:sz w:val="20"/>
        </w:rPr>
        <w:t>EN: Bifacial tunnel oxide passivating contacts for silicon and perovskite/silicon tandem solar cells with improved efficiency</w:t>
      </w:r>
    </w:p>
    <w:p>
      <w:pPr>
        <w:spacing w:before="0" w:after="120"/>
      </w:pPr>
      <w:r>
        <w:rPr>
          <w:b/>
        </w:rPr>
        <w:t xml:space="preserve">Source: </w:t>
      </w:r>
      <w:r>
        <w:t>Nature Energy</w:t>
      </w:r>
      <w:r>
        <w:t xml:space="preserve">    </w:t>
      </w:r>
      <w:r>
        <w:rPr>
          <w:b/>
        </w:rPr>
        <w:t xml:space="preserve">Pub date: </w:t>
      </w:r>
      <w:r>
        <w:t>2026-03-11 00:00:00+00:00</w:t>
      </w:r>
      <w:r>
        <w:t xml:space="preserve">    </w:t>
      </w:r>
      <w:r>
        <w:rPr>
          <w:b/>
        </w:rPr>
        <w:t xml:space="preserve">DOI: </w:t>
      </w:r>
      <w:hyperlink r:id="rId655">
        <w:r>
          <w:rPr>
            <w:color w:val="1155CC"/>
            <w:u w:val="single"/>
          </w:rPr>
          <w:t>10.1038/s41560-026-02007-8</w:t>
        </w:r>
      </w:hyperlink>
    </w:p>
    <w:p>
      <w:pPr>
        <w:spacing w:before="0" w:after="120"/>
      </w:pPr>
      <w:r>
        <w:rPr>
          <w:b/>
        </w:rPr>
        <w:t xml:space="preserve">Notes: </w:t>
      </w:r>
      <w:r>
        <w:t>abstract_source=nature_html</w:t>
      </w:r>
    </w:p>
    <w:p>
      <w:pPr>
        <w:spacing w:before="0" w:after="80" w:lineRule="auto" w:line="276"/>
      </w:pPr>
      <w:r>
        <w:rPr>
          <w:b/>
        </w:rPr>
        <w:t xml:space="preserve">摘要（ZH）: </w:t>
      </w:r>
      <w:r>
        <w:t>传统隧道氧化物钝化接触（TOPCon）太阳能电池的功率转换效率（PCE）受到接触和非接触区域的前侧复合损失的根本限制。在此，我们展示了全尺寸双面TOPCon太阳能电池，结合了图案化的前n型TOPCon指状结构和全面积的后p型TOPCon发射极，实现了认证的26.34% PCE。器件表现出优异的湿热稳定性和可忽略的光致降解及光-高温诱导降解。这些进展源于对前n型TOPCon和后双层p型TOPCon接触的工程设计，通过控制多晶硅结晶度、掺杂浓度、隧道氧化物特性和优化的银浆实现。</w:t>
      </w:r>
    </w:p>
    <w:p>
      <w:pPr>
        <w:spacing w:before="0" w:after="200" w:lineRule="auto" w:line="276"/>
      </w:pPr>
      <w:r>
        <w:rPr>
          <w:b/>
        </w:rPr>
        <w:t xml:space="preserve">Abstract (EN): </w:t>
      </w:r>
      <w:r>
        <w:t>The power conversion efficiency (PCE) of conventional tunnel oxide passivating contact (TOPCon) solar cells is fundamentally constrained by front-side recombination losses in both contact and non-contact regions. Here we demonstrate full-size bifacial TOPCon solar cells incorporating patterned front n-type TOPCon fingers and a full-area rear p-type TOPCon emitter, achieving a certified PCE of 26.34%. The devices exhibit excellent damp-heat stability and negligible light-induced degradation and light-and-elevated-temperature-induced degradation. These advances arise from the engineering of the front n-type TOPCon and rear bilayer p-type TOPCon contacts, enabled through controlled polycrystalline silicon crystallinity, dopant concentration, tunnel oxide properties and optimized silver paste formulation. Integrating this high-performance bifacial TOPCon bottom cell with a wide-bandgap perovskite top cell yields monolithic perovskite/TOPCon tandems with a certified PCE of 32.73% and an open-circuit voltage of 1.961 V. This work provides a scalable and industry-compatible pathway to higher-efficiency TOPCon and perovskite/TOPCon tandem photovoltaics.</w:t>
      </w:r>
    </w:p>
    <w:p>
      <w:pPr>
        <w:spacing w:before="120" w:after="120"/>
      </w:pPr>
      <w:r>
        <w:rPr>
          <w:sz w:val="18"/>
        </w:rPr>
        <w:t>——————————————————————————————————————————————————————————————————————</w:t>
      </w:r>
    </w:p>
    <w:p>
      <w:pPr>
        <w:spacing w:before="160" w:after="40" w:line="240" w:lineRule="auto"/>
      </w:pPr>
      <w:r>
        <w:rPr>
          <w:b/>
        </w:rPr>
        <w:t xml:space="preserve">[247] </w:t>
      </w:r>
      <w:hyperlink r:id="rId656">
        <w:r>
          <w:rPr>
            <w:color w:val="1155CC"/>
            <w:u w:val="single"/>
          </w:rPr>
          <w:t>折纸结构的摩擦电纳米发电机用于从单次手拍中同时收集能量和信息</w:t>
        </w:r>
      </w:hyperlink>
    </w:p>
    <w:p>
      <w:pPr>
        <w:spacing w:before="0" w:after="80"/>
      </w:pPr>
      <w:r>
        <w:rPr>
          <w:i/>
          <w:sz w:val="20"/>
        </w:rPr>
        <w:t>EN: Origami-structured triboelectric nanogenerator for energy and information co-harvesting from a single hand tap</w:t>
      </w:r>
    </w:p>
    <w:p>
      <w:pPr>
        <w:spacing w:before="0" w:after="120"/>
      </w:pPr>
      <w:r>
        <w:rPr>
          <w:b/>
        </w:rPr>
        <w:t xml:space="preserve">Source: </w:t>
      </w:r>
      <w:r>
        <w:t>Joule</w:t>
      </w:r>
      <w:r>
        <w:t xml:space="preserve">    </w:t>
      </w:r>
      <w:r>
        <w:rPr>
          <w:b/>
        </w:rPr>
        <w:t xml:space="preserve">Pub date: </w:t>
      </w:r>
      <w:r>
        <w:t>2026-03-11 00:00:00+00:00</w:t>
      </w:r>
      <w:r>
        <w:t xml:space="preserve">    </w:t>
      </w:r>
      <w:r>
        <w:rPr>
          <w:b/>
        </w:rPr>
        <w:t xml:space="preserve">DOI: </w:t>
      </w:r>
      <w:hyperlink r:id="rId657">
        <w:r>
          <w:rPr>
            <w:color w:val="1155CC"/>
            <w:u w:val="single"/>
          </w:rPr>
          <w:t>10.1016/j.joule.2026.102338</w:t>
        </w:r>
      </w:hyperlink>
    </w:p>
    <w:p>
      <w:pPr>
        <w:spacing w:before="0" w:after="120"/>
      </w:pPr>
      <w:r>
        <w:rPr>
          <w:b/>
        </w:rPr>
        <w:t xml:space="preserve">Notes: </w:t>
      </w:r>
      <w:r>
        <w:t>abstract_source=rss_cell</w:t>
      </w:r>
    </w:p>
    <w:p>
      <w:pPr>
        <w:spacing w:before="0" w:after="80" w:lineRule="auto" w:line="276"/>
      </w:pPr>
      <w:r>
        <w:rPr>
          <w:b/>
        </w:rPr>
        <w:t xml:space="preserve">摘要（ZH）: </w:t>
      </w:r>
      <w:r>
        <w:t>受物联网和可穿戴技术快速增长的推动，对能够自主感知和无线数据传输的无电池、自供电节点的需求变得越来越迫切。该工作介绍了一种受折纸启发的摩擦电纳米发电机，能够从单次手拍中同时收集能量和信息。通过共同设计自适应机械结构与高效电气接口，所提出的系统实现了响应式、无电池的感知和交互，指向了自供电可穿戴和物联网技术的新范式。</w:t>
      </w:r>
    </w:p>
    <w:p>
      <w:pPr>
        <w:spacing w:before="0" w:after="200" w:lineRule="auto" w:line="276"/>
      </w:pPr>
      <w:r>
        <w:rPr>
          <w:b/>
        </w:rPr>
        <w:t xml:space="preserve">Abstract (EN): </w:t>
      </w:r>
      <w:r>
        <w:t>Driven by the rapid growth of IoT and wearable technologies, the demand for battery-free, self-powered nodes capable of autonomous sensing and wireless data transmission has become increasingly urgent. This work introduces an origami-inspired triboelectric nanogenerator that is capable of energy and information co-harvesting from a single hand tap. By co-designing adaptive mechanical structures with efficient electrical interfacing, the proposed system enables responsive, battery-free sensing and interaction, pointing toward a new paradigm for self-powered wearable and IoT technologies.</w:t>
      </w:r>
    </w:p>
    <w:p>
      <w:pPr>
        <w:spacing w:before="120" w:after="120"/>
      </w:pPr>
      <w:r>
        <w:rPr>
          <w:sz w:val="18"/>
        </w:rPr>
        <w:t>——————————————————————————————————————————————————————————————————————</w:t>
      </w:r>
    </w:p>
    <w:p>
      <w:pPr>
        <w:spacing w:before="160" w:after="40" w:line="240" w:lineRule="auto"/>
      </w:pPr>
      <w:r>
        <w:rPr>
          <w:b/>
        </w:rPr>
        <w:t xml:space="preserve">[248] </w:t>
      </w:r>
      <w:hyperlink r:id="rId658">
        <w:r>
          <w:rPr>
            <w:color w:val="1155CC"/>
            <w:u w:val="single"/>
          </w:rPr>
          <w:t>科学家首次在冷冻小鼠大脑中恢复活动</w:t>
        </w:r>
      </w:hyperlink>
    </w:p>
    <w:p>
      <w:pPr>
        <w:spacing w:before="0" w:after="80"/>
      </w:pPr>
      <w:r>
        <w:rPr>
          <w:i/>
          <w:sz w:val="20"/>
        </w:rPr>
        <w:t>EN: Scientists revive activity in frozen mouse brains for the first time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59">
        <w:r>
          <w:rPr>
            <w:color w:val="1155CC"/>
            <w:u w:val="single"/>
          </w:rPr>
          <w:t>10.1038/d41586-026-00756-w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660">
        <w:r>
          <w:rPr>
            <w:color w:val="1155CC"/>
            <w:u w:val="single"/>
          </w:rPr>
          <w:t>德黑兰的‘黑雨’——健康影响是什么？</w:t>
        </w:r>
      </w:hyperlink>
    </w:p>
    <w:p>
      <w:pPr>
        <w:spacing w:before="0" w:after="80"/>
      </w:pPr>
      <w:r>
        <w:rPr>
          <w:i/>
          <w:sz w:val="20"/>
        </w:rPr>
        <w:t>EN: ‘Black rain’ in Tehran — what are the health effects?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61">
        <w:r>
          <w:rPr>
            <w:color w:val="1155CC"/>
            <w:u w:val="single"/>
          </w:rPr>
          <w:t>10.1038/d41586-026-00800-9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662">
        <w:r>
          <w:rPr>
            <w:color w:val="1155CC"/>
            <w:u w:val="single"/>
          </w:rPr>
          <w:t>卤化工程金属簇组装</w:t>
        </w:r>
      </w:hyperlink>
    </w:p>
    <w:p>
      <w:pPr>
        <w:spacing w:before="0" w:after="80"/>
      </w:pPr>
      <w:r>
        <w:rPr>
          <w:i/>
          <w:sz w:val="20"/>
        </w:rPr>
        <w:t>EN: Halogenation engineered metal cluster assemblies</w:t>
      </w:r>
    </w:p>
    <w:p>
      <w:pPr>
        <w:spacing w:before="0" w:after="120"/>
      </w:pPr>
      <w:r>
        <w:rPr>
          <w:b/>
        </w:rPr>
        <w:t xml:space="preserve">Source: </w:t>
      </w:r>
      <w:r>
        <w:t>National Science Review Advance Access</w:t>
      </w:r>
      <w:r>
        <w:t xml:space="preserve">    </w:t>
      </w:r>
      <w:r>
        <w:rPr>
          <w:b/>
        </w:rPr>
        <w:t xml:space="preserve">Pub date: </w:t>
      </w:r>
      <w:r>
        <w:t>2026-03-11 00:00:00+00:00</w:t>
      </w:r>
      <w:r>
        <w:t xml:space="preserve">    </w:t>
      </w:r>
      <w:r>
        <w:rPr>
          <w:b/>
        </w:rPr>
        <w:t xml:space="preserve">DOI: </w:t>
      </w:r>
      <w:hyperlink r:id="rId663">
        <w:r>
          <w:rPr>
            <w:color w:val="1155CC"/>
            <w:u w:val="single"/>
          </w:rPr>
          <w:t>10.1093/nsr/nwag154</w:t>
        </w:r>
      </w:hyperlink>
    </w:p>
    <w:p>
      <w:pPr>
        <w:spacing w:before="0" w:after="120"/>
      </w:pPr>
      <w:r>
        <w:rPr>
          <w:b/>
        </w:rPr>
        <w:t xml:space="preserve">Notes: </w:t>
      </w:r>
      <w:r>
        <w:t>abstract_source=rss_oup</w:t>
      </w:r>
    </w:p>
    <w:p>
      <w:pPr>
        <w:spacing w:before="0" w:after="80" w:lineRule="auto" w:line="276"/>
      </w:pPr>
      <w:r>
        <w:rPr>
          <w:b/>
        </w:rPr>
        <w:t xml:space="preserve">摘要（ZH）: </w:t>
      </w:r>
      <w:r>
        <w:t>将分子设计的优雅精确性转化为具有可预测宏观功能的材料是超分子和材料化学中的核心目标。原子精确的硬币金属簇提供了实现这一目标的理想平台。然而，进展常常受到引导组装的力的有限性和难以调节性所阻碍，这在实现从分子到超分子水平的原子精确手性转移和放大时尤为困难。在此，我们介绍了一种卤化工程策略，通过在四核金簇的外围配体末端选择性地安装不同的卤素原子（F, Cl, Br），以实现合理可调的方向性非共价相互作用。</w:t>
      </w:r>
    </w:p>
    <w:p>
      <w:pPr>
        <w:spacing w:before="0" w:after="200" w:lineRule="auto" w:line="276"/>
      </w:pPr>
      <w:r>
        <w:rPr>
          <w:b/>
        </w:rPr>
        <w:t xml:space="preserve">Abstract (EN): </w:t>
      </w:r>
      <w:r>
        <w:t>Translating the elegant precision of molecular design into materials with predictable macroscopic functions represents a central goal in supramolecular and materials chemistry. Atomically precise coinage metal clusters offer an ideal platform for achieving this objective. However, progress is frequently frustrated by the limited and poorly tunable nature of the forces that direct assembly, a challenge that is particularly formidable in achieving the atomically precise transfer and amplification of chirality from the molecular to the supramolecular level. Herein, we introduce a halogenation engineering strategy that selectively installing distinct halogen atoms (F, Cl, Br) at the termini of peripheral ligands on a tetranuclear gold cluster to rationally tunable, directional noncovalent interactions, including hydrogen bonding, halogen bonding, halogen···halogen interactions. This strategy transcends the inherent constraints of conventional noncovalent interactions in metal-cluster systems and significantly enriches the supramolecular toolbox. Leveraging this molecular-level control, we demonstrate that subtle modulation of the external solvent environment selectively biases the competition and cooperativity among these directional interactions, thereby enabling single-precursor self-assembly into multiple, structurally distinct, atomically precise polymorphs such as discrete monomers, finite helices, and infinite chains. The control is particularly evident in the formation of compactly twisted helical super-structures, in which molecular chirality is not only preserved but efficiently transferred and amplified, resulting in dominant supramolecular chiroptical properties. This is exemplified by the freshly prepared crystals of (Au4-Br)3 trimer, which exhibits intense circularly polarized luminescence with a near-unity quantum yield (94%) and a high luminescence dissymmetry factor (g</w:t>
      </w:r>
    </w:p>
    <w:p>
      <w:pPr>
        <w:spacing w:before="120" w:after="120"/>
      </w:pPr>
      <w:r>
        <w:rPr>
          <w:sz w:val="18"/>
        </w:rPr>
        <w:t>——————————————————————————————————————————————————————————————————————</w:t>
      </w:r>
    </w:p>
    <w:p>
      <w:pPr>
        <w:spacing w:before="160" w:after="40" w:line="240" w:lineRule="auto"/>
      </w:pPr>
      <w:r>
        <w:rPr>
          <w:b/>
        </w:rPr>
        <w:t xml:space="preserve">[251] </w:t>
      </w:r>
      <w:hyperlink r:id="rId664">
        <w:r>
          <w:rPr>
            <w:color w:val="1155CC"/>
            <w:u w:val="single"/>
          </w:rPr>
          <w:t>基因转换增强克隆鱼物种的自然选择</w:t>
        </w:r>
      </w:hyperlink>
    </w:p>
    <w:p>
      <w:pPr>
        <w:spacing w:before="0" w:after="80"/>
      </w:pPr>
      <w:r>
        <w:rPr>
          <w:i/>
          <w:sz w:val="20"/>
        </w:rPr>
        <w:t>EN: Gene conversion empowers natural selection in a clonal fish species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65">
        <w:r>
          <w:rPr>
            <w:color w:val="1155CC"/>
            <w:u w:val="single"/>
          </w:rPr>
          <w:t>10.1038/s41586-026-10180-9</w:t>
        </w:r>
      </w:hyperlink>
    </w:p>
    <w:p>
      <w:pPr>
        <w:spacing w:before="0" w:after="120"/>
      </w:pPr>
      <w:r>
        <w:rPr>
          <w:b/>
        </w:rPr>
        <w:t xml:space="preserve">Notes: </w:t>
      </w:r>
      <w:r>
        <w:t>abstract_source=nature_html</w:t>
      </w:r>
    </w:p>
    <w:p>
      <w:pPr>
        <w:spacing w:before="0" w:after="80" w:lineRule="auto" w:line="276"/>
      </w:pPr>
      <w:r>
        <w:rPr>
          <w:b/>
        </w:rPr>
        <w:t xml:space="preserve">摘要（ZH）: </w:t>
      </w:r>
      <w:r>
        <w:t>尽管性繁殖有明显的劣势1，但它自古以来就普遍存在。理论预测，性导致的等位基因重组对于自然选择有效作用于单个基因座是必要的；因此，纯克隆生物体应迅速积累有害突变并灭绝2,3,4。然而，许多无性繁殖物种的存在时间比理论预测的要长5,6,7，例如亚马逊孔雀鱼（Poecilia formosa），一种在超过10万年前由单次杂交事件产生的克隆繁殖鱼类8,9,10。我们在此展示，尽管亚马逊孔雀鱼比其性繁殖祖先物种积累突变更快，但这并未导致功能性突变衰退，违背了理论预期。相反，基因转换</w:t>
      </w:r>
    </w:p>
    <w:p>
      <w:pPr>
        <w:spacing w:before="0" w:after="200" w:lineRule="auto" w:line="276"/>
      </w:pPr>
      <w:r>
        <w:rPr>
          <w:b/>
        </w:rPr>
        <w:t xml:space="preserve">Abstract (EN): </w:t>
      </w:r>
      <w:r>
        <w:t>Sexual reproduction is ancient and ubiquitous despite its obvious disadvantages1. Theory predicts that the reassortment of alleles that results from sex is necessary for natural selection to act effectively on individual loci; therefore, a purely clonal organism should rapidly accumulate deleterious mutations and go extinct2,3,4. Nevertheless, many asexual species have existed for longer than theory predicts is possible5,6,7, such as the Amazon molly (Poecilia formosa), a clonally reproducing fish arising from a single hybridization event more than 100,000 years ago8,9,10. Here we show that although the Amazon molly has accumulated mutations faster than its sexual progenitor species, this has not led to functional mutational decay, defying theoretical expectations. Instead, gene conversion facilitates both adaptive and purifying selection by generating new clonal lineages in which previous mutations are either reverted or fixed, and by resolving hybrid incompatibilities between the ancestral haplotypes. The transition to clonality altered chromatin structure, but the asexual haplotypes of the Amazon molly nonetheless maintain the divergent mutational landscapes of their progenitor species. Together, these results provide new insights into long-standing questions about the trade-offs involved in asexual reproduction.</w:t>
      </w:r>
    </w:p>
    <w:p>
      <w:pPr>
        <w:spacing w:before="120" w:after="120"/>
      </w:pPr>
      <w:r>
        <w:rPr>
          <w:sz w:val="18"/>
        </w:rPr>
        <w:t>——————————————————————————————————————————————————————————————————————</w:t>
      </w:r>
    </w:p>
    <w:p>
      <w:pPr>
        <w:spacing w:before="160" w:after="40" w:line="240" w:lineRule="auto"/>
      </w:pPr>
      <w:r>
        <w:rPr>
          <w:b/>
        </w:rPr>
        <w:t xml:space="preserve">[252] </w:t>
      </w:r>
      <w:hyperlink r:id="rId666">
        <w:r>
          <w:rPr>
            <w:color w:val="1155CC"/>
            <w:u w:val="single"/>
          </w:rPr>
          <w:t>启动紧急II型髓系造血的机制</w:t>
        </w:r>
      </w:hyperlink>
    </w:p>
    <w:p>
      <w:pPr>
        <w:spacing w:before="0" w:after="80"/>
      </w:pPr>
      <w:r>
        <w:rPr>
          <w:i/>
          <w:sz w:val="20"/>
        </w:rPr>
        <w:t>EN: A mechanism to initiate emergency type 2 myelopoiesis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67">
        <w:r>
          <w:rPr>
            <w:color w:val="1155CC"/>
            <w:u w:val="single"/>
          </w:rPr>
          <w:t>10.1038/s41586-026-10256-6</w:t>
        </w:r>
      </w:hyperlink>
    </w:p>
    <w:p>
      <w:pPr>
        <w:spacing w:before="0" w:after="120"/>
      </w:pPr>
      <w:r>
        <w:rPr>
          <w:b/>
        </w:rPr>
        <w:t xml:space="preserve">Notes: </w:t>
      </w:r>
      <w:r>
        <w:t>abstract_source=nature_html</w:t>
      </w:r>
    </w:p>
    <w:p>
      <w:pPr>
        <w:spacing w:before="0" w:after="80" w:lineRule="auto" w:line="276"/>
      </w:pPr>
      <w:r>
        <w:rPr>
          <w:b/>
        </w:rPr>
        <w:t xml:space="preserve">摘要（ZH）: </w:t>
      </w:r>
      <w:r>
        <w:t>对寄生虫感染的免疫反应涉及嗜碱性粒细胞和嗜酸性粒细胞的增加。这两种髓系细胞类型在2型抗寄生虫免疫中起关键作用，并依赖于GATA家族转录因子进行其特异化。嗜碱性粒细胞和嗜酸性粒细胞生成的第一个承诺步骤是从寡能红系启动的多能祖细胞（EMPPs）生成嗜碱性粒细胞-嗜酸性粒细胞-肥大细胞祖细胞（BEMPs）。然而，尚不清楚免疫反应如何作用于祖细胞以启动2型髓系生成。在此，我们展示了蠕虫Heligmosomoides polygyrus感染增加了EMPPs向髓系命运的承诺，以牺牲红细胞生成为代价。在H. polygyrus感染后，IL-33警报素在骨髓中积累，导致</w:t>
      </w:r>
    </w:p>
    <w:p>
      <w:pPr>
        <w:spacing w:before="0" w:after="200" w:lineRule="auto" w:line="276"/>
      </w:pPr>
      <w:r>
        <w:rPr>
          <w:b/>
        </w:rPr>
        <w:t xml:space="preserve">Abstract (EN): </w:t>
      </w:r>
      <w:r>
        <w:t>Immune responses to parasite infection involve the increased production of basophils and eosinophils. These two myeloid cell types have key roles in type 2 anti-parasite immunity1 and rely on GATA family transcription factors for their specification2,3. The first committed step in basophil and eosinophil production is generation of basophil–eosinophil–mast cell progenitors (BEMPs) from oligopotent erythroid-primed multipotent progenitors (EMPPs). However, it is not well established how immune responses act on progenitors to initiate type 2 myelopoiesis. Here we show that infection with the helminth Heligmosomoides polygyrus increases EMPP commitment to myeloid fate at the expense of erythropoiesis. Upon infection with H. polygyrus, the IL-33 alarmin accumulated in the bone marrow, causing EMPPs to upregulate the GATA co-factor LMO4 and preferentially differentiate into myeloid cells. LMO4 was sufficient to instruct myeloid fate in EMPPs by interacting with GATA2, displacing the FOG1 co-factor and redistributing GATA binding from megakaryocyte–erythroid-specific to basophil, eosinophil and mast cell (BEM)-specific chromatin. Accordingly, mice carrying a GATA2 mutation that selectively impairs the LMO4–GATA2 interaction were deficient in GATA factor allocation to BEM chromatin, myeloid lineage commitment, basophil and eosinophil production, and parasite control. This identifies LMO4 as an IL-33-regulated master regulator of type 2 myelopoiesis, and transcription factor reallocation as a mechanism of lineage commitment.</w:t>
      </w:r>
    </w:p>
    <w:p>
      <w:pPr>
        <w:spacing w:before="120" w:after="120"/>
      </w:pPr>
      <w:r>
        <w:rPr>
          <w:sz w:val="18"/>
        </w:rPr>
        <w:t>——————————————————————————————————————————————————————————————————————</w:t>
      </w:r>
    </w:p>
    <w:p>
      <w:pPr>
        <w:spacing w:before="160" w:after="40" w:line="240" w:lineRule="auto"/>
      </w:pPr>
      <w:r>
        <w:rPr>
          <w:b/>
        </w:rPr>
        <w:t xml:space="preserve">[253] </w:t>
      </w:r>
      <w:hyperlink r:id="rId668">
        <w:r>
          <w:rPr>
            <w:color w:val="1155CC"/>
            <w:u w:val="single"/>
          </w:rPr>
          <w:t>每日简报：‘虚拟细胞’模拟几乎所有真实化学反应</w:t>
        </w:r>
      </w:hyperlink>
    </w:p>
    <w:p>
      <w:pPr>
        <w:spacing w:before="0" w:after="80"/>
      </w:pPr>
      <w:r>
        <w:rPr>
          <w:i/>
          <w:sz w:val="20"/>
        </w:rPr>
        <w:t>EN: Daily briefing: ‘Virtual cell’ simulates nearly every chemical reaction in the real thing</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69">
        <w:r>
          <w:rPr>
            <w:color w:val="1155CC"/>
            <w:u w:val="single"/>
          </w:rPr>
          <w:t>10.1038/d41586-026-00815-2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670">
        <w:r>
          <w:rPr>
            <w:color w:val="1155CC"/>
            <w:u w:val="single"/>
          </w:rPr>
          <w:t>基于晶体管的即时检测分析，具有脂质封盖感应界面，用于心血管疾病的临床分析</w:t>
        </w:r>
      </w:hyperlink>
    </w:p>
    <w:p>
      <w:pPr>
        <w:spacing w:before="0" w:after="80"/>
      </w:pPr>
      <w:r>
        <w:rPr>
          <w:i/>
          <w:sz w:val="20"/>
        </w:rPr>
        <w:t>EN: A transistor-based point-of-care assay with lipid-capped sensory interface for clinical profiling of cardiovascular diseases</w:t>
      </w:r>
    </w:p>
    <w:p>
      <w:pPr>
        <w:spacing w:before="0" w:after="120"/>
      </w:pPr>
      <w:r>
        <w:rPr>
          <w:b/>
        </w:rPr>
        <w:t xml:space="preserve">Source: </w:t>
      </w:r>
      <w:r>
        <w:t>National Science Review Advance Access</w:t>
      </w:r>
      <w:r>
        <w:t xml:space="preserve">    </w:t>
      </w:r>
      <w:r>
        <w:rPr>
          <w:b/>
        </w:rPr>
        <w:t xml:space="preserve">Pub date: </w:t>
      </w:r>
      <w:r>
        <w:t>2026-03-11 00:00:00+00:00</w:t>
      </w:r>
      <w:r>
        <w:t xml:space="preserve">    </w:t>
      </w:r>
      <w:r>
        <w:rPr>
          <w:b/>
        </w:rPr>
        <w:t xml:space="preserve">DOI: </w:t>
      </w:r>
      <w:hyperlink r:id="rId671">
        <w:r>
          <w:rPr>
            <w:color w:val="1155CC"/>
            <w:u w:val="single"/>
          </w:rPr>
          <w:t>10.1093/nsr/nwag156</w:t>
        </w:r>
      </w:hyperlink>
    </w:p>
    <w:p>
      <w:pPr>
        <w:spacing w:before="0" w:after="120"/>
      </w:pPr>
      <w:r>
        <w:rPr>
          <w:b/>
        </w:rPr>
        <w:t xml:space="preserve">Notes: </w:t>
      </w:r>
      <w:r>
        <w:t>abstract_source=rss_oup</w:t>
      </w:r>
    </w:p>
    <w:p>
      <w:pPr>
        <w:spacing w:before="0" w:after="80" w:lineRule="auto" w:line="276"/>
      </w:pPr>
      <w:r>
        <w:rPr>
          <w:b/>
        </w:rPr>
        <w:t xml:space="preserve">摘要（ZH）: </w:t>
      </w:r>
      <w:r>
        <w:t>心血管疾病（CVD）电检测的即时检测（POC）可以实现有效的筛查和监测。然而，血清样本的复杂性和多样性干扰了电信号的传导，限制了生化检测的灵敏度和准确性。在此，我们展示了一种基于自组装脂质封盖晶体管传感界面的电POC检测的开发和性能，用于同时检测和分析五种心肌损伤生物标志物，检测限低至pg/mL水平。通过磷脂自组装减少德拜屏蔽和非特异性吸附，电检测在人体血清中保持高灵敏度和特异性，以及有希望的定量准确性。对于</w:t>
      </w:r>
    </w:p>
    <w:p>
      <w:pPr>
        <w:spacing w:before="0" w:after="200" w:lineRule="auto" w:line="276"/>
      </w:pPr>
      <w:r>
        <w:rPr>
          <w:b/>
        </w:rPr>
        <w:t xml:space="preserve">Abstract (EN): </w:t>
      </w:r>
      <w:r>
        <w:t>Point-of-care (POC) testing for electrical detection of cardiovascular disease (CVD) can enable effective screening and surveillance. However, the complexity and diversity of serum samples interfere with the transduction of electrical signals, limiting the sensitivity and accuracy of the biochemical assay. Here, we present the development and performance of an electrical POC assay based on self-assembled lipid-capped transistor sensory interfaces for the simultaneous detection and profiling of five myocardial injury biomarkers, with detection limits as low as pg/mL levels. By reducing Debye screening and non-specific adsorption through phospholipid self-assembly, the electrical assay maintains high sensitivity and specificity in human serum, as well as promising quantitative accuracy. For acute myocardial infarction (AMI) animal modeling, our assay detects variations in key biomarker characteristics within 15 to 45 minutes after the onset of myocardial injury, with a detection time window more than 30 minutes earlier than biochemical assays. Through the combination profiling of five biomarker signatures from 265 clinical serum samples, our assay achieves 91.7% accuracy for AMI identification and 79.6% accuracy for cardiovascular disease classification, effectively monitoring the prognosis of AMI patients. This assay may provide reliable clinical guidance for the early diagnosis, risk assessment, and prognosis monitoring of CVD.</w:t>
      </w:r>
    </w:p>
    <w:p>
      <w:pPr>
        <w:spacing w:before="120" w:after="120"/>
      </w:pPr>
      <w:r>
        <w:rPr>
          <w:sz w:val="18"/>
        </w:rPr>
        <w:t>——————————————————————————————————————————————————————————————————————</w:t>
      </w:r>
    </w:p>
    <w:p>
      <w:pPr>
        <w:spacing w:before="160" w:after="40" w:line="240" w:lineRule="auto"/>
      </w:pPr>
      <w:r>
        <w:rPr>
          <w:b/>
        </w:rPr>
        <w:t xml:space="preserve">[255] </w:t>
      </w:r>
      <w:hyperlink r:id="rId672">
        <w:r>
          <w:rPr>
            <w:color w:val="1155CC"/>
            <w:u w:val="single"/>
          </w:rPr>
          <w:t>通过动态ctDNA指导的鼻咽癌风险适应性治疗</w:t>
        </w:r>
      </w:hyperlink>
    </w:p>
    <w:p>
      <w:pPr>
        <w:spacing w:before="0" w:after="80"/>
      </w:pPr>
      <w:r>
        <w:rPr>
          <w:i/>
          <w:sz w:val="20"/>
        </w:rPr>
        <w:t>EN: Risk-adaptive therapy guided by dynamic ctDNA in nasopharyngeal carcinoma</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73">
        <w:r>
          <w:rPr>
            <w:color w:val="1155CC"/>
            <w:u w:val="single"/>
          </w:rPr>
          <w:t>10.1038/s41586-026-10244-w</w:t>
        </w:r>
      </w:hyperlink>
    </w:p>
    <w:p>
      <w:pPr>
        <w:spacing w:before="0" w:after="120"/>
      </w:pPr>
      <w:r>
        <w:rPr>
          <w:b/>
        </w:rPr>
        <w:t xml:space="preserve">Notes: </w:t>
      </w:r>
      <w:r>
        <w:t>abstract_source=nature_html</w:t>
      </w:r>
    </w:p>
    <w:p>
      <w:pPr>
        <w:spacing w:before="0" w:after="80" w:lineRule="auto" w:line="276"/>
      </w:pPr>
      <w:r>
        <w:rPr>
          <w:b/>
        </w:rPr>
        <w:t xml:space="preserve">摘要（ZH）: </w:t>
      </w:r>
      <w:r>
        <w:t>尽管有数据显示治疗期间循环肿瘤DNA（ctDNA）动态变化可以提供实时肿瘤反应和复发风险的信息，但如何将这些见解转化为可操作的临床决策仍不清楚。在此，我们报告了EP-STAR试验的结果——一项多中心、ctDNA驱动、风险适应的非随机II期研究（NCT04072107；ClinicalTrials.gov），测试由治疗中ctDNA动态变化指导的风险适应治疗（RAT）策略是否可以显著改善生存率，以鼻咽癌为模型。符合条件的患者被招募并开始接受标准护理的吉西他滨-顺铂新辅助化疗（GP-NAC；此缩写中的P代表铂），随后是RAT或标准护理化放疗</w:t>
      </w:r>
    </w:p>
    <w:p>
      <w:pPr>
        <w:spacing w:before="0" w:after="200" w:lineRule="auto" w:line="276"/>
      </w:pPr>
      <w:r>
        <w:rPr>
          <w:b/>
        </w:rPr>
        <w:t xml:space="preserve">Abstract (EN): </w:t>
      </w:r>
      <w:r>
        <w:t>Despite promising data showing that circulating tumour DNA (ctDNA) dynamics during treatment can inform real-time tumour response and recurrence risk1, how best to translate these insights into actionable clinical decision-making remains unclear. Here we report results from the EP-STAR trial—a multi-centre, ctDNA-driven, risk-adapted, non-randomized phase II study (NCT04072107; ClinicalTrials.gov) testing whether a risk-adaptive treatment (RAT) strategy guided by on-treatment ctDNA dynamics can meaningfully improve survival, using nasopharyngeal carcinoma as a model. Eligible patients were enrolled and began treatment with standard-of-care gemcitabine–cisplatin neoadjuvant chemotherapy (GP-NAC; the P in this abbreviation stands for platinum)2, followed by RAT or standard-of-care chemoradiotherapy guided by ctDNA clearance trajectory during GP-NAC. Protocol-eligible patients who did not receive RAT, drawn from a prospectively registered ctDNA biomarker cohort (NCT03855020)3, served as a non-randomized, contemporaneous no-RAT external cohort. The primary end-point was failure-free survival (FFS) in the RAT group. After a median follow-up of 47.3 months, the 3-year FFS was 89.1% (83.2–95.0%) in the RAT group (n = 110). Patients who received RAT showed significantly improved FFS (P = 0.003, log–rank test) compared with the no-RAT external cohort (hazard ratio = 0.41 [0.23–0.75]; P = 0.004, Cox regression model). The RAT strategy was well-tolerated with no treatment-related deaths. Collectively, these data show that a ctDNA-driven RAT paradigm could be a promising strategy to improve survival, challenging the conventional fixed-course, static treatment approach.</w:t>
      </w:r>
    </w:p>
    <w:p>
      <w:pPr>
        <w:spacing w:before="120" w:after="120"/>
      </w:pPr>
      <w:r>
        <w:rPr>
          <w:sz w:val="18"/>
        </w:rPr>
        <w:t>——————————————————————————————————————————————————————————————————————</w:t>
      </w:r>
    </w:p>
    <w:p>
      <w:pPr>
        <w:spacing w:before="160" w:after="40" w:line="240" w:lineRule="auto"/>
      </w:pPr>
      <w:r>
        <w:rPr>
          <w:b/>
        </w:rPr>
        <w:t xml:space="preserve">[256] </w:t>
      </w:r>
      <w:hyperlink r:id="rId674">
        <w:r>
          <w:rPr>
            <w:color w:val="1155CC"/>
            <w:u w:val="single"/>
          </w:rPr>
          <w:t>天然母体免疫保护新生儿免受大肠杆菌败血症</w:t>
        </w:r>
      </w:hyperlink>
    </w:p>
    <w:p>
      <w:pPr>
        <w:spacing w:before="0" w:after="80"/>
      </w:pPr>
      <w:r>
        <w:rPr>
          <w:i/>
          <w:sz w:val="20"/>
        </w:rPr>
        <w:t>EN: Natural maternal immunity protects neonates from Escherichia coli sepsis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75">
        <w:r>
          <w:rPr>
            <w:color w:val="1155CC"/>
            <w:u w:val="single"/>
          </w:rPr>
          <w:t>10.1038/s41586-026-10225-z</w:t>
        </w:r>
      </w:hyperlink>
    </w:p>
    <w:p>
      <w:pPr>
        <w:spacing w:before="0" w:after="120"/>
      </w:pPr>
      <w:r>
        <w:rPr>
          <w:b/>
        </w:rPr>
        <w:t xml:space="preserve">Notes: </w:t>
      </w:r>
      <w:r>
        <w:t>abstract_source=nature_html</w:t>
      </w:r>
    </w:p>
    <w:p>
      <w:pPr>
        <w:spacing w:before="0" w:after="80" w:lineRule="auto" w:line="276"/>
      </w:pPr>
      <w:r>
        <w:rPr>
          <w:b/>
        </w:rPr>
        <w:t xml:space="preserve">摘要（ZH）: </w:t>
      </w:r>
      <w:r>
        <w:t>大肠杆菌是新生儿败血症的主要病因之一，感染发生在大约每1000个活产婴儿中有一个1,2。然而，由于大肠杆菌在出生后不久即开始定植3,4,5，加上新生儿宿主防御成熟的缺陷6,7,8,9，另一种考虑是为什么感染没有更频繁地发生。我们在此展示，患有大肠杆菌败血症的新生儿选择性地减少了垂直转移的识别大肠杆菌的天然抗体，从机制上解释了他们对感染的易感性。补充的临床前研究表明，孕前用益生菌大肠杆菌Nissle 1917 (EcN)10的肠道定植可以启动抗大肠杆菌免疫球蛋白G (IgG)抗体，这些抗体对负责新生儿败血症的临床分离株具有广泛的交叉反应性。</w:t>
      </w:r>
    </w:p>
    <w:p>
      <w:pPr>
        <w:spacing w:before="0" w:after="200" w:lineRule="auto" w:line="276"/>
      </w:pPr>
      <w:r>
        <w:rPr>
          <w:b/>
        </w:rPr>
        <w:t xml:space="preserve">Abstract (EN): </w:t>
      </w:r>
      <w:r>
        <w:t>Escherichia coli is a leading cause of neonatal sepsis, with infection occurring in approximately one in every 1,000 live births1,2. However, with E. coli colonization beginning soon after birth3,4,5 and defects in neonatal host defence maturation6,7,8,9, an alternative consideration is why infection does not occur even more frequently. Here we show that newborn babies with E. coli sepsis have selectively reduced vertically transferred natural antibodies that recognize E. coli, mechanistically explaining their susceptibility to infection. Complementary preclinical studies show that preconceptual intestinal colonization with probiotic E. coli Nissle 1917 (EcN)10 primes anti-E. coli immunoglobulin G (IgG) antibodies with broad cross-reactivity to clinical isolates responsible for neonatal sepsis that override the inherent susceptibility of neonatal mice. Outer membrane protein A (OmpA) is a target of maternal IgG and is also essential for EcN colonization-induced serological immunogenicity. Upon vertical transfer to neonates, colonization-primed anti-E. coli IgG uniquely protects against infection via opsonization, requiring both complement and IgG Fc receptors. Compared with specimens from sex and gestational age-matched healthy control babies without infection, dried blood spot specimens collected one day after birth from 100 babies with E. coli sepsis show consistently reduced IgG titres to pooled E. coli clinical isolates and OmpA, along with impaired IgG-dependent antibacterial opsonization. Together, these results demonstrate that natural infection susceptibility of neonates is efficiently rescued by anti-E. coli IgG and identify defects in pathogen-targeted vertically transferred immunity as a primary risk factor for severe invasive infection in newborn babies.</w:t>
      </w:r>
    </w:p>
    <w:p>
      <w:pPr>
        <w:spacing w:before="120" w:after="120"/>
      </w:pPr>
      <w:r>
        <w:rPr>
          <w:sz w:val="18"/>
        </w:rPr>
        <w:t>——————————————————————————————————————————————————————————————————————</w:t>
      </w:r>
    </w:p>
    <w:p>
      <w:pPr>
        <w:spacing w:before="160" w:after="40" w:line="240" w:lineRule="auto"/>
      </w:pPr>
      <w:r>
        <w:rPr>
          <w:b/>
        </w:rPr>
        <w:t xml:space="preserve">[257] </w:t>
      </w:r>
      <w:hyperlink r:id="rId676">
        <w:r>
          <w:rPr>
            <w:color w:val="1155CC"/>
            <w:u w:val="single"/>
          </w:rPr>
          <w:t>免疫逃避DNA供体和重组酶授权千碱基级写入</w:t>
        </w:r>
      </w:hyperlink>
    </w:p>
    <w:p>
      <w:pPr>
        <w:spacing w:before="0" w:after="80"/>
      </w:pPr>
      <w:r>
        <w:rPr>
          <w:i/>
          <w:sz w:val="20"/>
        </w:rPr>
        <w:t>EN: Immune evasive DNA donors and recombinases license kilobase-scale writing</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77">
        <w:r>
          <w:rPr>
            <w:color w:val="1155CC"/>
            <w:u w:val="single"/>
          </w:rPr>
          <w:t>10.1038/s41586-026-10241-z</w:t>
        </w:r>
      </w:hyperlink>
    </w:p>
    <w:p>
      <w:pPr>
        <w:spacing w:before="0" w:after="120"/>
      </w:pPr>
      <w:r>
        <w:rPr>
          <w:b/>
        </w:rPr>
        <w:t xml:space="preserve">Notes: </w:t>
      </w:r>
      <w:r>
        <w:t>abstract_source=nature_html</w:t>
      </w:r>
    </w:p>
    <w:p>
      <w:pPr>
        <w:spacing w:before="0" w:after="80" w:lineRule="auto" w:line="276"/>
      </w:pPr>
      <w:r>
        <w:rPr>
          <w:b/>
        </w:rPr>
        <w:t xml:space="preserve">摘要（ZH）: </w:t>
      </w:r>
      <w:r>
        <w:t>使用重组酶将千碱基规模的DNA序列插入哺乳动物基因组的基因编辑技术通常需要大型双链DNA (dsDNA)供体1,2。然而，dsDNA分子会引发问题和有毒的先天免疫反应，限制了整合效率，并通常将适用性限制在体外或免疫缺陷的环境中。通过利用整合性原核病毒和移动遗传元件的机制，我们在此展示重组酶与免疫逃避的环状单链DNA分子兼容，这些分子最佳地具有重组酶识别序列的部分双链区域。我们称这种方法为通过核合成模板添加大长度（INSTALL）的整合，与免疫逃避的环状单链DNA分子兼容。</w:t>
      </w:r>
    </w:p>
    <w:p>
      <w:pPr>
        <w:spacing w:before="0" w:after="200" w:lineRule="auto" w:line="276"/>
      </w:pPr>
      <w:r>
        <w:rPr>
          <w:b/>
        </w:rPr>
        <w:t xml:space="preserve">Abstract (EN): </w:t>
      </w:r>
      <w:r>
        <w:t>Genome-editing technologies that use recombinases to insert kilobase-scale DNA sequences into mammalian genomes canonically require large double-stranded DNA (dsDNA) donors1,2. However, dsDNA molecules evoke problematic and toxic innate immune responses, limiting integration efficiencies and generally constraining applicability to ex vivo or immune-deficient contexts. By harnessing mechanisms of integrative prokaryotic viruses and mobile genetic elements, here we demonstrate that recombinases are compatible with immune evasive circular single-stranded DNA molecules optimally bearing a partial-duplex region that reconstitutes the recombinase recognition sequence. This approach, which we term integration through nucleus-synthesized template addition of large lengths (INSTALL), is compatible with diverse protein and RNA-guided recombinases for high-fidelity kilobase-scale human genome writing. INSTALL minimizes innate immune responses in primary human cells and in mice, improving recombinase-mediated integration efficiencies and supporting systemic in vivo non-viral DNA delivery by substantially increasing tolerability and broadening the dosing range compared with lipid nanoparticle-delivered dsDNA molecules. Together, INSTALL overcomes fundamental challenges for DNA delivery and integration methods by synergizing immune-stealth nucleic acids with recombinases to enable kilobase-scale integration strategies without viral vectors.</w:t>
      </w:r>
    </w:p>
    <w:p>
      <w:pPr>
        <w:spacing w:before="120" w:after="120"/>
      </w:pPr>
      <w:r>
        <w:rPr>
          <w:sz w:val="18"/>
        </w:rPr>
        <w:t>——————————————————————————————————————————————————————————————————————</w:t>
      </w:r>
    </w:p>
    <w:p>
      <w:pPr>
        <w:spacing w:before="160" w:after="40" w:line="240" w:lineRule="auto"/>
      </w:pPr>
      <w:r>
        <w:rPr>
          <w:b/>
        </w:rPr>
        <w:t xml:space="preserve">[258] </w:t>
      </w:r>
      <w:hyperlink r:id="rId678">
        <w:r>
          <w:rPr>
            <w:color w:val="1155CC"/>
            <w:u w:val="single"/>
          </w:rPr>
          <w:t>大推动社区干预将儿童婚姻率降低了80%</w:t>
        </w:r>
      </w:hyperlink>
    </w:p>
    <w:p>
      <w:pPr>
        <w:spacing w:before="0" w:after="80"/>
      </w:pPr>
      <w:r>
        <w:rPr>
          <w:i/>
          <w:sz w:val="20"/>
        </w:rPr>
        <w:t>EN: A big-push community intervention reduced rates of child marriage by 80%</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79">
        <w:r>
          <w:rPr>
            <w:color w:val="1155CC"/>
            <w:u w:val="single"/>
          </w:rPr>
          <w:t>10.1038/s41586-026-10206-2</w:t>
        </w:r>
      </w:hyperlink>
    </w:p>
    <w:p>
      <w:pPr>
        <w:spacing w:before="0" w:after="120"/>
      </w:pPr>
      <w:r>
        <w:rPr>
          <w:b/>
        </w:rPr>
        <w:t xml:space="preserve">Notes: </w:t>
      </w:r>
      <w:r>
        <w:t>abstract_source=nature_html</w:t>
      </w:r>
    </w:p>
    <w:p>
      <w:pPr>
        <w:spacing w:before="0" w:after="80" w:lineRule="auto" w:line="276"/>
      </w:pPr>
      <w:r>
        <w:rPr>
          <w:b/>
        </w:rPr>
        <w:t xml:space="preserve">摘要（ZH）: </w:t>
      </w:r>
      <w:r>
        <w:t>全球每年多达1200万女孩在18岁之前结婚；在尼日利亚北部，80%的女孩在18岁之前结婚（参考文献1,2）。尽管许多女孩和父母可能认为这样的婚姻是最好的可用选择，但许多研究表明，当推迟婚姻成为可能时，它有助于教育成就，提高健康水平，减少孕产妇死亡率和发病率，并为女孩的生活带来许多其他好处3,4,5,6,7,8。尽管如此，人们对减少儿童婚姻的因素知之甚少，而成功的干预措施往往仅能带来几个百分点的影响。我们在18个社区中使用配对集群随机试验，严格评估一个名为“选择路径”的本地定制大推动干预措施在尼日利亚北部的效果。我们展示了“选择路径”</w:t>
      </w:r>
    </w:p>
    <w:p>
      <w:pPr>
        <w:spacing w:before="0" w:after="200" w:lineRule="auto" w:line="276"/>
      </w:pPr>
      <w:r>
        <w:rPr>
          <w:b/>
        </w:rPr>
        <w:t xml:space="preserve">Abstract (EN): </w:t>
      </w:r>
      <w:r>
        <w:t>Globally, as many as 12 million girls marry before the age of 18 every year; in northern Nigeria, 80% of girls marry before 18 (refs. 1,2). Although such marriages may be deemed the best available option by many girls and parents, numerous studies suggest that, when delayed marriage is made possible, it benefits educational attainment, improves health by reducing maternal mortality and morbidity, and leads to many other benefits to girls’ lives3,4,5,6,7,8. Despite this, little is known about what reduces child marriage, and successful interventions tend to have an impact of just a few percentage points. We use a paired cluster-randomized trial in 18 communities to rigorously evaluate a locally tailored big-push intervention called Pathways to Choice in northern Nigeria. We show that Pathways decreases rates of marriage among adolescent girls from 86% in the control group to only 21% in the treatment group—just over an 80% decrease. Although a key part of Pathways’ effect is a significant increase in girls re-enrolling in school, education alone cannot explain its effects on child marriage. We argue that Pathways’ whole-community focus reduces the likelihood of social backlash and contributes meaningfully to its success. Our results demonstrate that a big push can significantly alter entrenched, normative behaviour around child marriage, and that bundled interventions may be greater than the sum of their parts.</w:t>
      </w:r>
    </w:p>
    <w:p>
      <w:pPr>
        <w:spacing w:before="120" w:after="120"/>
      </w:pPr>
      <w:r>
        <w:rPr>
          <w:sz w:val="18"/>
        </w:rPr>
        <w:t>——————————————————————————————————————————————————————————————————————</w:t>
      </w:r>
    </w:p>
    <w:p>
      <w:pPr>
        <w:spacing w:before="160" w:after="40" w:line="240" w:lineRule="auto"/>
      </w:pPr>
      <w:r>
        <w:rPr>
          <w:b/>
        </w:rPr>
        <w:t xml:space="preserve">[259] </w:t>
      </w:r>
      <w:hyperlink r:id="rId680">
        <w:r>
          <w:rPr>
            <w:color w:val="1155CC"/>
            <w:u w:val="single"/>
          </w:rPr>
          <w:t>纳米光子波导芯片到世界的光束扫描</w:t>
        </w:r>
      </w:hyperlink>
    </w:p>
    <w:p>
      <w:pPr>
        <w:spacing w:before="0" w:after="80"/>
      </w:pPr>
      <w:r>
        <w:rPr>
          <w:i/>
          <w:sz w:val="20"/>
        </w:rPr>
        <w:t>EN: Nanophotonic waveguide chip-to-world beam scanning</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81">
        <w:r>
          <w:rPr>
            <w:color w:val="1155CC"/>
            <w:u w:val="single"/>
          </w:rPr>
          <w:t>10.1038/s41586-025-10038-6</w:t>
        </w:r>
      </w:hyperlink>
    </w:p>
    <w:p>
      <w:pPr>
        <w:spacing w:before="0" w:after="120"/>
      </w:pPr>
      <w:r>
        <w:rPr>
          <w:b/>
        </w:rPr>
        <w:t xml:space="preserve">Notes: </w:t>
      </w:r>
      <w:r>
        <w:t>abstract_source=nature_html</w:t>
      </w:r>
    </w:p>
    <w:p>
      <w:pPr>
        <w:spacing w:before="0" w:after="80" w:lineRule="auto" w:line="276"/>
      </w:pPr>
      <w:r>
        <w:rPr>
          <w:b/>
        </w:rPr>
        <w:t xml:space="preserve">摘要（ZH）: </w:t>
      </w:r>
      <w:r>
        <w:t>无缝的芯片到世界光子接口在光学测距、显示、通信、计算和量子信息科学方面实现了广泛的进步。理想的解决方案能够从光子集成电路的任何地方对衍射极限光束进行二维扫描到大量可分辨的点。当前的光束扫描技术受到一个基本权衡的限制：具有衍射光学的光子集成电路提供了可扩展性，但模式质量较差1,2，而惯性限制的微机械扫描仪提供高质量光束但缺乏可扩展的集成3,4。在此，我们报告了一种光子跳台滑雪——一种在压电悬臂上单片集成的纳米级波导——以克服这些限制。它被动地弯曲约90°出平面</w:t>
      </w:r>
    </w:p>
    <w:p>
      <w:pPr>
        <w:spacing w:before="0" w:after="200" w:lineRule="auto" w:line="276"/>
      </w:pPr>
      <w:r>
        <w:rPr>
          <w:b/>
        </w:rPr>
        <w:t xml:space="preserve">Abstract (EN): </w:t>
      </w:r>
      <w:r>
        <w:t>A seamless chip-to-world photonic interface enables broad advancements in optical ranging, display, communication, computation and quantum information science. The ideal solution enables two-dimensional scanning of a diffraction-limited beam from anywhere on a photonic integrated circuit to a large number of resolvable spots. Current beam-scanning technologies are limited by a fundamental trade-off: photonic-integrated-circuits with diffractive optics offer scalability but have poor mode quality1,2, whereas inertially limited micromechanical scanners provide high-quality beams but lack scalable integration3,4. Here we report a photonic ski-jump—a nanoscale waveguide monolithically integrated on a piezoelectric cantilever—to overcome these limitations. It passively curls ~90° out-of-plane within a less-than-0.1 mm2 footprint, emits a submicrometre, broadband diffraction-limited beam, and exhibits kilohertz-rate mechanical resonances with quality factors of over 10,000. Fabricated in a volume complementary metal–oxide–semiconductor (CMOS) foundry, our device enables scalable two-dimensional beam scanning. Driven on-resonance at CMOS-level voltages, it achieves a footprint-adjusted spot rate of 68.6 mega spots s–1 mm–², exceeding state-of-the-art micro-electro-mechanical systems mirrors by more than 50-fold, which is sufficient for one million pixels at 100 Hz from an approximately 1.5 mm diameter footprint. We demonstrate full-colour image and video projection, and single-photon initialization and readout from silicon vacancy centres in diamond. Finally, by demonstrating uniformity across a 64 ski-jump array, we establish a pathway to achieving greater than one gigaspot resolution at kilohertz rates within a sub-5-cm-diameter footprint, creating a seamless optical pipeline between integrated photonic processors and the free-space world.</w:t>
      </w:r>
    </w:p>
    <w:p>
      <w:pPr>
        <w:spacing w:before="120" w:after="120"/>
      </w:pPr>
      <w:r>
        <w:rPr>
          <w:sz w:val="18"/>
        </w:rPr>
        <w:t>——————————————————————————————————————————————————————————————————————</w:t>
      </w:r>
    </w:p>
    <w:p>
      <w:pPr>
        <w:spacing w:before="160" w:after="40" w:line="240" w:lineRule="auto"/>
      </w:pPr>
      <w:r>
        <w:rPr>
          <w:b/>
        </w:rPr>
        <w:t xml:space="preserve">[260] </w:t>
      </w:r>
      <w:hyperlink r:id="rId682">
        <w:r>
          <w:rPr>
            <w:color w:val="1155CC"/>
            <w:u w:val="single"/>
          </w:rPr>
          <w:t>儿童中的B细胞印记损害了对血凝素茎的抗体</w:t>
        </w:r>
      </w:hyperlink>
    </w:p>
    <w:p>
      <w:pPr>
        <w:spacing w:before="0" w:after="80"/>
      </w:pPr>
      <w:r>
        <w:rPr>
          <w:i/>
          <w:sz w:val="20"/>
        </w:rPr>
        <w:t>EN: B cell imprinting in children impairs antibodies to the haemagglutinin stalk</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83">
        <w:r>
          <w:rPr>
            <w:color w:val="1155CC"/>
            <w:u w:val="single"/>
          </w:rPr>
          <w:t>10.1038/s41586-026-10248-6</w:t>
        </w:r>
      </w:hyperlink>
    </w:p>
    <w:p>
      <w:pPr>
        <w:spacing w:before="0" w:after="120"/>
      </w:pPr>
      <w:r>
        <w:rPr>
          <w:b/>
        </w:rPr>
        <w:t xml:space="preserve">Notes: </w:t>
      </w:r>
      <w:r>
        <w:t>abstract_source=nature_html</w:t>
      </w:r>
    </w:p>
    <w:p>
      <w:pPr>
        <w:spacing w:before="0" w:after="80" w:lineRule="auto" w:line="276"/>
      </w:pPr>
      <w:r>
        <w:rPr>
          <w:b/>
        </w:rPr>
        <w:t xml:space="preserve">摘要（ZH）: </w:t>
      </w:r>
      <w:r>
        <w:t>免疫印记1或原始抗原罪2是一种现象，即免疫系统在随后的暴露后优先回忆其对相关、通常是进化中的病原体的初始反应。尽管它对疫苗开发具有重要意义，但印记的原因仍不清楚。在此，为了理解甲型流感病毒印记的基础和影响，我们对年轻儿童在连续首次感染不同的H1N1和H3N2流感株后的B细胞反应进行了表征。儿童的初级B细胞反应与成人相似。成人B细胞通常使用更刻板和突变的免疫球蛋白基因与过去的菌株交叉反应，表明存在显著的同亚型印记。在儿童中，经过连续的异亚型</w:t>
      </w:r>
    </w:p>
    <w:p>
      <w:pPr>
        <w:spacing w:before="0" w:after="200" w:lineRule="auto" w:line="276"/>
      </w:pPr>
      <w:r>
        <w:rPr>
          <w:b/>
        </w:rPr>
        <w:t xml:space="preserve">Abstract (EN): </w:t>
      </w:r>
      <w:r>
        <w:t>Immune imprinting1 or original antigenic sin2 is a phenomenon whereby the immune system preferentially recalls its initial response to a related, often evolving pathogen after subsequent exposure. Despite its important implications for vaccine development, the causes of imprinting remain unclear. Here, to understand the basis and impact of imprinting by influenza A viruses, we characterized the B cell responses of young children after consecutive first infections with divergent H1N1 and H3N2 strains of influenza. Children had a primary but otherwise similar B cell response to that of adults. Adult B cells commonly cross-reacted with past strains using more stereotyped and mutated immunoglobulin genes, indicating substantial homosubtypic imprinting. In children, after consecutive heterosubtypic primary infections, up to 6% of memory B cells are H1/H3 cross-reactive and bind to the highly conserved central stalk epitope—a lead target for broadly protective vaccine candidates. Over 90% of these B cells had a higher affinity for the imprinting H3N2 strain, resulting in reduced breadth and neutralization potency against H1N1 strains. Mechanistically, the imprinting H3 strains and affected H1 strains shared a residue change in the stalk epitope (D46N) that was central to the nearly universal shift in reactivity, despite differing by only a single atomic group. In conclusion, imprinting by influenza viruses can cause a deleterious shift of nearly the entire memory recall response against key, conserved epitopes.</w:t>
      </w:r>
    </w:p>
    <w:p>
      <w:pPr>
        <w:spacing w:before="120" w:after="120"/>
      </w:pPr>
      <w:r>
        <w:rPr>
          <w:sz w:val="18"/>
        </w:rPr>
        <w:t>——————————————————————————————————————————————————————————————————————</w:t>
      </w:r>
    </w:p>
    <w:p>
      <w:pPr>
        <w:spacing w:before="160" w:after="40" w:line="240" w:lineRule="auto"/>
      </w:pPr>
      <w:r>
        <w:rPr>
          <w:b/>
        </w:rPr>
        <w:t xml:space="preserve">[261] </w:t>
      </w:r>
      <w:hyperlink r:id="rId684">
        <w:r>
          <w:rPr>
            <w:color w:val="1155CC"/>
            <w:u w:val="single"/>
          </w:rPr>
          <w:t>记忆丧失由衰老小鼠的肠道微生物推动</w:t>
        </w:r>
      </w:hyperlink>
    </w:p>
    <w:p>
      <w:pPr>
        <w:spacing w:before="0" w:after="80"/>
      </w:pPr>
      <w:r>
        <w:rPr>
          <w:i/>
          <w:sz w:val="20"/>
        </w:rPr>
        <w:t>EN: Memory loss is fuelled by gut microbes in ageing mice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85">
        <w:r>
          <w:rPr>
            <w:color w:val="1155CC"/>
            <w:u w:val="single"/>
          </w:rPr>
          <w:t>10.1038/d41586-026-00768-6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686">
        <w:r>
          <w:rPr>
            <w:color w:val="1155CC"/>
            <w:u w:val="single"/>
          </w:rPr>
          <w:t>高粱泛基因组参考改善了全球作物性状发现</w:t>
        </w:r>
      </w:hyperlink>
    </w:p>
    <w:p>
      <w:pPr>
        <w:spacing w:before="0" w:after="80"/>
      </w:pPr>
      <w:r>
        <w:rPr>
          <w:i/>
          <w:sz w:val="20"/>
        </w:rPr>
        <w:t>EN: A sorghum pangenome reference improves global crop trait discovery</w:t>
      </w:r>
    </w:p>
    <w:p>
      <w:pPr>
        <w:spacing w:before="0" w:after="120"/>
      </w:pPr>
      <w:r>
        <w:rPr>
          <w:b/>
        </w:rPr>
        <w:t xml:space="preserve">Source: </w:t>
      </w:r>
      <w:r>
        <w:t>Nature</w:t>
      </w:r>
      <w:r>
        <w:t xml:space="preserve">    </w:t>
      </w:r>
      <w:r>
        <w:rPr>
          <w:b/>
        </w:rPr>
        <w:t xml:space="preserve">Pub date: </w:t>
      </w:r>
      <w:r>
        <w:t>2026-03-11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687">
        <w:r>
          <w:rPr>
            <w:color w:val="1155CC"/>
            <w:u w:val="single"/>
          </w:rPr>
          <w:t>肠道内感功能障碍驱动与年龄相关的认知衰退</w:t>
        </w:r>
      </w:hyperlink>
    </w:p>
    <w:p>
      <w:pPr>
        <w:spacing w:before="0" w:after="80"/>
      </w:pPr>
      <w:r>
        <w:rPr>
          <w:i/>
          <w:sz w:val="20"/>
        </w:rPr>
        <w:t>EN: Intestinal interoceptive dysfunction drives age-associated cognitive decline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88">
        <w:r>
          <w:rPr>
            <w:color w:val="1155CC"/>
            <w:u w:val="single"/>
          </w:rPr>
          <w:t>10.1038/s41586-026-10191-6</w:t>
        </w:r>
      </w:hyperlink>
    </w:p>
    <w:p>
      <w:pPr>
        <w:spacing w:before="0" w:after="120"/>
      </w:pPr>
      <w:r>
        <w:rPr>
          <w:b/>
        </w:rPr>
        <w:t xml:space="preserve">Notes: </w:t>
      </w:r>
      <w:r>
        <w:t>abstract_source=nature_html</w:t>
      </w:r>
    </w:p>
    <w:p>
      <w:pPr>
        <w:spacing w:before="0" w:after="80" w:lineRule="auto" w:line="276"/>
      </w:pPr>
      <w:r>
        <w:rPr>
          <w:b/>
        </w:rPr>
        <w:t xml:space="preserve">摘要（ZH）: </w:t>
      </w:r>
      <w:r>
        <w:t>衰老伴随着记忆功能的下降，在人群中表现出极其异质的表现1。影响认知衰退的大脑外因素，如胃肠信号，已成为外周干预的有吸引力的目标2,3,4,5,6，但其潜在机制仍不清楚。在此，通过绘制小鼠寿命中微生物组衰老及其功能后果的高分辨率图谱，我们识别出一种机制，即在衰老过程中抑制肠-脑信号传导导致海马体神经元激活受损和记忆编码丧失。具体而言，产生中链脂肪酸的肠道细菌的积累，如Parabacteroides goldsteinii，可以驱动外周髓样细胞炎症</w:t>
      </w:r>
    </w:p>
    <w:p>
      <w:pPr>
        <w:spacing w:before="0" w:after="200" w:lineRule="auto" w:line="276"/>
      </w:pPr>
      <w:r>
        <w:rPr>
          <w:b/>
        </w:rPr>
        <w:t xml:space="preserve">Abstract (EN): </w:t>
      </w:r>
      <w:r>
        <w:t>Ageing is accompanied by declining memory function, with extremely heterogeneous manifestation in the human population1. Brain-extrinsic factors influencing cognitive decline, such as gastrointestinal signals, have emerged as attractive targets for peripheral interventions2,3,4,5,6, but the underlying mechanisms remain largely unclear. Here, by charting a high-resolution map of microbiome ageing and its functional consequences throughout the lifespan of mice, we identify a mechanism by which inhibition of gut–brain signalling during ageing results in impaired neuronal activation in the hippocampus and loss of memory encoding. Specifically, accumulation of gut bacteria that produce medium-chain fatty acids, such as Parabacteroides goldsteinii, can drive peripheral myeloid cell inflammation through GPR84 signalling. As a result, the function of vagal afferent neurons is impaired, the interoceptive signal received by the brain is weakened and hippocampal function declines. We leverage this pathway to define interventions that enhance memory in aged mice, such as phage targeting of Parabacteroides, GPR84 inhibition and restoration of vagal activity. These findings indicate a key role for interoceptive dysfunction in brain ageing and suggest that interoceptomimetics that stimulate gut–brain communication may counteract age-associated cognitive decline.</w:t>
      </w:r>
    </w:p>
    <w:p>
      <w:pPr>
        <w:spacing w:before="120" w:after="120"/>
      </w:pPr>
      <w:r>
        <w:rPr>
          <w:sz w:val="18"/>
        </w:rPr>
        <w:t>——————————————————————————————————————————————————————————————————————</w:t>
      </w:r>
    </w:p>
    <w:p>
      <w:pPr>
        <w:spacing w:before="160" w:after="40" w:line="240" w:lineRule="auto"/>
      </w:pPr>
      <w:r>
        <w:rPr>
          <w:b/>
        </w:rPr>
        <w:t xml:space="preserve">[264] </w:t>
      </w:r>
      <w:hyperlink r:id="rId689">
        <w:r>
          <w:rPr>
            <w:color w:val="1155CC"/>
            <w:u w:val="single"/>
          </w:rPr>
          <w:t>NTSR1 G蛋白亚型多效性的动态基础快照</w:t>
        </w:r>
      </w:hyperlink>
    </w:p>
    <w:p>
      <w:pPr>
        <w:spacing w:before="0" w:after="80"/>
      </w:pPr>
      <w:r>
        <w:rPr>
          <w:i/>
          <w:sz w:val="20"/>
        </w:rPr>
        <w:t>EN: Snapshots of the dynamic basis of NTSR1 G protein subtype promiscuity</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90">
        <w:r>
          <w:rPr>
            <w:color w:val="1155CC"/>
            <w:u w:val="single"/>
          </w:rPr>
          <w:t>10.1038/s41586-026-10120-7</w:t>
        </w:r>
      </w:hyperlink>
    </w:p>
    <w:p>
      <w:pPr>
        <w:spacing w:before="0" w:after="120"/>
      </w:pPr>
      <w:r>
        <w:rPr>
          <w:b/>
        </w:rPr>
        <w:t xml:space="preserve">Notes: </w:t>
      </w:r>
      <w:r>
        <w:t>abstract_source=nature_html</w:t>
      </w:r>
    </w:p>
    <w:p>
      <w:pPr>
        <w:spacing w:before="0" w:after="80" w:lineRule="auto" w:line="276"/>
      </w:pPr>
      <w:r>
        <w:rPr>
          <w:b/>
        </w:rPr>
        <w:t xml:space="preserve">摘要（ZH）: </w:t>
      </w:r>
      <w:r>
        <w:t>G蛋白偶联受体（GPCRs）能够通过四个G蛋白α亚基家族进行信号传导。尽管已经解决了数百个无核苷酸的GPCR–G蛋白复合物结构，但G蛋白亚型选择性的机制仍然知之甚少，最近的研究表明动态核苷酸结合中间状态可能起作用1,2。在此，我们使用时间分辨冷冻电子显微镜观察GTP诱导的Gαi1βγ和Gα11βγ异源三聚体与神经降压素受体1（NTSR1）的结合激活，已证明其在G蛋白偶联中高度多变，并在无核苷酸复合物中具有不寻常的构象。我们解析了G蛋白激活途径上的状态集合，结构和它们之间的关系存在差异</w:t>
      </w:r>
    </w:p>
    <w:p>
      <w:pPr>
        <w:spacing w:before="0" w:after="200" w:lineRule="auto" w:line="276"/>
      </w:pPr>
      <w:r>
        <w:rPr>
          <w:b/>
        </w:rPr>
        <w:t xml:space="preserve">Abstract (EN): </w:t>
      </w:r>
      <w:r>
        <w:t>G-protein-coupled receptors (GPCRs) are capable of signalling through four families of G protein α subunits. Although hundreds of nucleotide-free GPCR–G protein complex structures have been solved, the mechanism of G protein subtype selectivity remains poorly understood, with recent studies suggesting a role for dynamic nucleotide-bound intermediate states1,2. Here we use time-resolved cryo-electron microscopy to visualize the GTP-induced activation of Gαi1βγ and Gα11βγ heterotrimers bound to the neurotensin receptor 1 (NTSR1), which has been demonstrated to be highly promiscuous in G protein coupling and to possess unusual conformations in the nucleotide-free complex. We resolve ensembles of states along the G protein activation pathway, with differences in the structures and their relative populations between Gαi1 and Gα11. Structural analysis reveals a key role for several motifs, including intracellular loop 2 (ICL2) and ICL3, in stabilizing the observed intermediate states. Our results are supported by molecular dynamics simulations and kinetic bioluminescence resonance energy transfer experiments, which reveal that the stability of these intermediate states and the signalling of various G proteins are correlated with ICL2 and ICL3 sequences. Single-molecule fluorescence assays of GTP-induced NTSR1–G protein complex dissociation reveal that NTSR1 is liberated significantly faster from Gα11, consistent with the relative lack of stable Gα11-GTP intermediate states compared with Gαi1. These findings highlight that transient intermediate-state complexes along the G protein activation pathway have an important role in G protein selection that cannot be explained by nucleotide-free states alone.</w:t>
      </w:r>
    </w:p>
    <w:p>
      <w:pPr>
        <w:spacing w:before="120" w:after="120"/>
      </w:pPr>
      <w:r>
        <w:rPr>
          <w:sz w:val="18"/>
        </w:rPr>
        <w:t>——————————————————————————————————————————————————————————————————————</w:t>
      </w:r>
    </w:p>
    <w:p>
      <w:pPr>
        <w:spacing w:before="160" w:after="40" w:line="240" w:lineRule="auto"/>
      </w:pPr>
      <w:r>
        <w:rPr>
          <w:b/>
        </w:rPr>
        <w:t xml:space="preserve">[265] </w:t>
      </w:r>
      <w:hyperlink r:id="rId691">
        <w:r>
          <w:rPr>
            <w:color w:val="1155CC"/>
            <w:u w:val="single"/>
          </w:rPr>
          <w:t>通过白细胞介素-2–TGFβ替代激动剂轻松诱导免疫耐受</w:t>
        </w:r>
      </w:hyperlink>
    </w:p>
    <w:p>
      <w:pPr>
        <w:spacing w:before="0" w:after="80"/>
      </w:pPr>
      <w:r>
        <w:rPr>
          <w:i/>
          <w:sz w:val="20"/>
        </w:rPr>
        <w:t>EN: Facile induction of immune tolerance by an interleukin-2–TGFβ surrogate agonist</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92">
        <w:r>
          <w:rPr>
            <w:color w:val="1155CC"/>
            <w:u w:val="single"/>
          </w:rPr>
          <w:t>10.1038/s41586-026-10208-0</w:t>
        </w:r>
      </w:hyperlink>
    </w:p>
    <w:p>
      <w:pPr>
        <w:spacing w:before="0" w:after="120"/>
      </w:pPr>
      <w:r>
        <w:rPr>
          <w:b/>
        </w:rPr>
        <w:t xml:space="preserve">Notes: </w:t>
      </w:r>
      <w:r>
        <w:t>abstract_source=nature_html</w:t>
      </w:r>
    </w:p>
    <w:p>
      <w:pPr>
        <w:spacing w:before="0" w:after="80" w:lineRule="auto" w:line="276"/>
      </w:pPr>
      <w:r>
        <w:rPr>
          <w:b/>
        </w:rPr>
        <w:t xml:space="preserve">摘要（ZH）: </w:t>
      </w:r>
      <w:r>
        <w:t>CD4+调节性T细胞（Treg细胞）对于免疫耐受至关重要1。外周诱导的Treg细胞（pTreg细胞）通过在应对变化的抗原环境时扩展Treg细胞的反应性来补充胸腺Treg细胞2。尽管TGFβ和IL-2在体外协同促进功能性pTreg细胞的发育3,4,5,6，但它们在体内诱导pTreg细胞生成的联合作用尚未被用于耐受性免疫治疗。在此，我们通过创建IL-2和来自蠕虫寄生虫的低亲和力TGFβ模拟激动剂之间的单链融合蛋白，设计了一种IL-2–TGFβ“替代”共激动剂。该IL-2–TGFβ替代物作为AND门控共激动剂发挥作用，并在T细胞中实现IL-2–STAT5和TGFβ–SMAD2/3信号的同时顺式激活</w:t>
      </w:r>
    </w:p>
    <w:p>
      <w:pPr>
        <w:spacing w:before="0" w:after="200" w:lineRule="auto" w:line="276"/>
      </w:pPr>
      <w:r>
        <w:rPr>
          <w:b/>
        </w:rPr>
        <w:t xml:space="preserve">Abstract (EN): </w:t>
      </w:r>
      <w:r>
        <w:t>CD4+ regulatory T cells (Treg cells) are essential for immune tolerance1. Peripherally induced Treg cells (pTreg cells) complement thymic Treg cells by broadening Treg cell reactivity in response to a changing antigenic landscape2. Although both TGFβ and IL-2 synergistically promote functional pTreg cell development in vitro3,4,5,6, their combined roles in inducing pTreg cell generation in vivo have not been exploited for tolerizing immunotherapy. Here we designed an IL-2–TGFβ ‘surrogate’ co-agonist by creating a single-chain fusion protein between IL-2 and a low-affinity TGFβ mimic agonist derived from a helminth parasite7. This IL-2–TGFβ surrogate functions as an AND-gated co-agonist and enabled simultaneous cis-activation of IL-2–STAT5 and TGFβ–SMAD2/3 signalling specifically in T cells that express IL-2 receptors. The IL-2–TGFβ surrogate agonist robustly induced antigen-specific, functional and stable pTreg cells in vivo within peripheral lymphoid organs in mice immunized with ovalbumin (OVA) and myelin oligodendrocyte glycoprotein (MOG)35–55. The induced pTreg cells display an effector-like, actively expanding state with high RORγt expression, enabling efficient migration and suppression of intestinal inflammation. Treatment with this agonist effectively quelled immune activation in mouse models of allergen-induced allergic inflammation and self-antigen-driven autoimmune neuroinflammation, suggesting a strategy for the induction of antigen-specific pTreg cells in vivo to establish immune tolerance in inflammatory, allergic and autoimmune diseases.</w:t>
      </w:r>
    </w:p>
    <w:p>
      <w:pPr>
        <w:spacing w:before="120" w:after="120"/>
      </w:pPr>
      <w:r>
        <w:rPr>
          <w:sz w:val="18"/>
        </w:rPr>
        <w:t>——————————————————————————————————————————————————————————————————————</w:t>
      </w:r>
    </w:p>
    <w:p>
      <w:pPr>
        <w:spacing w:before="160" w:after="40" w:line="240" w:lineRule="auto"/>
      </w:pPr>
      <w:r>
        <w:rPr>
          <w:b/>
        </w:rPr>
        <w:t xml:space="preserve">[266] </w:t>
      </w:r>
      <w:hyperlink r:id="rId693">
        <w:r>
          <w:rPr>
            <w:color w:val="1155CC"/>
            <w:u w:val="single"/>
          </w:rPr>
          <w:t>衰老通过激活综合应激反应促进转移</w:t>
        </w:r>
      </w:hyperlink>
    </w:p>
    <w:p>
      <w:pPr>
        <w:spacing w:before="0" w:after="80"/>
      </w:pPr>
      <w:r>
        <w:rPr>
          <w:i/>
          <w:sz w:val="20"/>
        </w:rPr>
        <w:t>EN: Ageing promotes metastasis via activation of the integrated stress response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94">
        <w:r>
          <w:rPr>
            <w:color w:val="1155CC"/>
            <w:u w:val="single"/>
          </w:rPr>
          <w:t>10.1038/s41586-026-10216-0</w:t>
        </w:r>
      </w:hyperlink>
    </w:p>
    <w:p>
      <w:pPr>
        <w:spacing w:before="0" w:after="120"/>
      </w:pPr>
      <w:r>
        <w:rPr>
          <w:b/>
        </w:rPr>
        <w:t xml:space="preserve">Notes: </w:t>
      </w:r>
      <w:r>
        <w:t>abstract_source=nature_html</w:t>
      </w:r>
    </w:p>
    <w:p>
      <w:pPr>
        <w:spacing w:before="0" w:after="80" w:lineRule="auto" w:line="276"/>
      </w:pPr>
      <w:r>
        <w:rPr>
          <w:b/>
        </w:rPr>
        <w:t xml:space="preserve">摘要（ZH）: </w:t>
      </w:r>
      <w:r>
        <w:t>肺癌主要影响老年人，但生理老化如何影响肿瘤演化仍然知之甚少1。在此，我们展示了老化重新编程KRAS驱动的肺腺癌的进化轨迹，限制原发肿瘤生长，同时通过表观遗传激活整合应激反应（ISR）促进转移性扩散。ISR效应器ATF4驱动上皮和代谢可塑性，赋予转移能力。在机制上，老化的肿瘤细胞对未折叠蛋白反应的PERK–eIF2α分支表现出更高的敏感性，维持持续的ATF4信号。靶向ISR–ATF4的基因或药理学干预消除了这些适应性并限制了扩散，而仅ATF4过表达就足以诱导</w:t>
      </w:r>
    </w:p>
    <w:p>
      <w:pPr>
        <w:spacing w:before="0" w:after="200" w:lineRule="auto" w:line="276"/>
      </w:pPr>
      <w:r>
        <w:rPr>
          <w:b/>
        </w:rPr>
        <w:t xml:space="preserve">Abstract (EN): </w:t>
      </w:r>
      <w:r>
        <w:t>Lung cancer predominantly affects older individuals, yet how physiological ageing influences tumour evolution remains poorly understood1. Here we show that ageing reprograms the evolutionary trajectory of KRAS-driven lung adenocarcinoma, limiting primary tumour growth while promoting metastatic dissemination through epigenetic activation of the integrated stress response (ISR). The ISR effector ATF4 drives epithelial and metabolic plasticity, conferring metastatic competence. Mechanistically, aged tumour cells show increased sensitivity to the PERK–eIF2α arm of the unfolded protein response, sustaining persistent ATF4 signalling. Targeting ISR–ATF4 genetically or pharmacologically abolishes these adaptations and limits dissemination, whereas ATF4 overexpression alone is sufficient to induce metastasis. The ageing–ATF4 axis imposes a dependency on glutamine metabolism, revealing a therapeutically actionable vulnerability. Clinical analyses confirm that ATF4 is enriched in aged tumours and correlates with poor survival and advanced-stage disease. Collectively, these results define epigenetic ISR–ATF4 activation as a causal driver of lineage plasticity and metastasis in aged tumours, revealing a therapeutic opportunity in older patients with lung adenocarcinoma, the most common yet understudied subset of lung cancer.</w:t>
      </w:r>
    </w:p>
    <w:p>
      <w:pPr>
        <w:spacing w:before="120" w:after="120"/>
      </w:pPr>
      <w:r>
        <w:rPr>
          <w:sz w:val="18"/>
        </w:rPr>
        <w:t>——————————————————————————————————————————————————————————————————————</w:t>
      </w:r>
    </w:p>
    <w:p>
      <w:pPr>
        <w:spacing w:before="160" w:after="40" w:line="240" w:lineRule="auto"/>
      </w:pPr>
      <w:r>
        <w:rPr>
          <w:b/>
        </w:rPr>
        <w:t xml:space="preserve">[267] </w:t>
      </w:r>
      <w:hyperlink r:id="rId695">
        <w:r>
          <w:rPr>
            <w:color w:val="1155CC"/>
            <w:u w:val="single"/>
          </w:rPr>
          <w:t>卤化物钙钛矿界面动力学的多模态电子显微镜研究</w:t>
        </w:r>
      </w:hyperlink>
    </w:p>
    <w:p>
      <w:pPr>
        <w:spacing w:before="0" w:after="80"/>
      </w:pPr>
      <w:r>
        <w:rPr>
          <w:i/>
          <w:sz w:val="20"/>
        </w:rPr>
        <w:t>EN: Multimodal electron microscopy of halide perovskite interfacial dynamics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96">
        <w:r>
          <w:rPr>
            <w:color w:val="1155CC"/>
            <w:u w:val="single"/>
          </w:rPr>
          <w:t>10.1038/s41586-026-10238-8</w:t>
        </w:r>
      </w:hyperlink>
    </w:p>
    <w:p>
      <w:pPr>
        <w:spacing w:before="0" w:after="120"/>
      </w:pPr>
      <w:r>
        <w:rPr>
          <w:b/>
        </w:rPr>
        <w:t xml:space="preserve">Notes: </w:t>
      </w:r>
      <w:r>
        <w:t>abstract_source=nature_html</w:t>
      </w:r>
    </w:p>
    <w:p>
      <w:pPr>
        <w:spacing w:before="0" w:after="80" w:lineRule="auto" w:line="276"/>
      </w:pPr>
      <w:r>
        <w:rPr>
          <w:b/>
        </w:rPr>
        <w:t xml:space="preserve">摘要（ZH）: </w:t>
      </w:r>
      <w:r>
        <w:t>卤化物钙钛矿发光二极管承诺高效1,2,3、低成本光电子学，但其操作不稳定性仍然是实际应用的关键障碍。在此，我们开发了一种多模态原位电子显微镜方法，结合了四维扫描透射电子显微镜、能量色散X射线光谱和原子分辨率成像，以纳米级精度直接可视化工作中的卤化物钙钛矿发光二极管的结构和化学演变。我们的原位偏置测量揭示了在传输层界面处启动的纳米级结构和化学转变，包括金属铅和富铅二次相的形成，以及应力驱动的晶粒破碎。在偏置时，我们观察到</w:t>
      </w:r>
    </w:p>
    <w:p>
      <w:pPr>
        <w:spacing w:before="0" w:after="200" w:lineRule="auto" w:line="276"/>
      </w:pPr>
      <w:r>
        <w:rPr>
          <w:b/>
        </w:rPr>
        <w:t xml:space="preserve">Abstract (EN): </w:t>
      </w:r>
      <w:r>
        <w:t>Halide perovskite light-emitting diodes promise high-efficiency1,2,3, low-cost optoelectronics, yet their operational instability remains a critical barrier to practical deployment. Here we develop a multimodal in situ electron microscopy approach that integrates four-dimensional scanning transmission electron microscopy, energy-dispersive X-ray spectroscopy and atomic-resolution imaging to directly visualize structural and chemical evolution in a working halide perovskite light-emitting diode with nanometre precision. Our in situ biasing measurements uncover nanoscale structural and chemical transformations initiated at transport layer interfaces, including the formation of metallic lead and lead-rich secondary phases, as well as strain-driven grain fragmentation. On biasing, we observe the partial transformation of the metallic Al contact to insulating AlCl3. Crucially, whereas the bulk of the perovskite emitter remains relatively intact, our experiment shows that degradation is localized at interfaces. By comparing in situ and ex situ measurements, these results establish a mechanistic link between interfacial strain, ionic transport and electrochemical reactions in working devices, and provide a broadly applicable framework for nanoscale degradation analysis in complex multilayered optoelectronic systems using multimodal in situ biasing microscopy.</w:t>
      </w:r>
    </w:p>
    <w:p>
      <w:pPr>
        <w:spacing w:before="120" w:after="120"/>
      </w:pPr>
      <w:r>
        <w:rPr>
          <w:sz w:val="18"/>
        </w:rPr>
        <w:t>——————————————————————————————————————————————————————————————————————</w:t>
      </w:r>
    </w:p>
    <w:p>
      <w:pPr>
        <w:spacing w:before="160" w:after="40" w:line="240" w:lineRule="auto"/>
      </w:pPr>
      <w:r>
        <w:rPr>
          <w:b/>
        </w:rPr>
        <w:t xml:space="preserve">[268] </w:t>
      </w:r>
      <w:hyperlink r:id="rId697">
        <w:r>
          <w:rPr>
            <w:color w:val="1155CC"/>
            <w:u w:val="single"/>
          </w:rPr>
          <w:t>Lense–Thirring进动磁星引擎驱动超亮超新星</w:t>
        </w:r>
      </w:hyperlink>
    </w:p>
    <w:p>
      <w:pPr>
        <w:spacing w:before="0" w:after="80"/>
      </w:pPr>
      <w:r>
        <w:rPr>
          <w:i/>
          <w:sz w:val="20"/>
        </w:rPr>
        <w:t>EN: Lense–Thirring precessing magnetar engine drives a superluminous supernova</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698">
        <w:r>
          <w:rPr>
            <w:color w:val="1155CC"/>
            <w:u w:val="single"/>
          </w:rPr>
          <w:t>10.1038/s41586-026-10151-0</w:t>
        </w:r>
      </w:hyperlink>
    </w:p>
    <w:p>
      <w:pPr>
        <w:spacing w:before="0" w:after="120"/>
      </w:pPr>
      <w:r>
        <w:rPr>
          <w:b/>
        </w:rPr>
        <w:t xml:space="preserve">Notes: </w:t>
      </w:r>
      <w:r>
        <w:t>abstract_source=nature_html</w:t>
      </w:r>
    </w:p>
    <w:p>
      <w:pPr>
        <w:spacing w:before="0" w:after="80" w:lineRule="auto" w:line="276"/>
      </w:pPr>
      <w:r>
        <w:rPr>
          <w:b/>
        </w:rPr>
        <w:t xml:space="preserve">摘要（ZH）: </w:t>
      </w:r>
      <w:r>
        <w:t>I型超亮超新星（SLSNe-I）的亮度至少比标准超新星高一个数量级，其光度的能量来源仍然未知1,2,3。SLSNe-I的中心引擎被认为是磁星4,5，但大多数SLSNe-I的光变曲线有几个无法用标准磁星模型解释的波动6,7,8。现有对波动的解释要么调节引擎光度，要么涉及与星周物质（CSM）的相互作用。对有限样本的SLSN-I光变曲线的调查没有发现支持任何一种情景的有力证据7,9，使得光变曲线波动的性质和磁星模型的适用性仍未解决。在此，我们报告了一次SLSN-I的高频多波段观测，清晰地显示出‘啁啾’（即，递减</w:t>
      </w:r>
    </w:p>
    <w:p>
      <w:pPr>
        <w:spacing w:before="0" w:after="200" w:lineRule="auto" w:line="276"/>
      </w:pPr>
      <w:r>
        <w:rPr>
          <w:b/>
        </w:rPr>
        <w:t xml:space="preserve">Abstract (EN): </w:t>
      </w:r>
      <w:r>
        <w:t>Type I superluminous supernovae (SLSNe-I) are at least an order of magnitude brighter than standard SNe, with the power source for their luminosity still unknown1,2,3. The central engines of SLSNe-I are suggested to be magnetars4,5 but most of the SLSNe-I light curves have several bumps that are unexplained by the standard magnetar model6,7,8. Existing explanations for the bumps either modulate the engine luminosity or invoke interactions with circumstellar material (CSM). Surveys of the limited sample of SLSN-I light curves find no compelling evidence favouring either scenario7,9, leaving both the nature of the light-curve fluctuations and the applicability of the magnetar model unresolved. Here we report high-cadence multiband observations of a SLSN-I with clear ‘chirped’ (that is, decreasing period) light-curve bumps that can be directly linked to the properties of the magnetar central engine. Our observations are consistent with a magnetar centrally located within the expanding supernova ejecta, surrounded by an infalling accretion disk undergoing Lense–Thirring precession. Our analysis demonstrates that the light curve and bump frequency independently and self-consistently constrain the magnetar spin period to P = 4.2 ± 0.2 ms and the magnetic-field strength to B = (1.6 ± 0.1) × 1014 G. These results provide the first observational evidence of the Lense–Thirring effect in the environment of a magnetar and confirm the magnetar spin-down model as an explanation for the extreme luminosity observed in SLSNe-I. We anticipate that this discovery will create avenues for testing general relativity in a new regime—the violent centres of young SNe.</w:t>
      </w:r>
    </w:p>
    <w:p>
      <w:pPr>
        <w:spacing w:before="120" w:after="120"/>
      </w:pPr>
      <w:r>
        <w:rPr>
          <w:sz w:val="18"/>
        </w:rPr>
        <w:t>——————————————————————————————————————————————————————————————————————</w:t>
      </w:r>
    </w:p>
    <w:p>
      <w:pPr>
        <w:spacing w:before="160" w:after="40" w:line="240" w:lineRule="auto"/>
      </w:pPr>
      <w:r>
        <w:rPr>
          <w:b/>
        </w:rPr>
        <w:t xml:space="preserve">[269] </w:t>
      </w:r>
      <w:hyperlink r:id="rId699">
        <w:r>
          <w:rPr>
            <w:color w:val="1155CC"/>
            <w:u w:val="single"/>
          </w:rPr>
          <w:t>劳动力准备：扩大气候技术规模的缺失杠杆</w:t>
        </w:r>
      </w:hyperlink>
    </w:p>
    <w:p>
      <w:pPr>
        <w:spacing w:before="0" w:after="80"/>
      </w:pPr>
      <w:r>
        <w:rPr>
          <w:i/>
          <w:sz w:val="20"/>
        </w:rPr>
        <w:t>EN: Workforce Readiness: The Missing Lever for Scaling Climate Technologies</w:t>
      </w:r>
    </w:p>
    <w:p>
      <w:pPr>
        <w:spacing w:before="0" w:after="120"/>
      </w:pPr>
      <w:r>
        <w:rPr>
          <w:b/>
        </w:rPr>
        <w:t xml:space="preserve">Source: </w:t>
      </w:r>
      <w:r>
        <w:t>RSC - Energy Environ. Sci. latest articles</w:t>
      </w:r>
      <w:r>
        <w:t xml:space="preserve">    </w:t>
      </w:r>
      <w:r>
        <w:rPr>
          <w:b/>
        </w:rPr>
        <w:t xml:space="preserve">Pub date: </w:t>
      </w:r>
      <w:r>
        <w:t>2026-03-11 00:00:00+00:00</w:t>
      </w:r>
    </w:p>
    <w:p>
      <w:pPr>
        <w:spacing w:before="0" w:after="120"/>
      </w:pPr>
      <w:r>
        <w:rPr>
          <w:b/>
        </w:rPr>
        <w:t xml:space="preserve">Notes: </w:t>
      </w:r>
      <w:r>
        <w:t>abstract_source=rsc_html</w:t>
      </w:r>
    </w:p>
    <w:p>
      <w:pPr>
        <w:spacing w:before="0" w:after="80" w:lineRule="auto" w:line="276"/>
      </w:pPr>
      <w:r>
        <w:rPr>
          <w:b/>
        </w:rPr>
        <w:t xml:space="preserve">摘要（ZH）: </w:t>
      </w:r>
      <w:r>
        <w:t>扩大气候技术不仅需要资本和创新，还需要人力。劳动力准备已成为早期气候技术能否成功实现商业部署的关键但尚未充分发展的决定因素。本文的观点是通过与核能、地热、生物制造、碳管理和能源存储领域的企业家、运营商、投资者和政策制定者的广泛接触得出的。我们强调了早期政策流利度、跨学科灵活性、技能贸易、工厂运营和商业领导力等方面的普遍差距——所有这些都影响部署的速度和成功。我们认为，各级教育和劳动力系统仍然与实际商业化需求不匹配。我们提出了针对社区的策略</w:t>
      </w:r>
    </w:p>
    <w:p>
      <w:pPr>
        <w:spacing w:before="0" w:after="200" w:lineRule="auto" w:line="276"/>
      </w:pPr>
      <w:r>
        <w:rPr>
          <w:b/>
        </w:rPr>
        <w:t xml:space="preserve">Abstract (EN): </w:t>
      </w:r>
      <w:r>
        <w:t>Scaling climate technologies requires not only capital and innovation but people. Workforce readiness has emerged as a critical yet underdeveloped determinant of whether early-stage climate technologies successfully reach commercial deployment. This Opinion is informed by extensive engagement with entrepreneurs, operators, investors, and policymakers across nuclear, geothermal, biomanufacturing, carbon management, and energy storage. We highlight cross-cutting gaps in early-stage policy fluency, interdisciplinary agility, skilled trades, plant operations, and commercial leadership — all of which shape the pace and success of deployment. We argue that education and workforce systems at all levels remain mismatched to real commercialization needs. We propose targeted strategies for community colleges, universities, and executive training programs to align skills with emerging industry demand. Strengthening workforce pipelines is one of the most powerful and underused levers to accelerate climate technology scale-up.</w:t>
      </w:r>
    </w:p>
    <w:p>
      <w:pPr>
        <w:spacing w:before="120" w:after="120"/>
      </w:pPr>
      <w:r>
        <w:rPr>
          <w:sz w:val="18"/>
        </w:rPr>
        <w:t>——————————————————————————————————————————————————————————————————————</w:t>
      </w:r>
    </w:p>
    <w:p>
      <w:pPr>
        <w:spacing w:before="160" w:after="40" w:line="240" w:lineRule="auto"/>
      </w:pPr>
      <w:r>
        <w:rPr>
          <w:b/>
        </w:rPr>
        <w:t xml:space="preserve">[270] </w:t>
      </w:r>
      <w:hyperlink r:id="rId700">
        <w:r>
          <w:rPr>
            <w:color w:val="1155CC"/>
            <w:u w:val="single"/>
          </w:rPr>
          <w:t>磁性石墨烯纳米结构中的设计π磁性：进展与未来展望</w:t>
        </w:r>
      </w:hyperlink>
    </w:p>
    <w:p>
      <w:pPr>
        <w:spacing w:before="0" w:after="80"/>
      </w:pPr>
      <w:r>
        <w:rPr>
          <w:i/>
          <w:sz w:val="20"/>
        </w:rPr>
        <w:t>EN: Designer π-magnetism in magnetic graphene nanostructures: advances and future perspectives</w:t>
      </w:r>
    </w:p>
    <w:p>
      <w:pPr>
        <w:spacing w:before="0" w:after="120"/>
      </w:pPr>
      <w:r>
        <w:rPr>
          <w:b/>
        </w:rPr>
        <w:t xml:space="preserve">Source: </w:t>
      </w:r>
      <w:r>
        <w:t>National Science Review Advance Access</w:t>
      </w:r>
      <w:r>
        <w:t xml:space="preserve">    </w:t>
      </w:r>
      <w:r>
        <w:rPr>
          <w:b/>
        </w:rPr>
        <w:t xml:space="preserve">Pub date: </w:t>
      </w:r>
      <w:r>
        <w:t>2026-03-11 00:00:00+00:00</w:t>
      </w:r>
      <w:r>
        <w:t xml:space="preserve">    </w:t>
      </w:r>
      <w:r>
        <w:rPr>
          <w:b/>
        </w:rPr>
        <w:t xml:space="preserve">DOI: </w:t>
      </w:r>
      <w:hyperlink r:id="rId701">
        <w:r>
          <w:rPr>
            <w:color w:val="1155CC"/>
            <w:u w:val="single"/>
          </w:rPr>
          <w:t>10.1093/nsr/nwag157</w:t>
        </w:r>
      </w:hyperlink>
    </w:p>
    <w:p>
      <w:pPr>
        <w:spacing w:before="0" w:after="120"/>
      </w:pPr>
      <w:r>
        <w:rPr>
          <w:b/>
        </w:rPr>
        <w:t xml:space="preserve">Notes: </w:t>
      </w:r>
      <w:r>
        <w:t>abstract_source=rss_oup</w:t>
      </w:r>
    </w:p>
    <w:p>
      <w:pPr>
        <w:spacing w:before="0" w:after="80" w:lineRule="auto" w:line="276"/>
      </w:pPr>
      <w:r>
        <w:rPr>
          <w:b/>
        </w:rPr>
        <w:t xml:space="preserve">摘要（ZH）: </w:t>
      </w:r>
      <w:r>
        <w:t>磁性石墨烯纳米结构（MGNs）代表了分子量子材料中快速发展的前沿，以π</w:t>
      </w:r>
    </w:p>
    <w:p>
      <w:pPr>
        <w:spacing w:before="0" w:after="200" w:lineRule="auto" w:line="276"/>
      </w:pPr>
      <w:r>
        <w:rPr>
          <w:b/>
        </w:rPr>
        <w:t xml:space="preserve">Abstract (EN): </w:t>
      </w:r>
      <w:r>
        <w:t>Magnetic graphene nanostructures (MGNs) represent a rapidly advancing frontier in molecular quantum materials, distinguished by π</w:t>
      </w:r>
    </w:p>
    <w:p>
      <w:pPr>
        <w:spacing w:before="120" w:after="120"/>
      </w:pPr>
      <w:r>
        <w:rPr>
          <w:sz w:val="18"/>
        </w:rPr>
        <w:t>——————————————————————————————————————————————————————————————————————</w:t>
      </w:r>
    </w:p>
    <w:p>
      <w:pPr>
        <w:spacing w:before="160" w:after="40" w:line="240" w:lineRule="auto"/>
      </w:pPr>
      <w:r>
        <w:rPr>
          <w:b/>
        </w:rPr>
        <w:t xml:space="preserve">[271] </w:t>
      </w:r>
      <w:hyperlink r:id="rId702">
        <w:r>
          <w:rPr>
            <w:color w:val="1155CC"/>
            <w:u w:val="single"/>
          </w:rPr>
          <w:t>超亮超新星像陀螺一样摇摆</w:t>
        </w:r>
      </w:hyperlink>
    </w:p>
    <w:p>
      <w:pPr>
        <w:spacing w:before="0" w:after="80"/>
      </w:pPr>
      <w:r>
        <w:rPr>
          <w:i/>
          <w:sz w:val="20"/>
        </w:rPr>
        <w:t>EN: Ultra-bright supernova wobbles like a spinning top</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03">
        <w:r>
          <w:rPr>
            <w:color w:val="1155CC"/>
            <w:u w:val="single"/>
          </w:rPr>
          <w:t>10.1038/d41586-026-00490-3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04">
        <w:r>
          <w:rPr>
            <w:color w:val="1155CC"/>
            <w:u w:val="single"/>
          </w:rPr>
          <w:t>‘科学支持’补充剂背后的科学是什么？</w:t>
        </w:r>
      </w:hyperlink>
    </w:p>
    <w:p>
      <w:pPr>
        <w:spacing w:before="0" w:after="80"/>
      </w:pPr>
      <w:r>
        <w:rPr>
          <w:i/>
          <w:sz w:val="20"/>
        </w:rPr>
        <w:t>EN: What is the science behind ‘science-backed’ supplements?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05">
        <w:r>
          <w:rPr>
            <w:color w:val="1155CC"/>
            <w:u w:val="single"/>
          </w:rPr>
          <w:t>10.1038/d41586-026-00707-5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706">
        <w:r>
          <w:rPr>
            <w:color w:val="1155CC"/>
            <w:u w:val="single"/>
          </w:rPr>
          <w:t>在Au(111)表面合成和开壳[3]三角形融合卟啉的界面电荷重新分布</w:t>
        </w:r>
      </w:hyperlink>
    </w:p>
    <w:p>
      <w:pPr>
        <w:spacing w:before="0" w:after="80"/>
      </w:pPr>
      <w:r>
        <w:rPr>
          <w:i/>
          <w:sz w:val="20"/>
        </w:rPr>
        <w:t>EN: On-surface synthesis and interfacial charge redistribution of open-shell [3]triangulene-fused porphyrins on Au(111)</w:t>
      </w:r>
    </w:p>
    <w:p>
      <w:pPr>
        <w:spacing w:before="0" w:after="120"/>
      </w:pPr>
      <w:r>
        <w:rPr>
          <w:b/>
        </w:rPr>
        <w:t xml:space="preserve">Source: </w:t>
      </w:r>
      <w:r>
        <w:t>National Science Review Advance Access</w:t>
      </w:r>
      <w:r>
        <w:t xml:space="preserve">    </w:t>
      </w:r>
      <w:r>
        <w:rPr>
          <w:b/>
        </w:rPr>
        <w:t xml:space="preserve">Pub date: </w:t>
      </w:r>
      <w:r>
        <w:t>2026-03-11 00:00:00+00:00</w:t>
      </w:r>
      <w:r>
        <w:t xml:space="preserve">    </w:t>
      </w:r>
      <w:r>
        <w:rPr>
          <w:b/>
        </w:rPr>
        <w:t xml:space="preserve">DOI: </w:t>
      </w:r>
      <w:hyperlink r:id="rId707">
        <w:r>
          <w:rPr>
            <w:color w:val="1155CC"/>
            <w:u w:val="single"/>
          </w:rPr>
          <w:t>10.1093/nsr/nwag155</w:t>
        </w:r>
      </w:hyperlink>
    </w:p>
    <w:p>
      <w:pPr>
        <w:spacing w:before="0" w:after="120"/>
      </w:pPr>
      <w:r>
        <w:rPr>
          <w:b/>
        </w:rPr>
        <w:t xml:space="preserve">Notes: </w:t>
      </w:r>
      <w:r>
        <w:t>abstract_source=rss_oup</w:t>
      </w:r>
    </w:p>
    <w:p>
      <w:pPr>
        <w:spacing w:before="0" w:after="80" w:lineRule="auto" w:line="276"/>
      </w:pPr>
      <w:r>
        <w:rPr>
          <w:b/>
        </w:rPr>
        <w:t xml:space="preserve">摘要（ZH）: </w:t>
      </w:r>
      <w:r>
        <w:t>卟啉-纳米石墨烯（Por-NG）杂化物的表面合成实现了对π的系统控制</w:t>
      </w:r>
    </w:p>
    <w:p>
      <w:pPr>
        <w:spacing w:before="0" w:after="200" w:lineRule="auto" w:line="276"/>
      </w:pPr>
      <w:r>
        <w:rPr>
          <w:b/>
        </w:rPr>
        <w:t xml:space="preserve">Abstract (EN): </w:t>
      </w:r>
      <w:r>
        <w:t>The on-surface synthesis of porphyrin-nanographene (Por-NG) hybrids enables systematic control of π</w:t>
      </w:r>
    </w:p>
    <w:p>
      <w:pPr>
        <w:spacing w:before="120" w:after="120"/>
      </w:pPr>
      <w:r>
        <w:rPr>
          <w:sz w:val="18"/>
        </w:rPr>
        <w:t>——————————————————————————————————————————————————————————————————————</w:t>
      </w:r>
    </w:p>
    <w:p>
      <w:pPr>
        <w:spacing w:before="160" w:after="40" w:line="240" w:lineRule="auto"/>
      </w:pPr>
      <w:r>
        <w:rPr>
          <w:b/>
        </w:rPr>
        <w:t xml:space="preserve">[274] </w:t>
      </w:r>
      <w:hyperlink r:id="rId708">
        <w:r>
          <w:rPr>
            <w:color w:val="1155CC"/>
            <w:u w:val="single"/>
          </w:rPr>
          <w:t>螺旋线圈NLR激活后辅助NLR抗性体簇的组装</w:t>
        </w:r>
      </w:hyperlink>
    </w:p>
    <w:p>
      <w:pPr>
        <w:spacing w:before="0" w:after="80"/>
      </w:pPr>
      <w:r>
        <w:rPr>
          <w:i/>
          <w:sz w:val="20"/>
        </w:rPr>
        <w:t>EN: Assembly of helper NLR resistosome clusters upon activation of a coiled-coil NLR</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09">
        <w:r>
          <w:rPr>
            <w:color w:val="1155CC"/>
            <w:u w:val="single"/>
          </w:rPr>
          <w:t>10.1038/s41586-026-10215-1</w:t>
        </w:r>
      </w:hyperlink>
    </w:p>
    <w:p>
      <w:pPr>
        <w:spacing w:before="0" w:after="120"/>
      </w:pPr>
      <w:r>
        <w:rPr>
          <w:b/>
        </w:rPr>
        <w:t xml:space="preserve">Notes: </w:t>
      </w:r>
      <w:r>
        <w:t>abstract_source=nature_html</w:t>
      </w:r>
    </w:p>
    <w:p>
      <w:pPr>
        <w:spacing w:before="0" w:after="80" w:lineRule="auto" w:line="276"/>
      </w:pPr>
      <w:r>
        <w:rPr>
          <w:b/>
        </w:rPr>
        <w:t xml:space="preserve">摘要（ZH）: </w:t>
      </w:r>
      <w:r>
        <w:t>植物核苷酸结合富亮氨酸重复（NLR）免疫受体检测病原体效应因子并激活免疫1。卷曲螺旋NLR（CNLs）在质膜（PM）中形成Ca2+可渗透通道的抵抗体2,3,4。然而，抵抗体激活细胞死亡的机制仍不清楚。在此，我们报告CNL SUPPRESSOR OF mkk1 mkk2 2（SUMM2），与使用MADA基序穿透PM的典型CNLs不同，通过N-肉豆蔻酰化锚定到PM，这是许多CNLs的共同特征。通过N-肉豆蔻酰化的PM定位对于SUMM2诱导的细胞死亡至关重要。激活后，SUMM2促进类脂酶蛋白ENHANCED DISEASE SUSCEPTIBILITY 1（EDS1）和PHYTOALEXIN DEFICIENT 4（PAD4）与辅助NLR-ACTIVATED DISEASE RESISTANCE 1-LIKE 1（AD</w:t>
      </w:r>
    </w:p>
    <w:p>
      <w:pPr>
        <w:spacing w:before="0" w:after="200" w:lineRule="auto" w:line="276"/>
      </w:pPr>
      <w:r>
        <w:rPr>
          <w:b/>
        </w:rPr>
        <w:t xml:space="preserve">Abstract (EN): </w:t>
      </w:r>
      <w:r>
        <w:t>Plant nucleotide-binding leucine-rich repeat (NLR) immune receptors detect pathogen effectors and activate immunity1. Coiled-coil NLRs (CNLs) form resistosomes as Ca2+-permeable channels in the plasma membrane (PM)2,3,4. However, the mechanism by which resistosomes activate cell death remains unclear. Here we report that the CNL SUPPRESSOR OF mkk1 mkk2 2 (SUMM2), unlike canonical CNLs that use a MADA motif to penetrate the PM5, tethers to the PM through N-myristoylation, a common feature among many CNLs. PM targeting via N-myristoylation is essential for SUMM2-induced cell death. Upon activation, SUMM2 promotes the association of the lipase-like proteins ENHANCED DISEASE SUSCEPTIBILITY 1 (EDS1) and PHYTOALEXIN DEFICIENT 4 (PAD4) with the helper NLR-ACTIVATED DISEASE RESISTANCE 1-LIKE 1 (ADR1-L1). Furthermore, active SUMM2 induces the clustering of multiple ADR1-L1 resistosomes into a ring-like assembly colocalized with the EDS1–PAD4 complex, and the EDS1–PAD4–ADR1 module is essential for SUMM2-activated cell death. Together, these findings reveal that N-myristoylation-mediated PM targeting of SUMM2 promotes the assembly of higher-order EDS1–PAD4–ADR1-L1 resistosome clusters for cell death initiation.</w:t>
      </w:r>
    </w:p>
    <w:p>
      <w:pPr>
        <w:spacing w:before="120" w:after="120"/>
      </w:pPr>
      <w:r>
        <w:rPr>
          <w:sz w:val="18"/>
        </w:rPr>
        <w:t>——————————————————————————————————————————————————————————————————————</w:t>
      </w:r>
    </w:p>
    <w:p>
      <w:pPr>
        <w:spacing w:before="160" w:after="40" w:line="240" w:lineRule="auto"/>
      </w:pPr>
      <w:r>
        <w:rPr>
          <w:b/>
        </w:rPr>
        <w:t xml:space="preserve">[275] </w:t>
      </w:r>
      <w:hyperlink r:id="rId710">
        <w:r>
          <w:rPr>
            <w:color w:val="1155CC"/>
            <w:u w:val="single"/>
          </w:rPr>
          <w:t>通过临床监测捕捉动态噬菌体-病原体共同进化</w:t>
        </w:r>
      </w:hyperlink>
    </w:p>
    <w:p>
      <w:pPr>
        <w:spacing w:before="0" w:after="80"/>
      </w:pPr>
      <w:r>
        <w:rPr>
          <w:i/>
          <w:sz w:val="20"/>
        </w:rPr>
        <w:t>EN: Capturing dynamic phage–pathogen coevolution by clinical surveillance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11">
        <w:r>
          <w:rPr>
            <w:color w:val="1155CC"/>
            <w:u w:val="single"/>
          </w:rPr>
          <w:t>10.1038/s41586-026-10136-z</w:t>
        </w:r>
      </w:hyperlink>
    </w:p>
    <w:p>
      <w:pPr>
        <w:spacing w:before="0" w:after="120"/>
      </w:pPr>
      <w:r>
        <w:rPr>
          <w:b/>
        </w:rPr>
        <w:t xml:space="preserve">Notes: </w:t>
      </w:r>
      <w:r>
        <w:t>abstract_source=nature_html</w:t>
      </w:r>
    </w:p>
    <w:p>
      <w:pPr>
        <w:spacing w:before="0" w:after="80" w:lineRule="auto" w:line="276"/>
      </w:pPr>
      <w:r>
        <w:rPr>
          <w:b/>
        </w:rPr>
        <w:t xml:space="preserve">摘要（ZH）: </w:t>
      </w:r>
      <w:r>
        <w:t>细菌利用多样的防御系统来保护自己免受噬菌体捕食1，其中许多是通过水平传递的移动遗传元件编码的2。反过来，噬菌体进化出反防御机制3，推动了一场在人体疾病背景下尚未充分探索的动态军备竞赛。对于腹泻病原体霍乱弧菌，患者粪便中其溶菌噬菌体ICP1的较高负担与疾病严重程度降低相关4。然而，尚未证明溶菌噬菌体驱动流行性霍乱弧菌选择的直接分子证据。在此，通过在霍乱流行的孟加拉国进行的临床监测，我们捕捉到寄生性抗噬菌体移动遗传元件PLE11的获取，该元件引发了一场选择性扫荡，恰逢最近记录中最大规模的霍乱爆发。PLE</w:t>
      </w:r>
    </w:p>
    <w:p>
      <w:pPr>
        <w:spacing w:before="0" w:after="200" w:lineRule="auto" w:line="276"/>
      </w:pPr>
      <w:r>
        <w:rPr>
          <w:b/>
        </w:rPr>
        <w:t xml:space="preserve">Abstract (EN): </w:t>
      </w:r>
      <w:r>
        <w:t>Bacteria harness diverse defence systems that protect against phage predation1, many of which are encoded on horizontally transmitted mobile genetic elements2. In turn, phages evolve counter-defences3, driving a dynamic arms race that remains underexplored in human disease contexts. For the diarrhoeal pathogen Vibrio cholerae, a higher burden of its lytic phage ICP1 in patient stool correlates with reduced disease severity4. However, direct molecular evidence of lytic phages driving selection of epidemic V. cholerae has not been demonstrated. Here, through clinical surveillance in cholera-endemic Bangladesh, we capture the acquisition of a parasitic anti-phage mobile genetic element, PLE11, that initiated a selective sweep coinciding with the largest cholera outbreak in recent records. PLE11 showed potent anti-phage activity against cocirculating ICP1, explaining its rapid and dominating emergence. We identify PLE11-encoded Rta as the defence responsible and provide evidence that Rta restricts phage tail assembly. Using experimental evolution, we predict phage counteradaptations against PLE11 and document the eventual emergence and selection of clinical ICP1 that achieve a convergent evolutionary outcome. Finally, we discover how PLEs balance their dependence on ICP1 tail proteins for horizontal transmission with the restriction of phage tail assembly by Rta: PLEs construct chimeric tails composed of both mobile genetic element-encoded and phage-encoded proteins to ensure their transmission. Collectively, our findings reveal the molecular basis of the natural selection of a globally important pathogen and its virus in a clinically relevant context.</w:t>
      </w:r>
    </w:p>
    <w:p>
      <w:pPr>
        <w:spacing w:before="120" w:after="120"/>
      </w:pPr>
      <w:r>
        <w:rPr>
          <w:sz w:val="18"/>
        </w:rPr>
        <w:t>——————————————————————————————————————————————————————————————————————</w:t>
      </w:r>
    </w:p>
    <w:p>
      <w:pPr>
        <w:spacing w:before="160" w:after="40" w:line="240" w:lineRule="auto"/>
      </w:pPr>
      <w:r>
        <w:rPr>
          <w:b/>
        </w:rPr>
        <w:t xml:space="preserve">[276] </w:t>
      </w:r>
      <w:hyperlink r:id="rId712">
        <w:r>
          <w:rPr>
            <w:color w:val="1155CC"/>
            <w:u w:val="single"/>
          </w:rPr>
          <w:t>中国承诺增加数十亿美元的科学支出</w:t>
        </w:r>
      </w:hyperlink>
    </w:p>
    <w:p>
      <w:pPr>
        <w:spacing w:before="0" w:after="80"/>
      </w:pPr>
      <w:r>
        <w:rPr>
          <w:i/>
          <w:sz w:val="20"/>
        </w:rPr>
        <w:t>EN: China pledges billion-dollar spending boost for science</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13">
        <w:r>
          <w:rPr>
            <w:color w:val="1155CC"/>
            <w:u w:val="single"/>
          </w:rPr>
          <w:t>10.1038/d41586-026-00770-y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[277] </w:t>
      </w:r>
      <w:hyperlink r:id="rId714">
        <w:r>
          <w:rPr>
            <w:color w:val="1155CC"/>
            <w:u w:val="single"/>
          </w:rPr>
          <w:t>大规模相干4D成像传感器</w:t>
        </w:r>
      </w:hyperlink>
    </w:p>
    <w:p>
      <w:pPr>
        <w:spacing w:before="0" w:after="80"/>
      </w:pPr>
      <w:r>
        <w:rPr>
          <w:i/>
          <w:sz w:val="20"/>
        </w:rPr>
        <w:t>EN: A large-scale coherent 4D imaging sensor</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15">
        <w:r>
          <w:rPr>
            <w:color w:val="1155CC"/>
            <w:u w:val="single"/>
          </w:rPr>
          <w:t>10.1038/s41586-026-10183-6</w:t>
        </w:r>
      </w:hyperlink>
    </w:p>
    <w:p>
      <w:pPr>
        <w:spacing w:before="0" w:after="120"/>
      </w:pPr>
      <w:r>
        <w:rPr>
          <w:b/>
        </w:rPr>
        <w:t xml:space="preserve">Notes: </w:t>
      </w:r>
      <w:r>
        <w:t>abstract_source=nature_html</w:t>
      </w:r>
    </w:p>
    <w:p>
      <w:pPr>
        <w:spacing w:before="0" w:after="80" w:lineRule="auto" w:line="276"/>
      </w:pPr>
      <w:r>
        <w:rPr>
          <w:b/>
        </w:rPr>
        <w:t xml:space="preserve">摘要（ZH）: </w:t>
      </w:r>
      <w:r>
        <w:t>动态环境的详细和准确的3D映射对于机器与其周围环境的交互1,2,3以及人机交互4,5至关重要。尽管已经做出了相当大的努力来为3D世界创建等效的互补金属氧化物半导体（CMOS）图像传感器，但可扩展的、高性能的、可靠的解决方案仍然难以实现6,7,8,9,10,11。使用频率调制连续波（FMCW）光探测和测距（LiDAR）的焦平面阵列（FPA）传感器显示出满足所有这些要求的潜力，并且还提供径向速度的直接测量作为第四维度。先前的演示12,13虽然有前景，但尚未达到商业应用所需的同时规模和性能。在此我们p</w:t>
      </w:r>
    </w:p>
    <w:p>
      <w:pPr>
        <w:spacing w:before="0" w:after="200" w:lineRule="auto" w:line="276"/>
      </w:pPr>
      <w:r>
        <w:rPr>
          <w:b/>
        </w:rPr>
        <w:t xml:space="preserve">Abstract (EN): </w:t>
      </w:r>
      <w:r>
        <w:t>Detailed and accurate 3D mapping of dynamic environments is essential for machines to interface with their surroundings1,2,3 and for human–machine interaction4,5. Although considerable effort has been made to create the equivalent of the complementary metal–oxide–semiconductor (CMOS) image sensor for the 3D world, scalable, high-performance, reliable solutions have proven elusive6,7,8,9,10,11. Focal plane array (FPA) sensors using frequency-modulated continuous-wave (FMCW) light detection and ranging (LiDAR) have shown potential to meet all of these requirements and also provide direct measurement of radial velocity as a fourth dimension. Previous demonstrations12,13, although promising, have not achieved the simultaneous scale and performance required by commercial applications. Here we present a large-scale, coherent LiDAR FPA enabled by comprehensive chip-scale optoelectronic integration. A 4D imaging camera is built around the FPA and used to acquire point clouds. At the core is a 352 × 176-pixel 2D FMCW LiDAR FPA comprising more than 0.6 million photonic components, all integrated on-chip together with their associated electronics. This represents a five times increase in pixel count with respect to previous demonstrations12. The pixel architecture combines the outbound and inbound optical paths within the pixel in a monostatic configuration, together with coherent detectors and electronics. Frequency-modulated light is directed sequentially to groups of pixels by in-plane thermo-optic switches with integrated electronics for driving and calibration. An integrated serial digital interface controls both optical switching and readout synchronously. Point clouds of objects ranging from 4 to 65 m with per-pixel integration time compatible with frame rates from 3 to 15 frames per second (fps) are shown. This result demonstrates the capabilities of FMCW LiDAR FPA sensors as enablers of ubiquitous, low-cost, compact coherent 4D imaging cameras.</w:t>
      </w:r>
    </w:p>
    <w:p>
      <w:pPr>
        <w:spacing w:before="120" w:after="120"/>
      </w:pPr>
      <w:r>
        <w:rPr>
          <w:sz w:val="18"/>
        </w:rPr>
        <w:t>——————————————————————————————————————————————————————————————————————</w:t>
      </w:r>
    </w:p>
    <w:p>
      <w:pPr>
        <w:spacing w:before="160" w:after="40" w:line="240" w:lineRule="auto"/>
      </w:pPr>
      <w:r>
        <w:rPr>
          <w:b/>
        </w:rPr>
        <w:t xml:space="preserve">[278] </w:t>
      </w:r>
      <w:hyperlink r:id="rId716">
        <w:r>
          <w:rPr>
            <w:color w:val="1155CC"/>
            <w:u w:val="single"/>
          </w:rPr>
          <w:t>G蛋白偶联受体识别和激活的动态基础</w:t>
        </w:r>
      </w:hyperlink>
    </w:p>
    <w:p>
      <w:pPr>
        <w:spacing w:before="0" w:after="80"/>
      </w:pPr>
      <w:r>
        <w:rPr>
          <w:i/>
          <w:sz w:val="20"/>
        </w:rPr>
        <w:t>EN: The dynamic basis of G-protein recognition and activation by a GPCR</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17">
        <w:r>
          <w:rPr>
            <w:color w:val="1155CC"/>
            <w:u w:val="single"/>
          </w:rPr>
          <w:t>10.1038/s41586-026-10228-w</w:t>
        </w:r>
      </w:hyperlink>
    </w:p>
    <w:p>
      <w:pPr>
        <w:spacing w:before="0" w:after="120"/>
      </w:pPr>
      <w:r>
        <w:rPr>
          <w:b/>
        </w:rPr>
        <w:t xml:space="preserve">Notes: </w:t>
      </w:r>
      <w:r>
        <w:t>abstract_source=nature_html</w:t>
      </w:r>
    </w:p>
    <w:p>
      <w:pPr>
        <w:spacing w:before="0" w:after="80" w:lineRule="auto" w:line="276"/>
      </w:pPr>
      <w:r>
        <w:rPr>
          <w:b/>
        </w:rPr>
        <w:t xml:space="preserve">摘要（ZH）: </w:t>
      </w:r>
      <w:r>
        <w:t>G蛋白偶联受体（GPCR）信号通过异三聚体G蛋白发生，其选择性激活导致不同的细胞结果1。尽管已经确定了超过200种GPCR-G蛋白复合物结构2，但这些静态快照对G蛋白结合和解离的动态提供了有限的见解。在此，我们展示了人类神经降压素受体1型（NTSR1）与最小化修饰的Go和Gq的冷冻电子显微镜结构，展示了受体的细胞内表面如何动态重排以适应每种G蛋白亚型。此外，NTSR1-Gi的时间分辨冷冻电子显微镜分析可视化了G蛋白在GDP/GTP结合上的解离过程。通过突变和c补充的超过20个中间体的表征</w:t>
      </w:r>
    </w:p>
    <w:p>
      <w:pPr>
        <w:spacing w:before="0" w:after="200" w:lineRule="auto" w:line="276"/>
      </w:pPr>
      <w:r>
        <w:rPr>
          <w:b/>
        </w:rPr>
        <w:t xml:space="preserve">Abstract (EN): </w:t>
      </w:r>
      <w:r>
        <w:t>G-protein-coupled receptor (GPCR) signalling occurs through heterotrimeric G proteins, whose selective activation leads to distinct cellular outcomes1. Although more than 200 GPCR–G protein complex structures have been determined2, these static snapshots provide limited insight into the dynamics of G-protein association and dissociation. Here we present cryo-electron microscopy structures of human neurotensin receptor type 1 (NTSR1) with minimally modified Go and Gq, showing how the receptor’s intracellular surface dynamically rearranges to accommodate each G-protein subtype. Furthermore, time-resolved cryo-electron microscopy analyses of NTSR1–Gi visualized G-protein dissociation processes on GDP/GTP binding. Characterization of more than 20 intermediates, complemented by mutational and computational analyses, identifies four key mechanistic features. First, GDP/GTP induces Gi release from both canonical and non-canonical active conformations with distinct kinetics. Second, NTSR1 uses common intracellular rearrangements to recognize different G-protein subtypes and to promote activation of a single subtype. Third, separation from Gβγ involves stepwise remodelling of the Gα switches I–III. Finally, Gi dissociates from the receptor through a pathway that is distinct from that of Gs, and the canonical and non-canonical NTSR1–Gi complexes further diverge in their dissociation trajectories. These findings provide a comprehensive framework for understanding GPCR signalling dynamics and guiding signal-targeted therapeutic development.</w:t>
      </w:r>
    </w:p>
    <w:p>
      <w:pPr>
        <w:spacing w:before="120" w:after="120"/>
      </w:pPr>
      <w:r>
        <w:rPr>
          <w:sz w:val="18"/>
        </w:rPr>
        <w:t>——————————————————————————————————————————————————————————————————————</w:t>
      </w:r>
    </w:p>
    <w:p>
      <w:pPr>
        <w:spacing w:before="160" w:after="40" w:line="240" w:lineRule="auto"/>
      </w:pPr>
      <w:r>
        <w:rPr>
          <w:b/>
        </w:rPr>
        <w:t xml:space="preserve">[279] </w:t>
      </w:r>
      <w:hyperlink r:id="rId718">
        <w:r>
          <w:rPr>
            <w:color w:val="1155CC"/>
            <w:u w:val="single"/>
          </w:rPr>
          <w:t>这种鱼不应该存在——克隆脊椎动物的奇怪遗传学</w:t>
        </w:r>
      </w:hyperlink>
    </w:p>
    <w:p>
      <w:pPr>
        <w:spacing w:before="0" w:after="80"/>
      </w:pPr>
      <w:r>
        <w:rPr>
          <w:i/>
          <w:sz w:val="20"/>
        </w:rPr>
        <w:t>EN: This fish shouldn’t exist — the weird genetics of clonal vertebrates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19">
        <w:r>
          <w:rPr>
            <w:color w:val="1155CC"/>
            <w:u w:val="single"/>
          </w:rPr>
          <w:t>10.1038/d41586-026-00798-0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720">
        <w:r>
          <w:rPr>
            <w:color w:val="1155CC"/>
            <w:u w:val="single"/>
          </w:rPr>
          <w:t>幕上室管膜瘤异质性的多维分析</w:t>
        </w:r>
      </w:hyperlink>
    </w:p>
    <w:p>
      <w:pPr>
        <w:spacing w:before="0" w:after="80"/>
      </w:pPr>
      <w:r>
        <w:rPr>
          <w:i/>
          <w:sz w:val="20"/>
        </w:rPr>
        <w:t>EN: Multidimensional profiling of heterogeneity in supratentorial ependymomas</w:t>
      </w:r>
    </w:p>
    <w:p>
      <w:pPr>
        <w:spacing w:before="0" w:after="120"/>
      </w:pPr>
      <w:r>
        <w:rPr>
          <w:b/>
        </w:rPr>
        <w:t xml:space="preserve">Source: </w:t>
      </w:r>
      <w:r>
        <w:t>Nature</w:t>
      </w:r>
      <w:r>
        <w:t xml:space="preserve">    </w:t>
      </w:r>
      <w:r>
        <w:rPr>
          <w:b/>
        </w:rPr>
        <w:t xml:space="preserve">Pub date: </w:t>
      </w:r>
      <w:r>
        <w:t>2026-03-11 00:00:00+00:00</w:t>
      </w:r>
      <w:r>
        <w:t xml:space="preserve">    </w:t>
      </w:r>
      <w:r>
        <w:rPr>
          <w:b/>
        </w:rPr>
        <w:t xml:space="preserve">DOI: </w:t>
      </w:r>
      <w:hyperlink r:id="rId721">
        <w:r>
          <w:rPr>
            <w:color w:val="1155CC"/>
            <w:u w:val="single"/>
          </w:rPr>
          <w:t>10.1038/s41586-026-10214-2</w:t>
        </w:r>
      </w:hyperlink>
    </w:p>
    <w:p>
      <w:pPr>
        <w:spacing w:before="0" w:after="120"/>
      </w:pPr>
      <w:r>
        <w:rPr>
          <w:b/>
        </w:rPr>
        <w:t xml:space="preserve">Notes: </w:t>
      </w:r>
      <w:r>
        <w:t>abstract_source=nature_html</w:t>
      </w:r>
    </w:p>
    <w:p>
      <w:pPr>
        <w:spacing w:before="0" w:after="80" w:lineRule="auto" w:line="276"/>
      </w:pPr>
      <w:r>
        <w:rPr>
          <w:b/>
        </w:rPr>
        <w:t xml:space="preserve">摘要（ZH）: </w:t>
      </w:r>
      <w:r>
        <w:t>幕上室管膜瘤是具有神经发育细胞类型特征的侵袭性儿童脑癌1，并分为分子和临床上不同的亚组2,3，表明其具有不同的发育根源。每个幕上室管膜瘤亚组中异常细胞转化和行为的发育特征以及微环境因素尚不清楚。在此，我们整合了单细胞和空间转录组学，以及体外和体内活细胞成像，以定义幕上室管膜瘤细胞状态、空间组织和在神经微环境中的动态行为。我们发现个别肿瘤亚组具有两种不同的祖细胞样状态——神经上皮样和胚胎样——这让人想起</w:t>
      </w:r>
    </w:p>
    <w:p>
      <w:pPr>
        <w:spacing w:before="0" w:after="200" w:lineRule="auto" w:line="276"/>
      </w:pPr>
      <w:r>
        <w:rPr>
          <w:b/>
        </w:rPr>
        <w:t xml:space="preserve">Abstract (EN): </w:t>
      </w:r>
      <w:r>
        <w:t>Supratentorial ependymomas are aggressive childhood brain cancers that retain features of neurodevelopmental cell types1 and segregate into molecularly and clinically distinct subgroups2,3, suggesting different developmental roots. The developmental signatures, as well as microenvironmental factors, underlying aberrant cellular transformation and behaviour across each supratentorial ependymoma subgroup are unclear. Here we integrated single-cell and spatial transcriptomics, as well as in vitro and in vivo live-cell imaging, to define supratentorial ependymoma cell states, spatial organization and dynamic behaviour within the neural microenvironment. We find that individual tumour subgroups have two distinct progenitor-like cell states—neuroepithelial-like and embryonic-like—that are reminiscent of early human brain development and diverge in the extent of their neuronal or ependymal differentiation. We further identify several modes of spatial organization of these tumours, including a high-order architecture that is influenced by mesenchymal and hypoxia signatures, and local neighbourhood structures. Finally, we identify a role for brain-resident cells in shifting supratentorial ependymoma cellular heterogeneity towards neuronal-like cells that co-opt immature neuronal morphology and migratory mechanisms, and a subset of neuroepithelial-like cells that are both proliferative and highly migratory. Collectively, these findings provide a multidimensional framework to integrate transcriptional and phenotypic characterization of tumour heterogeneity in supratentorial ependymoma and its potential clinical implications.</w:t>
      </w:r>
    </w:p>
    <w:p>
      <w:pPr>
        <w:spacing w:before="120" w:after="120"/>
      </w:pPr>
      <w:r>
        <w:rPr>
          <w:sz w:val="18"/>
        </w:rPr>
        <w:t>——————————————————————————————————————————————————————————————————————</w:t>
      </w:r>
    </w:p>
    <w:p>
      <w:pPr>
        <w:spacing w:before="160" w:after="40" w:line="240" w:lineRule="auto"/>
      </w:pPr>
      <w:r>
        <w:rPr>
          <w:b/>
        </w:rPr>
        <w:t xml:space="preserve">[281] </w:t>
      </w:r>
      <w:hyperlink r:id="rId722">
        <w:r>
          <w:rPr>
            <w:color w:val="1155CC"/>
            <w:u w:val="single"/>
          </w:rPr>
          <w:t>优先考虑人工智能数据中心可能阻碍新房建设，建筑商警告</w:t>
        </w:r>
      </w:hyperlink>
    </w:p>
    <w:p>
      <w:pPr>
        <w:spacing w:before="0" w:after="80"/>
      </w:pPr>
      <w:r>
        <w:rPr>
          <w:i/>
          <w:sz w:val="20"/>
        </w:rPr>
        <w:t>EN: Prioritising AI data centres could block new homes, builders warn</w:t>
      </w:r>
    </w:p>
    <w:p>
      <w:pPr>
        <w:spacing w:before="0" w:after="120"/>
      </w:pPr>
      <w:r>
        <w:rPr>
          <w:b/>
        </w:rPr>
        <w:t xml:space="preserve">Source: </w:t>
      </w:r>
      <w:r>
        <w:t>BBC News</w:t>
      </w:r>
      <w:r>
        <w:t xml:space="preserve">    </w:t>
      </w:r>
      <w:r>
        <w:rPr>
          <w:b/>
        </w:rPr>
        <w:t xml:space="preserve">Pub date: </w:t>
      </w:r>
      <w:r>
        <w:t>2026-03-11 00:11:12+00:00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723">
        <w:r>
          <w:rPr>
            <w:color w:val="1155CC"/>
            <w:u w:val="single"/>
          </w:rPr>
          <w:t>远超人类范围的刺猬听觉秘密被发现</w:t>
        </w:r>
      </w:hyperlink>
    </w:p>
    <w:p>
      <w:pPr>
        <w:spacing w:before="0" w:after="80"/>
      </w:pPr>
      <w:r>
        <w:rPr>
          <w:i/>
          <w:sz w:val="20"/>
        </w:rPr>
        <w:t>EN: Secret of hedgehog hearing discovered at far beyond human range</w:t>
      </w:r>
    </w:p>
    <w:p>
      <w:pPr>
        <w:spacing w:before="0" w:after="120"/>
      </w:pPr>
      <w:r>
        <w:rPr>
          <w:b/>
        </w:rPr>
        <w:t xml:space="preserve">Source: </w:t>
      </w:r>
      <w:r>
        <w:t>BBC News</w:t>
      </w:r>
      <w:r>
        <w:t xml:space="preserve">    </w:t>
      </w:r>
      <w:r>
        <w:rPr>
          <w:b/>
        </w:rPr>
        <w:t xml:space="preserve">Pub date: </w:t>
      </w:r>
      <w:r>
        <w:t>2026-03-11 00:24:19+00:00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724">
        <w:r>
          <w:rPr>
            <w:color w:val="1155CC"/>
            <w:u w:val="single"/>
          </w:rPr>
          <w:t>35年后，搞笑诺贝尔奖颁奖典礼将离开美国</w:t>
        </w:r>
      </w:hyperlink>
    </w:p>
    <w:p>
      <w:pPr>
        <w:spacing w:before="0" w:after="80"/>
      </w:pPr>
      <w:r>
        <w:rPr>
          <w:i/>
          <w:sz w:val="20"/>
        </w:rPr>
        <w:t>EN: After 35 years, Ig Nobel ceremony to leave the U.S.</w:t>
      </w:r>
    </w:p>
    <w:p>
      <w:pPr>
        <w:spacing w:before="0" w:after="120"/>
      </w:pPr>
      <w:r>
        <w:rPr>
          <w:b/>
        </w:rPr>
        <w:t xml:space="preserve">Source: </w:t>
      </w:r>
      <w:r>
        <w:t>Latest News from Science Magazine</w:t>
      </w:r>
      <w:r>
        <w:t xml:space="preserve">    </w:t>
      </w:r>
      <w:r>
        <w:rPr>
          <w:b/>
        </w:rPr>
        <w:t xml:space="preserve">Pub date: </w:t>
      </w:r>
      <w:r>
        <w:t>2026-03-11 01:35:00+00:00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725">
        <w:r>
          <w:rPr>
            <w:color w:val="1155CC"/>
            <w:u w:val="single"/>
          </w:rPr>
          <w:t>在Ag‐Ag4Sn‐SnO2纳米颗粒上从环己酮和硝酸盐进行环境一锅电催化合成己内酰胺</w:t>
        </w:r>
      </w:hyperlink>
    </w:p>
    <w:p>
      <w:pPr>
        <w:spacing w:before="0" w:after="80"/>
      </w:pPr>
      <w:r>
        <w:rPr>
          <w:i/>
          <w:sz w:val="20"/>
        </w:rPr>
        <w:t>EN: Ambient One‐Pot Electrocatalytic Synthesis of Caprolactam From Cyclohexanone and Nitrate Over Ag‐Ag4Sn‐SnO2 Nanoparticles</w:t>
      </w:r>
    </w:p>
    <w:p>
      <w:pPr>
        <w:spacing w:before="0" w:after="120"/>
      </w:pPr>
      <w:r>
        <w:rPr>
          <w:b/>
        </w:rPr>
        <w:t xml:space="preserve">Source: </w:t>
      </w:r>
      <w:r>
        <w:t>Wiley: Angewandte Chemie International Edition: Table of Contents</w:t>
      </w:r>
      <w:r>
        <w:t xml:space="preserve">    </w:t>
      </w:r>
      <w:r>
        <w:rPr>
          <w:b/>
        </w:rPr>
        <w:t xml:space="preserve">Pub date: </w:t>
      </w:r>
      <w:r>
        <w:t>2026-03-11 06:21:54+00:00</w:t>
      </w:r>
      <w:r>
        <w:t xml:space="preserve">    </w:t>
      </w:r>
      <w:r>
        <w:rPr>
          <w:b/>
        </w:rPr>
        <w:t xml:space="preserve">DOI: </w:t>
      </w:r>
      <w:hyperlink r:id="rId726">
        <w:r>
          <w:rPr>
            <w:color w:val="1155CC"/>
            <w:u w:val="single"/>
          </w:rPr>
          <w:t>10.1002/anie.6842784</w:t>
        </w:r>
      </w:hyperlink>
    </w:p>
    <w:p>
      <w:pPr>
        <w:spacing w:before="0" w:after="120"/>
      </w:pPr>
      <w:r>
        <w:rPr>
          <w:b/>
        </w:rPr>
        <w:t xml:space="preserve">Notes: </w:t>
      </w:r>
      <w:r>
        <w:t>abstract_source=crossref</w:t>
      </w:r>
    </w:p>
    <w:p>
      <w:pPr>
        <w:spacing w:before="0" w:after="80" w:lineRule="auto" w:line="276"/>
      </w:pPr>
      <w:r>
        <w:rPr>
          <w:b/>
        </w:rPr>
        <w:t xml:space="preserve">摘要（ZH）: </w:t>
      </w:r>
      <w:r>
        <w:t>摘要 己内酰胺（CPL）是广泛用于汽车、机械和电子产品的尼龙-6单体，传统上通过一个复杂的过程从环己酮（CYC）合成，产生低价值的硫酸铵，导致环境污染。相比之下，电化学方法提供了一种更安全、更环保的从废弃NO3–中一锅合成CPL的方法，但目前，CYC和NO3–的耦合主要产生环己酮肟（CHO），直接生成CPL具有挑战性。在此，我们首次报道了CYC和NO3–的电化学转化</w:t>
      </w:r>
    </w:p>
    <w:p>
      <w:pPr>
        <w:spacing w:before="0" w:after="200" w:lineRule="auto" w:line="276"/>
      </w:pPr>
      <w:r>
        <w:rPr>
          <w:b/>
        </w:rPr>
        <w:t xml:space="preserve">Abstract (EN): </w:t>
      </w:r>
      <w:r>
        <w:t>Caprolactam (CPL), a monomer of nylon‐6 widely used in automotive, machinery, and electronics, is traditionally synthesized from cyclohexanone (CYC) through a complex process that generates low‐value ammonium sulfate, leading to environmental pollution. In contrast, electrochemical methods offer a safer, greener one‐pot synthesis of CPL from waste NO</w:t>
      </w:r>
      <w:r>
        <w:rPr>
          <w:vertAlign w:val="subscript"/>
        </w:rPr>
        <w:t>3</w:t>
      </w:r>
      <w:r>
        <w:t>–</w:t>
      </w:r>
      <w:r>
        <w:t xml:space="preserve"> </w:t>
      </w:r>
      <w:r>
        <w:t>, but currently, the coupling of CYC and NO</w:t>
      </w:r>
      <w:r>
        <w:rPr>
          <w:vertAlign w:val="subscript"/>
        </w:rPr>
        <w:t>3</w:t>
      </w:r>
      <w:r>
        <w:t>–</w:t>
      </w:r>
      <w:r>
        <w:t xml:space="preserve"> </w:t>
      </w:r>
      <w:r>
        <w:t>primarily produces cyclohexanone oxime (CHO), and the direct generation of CPL is challenging. Here, we report for the first time the electrochemical conversion of CYC and NO</w:t>
      </w:r>
      <w:r>
        <w:rPr>
          <w:vertAlign w:val="subscript"/>
        </w:rPr>
        <w:t>3</w:t>
      </w:r>
      <w:r>
        <w:t>–</w:t>
      </w:r>
      <w:r>
        <w:t xml:space="preserve"> </w:t>
      </w:r>
      <w:r>
        <w:t>to high‐value CPL in a one‐pot process under ambient conditions. Using Ag‐Ag</w:t>
      </w:r>
      <w:r>
        <w:rPr>
          <w:vertAlign w:val="subscript"/>
        </w:rPr>
        <w:t>4</w:t>
      </w:r>
      <w:r>
        <w:t>Sn‐SnO</w:t>
      </w:r>
      <w:r>
        <w:rPr>
          <w:vertAlign w:val="subscript"/>
        </w:rPr>
        <w:t>2</w:t>
      </w:r>
      <w:r>
        <w:t>nanoparticle catalysts, we achieved a remarkable 96% yield and 97% selectivity for CPL electrosynthesis. In situ characterizations, control experiments, and theoretical calculations suggested the importance of balanced activation of NO</w:t>
      </w:r>
      <w:r>
        <w:rPr>
          <w:vertAlign w:val="subscript"/>
        </w:rPr>
        <w:t>3</w:t>
      </w:r>
      <w:r>
        <w:t>–</w:t>
      </w:r>
      <w:r>
        <w:t xml:space="preserve"> </w:t>
      </w:r>
      <w:r>
        <w:t>and CYC substrates on the Ag‐Ag</w:t>
      </w:r>
      <w:r>
        <w:rPr>
          <w:vertAlign w:val="subscript"/>
        </w:rPr>
        <w:t>4</w:t>
      </w:r>
      <w:r>
        <w:t>Sn‐SnO</w:t>
      </w:r>
      <w:r>
        <w:rPr>
          <w:vertAlign w:val="subscript"/>
        </w:rPr>
        <w:t>2</w:t>
      </w:r>
      <w:r>
        <w:t>catalysts for achieving high‐efficient CPL electrosynthesis. The method also exhibits broad versatility in synthesizing various amide compounds, including paracetamol for antipyretic. Notably, scaling up the reactor enabled a high CPL production rate of 3.41 g h</w:t>
      </w:r>
      <w:r>
        <w:t xml:space="preserve"> </w:t>
      </w:r>
      <w:r>
        <w:t>−1</w:t>
      </w:r>
      <w:r>
        <w:t xml:space="preserve"> </w:t>
      </w:r>
      <w:r>
        <w:t>g</w:t>
      </w:r>
      <w:r>
        <w:t xml:space="preserve"> </w:t>
      </w:r>
      <w:r>
        <w:t>cat</w:t>
      </w:r>
      <w:r>
        <w:t xml:space="preserve"> </w:t>
      </w:r>
      <w:r>
        <w:t>−1</w:t>
      </w:r>
      <w:r>
        <w:t xml:space="preserve"> </w:t>
      </w:r>
      <w:r>
        <w:t>with a 90.5% isolated yield, highlighting the potential of this technique for large‐scale electrosynthesis.</w:t>
      </w:r>
    </w:p>
    <w:p>
      <w:pPr>
        <w:spacing w:before="120" w:after="120"/>
      </w:pPr>
      <w:r>
        <w:rPr>
          <w:sz w:val="18"/>
        </w:rPr>
        <w:t>——————————————————————————————————————————————————————————————————————</w:t>
      </w:r>
    </w:p>
    <w:p>
      <w:pPr>
        <w:spacing w:before="160" w:after="40" w:line="240" w:lineRule="auto"/>
      </w:pPr>
      <w:r>
        <w:rPr>
          <w:b/>
        </w:rPr>
        <w:t xml:space="preserve">[285] </w:t>
      </w:r>
      <w:hyperlink r:id="rId727">
        <w:r>
          <w:rPr>
            <w:color w:val="1155CC"/>
            <w:u w:val="single"/>
          </w:rPr>
          <w:t>B,N嵌入的杂[9]螺烯诱导的手性组装用于增强的圆偏振电致发光</w:t>
        </w:r>
      </w:hyperlink>
    </w:p>
    <w:p>
      <w:pPr>
        <w:spacing w:before="0" w:after="80"/>
      </w:pPr>
      <w:r>
        <w:rPr>
          <w:i/>
          <w:sz w:val="20"/>
        </w:rPr>
        <w:t>EN: B,N‐Embedded Hetero[9]Helicene‐Induced Chiral Assemblies for Amplified Circularly Polarized Electroluminescence</w:t>
      </w:r>
    </w:p>
    <w:p>
      <w:pPr>
        <w:spacing w:before="0" w:after="120"/>
      </w:pPr>
      <w:r>
        <w:rPr>
          <w:b/>
        </w:rPr>
        <w:t xml:space="preserve">Source: </w:t>
      </w:r>
      <w:r>
        <w:t>Wiley: Angewandte Chemie International Edition: Table of Contents</w:t>
      </w:r>
      <w:r>
        <w:t xml:space="preserve">    </w:t>
      </w:r>
      <w:r>
        <w:rPr>
          <w:b/>
        </w:rPr>
        <w:t xml:space="preserve">Pub date: </w:t>
      </w:r>
      <w:r>
        <w:t>2026-03-11 06:22:20+00:00</w:t>
      </w:r>
      <w:r>
        <w:t xml:space="preserve">    </w:t>
      </w:r>
      <w:r>
        <w:rPr>
          <w:b/>
        </w:rPr>
        <w:t xml:space="preserve">DOI: </w:t>
      </w:r>
      <w:hyperlink r:id="rId728">
        <w:r>
          <w:rPr>
            <w:color w:val="1155CC"/>
            <w:u w:val="single"/>
          </w:rPr>
          <w:t>10.1002/anie.2888040</w:t>
        </w:r>
      </w:hyperlink>
    </w:p>
    <w:p>
      <w:pPr>
        <w:spacing w:before="0" w:after="120"/>
      </w:pPr>
      <w:r>
        <w:rPr>
          <w:b/>
        </w:rPr>
        <w:t xml:space="preserve">Notes: </w:t>
      </w:r>
      <w:r>
        <w:t>abstract_source=crossref</w:t>
      </w:r>
    </w:p>
    <w:p>
      <w:pPr>
        <w:spacing w:before="0" w:after="80" w:lineRule="auto" w:line="276"/>
      </w:pPr>
      <w:r>
        <w:rPr>
          <w:b/>
        </w:rPr>
        <w:t xml:space="preserve">摘要（ZH）: </w:t>
      </w:r>
      <w:r>
        <w:t>摘要 基于B,N嵌入的杂螺烯的圆偏振有机发光二极管（CP-OLEDs）因其窄带发射和高电致发光效率而备受期待，但其发展受到内在的弱圆偏振电致发光（CPEL）的限制，解旋因子（gEL）通常仅为10−3，远低于理论极限（±2）。在此，我们通过一种共组装策略克服了这一限制，采用B,N嵌入的杂[9]螺烯（BN9H）作为双重角色组件。它既具有手性骨架又具有多重共振热</w:t>
      </w:r>
    </w:p>
    <w:p>
      <w:pPr>
        <w:spacing w:before="0" w:after="200" w:lineRule="auto" w:line="276"/>
      </w:pPr>
      <w:r>
        <w:rPr>
          <w:b/>
        </w:rPr>
        <w:t xml:space="preserve">Abstract (EN): </w:t>
      </w:r>
      <w:r>
        <w:t>Circularly polarized organic light‐emitting diodes (CP‐OLEDs) based on B,N‐embedded heterohelicenes are promising due to their narrowband emission and high electroluminescence efficiency, yet their development has been hindered by intrinsically weak circularly polarized electroluminescence (CPEL) with dissymmetry factor (</w:t>
      </w:r>
      <w:r>
        <w:t xml:space="preserve"> </w:t>
      </w:r>
      <w:r>
        <w:t>g</w:t>
      </w:r>
      <w:r>
        <w:t xml:space="preserve"> </w:t>
      </w:r>
      <w:r>
        <w:t>EL</w:t>
      </w:r>
      <w:r>
        <w:t xml:space="preserve"> </w:t>
      </w:r>
      <w:r>
        <w:t>) typically only 10</w:t>
      </w:r>
      <w:r>
        <w:t xml:space="preserve"> </w:t>
      </w:r>
      <w:r>
        <w:t>−3</w:t>
      </w:r>
      <w:r>
        <w:t xml:space="preserve"> </w:t>
      </w:r>
      <w:r>
        <w:t>, which falls far short of the theoretical limit (±2). Herein, we overcome this limitation via a co‐assembly strategy employing B,N‐embedded hetero[9]helicene (</w:t>
      </w:r>
      <w:r>
        <w:t xml:space="preserve"> </w:t>
      </w:r>
      <w:r>
        <w:t>BN9H</w:t>
      </w:r>
      <w:r>
        <w:t xml:space="preserve"> </w:t>
      </w:r>
      <w:r>
        <w:t>) as a dual‐role component. Possessing both a chiral scaffold and multi‐resonance thermally activated delayed fluorescence (MR‐TADF),</w:t>
      </w:r>
      <w:r>
        <w:t xml:space="preserve"> </w:t>
      </w:r>
      <w:r>
        <w:t>BN9H</w:t>
      </w:r>
      <w:r>
        <w:t xml:space="preserve"> </w:t>
      </w:r>
      <w:r>
        <w:t>is co‐assembled with luminescent nematic liquid crystal (</w:t>
      </w:r>
      <w:r>
        <w:t xml:space="preserve"> </w:t>
      </w:r>
      <w:r>
        <w:t>PFQ</w:t>
      </w:r>
      <w:r>
        <w:t xml:space="preserve"> </w:t>
      </w:r>
      <w:r>
        <w:t>). In this assembly,</w:t>
      </w:r>
      <w:r>
        <w:t xml:space="preserve"> </w:t>
      </w:r>
      <w:r>
        <w:t>BN9H</w:t>
      </w:r>
      <w:r>
        <w:t xml:space="preserve"> </w:t>
      </w:r>
      <w:r>
        <w:t>acts not only as a chiral inducer, driving the achiral</w:t>
      </w:r>
      <w:r>
        <w:t xml:space="preserve"> </w:t>
      </w:r>
      <w:r>
        <w:t>PFQ</w:t>
      </w:r>
      <w:r>
        <w:t xml:space="preserve"> </w:t>
      </w:r>
      <w:r>
        <w:t>host into a long‐range ordered chiral nematic superstructure, but also as an efficient energy acceptor. The co‐assemblies exhibit narrowband emission (FWHM [full width at half maximum] = 34 nm) and a dramatically amplified |</w:t>
      </w:r>
      <w:r>
        <w:t xml:space="preserve"> </w:t>
      </w:r>
      <w:r>
        <w:t>g</w:t>
      </w:r>
      <w:r>
        <w:t xml:space="preserve"> </w:t>
      </w:r>
      <w:r>
        <w:t>lum</w:t>
      </w:r>
      <w:r>
        <w:t xml:space="preserve"> </w:t>
      </w:r>
      <w:r>
        <w:t>| of 0.18 which nearly two orders of magnitude higher than</w:t>
      </w:r>
      <w:r>
        <w:t xml:space="preserve"> </w:t>
      </w:r>
      <w:r>
        <w:t>BN9H</w:t>
      </w:r>
      <w:r>
        <w:t xml:space="preserve"> </w:t>
      </w:r>
      <w:r>
        <w:t>itself. Corresponding CP‐OLEDs based on those chiral assemblies achieve excellent integrated performance: narrowband green electroluminescence (FWHM = 33 nm), EQE</w:t>
      </w:r>
      <w:r>
        <w:t xml:space="preserve"> </w:t>
      </w:r>
      <w:r>
        <w:t>max</w:t>
      </w:r>
      <w:r>
        <w:t xml:space="preserve"> </w:t>
      </w:r>
      <w:r>
        <w:t>of 4.6%, and high |</w:t>
      </w:r>
      <w:r>
        <w:t xml:space="preserve"> </w:t>
      </w:r>
      <w:r>
        <w:t>g</w:t>
      </w:r>
      <w:r>
        <w:t xml:space="preserve"> </w:t>
      </w:r>
      <w:r>
        <w:t>EL</w:t>
      </w:r>
      <w:r>
        <w:t xml:space="preserve"> </w:t>
      </w:r>
      <w:r>
        <w:t>| of up to 0.11. This work breaks the long‐standing |</w:t>
      </w:r>
      <w:r>
        <w:t xml:space="preserve"> </w:t>
      </w:r>
      <w:r>
        <w:t>g</w:t>
      </w:r>
      <w:r>
        <w:t xml:space="preserve"> </w:t>
      </w:r>
      <w:r>
        <w:t>EL</w:t>
      </w:r>
      <w:r>
        <w:t xml:space="preserve"> </w:t>
      </w:r>
      <w:r>
        <w:t>| bottleneck for chiral MR‐TADF molecules and establishes a new paradigm for developing high‐performance CPEL devices with balanced efficiency, color purity, and strong chiroptical activity.</w:t>
      </w:r>
    </w:p>
    <w:p>
      <w:pPr>
        <w:spacing w:before="120" w:after="120"/>
      </w:pPr>
      <w:r>
        <w:rPr>
          <w:sz w:val="18"/>
        </w:rPr>
        <w:t>——————————————————————————————————————————————————————————————————————</w:t>
      </w:r>
    </w:p>
    <w:p>
      <w:pPr>
        <w:spacing w:before="160" w:after="40" w:line="240" w:lineRule="auto"/>
      </w:pPr>
      <w:r>
        <w:rPr>
          <w:b/>
        </w:rPr>
        <w:t xml:space="preserve">[286] </w:t>
      </w:r>
      <w:hyperlink r:id="rId729">
        <w:r>
          <w:rPr>
            <w:color w:val="1155CC"/>
            <w:u w:val="single"/>
          </w:rPr>
          <w:t>在河流中发现有毒宠物跳蚤治疗化学品达到“破坏性”水平</w:t>
        </w:r>
      </w:hyperlink>
    </w:p>
    <w:p>
      <w:pPr>
        <w:spacing w:before="0" w:after="80"/>
      </w:pPr>
      <w:r>
        <w:rPr>
          <w:i/>
          <w:sz w:val="20"/>
        </w:rPr>
        <w:t>EN: Toxic pet flea treatment chemicals found at 'damaging' levels in rivers</w:t>
      </w:r>
    </w:p>
    <w:p>
      <w:pPr>
        <w:spacing w:before="0" w:after="120"/>
      </w:pPr>
      <w:r>
        <w:rPr>
          <w:b/>
        </w:rPr>
        <w:t xml:space="preserve">Source: </w:t>
      </w:r>
      <w:r>
        <w:t>BBC News</w:t>
      </w:r>
      <w:r>
        <w:t xml:space="preserve">    </w:t>
      </w:r>
      <w:r>
        <w:rPr>
          <w:b/>
        </w:rPr>
        <w:t xml:space="preserve">Pub date: </w:t>
      </w:r>
      <w:r>
        <w:t>2026-03-11 06:24:04+00:00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730">
        <w:r>
          <w:rPr>
            <w:color w:val="1155CC"/>
            <w:u w:val="single"/>
          </w:rPr>
          <w:t>Envision首次向韩国交付可再生货物</w:t>
        </w:r>
      </w:hyperlink>
    </w:p>
    <w:p>
      <w:pPr>
        <w:spacing w:before="0" w:after="80"/>
      </w:pPr>
      <w:r>
        <w:rPr>
          <w:i/>
          <w:sz w:val="20"/>
        </w:rPr>
        <w:t>EN: Envision delivers first renewable cargo to South Korea</w:t>
      </w:r>
    </w:p>
    <w:p>
      <w:pPr>
        <w:spacing w:before="0" w:after="120"/>
      </w:pPr>
      <w:r>
        <w:rPr>
          <w:b/>
        </w:rPr>
        <w:t xml:space="preserve">Source: </w:t>
      </w:r>
      <w:r>
        <w:t>Articles – Ammonia Energy Association</w:t>
      </w:r>
      <w:r>
        <w:t xml:space="preserve">    </w:t>
      </w:r>
      <w:r>
        <w:rPr>
          <w:b/>
        </w:rPr>
        <w:t xml:space="preserve">Pub date: </w:t>
      </w:r>
      <w:r>
        <w:t>2026-03-11 06:26:02+00:00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731">
        <w:r>
          <w:rPr>
            <w:color w:val="1155CC"/>
            <w:u w:val="single"/>
          </w:rPr>
          <w:t>用于高效柔性超深蓝放大自发辐射波导的全π共轭分子半导体碳氢化合物弹性有机晶体</w:t>
        </w:r>
      </w:hyperlink>
    </w:p>
    <w:p>
      <w:pPr>
        <w:spacing w:before="0" w:after="80"/>
      </w:pPr>
      <w:r>
        <w:rPr>
          <w:i/>
          <w:sz w:val="20"/>
        </w:rPr>
        <w:t>EN: Elastic Organic Crystals of Semiconducting Hydrocarbon Fully π‐Conjugated Molecules for Efficient Flexible Ultra‐Deep‐Blue Amplified Spontaneous Emission Waveguides</w:t>
      </w:r>
    </w:p>
    <w:p>
      <w:pPr>
        <w:spacing w:before="0" w:after="120"/>
      </w:pPr>
      <w:r>
        <w:rPr>
          <w:b/>
        </w:rPr>
        <w:t xml:space="preserve">Source: </w:t>
      </w:r>
      <w:r>
        <w:t>Wiley: Advanced Materials: Table of Contents</w:t>
      </w:r>
      <w:r>
        <w:t xml:space="preserve">    </w:t>
      </w:r>
      <w:r>
        <w:rPr>
          <w:b/>
        </w:rPr>
        <w:t xml:space="preserve">Pub date: </w:t>
      </w:r>
      <w:r>
        <w:t>2026-03-11 06:50:49+00:00</w:t>
      </w:r>
      <w:r>
        <w:t xml:space="preserve">    </w:t>
      </w:r>
      <w:r>
        <w:rPr>
          <w:b/>
        </w:rPr>
        <w:t xml:space="preserve">DOI: </w:t>
      </w:r>
      <w:hyperlink r:id="rId732">
        <w:r>
          <w:rPr>
            <w:color w:val="1155CC"/>
            <w:u w:val="single"/>
          </w:rPr>
          <w:t>10.1002/adma.202518687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高效的超深蓝光发射弹性有机晶体由于其低缺陷密度、规则的分子间堆积和优异的机械稳定性，是柔性光电子学的有前途的候选者。然而，含杂原子的全π共轭分子（FπCMs）通常经历强烈的</w:t>
      </w:r>
      <w:r>
        <w:t xml:space="preserve"> </w:t>
      </w:r>
      <w:r>
        <w:t>π</w:t>
      </w:r>
      <w:r>
        <w:t xml:space="preserve"> </w:t>
      </w:r>
      <w:r>
        <w:t>‐</w:t>
      </w:r>
      <w:r>
        <w:t xml:space="preserve"> </w:t>
      </w:r>
      <w:r>
        <w:t>π</w:t>
      </w:r>
      <w:r>
        <w:t xml:space="preserve"> </w:t>
      </w:r>
      <w:r>
        <w:t>堆积，导致显著的分子内π电子杂化和分子间电荷转移相互作用。这些效应可能导致非辐射衰减和红移发射，这对深蓝色设备应用是不利的。在此，我们报告了一种基于碳氢化合物的高效超深蓝光发射弹性分子晶体。</w:t>
      </w:r>
    </w:p>
    <w:p>
      <w:pPr>
        <w:spacing w:before="0" w:after="200" w:lineRule="auto" w:line="276"/>
      </w:pPr>
      <w:r>
        <w:rPr>
          <w:b/>
        </w:rPr>
        <w:t xml:space="preserve">Abstract (EN): </w:t>
      </w:r>
      <w:r>
        <w:t>Efficient ultra‐deep‐blue light‐emitting elastic organic crystals are promising candidates for flexible optoelectronics owing to their low defect density, regular intermolecular packing, and excellent mechanical stability. However, heteroatom‐containing fully π‐conjugated molecules (FπCMs) often undergo strong</w:t>
      </w:r>
      <w:r>
        <w:t xml:space="preserve"> </w:t>
      </w:r>
      <w:r>
        <w:t>π</w:t>
      </w:r>
      <w:r>
        <w:t xml:space="preserve"> </w:t>
      </w:r>
      <w:r>
        <w:t>‐</w:t>
      </w:r>
      <w:r>
        <w:t xml:space="preserve"> </w:t>
      </w:r>
      <w:r>
        <w:t>π</w:t>
      </w:r>
      <w:r>
        <w:t xml:space="preserve"> </w:t>
      </w:r>
      <w:r>
        <w:t>stacking, leading to pronounced intramolecular π‐electron hybridization and intermolecular charge‐transfer interactions. These effects can induce nonradiative decay and redshifted emission, which are unfavorable for deep‐blue device applications. Herein, we report an efficient ultra‐deep‐blue light‐emitting elastic molecular crystal based on hydrocarbon semiconducting fully π‐conjugated ter(9,9‐diarylfluorene)s (DM3C8; molecular weight &amp;gt; 1300 g/mol), enabling flexible ultra‐deep‐blue amplified spontaneous emission (ASE) waveguides. Benefiting from the synergistic effects of flexible side chains and bulky steric hindrance, DM3C8 elastic crystals exhibit outstanding ultra‐deep‐blue emission with CIE coordinates of (0.16, 0.06) and a photoluminescence efficiency of ∼51%. This performance is attributed to single‐chromophore emission with suppressed</w:t>
      </w:r>
      <w:r>
        <w:t xml:space="preserve"> </w:t>
      </w:r>
      <w:r>
        <w:t>π</w:t>
      </w:r>
      <w:r>
        <w:t xml:space="preserve"> </w:t>
      </w:r>
      <w:r>
        <w:t>‐</w:t>
      </w:r>
      <w:r>
        <w:t xml:space="preserve"> </w:t>
      </w:r>
      <w:r>
        <w:t>π</w:t>
      </w:r>
      <w:r>
        <w:t xml:space="preserve"> </w:t>
      </w:r>
      <w:r>
        <w:t>interactions. The unique piezochromic emission behavior of DM3C8 elastic crystals is further investigated, revealing reversible and dynamic intermolecular networks. Finally, DM3C8 elastic crystals function as low‐threshold flexible ultra‐deep‐blue ASE optical waveguides, exhibiting low optical loss coefficients in both straight (α &amp;lt; 0.07 db/mm) and bent (α &amp;lt; 0.08 db/mm) configurations. These results indicate that short‐range structural perturbations have minimal impact on optical propagation.</w:t>
      </w:r>
    </w:p>
    <w:p>
      <w:pPr>
        <w:spacing w:before="120" w:after="120"/>
      </w:pPr>
      <w:r>
        <w:rPr>
          <w:sz w:val="18"/>
        </w:rPr>
        <w:t>——————————————————————————————————————————————————————————————————————</w:t>
      </w:r>
    </w:p>
    <w:p>
      <w:pPr>
        <w:spacing w:before="160" w:after="40" w:line="240" w:lineRule="auto"/>
      </w:pPr>
      <w:r>
        <w:rPr>
          <w:b/>
        </w:rPr>
        <w:t xml:space="preserve">[289] </w:t>
      </w:r>
      <w:hyperlink r:id="rId733">
        <w:r>
          <w:rPr>
            <w:color w:val="1155CC"/>
            <w:u w:val="single"/>
          </w:rPr>
          <w:t>JERA为Blue Point项目敲定数十亿美元贷款</w:t>
        </w:r>
      </w:hyperlink>
    </w:p>
    <w:p>
      <w:pPr>
        <w:spacing w:before="0" w:after="80"/>
      </w:pPr>
      <w:r>
        <w:rPr>
          <w:i/>
          <w:sz w:val="20"/>
        </w:rPr>
        <w:t>EN: JERA finalizes billion-dollar loan for Blue Point project</w:t>
      </w:r>
    </w:p>
    <w:p>
      <w:pPr>
        <w:spacing w:before="0" w:after="120"/>
      </w:pPr>
      <w:r>
        <w:rPr>
          <w:b/>
        </w:rPr>
        <w:t xml:space="preserve">Source: </w:t>
      </w:r>
      <w:r>
        <w:t>Articles – Ammonia Energy Association</w:t>
      </w:r>
      <w:r>
        <w:t xml:space="preserve">    </w:t>
      </w:r>
      <w:r>
        <w:rPr>
          <w:b/>
        </w:rPr>
        <w:t xml:space="preserve">Pub date: </w:t>
      </w:r>
      <w:r>
        <w:t>2026-03-11 06:58:12+00:00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[290] </w:t>
      </w:r>
      <w:hyperlink r:id="rId734">
        <w:r>
          <w:rPr>
            <w:color w:val="1155CC"/>
            <w:u w:val="single"/>
          </w:rPr>
          <w:t>牛滋养层干细胞的定向分化：胎盘发育的有用体外模型</w:t>
        </w:r>
      </w:hyperlink>
    </w:p>
    <w:p>
      <w:pPr>
        <w:spacing w:before="0" w:after="80"/>
      </w:pPr>
      <w:r>
        <w:rPr>
          <w:i/>
          <w:sz w:val="20"/>
        </w:rPr>
        <w:t>EN: Directed differentiation of bovine trophoblast stem cells: A useful in vitro model for placenta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35">
        <w:r>
          <w:rPr>
            <w:color w:val="1155CC"/>
            <w:u w:val="single"/>
          </w:rPr>
          <w:t>10.1073/pnas.2600783123</w:t>
        </w:r>
      </w:hyperlink>
    </w:p>
    <w:p>
      <w:pPr>
        <w:spacing w:before="0" w:after="120"/>
      </w:pPr>
      <w:r>
        <w:rPr>
          <w:b/>
        </w:rPr>
        <w:t xml:space="preserve">Notes: </w:t>
      </w:r>
      <w:r>
        <w:t>abstract_source=crossref</w:t>
      </w:r>
    </w:p>
    <w:p>
      <w:pPr>
        <w:spacing w:before="0" w:after="80" w:lineRule="auto" w:line="276"/>
      </w:pPr>
      <w:r>
        <w:rPr>
          <w:b/>
        </w:rPr>
        <w:t xml:space="preserve">摘要（ZH）: </w:t>
      </w:r>
      <w:r>
        <w:t>牛具有一种称为胎盘小叶和母体子宫内膜小叶形成胎盘小叶的胎盘类型，这对于胎儿发育至足月至关重要。当延长的胚胎开始植入时，双核滋养层巨细胞（TGC）开始出现在绒毛膜中。假设TGC通过内复制从祖细胞UNC中产生，并表达独特的胎盘特异性基因，包括胎盘催乳素（CSH2）、妊娠相关糖蛋白（PAGs）和催乳素样蛋白（PRPs）。尽管它们在胎盘小叶发育和胎盘功能中起着至关重要的作用，但调节牛胎盘滋养层分化的细胞和分子机制仍未定义。在此，开发了一种分化协议</w:t>
      </w:r>
    </w:p>
    <w:p>
      <w:pPr>
        <w:spacing w:before="0" w:after="200" w:lineRule="auto" w:line="276"/>
      </w:pPr>
      <w:r>
        <w:rPr>
          <w:b/>
        </w:rPr>
        <w:t xml:space="preserve">Abstract (EN): </w:t>
      </w:r>
      <w:r>
        <w:t>Cattle have a synepitheliochorial type of placenta characterized by placental cotyledons and maternal endometrial caruncles forming placentomes that are essential for fetal development to term. As the elongated conceptus begins implantation, binucleated trophoblast giant cells (TGC) begin to appear in the chorion. The TGC are hypothesized to arise from progenitor UNC through endoreplication and express unique placenta-specific genes, including placental lactogen (CSH2), pregnancy-associated glycoproteins (PAGs), and prolactin like proteins (PRPs). Despite their essential role in placental cotyledon development and placental function, the cellular and molecular mechanisms regulating trophoblast differentiation in the bovine placenta remain undefined. Here, a differentiation protocol was developed that enabled bovine trophoblast stem cells (TSCs) to generate TGC. The morphologically distinct TGCs were binucleated with a cytoplasm containing abundant secretory granules. Expression of TGC marker genes (CSH2, PAGs, PRPs) was increased in differentiated TSCs. Single-cell transcriptome analysis revealed distinct developmental programs underlying TGC lineage specification. To interrogate regulatory mechanisms governing TGC differentiation, bovine TSCs were engineered to enable inducible GCM1 (glial cells missing 1) expression. Induction of GCM1 during TSC differentiation increased TGC number and TGC-specific gene expression. This robust and tractable in vitro TSC differentiation system is useful to explore trophoblast differentiation and provide fundamental insights into the cellular and molecular mechanisms regulating placenta development in cattle.</w:t>
      </w:r>
    </w:p>
    <w:p>
      <w:pPr>
        <w:spacing w:before="120" w:after="120"/>
      </w:pPr>
      <w:r>
        <w:rPr>
          <w:sz w:val="18"/>
        </w:rPr>
        <w:t>——————————————————————————————————————————————————————————————————————</w:t>
      </w:r>
    </w:p>
    <w:p>
      <w:pPr>
        <w:spacing w:before="160" w:after="40" w:line="240" w:lineRule="auto"/>
      </w:pPr>
      <w:r>
        <w:rPr>
          <w:b/>
        </w:rPr>
        <w:t xml:space="preserve">[291] </w:t>
      </w:r>
      <w:hyperlink r:id="rId736">
        <w:r>
          <w:rPr>
            <w:color w:val="1155CC"/>
            <w:u w:val="single"/>
          </w:rPr>
          <w:t>FDA必须监管干细胞疗法以降低对患者和公众的风险</w:t>
        </w:r>
      </w:hyperlink>
    </w:p>
    <w:p>
      <w:pPr>
        <w:spacing w:before="0" w:after="80"/>
      </w:pPr>
      <w:r>
        <w:rPr>
          <w:i/>
          <w:sz w:val="20"/>
        </w:rPr>
        <w:t>EN: FDA must regulate stem cell therapies to mitigate risks to patients and the public</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37">
        <w:r>
          <w:rPr>
            <w:color w:val="1155CC"/>
            <w:u w:val="single"/>
          </w:rPr>
          <w:t>10.1073/pnas.2508586123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738">
        <w:r>
          <w:rPr>
            <w:color w:val="1155CC"/>
            <w:u w:val="single"/>
          </w:rPr>
          <w:t>Bert W. O’Malley (1936–2025)：伟大的科学家、导师和自豪的爱尔兰人</w:t>
        </w:r>
      </w:hyperlink>
    </w:p>
    <w:p>
      <w:pPr>
        <w:spacing w:before="0" w:after="80"/>
      </w:pPr>
      <w:r>
        <w:rPr>
          <w:i/>
          <w:sz w:val="20"/>
        </w:rPr>
        <w:t>EN: Bert W. O’Malley (1936–2025): A great scientist, mentor, and proud Irishman</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39">
        <w:r>
          <w:rPr>
            <w:color w:val="1155CC"/>
            <w:u w:val="single"/>
          </w:rPr>
          <w:t>10.1073/pnas.2605957123</w:t>
        </w:r>
      </w:hyperlink>
    </w:p>
    <w:p>
      <w:pPr>
        <w:spacing w:before="0" w:after="120"/>
      </w:pPr>
      <w:r>
        <w:rPr>
          <w:b/>
        </w:rPr>
        <w:t xml:space="preserve">Notes: </w:t>
      </w:r>
      <w:r>
        <w:t>abstract_source=crossref</w:t>
      </w:r>
    </w:p>
    <w:p>
      <w:pPr>
        <w:spacing w:before="0" w:after="80" w:lineRule="auto" w:line="276"/>
      </w:pPr>
      <w:r>
        <w:rPr>
          <w:b/>
        </w:rPr>
        <w:t xml:space="preserve">摘要（ZH）: </w:t>
      </w:r>
      <w:r>
        <w:t>分子内分泌学领域的“父亲/祖父”Bert W. O’Malley于2025年11月11日去世，享年88岁。在长达60多年的杰出职业生涯中，他探究了类固醇激素作用的基本方面，这项工作加深了我们对激素生物学的理解，以及它们的失调活动如何导致生殖异常、代谢疾病和癌症的病理生物学。他的工作提供了见解，极大地促进了从经验到基于机制的药物发现的转变，这些药物可以用于操控类固醇/核激素受体作用以获得治疗益处。该领域失去了一位领袖，但他的大量工作将继续产生影响。</w:t>
      </w:r>
    </w:p>
    <w:p>
      <w:pPr>
        <w:spacing w:before="0" w:after="200" w:lineRule="auto" w:line="276"/>
      </w:pPr>
      <w:r>
        <w:rPr>
          <w:b/>
        </w:rPr>
        <w:t xml:space="preserve">Abstract (EN): </w:t>
      </w:r>
      <w:r>
        <w:t>Bert W. O’Malley, the “father/grandfather” of the field of molecular endocrinology passed away on November 11, 2025, at the age of 88. In a distinguished career that spanned over 60 years, he probed fundamental aspects of steroid hormone action, work that informed our understanding of the biology of hormones and how their dysregulated activity underlies the pathobiology of reproductive abnormalities, metabolic diseases, and cancer. His work provided insights that have contributed considerably to the transition from empiric to mechanism-based discovery of drugs that can be used to manipulate steroid/nuclear hormone receptor action for therapeutic benefit. The field has lost a leader but the impact of his large body of work will endure.</w:t>
      </w:r>
    </w:p>
    <w:p>
      <w:pPr>
        <w:spacing w:before="120" w:after="120"/>
      </w:pPr>
      <w:r>
        <w:rPr>
          <w:sz w:val="18"/>
        </w:rPr>
        <w:t>——————————————————————————————————————————————————————————————————————</w:t>
      </w:r>
    </w:p>
    <w:p>
      <w:pPr>
        <w:spacing w:before="160" w:after="40" w:line="240" w:lineRule="auto"/>
      </w:pPr>
      <w:r>
        <w:rPr>
          <w:b/>
        </w:rPr>
        <w:t xml:space="preserve">[293] </w:t>
      </w:r>
      <w:hyperlink r:id="rId740">
        <w:r>
          <w:rPr>
            <w:color w:val="1155CC"/>
            <w:u w:val="single"/>
          </w:rPr>
          <w:t>Liu等人的更正，铁缺乏的绿藻中光系统I招募了一种独特的LHCI排列</w:t>
        </w:r>
      </w:hyperlink>
    </w:p>
    <w:p>
      <w:pPr>
        <w:spacing w:before="0" w:after="80"/>
      </w:pPr>
      <w:r>
        <w:rPr>
          <w:i/>
          <w:sz w:val="20"/>
        </w:rPr>
        <w:t>EN: Correction for Liu et al., A distinct LHCI arrangement is recruited to photosystem I in Fe-starved green algae</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41">
        <w:r>
          <w:rPr>
            <w:color w:val="1155CC"/>
            <w:u w:val="single"/>
          </w:rPr>
          <w:t>10.1073/pnas.2605869123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742">
        <w:r>
          <w:rPr>
            <w:color w:val="1155CC"/>
            <w:u w:val="single"/>
          </w:rPr>
          <w:t>肠道微生物群产生的胆汁酸代谢物延长宿主肠道细胞的昼夜节律周期</w:t>
        </w:r>
      </w:hyperlink>
    </w:p>
    <w:p>
      <w:pPr>
        <w:spacing w:before="0" w:after="80"/>
      </w:pPr>
      <w:r>
        <w:rPr>
          <w:i/>
          <w:sz w:val="20"/>
        </w:rPr>
        <w:t>EN: Gut microbiome–produced bile acid metabolite lengthens the circadian period in host intestinal cells</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43">
        <w:r>
          <w:rPr>
            <w:color w:val="1155CC"/>
            <w:u w:val="single"/>
          </w:rPr>
          <w:t>10.1073/pnas.2506313123</w:t>
        </w:r>
      </w:hyperlink>
    </w:p>
    <w:p>
      <w:pPr>
        <w:spacing w:before="0" w:after="120"/>
      </w:pPr>
      <w:r>
        <w:rPr>
          <w:b/>
        </w:rPr>
        <w:t xml:space="preserve">Notes: </w:t>
      </w:r>
      <w:r>
        <w:t>abstract_source=crossref</w:t>
      </w:r>
    </w:p>
    <w:p>
      <w:pPr>
        <w:spacing w:before="0" w:after="80" w:lineRule="auto" w:line="276"/>
      </w:pPr>
      <w:r>
        <w:rPr>
          <w:b/>
        </w:rPr>
        <w:t xml:space="preserve">摘要（ZH）: </w:t>
      </w:r>
      <w:r>
        <w:t>宿主昼夜节律信号、进食和肠道微生物群紧密相连。肠道微生物群的变化可以影响核心时钟基因的表达，但介导这种关系的特定代谢物和分子机制仍然大多未知。在此，我们试图识别影响昼夜节律信号的肠道微生物代谢物。通过对一个专注的肠道微生物代谢物库进行表型筛选，我们识别出一种胆汁酸代谢物，石胆酸（LCA），作为昼夜节律调节剂。LCA以剂量响应的方式延长了人类结肠细胞中核心时钟基因hPer2转录的昼夜节律周期。我们发现证据表明LCA调节酪蛋白激酶1 δ/ε（CK1δ/ε）-蛋白磷酸酶1（PP1）</w:t>
      </w:r>
    </w:p>
    <w:p>
      <w:pPr>
        <w:spacing w:before="0" w:after="200" w:lineRule="auto" w:line="276"/>
      </w:pPr>
      <w:r>
        <w:rPr>
          <w:b/>
        </w:rPr>
        <w:t xml:space="preserve">Abstract (EN): </w:t>
      </w:r>
      <w:r>
        <w:t>Host circadian signaling, feeding, and the gut microbiome are tightly interconnected. Changes in the gut microbial community can affect the expression of core clock genes, but the specific metabolites and molecular mechanisms that mediate this relationship remain largely unknown. Here, we sought to identify gut microbial metabolites that impact circadian signaling. Through a phenotypic screen of a focused library of gut microbial metabolites, we identified a bile acid metabolite, lithocholic acid (LCA), as a circadian modulator. LCA lengthened the circadian period of core clock gene</w:t>
      </w:r>
      <w:r>
        <w:t xml:space="preserve"> </w:t>
      </w:r>
      <w:r>
        <w:t>hPer2</w:t>
      </w:r>
      <w:r>
        <w:t xml:space="preserve"> </w:t>
      </w:r>
      <w:r>
        <w:t>transcription in a dose-responsive manner in human colonic cells. We found evidence that LCA modulates the casein kinase 1 δ/ε (CK1δ/ε)-protein phosphatase 1 (PP1) feedback loop and stabilizes core clock protein cryptochrome 2 (CRY2). Furthermore, we showed that LCA feeding alters circadian transcription in mouse distal ileum and colon. Taken together, our work identifies LCA as a molecular link between host circadian biology and the microbiome. Because bile acids are secreted in response to feeding, our work provides potential mechanistic insight into the molecular nature of the food-entrainable oscillator (FEO) by which peripheral clocks adapt to the timing of food intake. Given the association between circadian rhythm, feeding, and metabolic disease, our insights may offer an avenue for modulating host health.</w:t>
      </w:r>
    </w:p>
    <w:p>
      <w:pPr>
        <w:spacing w:before="120" w:after="120"/>
      </w:pPr>
      <w:r>
        <w:rPr>
          <w:sz w:val="18"/>
        </w:rPr>
        <w:t>——————————————————————————————————————————————————————————————————————</w:t>
      </w:r>
    </w:p>
    <w:p>
      <w:pPr>
        <w:spacing w:before="160" w:after="40" w:line="240" w:lineRule="auto"/>
      </w:pPr>
      <w:r>
        <w:rPr>
          <w:b/>
        </w:rPr>
        <w:t xml:space="preserve">[295] </w:t>
      </w:r>
      <w:hyperlink r:id="rId744">
        <w:r>
          <w:rPr>
            <w:color w:val="1155CC"/>
            <w:u w:val="single"/>
          </w:rPr>
          <w:t>SypC，一种共生体外膜囊泡蛋白，影响鱿鱼-弧菌伙伴关系的发展</w:t>
        </w:r>
      </w:hyperlink>
    </w:p>
    <w:p>
      <w:pPr>
        <w:spacing w:before="0" w:after="80"/>
      </w:pPr>
      <w:r>
        <w:rPr>
          <w:i/>
          <w:sz w:val="20"/>
        </w:rPr>
        <w:t>EN: SypC, a symbiont outer membrane vesicle protein, impacts the development of the squid–vibrio partnership</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45">
        <w:r>
          <w:rPr>
            <w:color w:val="1155CC"/>
            <w:u w:val="single"/>
          </w:rPr>
          <w:t>10.1073/pnas.2524648123</w:t>
        </w:r>
      </w:hyperlink>
    </w:p>
    <w:p>
      <w:pPr>
        <w:spacing w:before="0" w:after="120"/>
      </w:pPr>
      <w:r>
        <w:rPr>
          <w:b/>
        </w:rPr>
        <w:t xml:space="preserve">Notes: </w:t>
      </w:r>
      <w:r>
        <w:t>abstract_source=crossref</w:t>
      </w:r>
    </w:p>
    <w:p>
      <w:pPr>
        <w:spacing w:before="0" w:after="80" w:lineRule="auto" w:line="276"/>
      </w:pPr>
      <w:r>
        <w:rPr>
          <w:b/>
        </w:rPr>
        <w:t xml:space="preserve">摘要（ZH）: </w:t>
      </w:r>
      <w:r>
        <w:t>细菌外膜囊泡（OMVs）及其携带的货物越来越被认为是微生物共生体与宿主细胞之间交流的一种方式。然而，很少有研究集中于共生开始和发展过程中OMV信号传导的生化和分子机制。我们在此展示，SypC，一种发光共生体</w:t>
      </w:r>
      <w:r>
        <w:t xml:space="preserve"> </w:t>
      </w:r>
      <w:r>
        <w:t>Vibrio</w:t>
      </w:r>
      <w:r>
        <w:t xml:space="preserve"> </w:t>
      </w:r>
      <w:r>
        <w:t>fischeri</w:t>
      </w:r>
      <w:r>
        <w:t xml:space="preserve"> </w:t>
      </w:r>
      <w:r>
        <w:t>的OMV蛋白，被乌贼宿主</w:t>
      </w:r>
      <w:r>
        <w:t xml:space="preserve"> </w:t>
      </w:r>
      <w:r>
        <w:t>Euprymna scolopes</w:t>
      </w:r>
      <w:r>
        <w:t xml:space="preserve"> </w:t>
      </w:r>
      <w:r>
        <w:t>的细胞吸收，在那里它承担了一种新功能，即促进共生体诱导的发光器官形态发生。SypC是一种在宿主相关的弧菌科中发现的类似Wza的外膜蛋白，并且</w:t>
      </w:r>
    </w:p>
    <w:p>
      <w:pPr>
        <w:spacing w:before="0" w:after="200" w:lineRule="auto" w:line="276"/>
      </w:pPr>
      <w:r>
        <w:rPr>
          <w:b/>
        </w:rPr>
        <w:t xml:space="preserve">Abstract (EN): </w:t>
      </w:r>
      <w:r>
        <w:t>Bacterial outer membrane vesicles (OMVs) and the cargo they carry are increasingly recognized as a means of communication between microbial symbionts and the cells of their host. However, few studies have focused on the biochemical and molecular mechanisms underlying OMV signaling during symbiosis onset and development. We show here that SypC, an OMV protein of the bioluminescent symbiont</w:t>
      </w:r>
      <w:r>
        <w:t xml:space="preserve"> </w:t>
      </w:r>
      <w:r>
        <w:t>Vibrio</w:t>
      </w:r>
      <w:r>
        <w:t xml:space="preserve"> </w:t>
      </w:r>
      <w:r>
        <w:t>fischeri,</w:t>
      </w:r>
      <w:r>
        <w:t xml:space="preserve"> </w:t>
      </w:r>
      <w:r>
        <w:t>is taken up by cells of the squid host</w:t>
      </w:r>
      <w:r>
        <w:t xml:space="preserve"> </w:t>
      </w:r>
      <w:r>
        <w:t>Euprymna scolopes</w:t>
      </w:r>
      <w:r>
        <w:t xml:space="preserve"> </w:t>
      </w:r>
      <w:r>
        <w:t>where it assumes a new function, i.e., the facilitation of symbiont-induced light-organ morphogenesis. SypC is a Wza-like outer membrane protein found in host-associated Vibrionaceae and is essential for</w:t>
      </w:r>
      <w:r>
        <w:t xml:space="preserve"> </w:t>
      </w:r>
      <w:r>
        <w:t>V. fischeri</w:t>
      </w:r>
      <w:r>
        <w:t xml:space="preserve"> </w:t>
      </w:r>
      <w:r>
        <w:t>biofilm formation. Colonization or direct treatment with</w:t>
      </w:r>
      <w:r>
        <w:t xml:space="preserve"> </w:t>
      </w:r>
      <w:r>
        <w:t>V. fischeri</w:t>
      </w:r>
      <w:r>
        <w:t xml:space="preserve"> </w:t>
      </w:r>
      <w:r>
        <w:t>OMVs triggers host development, which was reduced or delayed if the host is instead exposed to a ∆</w:t>
      </w:r>
      <w:r>
        <w:t xml:space="preserve"> </w:t>
      </w:r>
      <w:r>
        <w:t>sypC</w:t>
      </w:r>
      <w:r>
        <w:t xml:space="preserve"> </w:t>
      </w:r>
      <w:r>
        <w:t>mutant or ∆</w:t>
      </w:r>
      <w:r>
        <w:t xml:space="preserve"> </w:t>
      </w:r>
      <w:r>
        <w:t>sypC</w:t>
      </w:r>
      <w:r>
        <w:t xml:space="preserve"> </w:t>
      </w:r>
      <w:r>
        <w:t>OMVs. RNA-seq analyses comparing light organs colonized by either the mutant or its parent revealed differential expression of host genes associated with immune responses and tissue morphogenesis. In immunocytochemical imaging, SypC-bearing OMVs were taken up by the host’s macrophage-like cells near the light-organ crypts, revealing the mechanism by which SypC travels through tissue to trigger morphogenesis. Taken together, the data provide evidence that in addition to its role in biofilm formation and colonization, SypC has a second function promoting the induction of symbiotic-tissue development. These findings provide a critical piece of a puzzle whereby a rich array of host and symbiont molecules work in concert to orchestrate normal symbiont colonization and host development within the first hours to days of symbiosis.</w:t>
      </w:r>
    </w:p>
    <w:p>
      <w:pPr>
        <w:spacing w:before="120" w:after="120"/>
      </w:pPr>
      <w:r>
        <w:rPr>
          <w:sz w:val="18"/>
        </w:rPr>
        <w:t>——————————————————————————————————————————————————————————————————————</w:t>
      </w:r>
    </w:p>
    <w:p>
      <w:pPr>
        <w:spacing w:before="160" w:after="40" w:line="240" w:lineRule="auto"/>
      </w:pPr>
      <w:r>
        <w:rPr>
          <w:b/>
        </w:rPr>
        <w:t xml:space="preserve">[296] </w:t>
      </w:r>
      <w:hyperlink r:id="rId746">
        <w:r>
          <w:rPr>
            <w:color w:val="1155CC"/>
            <w:u w:val="single"/>
          </w:rPr>
          <w:t>新生儿CMV感染后持续的小胶质细胞激活介导神经退行性变</w:t>
        </w:r>
      </w:hyperlink>
    </w:p>
    <w:p>
      <w:pPr>
        <w:spacing w:before="0" w:after="80"/>
      </w:pPr>
      <w:r>
        <w:rPr>
          <w:i/>
          <w:sz w:val="20"/>
        </w:rPr>
        <w:t>EN: Persistent microglial activation following neonatal CMV infection mediates neurodegeneration</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47">
        <w:r>
          <w:rPr>
            <w:color w:val="1155CC"/>
            <w:u w:val="single"/>
          </w:rPr>
          <w:t>10.1126/sciadv.adz1686</w:t>
        </w:r>
      </w:hyperlink>
    </w:p>
    <w:p>
      <w:pPr>
        <w:spacing w:before="0" w:after="120"/>
      </w:pPr>
      <w:r>
        <w:rPr>
          <w:b/>
        </w:rPr>
        <w:t xml:space="preserve">Notes: </w:t>
      </w:r>
      <w:r>
        <w:t>abstract_source=crossref</w:t>
      </w:r>
    </w:p>
    <w:p>
      <w:pPr>
        <w:spacing w:before="0" w:after="80" w:lineRule="auto" w:line="276"/>
      </w:pPr>
      <w:r>
        <w:rPr>
          <w:b/>
        </w:rPr>
        <w:t xml:space="preserve">摘要（ZH）: </w:t>
      </w:r>
      <w:r>
        <w:t>人类巨细胞病毒（HCMV）是美国最常见的先天性病毒感染，具有众所周知的急性和晚发神经病理。此外，HCMV与多种疱疹病毒一样，与神经炎症和神经退行性变有关。使用一个成熟的新生小鼠（M）CMV感染模型，我们发现早期感染导致成年期视网膜和大脑的神经元丧失和神经病理，而没有明显的病毒再激活。病理与高度活化和炎症损伤相关的小胶质细胞的持续存在有关。在病理发展之前暂时耗尽这些小胶质细胞，导致组织由具有更修复性特征的小胶质细胞重新填充，并且这种特征随着时间的推移得以维持。暂时</w:t>
      </w:r>
    </w:p>
    <w:p>
      <w:pPr>
        <w:spacing w:before="0" w:after="200" w:lineRule="auto" w:line="276"/>
      </w:pPr>
      <w:r>
        <w:rPr>
          <w:b/>
        </w:rPr>
        <w:t xml:space="preserve">Abstract (EN): </w:t>
      </w:r>
      <w:r>
        <w:t>Human cytomegalovirus (HCMV) causes the most common congenital viral infection in the United States, with well-known acute and late-onset neurological pathologies. Moreover, HCMV, like multiple herpesviruses, has been associated with neuroinflammation and neurodegeneration. Using a well-established neonatal murine (M)CMV infection model, we found that early-life infection drove adult-onset neuron loss and neuropathology in the retina and brain, without evident viral reactivation. Pathology was associated with the persistence of highly activated and inflammatory damage-associated microglia. Transient depletion of these microglia before the development of pathology resulted in repopulation of the tissue by microglia with a more reparative profile, which was then sustained over time. Transient microglia depletion alone was sufficient to preserve retinal structure and photoreceptor neurons, promote healing of some existing retinal damage, and preserve brain neuron density in adult infected mice. Thus, early-life infection by MCMV promoted dysfunctional and pathogenic microglia that drove adult-onset neurodegeneration in the eye and brain.</w:t>
      </w:r>
    </w:p>
    <w:p>
      <w:pPr>
        <w:spacing w:before="120" w:after="120"/>
      </w:pPr>
      <w:r>
        <w:rPr>
          <w:sz w:val="18"/>
        </w:rPr>
        <w:t>——————————————————————————————————————————————————————————————————————</w:t>
      </w:r>
    </w:p>
    <w:p>
      <w:pPr>
        <w:spacing w:before="160" w:after="40" w:line="240" w:lineRule="auto"/>
      </w:pPr>
      <w:r>
        <w:rPr>
          <w:b/>
        </w:rPr>
        <w:t xml:space="preserve">[297] </w:t>
      </w:r>
      <w:hyperlink r:id="rId748">
        <w:r>
          <w:rPr>
            <w:color w:val="1155CC"/>
            <w:u w:val="single"/>
          </w:rPr>
          <w:t>DDHD2的相分离重塑脂质代谢以决定乳腺癌内腔型的治疗敏感性</w:t>
        </w:r>
      </w:hyperlink>
    </w:p>
    <w:p>
      <w:pPr>
        <w:spacing w:before="0" w:after="80"/>
      </w:pPr>
      <w:r>
        <w:rPr>
          <w:i/>
          <w:sz w:val="20"/>
        </w:rPr>
        <w:t>EN: Phase separation of DDHD2 remodels lipid metabolism to dictate treatment sensitivity in luminal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49">
        <w:r>
          <w:rPr>
            <w:color w:val="1155CC"/>
            <w:u w:val="single"/>
          </w:rPr>
          <w:t>10.1073/pnas.2503019123</w:t>
        </w:r>
      </w:hyperlink>
    </w:p>
    <w:p>
      <w:pPr>
        <w:spacing w:before="0" w:after="120"/>
      </w:pPr>
      <w:r>
        <w:rPr>
          <w:b/>
        </w:rPr>
        <w:t xml:space="preserve">Notes: </w:t>
      </w:r>
      <w:r>
        <w:t>abstract_source=crossref</w:t>
      </w:r>
    </w:p>
    <w:p>
      <w:pPr>
        <w:spacing w:before="0" w:after="80" w:lineRule="auto" w:line="276"/>
      </w:pPr>
      <w:r>
        <w:rPr>
          <w:b/>
        </w:rPr>
        <w:t xml:space="preserve">摘要（ZH）: </w:t>
      </w:r>
      <w:r>
        <w:t>腔内乳腺癌的特征是持续的复发风险和脂质代谢失调。然而，在乳腺癌背景下，脂质重塑中的相分离这一新机制的作用仍然很大程度上未被探索。利用我们大型乳腺癌队列（n = 773）的多组学数据，我们揭示了异常的脂质代谢对腔内乳腺癌患者预后的负面影响。此外，我们解码了由拷贝数改变驱动的</w:t>
      </w:r>
      <w:r>
        <w:t xml:space="preserve"> </w:t>
      </w:r>
      <w:r>
        <w:t>cis</w:t>
      </w:r>
      <w:r>
        <w:t xml:space="preserve"> </w:t>
      </w:r>
      <w:r>
        <w:t>调控DDHD结构域含有2（DDHD2）与腔内乳腺癌中脂质重塑的相关性。在机制上，DDHD2通过相分离在AKT</w:t>
      </w:r>
    </w:p>
    <w:p>
      <w:pPr>
        <w:spacing w:before="0" w:after="200" w:lineRule="auto" w:line="276"/>
      </w:pPr>
      <w:r>
        <w:rPr>
          <w:b/>
        </w:rPr>
        <w:t xml:space="preserve">Abstract (EN): </w:t>
      </w:r>
      <w:r>
        <w:t>Luminal breast cancer is characterized by a persistent risk of recurrence and dysregulated lipid metabolism. However, the role of phase separation, a novel mechanism for the spatial compartmentalization of proteins, in lipid remodeling within the context of breast cancer remains largely unexplored. Utilizing the multiomics data from our large breast cancer cohort (n = 773), we revealed that aberrant lipid metabolism negatively impacts the prognosis of patients with luminal breast cancer. Furthermore, we deciphered that the copy number alteration-driven</w:t>
      </w:r>
      <w:r>
        <w:t xml:space="preserve"> </w:t>
      </w:r>
      <w:r>
        <w:t>cis</w:t>
      </w:r>
      <w:r>
        <w:t xml:space="preserve"> </w:t>
      </w:r>
      <w:r>
        <w:t>-regulation of DDHD domain containing 2 (DDHD2) is correlated with lipid remodeling in luminal breast cancer. Mechanistically, DDHD2 forms biomolecular condensates through phase separation upon AKT1-mediated phosphorylation, which enhances its lipase activity, reduces the abundance of proferroptotic lipids, and consequently decreases ferroptosis susceptibility. Therapeutically, the DDHD2 inhibitor KLH45 remarkably enhances ferroptosis sensitivity to restrict luminal breast cancer progression, and its combination with ferroptosis inducers further improves the efficacy of endocrine therapy. Collectively, our findings reveal a key role of DDHD2 condensates in lipid reprogramming and propose an innovative therapeutic strategy for luminal breast cancer.</w:t>
      </w:r>
    </w:p>
    <w:p>
      <w:pPr>
        <w:spacing w:before="120" w:after="120"/>
      </w:pPr>
      <w:r>
        <w:rPr>
          <w:sz w:val="18"/>
        </w:rPr>
        <w:t>——————————————————————————————————————————————————————————————————————</w:t>
      </w:r>
    </w:p>
    <w:p>
      <w:pPr>
        <w:spacing w:before="160" w:after="40" w:line="240" w:lineRule="auto"/>
      </w:pPr>
      <w:r>
        <w:rPr>
          <w:b/>
        </w:rPr>
        <w:t xml:space="preserve">[298] </w:t>
      </w:r>
      <w:hyperlink r:id="rId750">
        <w:r>
          <w:rPr>
            <w:color w:val="1155CC"/>
            <w:u w:val="single"/>
          </w:rPr>
          <w:t>染色体不稳定通过cGAS-趋化因子-髓样轴塑造食管腺癌的肿瘤微环境</w:t>
        </w:r>
      </w:hyperlink>
    </w:p>
    <w:p>
      <w:pPr>
        <w:spacing w:before="0" w:after="80"/>
      </w:pPr>
      <w:r>
        <w:rPr>
          <w:i/>
          <w:sz w:val="20"/>
        </w:rPr>
        <w:t>EN: Chromosomal instability shapes the tumor microenvironment of esophageal adenocarcinoma via a cGAS–chemokine–myeloid axis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51">
        <w:r>
          <w:rPr>
            <w:color w:val="1155CC"/>
            <w:u w:val="single"/>
          </w:rPr>
          <w:t>10.1126/sciadv.aeb1611</w:t>
        </w:r>
      </w:hyperlink>
    </w:p>
    <w:p>
      <w:pPr>
        <w:spacing w:before="0" w:after="120"/>
      </w:pPr>
      <w:r>
        <w:rPr>
          <w:b/>
        </w:rPr>
        <w:t xml:space="preserve">Notes: </w:t>
      </w:r>
      <w:r>
        <w:t>abstract_source=crossref</w:t>
      </w:r>
    </w:p>
    <w:p>
      <w:pPr>
        <w:spacing w:before="0" w:after="80" w:lineRule="auto" w:line="276"/>
      </w:pPr>
      <w:r>
        <w:rPr>
          <w:b/>
        </w:rPr>
        <w:t xml:space="preserve">摘要（ZH）: </w:t>
      </w:r>
      <w:r>
        <w:t>染色体不稳定性（CIN）是食管腺癌（EAC）的一个普遍特征，推动了肿瘤的侵袭性和转移。CIN 刺激了通常与抗肿瘤免疫相关的 cGAS–STING 通路。然而，尽管 EAC 中存在高 CIN 负担，cGAS–STING 通路仍然基本完好。为了解决这一悖论，我们研究了多种食管癌模型，发现以 CXCL8 为显著靶点的趋化因子是 EAC 中保守的 CIN 驱动靶标。通过多重免疫荧光显微镜，我们通过测量 cGAS 阳性微核来量化人类 EAC 肿瘤中的持续 CIN，并通过全基因组测序验证。将原位 CIN 检测与单核 RNA 测序和多重免疫表型分析相结合</w:t>
      </w:r>
    </w:p>
    <w:p>
      <w:pPr>
        <w:spacing w:before="0" w:after="200" w:lineRule="auto" w:line="276"/>
      </w:pPr>
      <w:r>
        <w:rPr>
          <w:b/>
        </w:rPr>
        <w:t xml:space="preserve">Abstract (EN): </w:t>
      </w:r>
      <w:r>
        <w:t>Chromosomal instability (CIN), a pervasive feature of esophageal adenocarcinoma (EAC), drives tumor aggressiveness and metastasis. CIN stimulates the cGAS–STING pathway, typically linked to antitumor immunity. However, despite the high CIN burden in EAC, the cGAS–STING pathway remains largely intact. To address this paradox, we interrogated multiple esophageal cancer models, finding myeloid-attracting chemokines—with</w:t>
      </w:r>
      <w:r>
        <w:t xml:space="preserve"> </w:t>
      </w:r>
      <w:r>
        <w:t>CXCL8</w:t>
      </w:r>
      <w:r>
        <w:t xml:space="preserve"> </w:t>
      </w:r>
      <w:r>
        <w:t>as a prominent hit—as conserved CIN-driven targets in EAC. Using multiplexed immunofluorescence microscopy, we quantified ongoing CIN in human EAC tumors by measuring cGAS-positive micronuclei, validated by whole-genome sequencing. Coupling in situ CIN detection with single-nucleus RNA sequencing and multiplex immunophenotyping of human EAC, we link CIN to tumor-intrinsic innate immune activation,</w:t>
      </w:r>
      <w:r>
        <w:t xml:space="preserve"> </w:t>
      </w:r>
      <w:r>
        <w:t>CXCL8</w:t>
      </w:r>
      <w:r>
        <w:t xml:space="preserve"> </w:t>
      </w:r>
      <w:r>
        <w:t>expression, and myeloid cell–mediated immunosuppression. In patients with EAC, CIN</w:t>
      </w:r>
      <w:r>
        <w:t xml:space="preserve"> </w:t>
      </w:r>
      <w:r>
        <w:t>high</w:t>
      </w:r>
      <w:r>
        <w:t xml:space="preserve"> </w:t>
      </w:r>
      <w:r>
        <w:t>, myeloid-dominated tumors correlate with poor outcomes and aberrant cGAS–STING signaling. These insights explain the counterintuitive maintenance of cGAS–STING and highlight the disruption of the CIN–cGAS–inflammation axis as a potential therapeutic strategy in EAC.</w:t>
      </w:r>
    </w:p>
    <w:p>
      <w:pPr>
        <w:spacing w:before="120" w:after="120"/>
      </w:pPr>
      <w:r>
        <w:rPr>
          <w:sz w:val="18"/>
        </w:rPr>
        <w:t>——————————————————————————————————————————————————————————————————————</w:t>
      </w:r>
    </w:p>
    <w:p>
      <w:pPr>
        <w:spacing w:before="160" w:after="40" w:line="240" w:lineRule="auto"/>
      </w:pPr>
      <w:r>
        <w:rPr>
          <w:b/>
        </w:rPr>
        <w:t xml:space="preserve">[299] </w:t>
      </w:r>
      <w:hyperlink r:id="rId752">
        <w:r>
          <w:rPr>
            <w:color w:val="1155CC"/>
            <w:u w:val="single"/>
          </w:rPr>
          <w:t>用于快速表位基础的泛甲病毒疫苗的综合重复管道</w:t>
        </w:r>
      </w:hyperlink>
    </w:p>
    <w:p>
      <w:pPr>
        <w:spacing w:before="0" w:after="80"/>
      </w:pPr>
      <w:r>
        <w:rPr>
          <w:i/>
          <w:sz w:val="20"/>
        </w:rPr>
        <w:t>EN: Integrated reiterative pipeline for rapid epitope-based pan-alphavirus vaccines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53">
        <w:r>
          <w:rPr>
            <w:color w:val="1155CC"/>
            <w:u w:val="single"/>
          </w:rPr>
          <w:t>10.1126/sciadv.aeb2066</w:t>
        </w:r>
      </w:hyperlink>
    </w:p>
    <w:p>
      <w:pPr>
        <w:spacing w:before="0" w:after="120"/>
      </w:pPr>
      <w:r>
        <w:rPr>
          <w:b/>
        </w:rPr>
        <w:t xml:space="preserve">Notes: </w:t>
      </w:r>
      <w:r>
        <w:t>abstract_source=crossref</w:t>
      </w:r>
    </w:p>
    <w:p>
      <w:pPr>
        <w:spacing w:before="0" w:after="80" w:lineRule="auto" w:line="276"/>
      </w:pPr>
      <w:r>
        <w:rPr>
          <w:b/>
        </w:rPr>
        <w:t xml:space="preserve">摘要（ZH）: </w:t>
      </w:r>
      <w:r>
        <w:t>病毒圈的巨大多样性强调了快速、适应性疫苗开发基础设施的必要性。特别是节肢动物传播的人畜共患病甲病毒，继续对人类和动物健康构成重大威胁。我们提出了一种快速、多靶点疫苗设计流程，整合了基于机器学习的表位预测、蛋白质建模和对接，以免疫原性、等位基因覆盖率、溶解性和稳定性为标准优先选择病毒肽。T 细胞表位通过肽微阵列和分子动力学模拟验证，确认了受体结合的准确性。小鼠和人类外周血单个核细胞的流式细胞术显示出强烈的 T 细胞激活和细胞因子分泌（IFN-γ、TNF-α 或 IL-2），取决于物种和 HLA 等位基因。最终可以</w:t>
      </w:r>
    </w:p>
    <w:p>
      <w:pPr>
        <w:spacing w:before="0" w:after="200" w:lineRule="auto" w:line="276"/>
      </w:pPr>
      <w:r>
        <w:rPr>
          <w:b/>
        </w:rPr>
        <w:t xml:space="preserve">Abstract (EN): </w:t>
      </w:r>
      <w:r>
        <w:t>The vast diversity of the virosphere underscores the need for rapid, adaptable vaccine development infrastructures. Arthropod-borne zoonotic alphaviruses, in particular, continue to pose substantial threats to human and animal health. We present a fast, multitarget vaccine design pipeline integrating machine learning–based epitope prediction, protein modeling, and docking to prioritize viral peptides by immunogenicity, allele coverage, solubility, and stability. T cell epitopes were validated using peptide microarrays and molecular dynamics simulations, confirming receptor binding accuracy. Flow cytometry of murine and human peripheral blood mononuclear cells demonstrated robust T cell activation and cytokine secretion (IFN-γ, TNF-α, or IL-2), dependent on species and HLA allele. Final candidates were selected by composite immunogenicity scores. While this study primarily validates the T cell–specific arm of our predictive pipeline, complementary B cell epitope analyses are ongoing. Our findings support the development of broadly protective pan-alphaviral vaccines and the establishment of efficient, tunable processes for global vaccine development.</w:t>
      </w:r>
    </w:p>
    <w:p>
      <w:pPr>
        <w:spacing w:before="120" w:after="120"/>
      </w:pPr>
      <w:r>
        <w:rPr>
          <w:sz w:val="18"/>
        </w:rPr>
        <w:t>——————————————————————————————————————————————————————————————————————</w:t>
      </w:r>
    </w:p>
    <w:p>
      <w:pPr>
        <w:spacing w:before="160" w:after="40" w:line="240" w:lineRule="auto"/>
      </w:pPr>
      <w:r>
        <w:rPr>
          <w:b/>
        </w:rPr>
        <w:t xml:space="preserve">[300] </w:t>
      </w:r>
      <w:hyperlink r:id="rId754">
        <w:r>
          <w:rPr>
            <w:color w:val="1155CC"/>
            <w:u w:val="single"/>
          </w:rPr>
          <w:t>对土卫六湖泊液体中氮体假说的实验见解</w:t>
        </w:r>
      </w:hyperlink>
    </w:p>
    <w:p>
      <w:pPr>
        <w:spacing w:before="0" w:after="80"/>
      </w:pPr>
      <w:r>
        <w:rPr>
          <w:i/>
          <w:sz w:val="20"/>
        </w:rPr>
        <w:t>EN: Experimental insights into the azotosome hypothesis in Titan’s lake fluids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55">
        <w:r>
          <w:rPr>
            <w:color w:val="1155CC"/>
            <w:u w:val="single"/>
          </w:rPr>
          <w:t>10.1126/sciadv.aed1426</w:t>
        </w:r>
      </w:hyperlink>
    </w:p>
    <w:p>
      <w:pPr>
        <w:spacing w:before="0" w:after="120"/>
      </w:pPr>
      <w:r>
        <w:rPr>
          <w:b/>
        </w:rPr>
        <w:t xml:space="preserve">Notes: </w:t>
      </w:r>
      <w:r>
        <w:t>abstract_source=crossref</w:t>
      </w:r>
    </w:p>
    <w:p>
      <w:pPr>
        <w:spacing w:before="0" w:after="80" w:lineRule="auto" w:line="276"/>
      </w:pPr>
      <w:r>
        <w:rPr>
          <w:b/>
        </w:rPr>
        <w:t xml:space="preserve">摘要（ZH）: </w:t>
      </w:r>
      <w:r>
        <w:t>自从在土星的卫星泰坦上发现碳氢化合物湖泊和海洋以来，人们一直在猜测这些是否可以作为适合的环境来容纳奇异生命。十年前，分子动力学模拟表明，丙烯腈等两亲性氰化物可以在这些寒冷的非极性液体中自组装形成稳定的封闭膜，称为氮体，可能将复杂的生化反应隔离。然而，2020 年的一项热力学研究得出结论，氮体在泰坦的条件下无法存在。受这些不一致的计算结果的启发，这项工作进行了氮体假说的首次实验测试，我们在模拟的泰坦条件下表征丙烯腈-甲烷和丙烯腈-乙烷混合物</w:t>
      </w:r>
    </w:p>
    <w:p>
      <w:pPr>
        <w:spacing w:before="0" w:after="200" w:lineRule="auto" w:line="276"/>
      </w:pPr>
      <w:r>
        <w:rPr>
          <w:b/>
        </w:rPr>
        <w:t xml:space="preserve">Abstract (EN): </w:t>
      </w:r>
      <w:r>
        <w:t>Since the discovery of hydrocarbon lakes and seas on Saturn’s moon Titan, there has been much speculation on whether these could serve as suitable environments to host exotic life. A decade ago, molecular dynamic simulations suggested that amphiphilic cyanide species such as acrylonitrile could self-assemble in these cold, nonpolar liquids to form stable closed membranes known as azotosomes, potentially compartmentalizing complex biochemical reactions. A subsequent thermodynamic study in 2020, however, concluded that azotosomes cannot exist under Titan’s conditions. Motivated by these incongruent computational results, this work undertakes the first experimental test of the azotosome hypothesis where we characterize acrylonitrile-methane and acrylonitrile-ethane mixtures under simulated Titan conditions using a combination of differential scanning calorimetry and Raman microscopy. The results indicate that acrylonitrile forms a stable molecular cocrystal with ethane while exhibiting little changes in the presence of liquid methane under experimental timescales. These findings suggest that the acrylonitrile-based azotosome structure would be unlikely to form in Titan’s lake fluids.</w:t>
      </w:r>
    </w:p>
    <w:p>
      <w:pPr>
        <w:spacing w:before="120" w:after="120"/>
      </w:pPr>
      <w:r>
        <w:rPr>
          <w:sz w:val="18"/>
        </w:rPr>
        <w:t>——————————————————————————————————————————————————————————————————————</w:t>
      </w:r>
    </w:p>
    <w:p>
      <w:pPr>
        <w:spacing w:before="160" w:after="40" w:line="240" w:lineRule="auto"/>
      </w:pPr>
      <w:r>
        <w:rPr>
          <w:b/>
        </w:rPr>
        <w:t xml:space="preserve">[301] </w:t>
      </w:r>
      <w:hyperlink r:id="rId756">
        <w:r>
          <w:rPr>
            <w:color w:val="1155CC"/>
            <w:u w:val="single"/>
          </w:rPr>
          <w:t>控制噪声群体：时间网络重组改善对犹豫不决集体的控制</w:t>
        </w:r>
      </w:hyperlink>
    </w:p>
    <w:p>
      <w:pPr>
        <w:spacing w:before="0" w:after="80"/>
      </w:pPr>
      <w:r>
        <w:rPr>
          <w:i/>
          <w:sz w:val="20"/>
        </w:rPr>
        <w:t>EN: Controlling noisy herds: Temporal network restructuring improves control of indecisive collectives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57">
        <w:r>
          <w:rPr>
            <w:color w:val="1155CC"/>
            <w:u w:val="single"/>
          </w:rPr>
          <w:t>10.1126/sciadv.adx6791</w:t>
        </w:r>
      </w:hyperlink>
    </w:p>
    <w:p>
      <w:pPr>
        <w:spacing w:before="0" w:after="120"/>
      </w:pPr>
      <w:r>
        <w:rPr>
          <w:b/>
        </w:rPr>
        <w:t xml:space="preserve">Notes: </w:t>
      </w:r>
      <w:r>
        <w:t>abstract_source=crossref</w:t>
      </w:r>
    </w:p>
    <w:p>
      <w:pPr>
        <w:spacing w:before="0" w:after="80" w:lineRule="auto" w:line="276"/>
      </w:pPr>
      <w:r>
        <w:rPr>
          <w:b/>
        </w:rPr>
        <w:t xml:space="preserve">摘要（ZH）: </w:t>
      </w:r>
      <w:r>
        <w:t>控制随机时间网络仍然是控制理论中的一个开放挑战。虽然具有已知未来动态的可预测时间网络增强了可控性，但现实世界的网络往往表现出随机性和不可预测性，使得控制更加困难。在此，我们通过分析生物控制器（如牧羊犬）如何管理惊慌失措的羊群，研究随机时间网络的控制机制。我们研究了一个有百年历史的牧羊比赛——牧羊犬比赛，其中小群羊在逃跑和跟随行为之间不可预测地切换，有效地形成了随机时间网络。与大型、凝聚的羊群不同，这些小型、犹豫不决的羊群难以控制，但熟练的狗-牧羊人团队在放牧和分群方面都表现出色。</w:t>
      </w:r>
    </w:p>
    <w:p>
      <w:pPr>
        <w:spacing w:before="0" w:after="200" w:lineRule="auto" w:line="276"/>
      </w:pPr>
      <w:r>
        <w:rPr>
          <w:b/>
        </w:rPr>
        <w:t xml:space="preserve">Abstract (EN): </w:t>
      </w:r>
      <w:r>
        <w:t>Controlling stochastic temporal networks remains an open challenge in control theory. While predictable temporal networks with known future dynamics enhance controllability, real-world networks often exhibit stochasticity and unpredictability, making control harder. Here, we investigate control mechanisms for stochastic temporal networks by analyzing how biological controllers, such as shepherd dogs, manage panicked flocks of sheep. We study a century-old shepherding competition, the sheepdog trials, where small groups of sheep unpredictably switch between fleeing and following behaviors, effectively forming stochastic temporal networks. Unlike large, cohesive flocks, these small, indecisive flocks are difficult to control, yet skilled dog-handler teams excel at both herding and splitting them (shedding) on demand. Using a stochastic choice model to describe the sheep’s behavioral shifts, we show that trained dogs exploit indecisiveness, typically seen as an obstacle, as a control tool, enabling both herding and splitting of noisy groups of sheep. Building on these insights, we develop the Indecisive Swarm Algorithm (ISA) for artificial agents and benchmark its performance against standard approaches, including the Averaging-Based Swarm Algorithm (ASA) and the Leader-Follower Swarm Algorithm (LFSA). ISA minimizes control energy in trajectory-following tasks and outperforms alternatives under noisy conditions. Framed within a stochastic temporal network perspective, we show that synchronizing network restructuring with state updates (</w:t>
      </w:r>
      <w:r>
        <w:t xml:space="preserve"> </w:t>
      </w:r>
      <w:r>
        <w:t>T</w:t>
      </w:r>
      <w:r>
        <w:t xml:space="preserve"> </w:t>
      </w:r>
      <w:r>
        <w:t>=</w:t>
      </w:r>
      <w:r>
        <w:rPr>
          <w:vertAlign w:val="subscript"/>
        </w:rPr>
        <w:t>1</w:t>
      </w:r>
      <w:r>
        <w:t xml:space="preserve"> </w:t>
      </w:r>
      <w:r>
        <w:t>) minimizes control energy for trajectory following tasks even without knowledge of future topology. These findings establish a framework for managing stochastic temporal networks with applications in noisy, indecisive animal collectives, swarm robotics, and opinion dynamics.</w:t>
      </w:r>
    </w:p>
    <w:p>
      <w:pPr>
        <w:spacing w:before="120" w:after="120"/>
      </w:pPr>
      <w:r>
        <w:rPr>
          <w:sz w:val="18"/>
        </w:rPr>
        <w:t>——————————————————————————————————————————————————————————————————————</w:t>
      </w:r>
    </w:p>
    <w:p>
      <w:pPr>
        <w:spacing w:before="160" w:after="40" w:line="240" w:lineRule="auto"/>
      </w:pPr>
      <w:r>
        <w:rPr>
          <w:b/>
        </w:rPr>
        <w:t xml:space="preserve">[302] </w:t>
      </w:r>
      <w:hyperlink r:id="rId758">
        <w:r>
          <w:rPr>
            <w:color w:val="1155CC"/>
            <w:u w:val="single"/>
          </w:rPr>
          <w:t>特定离子效应对带电聚合物膜中离子传输的影响</w:t>
        </w:r>
      </w:hyperlink>
    </w:p>
    <w:p>
      <w:pPr>
        <w:spacing w:before="0" w:after="80"/>
      </w:pPr>
      <w:r>
        <w:rPr>
          <w:i/>
          <w:sz w:val="20"/>
        </w:rPr>
        <w:t>EN: Specific ion effects on ion transport in charged polymer membranes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59">
        <w:r>
          <w:rPr>
            <w:color w:val="1155CC"/>
            <w:u w:val="single"/>
          </w:rPr>
          <w:t>10.1126/sciadv.adx1214</w:t>
        </w:r>
      </w:hyperlink>
    </w:p>
    <w:p>
      <w:pPr>
        <w:spacing w:before="0" w:after="120"/>
      </w:pPr>
      <w:r>
        <w:rPr>
          <w:b/>
        </w:rPr>
        <w:t xml:space="preserve">Notes: </w:t>
      </w:r>
      <w:r>
        <w:t>abstract_source=crossref</w:t>
      </w:r>
    </w:p>
    <w:p>
      <w:pPr>
        <w:spacing w:before="0" w:after="80" w:lineRule="auto" w:line="276"/>
      </w:pPr>
      <w:r>
        <w:rPr>
          <w:b/>
        </w:rPr>
        <w:t xml:space="preserve">摘要（ZH）: </w:t>
      </w:r>
      <w:r>
        <w:t>选择性分离同电荷离子是关键矿物回收等应用中的核心挑战。基于电化学膜的分离提供了应对这一需求的有前途的途径，但对带电聚合物膜中离子传输的基本理解有限，阻碍了高选择性材料的发展。本研究通过将离子迁移率的实验测量与模型带电聚合物膜中离子/离子和离子/水相互作用的原位测量结果与类似系统的分子动力学模拟结果相结合，阐明了特定离子效应（SIEs）在带电聚合物膜中离子传输中的作用。我们证明了溶剂介导的离子相互作用在所研究的膜中驱动了显著的SIEs，离子软度，i</w:t>
      </w:r>
    </w:p>
    <w:p>
      <w:pPr>
        <w:spacing w:before="0" w:after="200" w:lineRule="auto" w:line="276"/>
      </w:pPr>
      <w:r>
        <w:rPr>
          <w:b/>
        </w:rPr>
        <w:t xml:space="preserve">Abstract (EN): </w:t>
      </w:r>
      <w:r>
        <w:t>Selective separation of like-charged ions is a central challenge in applications such as critical mineral recovery. Electrochemical membrane–based separations offer promising pathways to address this need, but a limited fundamental understanding of ion transport in charged polymer membranes hampers the development of highly selective materials. This study elucidates the role of specific ion effects (SIEs) in ion transport through charged polymer membranes by integrating experimental measurements of ion mobility and in situ ion/ion and ion/water interactions in model charged polymer membranes with results from molecular dynamics simulations on analogous systems. We demonstrate that solvent-mediated ion interactions drive pronounced SIEs within the studied membranes, with the ion softness, i.e., the malleability of ion hydration shells, from hard/soft acid/base (HSAB) theory emerging as a key predictor of transport properties. HSAB theory also explains the observed mechanism of solvent-mediated ion interactions. Our findings offer a mechanistic framework for designing membranes with tailored ion selectivity, potentially enabling efficient separations of chemically similar ions.</w:t>
      </w:r>
    </w:p>
    <w:p>
      <w:pPr>
        <w:spacing w:before="120" w:after="120"/>
      </w:pPr>
      <w:r>
        <w:rPr>
          <w:sz w:val="18"/>
        </w:rPr>
        <w:t>——————————————————————————————————————————————————————————————————————</w:t>
      </w:r>
    </w:p>
    <w:p>
      <w:pPr>
        <w:spacing w:before="160" w:after="40" w:line="240" w:lineRule="auto"/>
      </w:pPr>
      <w:r>
        <w:rPr>
          <w:b/>
        </w:rPr>
        <w:t xml:space="preserve">[303] </w:t>
      </w:r>
      <w:hyperlink r:id="rId760">
        <w:r>
          <w:rPr>
            <w:color w:val="1155CC"/>
            <w:u w:val="single"/>
          </w:rPr>
          <w:t>减少MGE负担、毒力优化和酸胁迫耐受性塑造MRSA ST59的克隆继承</w:t>
        </w:r>
      </w:hyperlink>
    </w:p>
    <w:p>
      <w:pPr>
        <w:spacing w:before="0" w:after="80"/>
      </w:pPr>
      <w:r>
        <w:rPr>
          <w:i/>
          <w:sz w:val="20"/>
        </w:rPr>
        <w:t>EN: Reduced MGE burden, virulence optimization, and acid stress tolerance shape the clonal succession of MRSA ST59</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61">
        <w:r>
          <w:rPr>
            <w:color w:val="1155CC"/>
            <w:u w:val="single"/>
          </w:rPr>
          <w:t>10.1126/sciadv.aeb3121</w:t>
        </w:r>
      </w:hyperlink>
    </w:p>
    <w:p>
      <w:pPr>
        <w:spacing w:before="0" w:after="120"/>
      </w:pPr>
      <w:r>
        <w:rPr>
          <w:b/>
        </w:rPr>
        <w:t xml:space="preserve">Notes: </w:t>
      </w:r>
      <w:r>
        <w:t>abstract_source=crossref</w:t>
      </w:r>
    </w:p>
    <w:p>
      <w:pPr>
        <w:spacing w:before="0" w:after="80" w:lineRule="auto" w:line="276"/>
      </w:pPr>
      <w:r>
        <w:rPr>
          <w:b/>
        </w:rPr>
        <w:t xml:space="preserve">摘要（ZH）: </w:t>
      </w:r>
      <w:r>
        <w:t>耐甲氧西林金黄色葡萄球菌（MRSA）ST59克隆已取代历史上在中国占主导地位的ST239。然而，这一转变背后的机制仍然难以捉摸。系统发育分析揭示了不同的进化轨迹：ST239通过系间重组出现，积累了广泛的耐药性和基因组退化，而ST59则遵循了一条更为保守的、重组稀少的路径，其特征是移动遗传元件（MGE）负担减少和关键毒力相关MGE的保留。ST239的衰退归因于多药耐药性的适应性成本、广泛的假基因化和封闭的泛基因组。此外，ST59表现出增强的毒力。确定了两个关键的毒力决定因素：删除</w:t>
      </w:r>
    </w:p>
    <w:p>
      <w:pPr>
        <w:spacing w:before="0" w:after="200" w:lineRule="auto" w:line="276"/>
      </w:pPr>
      <w:r>
        <w:rPr>
          <w:b/>
        </w:rPr>
        <w:t xml:space="preserve">Abstract (EN): </w:t>
      </w:r>
      <w:r>
        <w:t>Methicillin-resistant</w:t>
      </w:r>
      <w:r>
        <w:t xml:space="preserve"> </w:t>
      </w:r>
      <w:r>
        <w:t>Staphylococcus aureus</w:t>
      </w:r>
      <w:r>
        <w:t xml:space="preserve"> </w:t>
      </w:r>
      <w:r>
        <w:t>(MRSA) ST59 clone has replaced the historically dominant ST239 in China. However, the mechanisms behind this shift remain elusive. Phylogenetic analysis revealed divergent evolutionary trajectories: ST239 emerged via interlineage recombination and accumulated extensive resistance and genome degradation, whereas ST59 followed a more conserved, recombination-sparse path marked by reduced mobile genetic element (MGE) burden and retention of key virulence–associated MGEs. ST239’s decline was attributed to the fitness costs of multidrug resistance, widespread pseudogenization, and a closed pan-genome. Furthermore, ST59 exhibited enhanced virulence. Two key virulence determinants were identified: deletion of</w:t>
      </w:r>
      <w:r>
        <w:t xml:space="preserve"> </w:t>
      </w:r>
      <w:r>
        <w:t>chp</w:t>
      </w:r>
      <w:r>
        <w:t xml:space="preserve"> </w:t>
      </w:r>
      <w:r>
        <w:t>impaired survival in whole blood and neutrophil cocultures by disrupting C5a-mediated chemotaxis;</w:t>
      </w:r>
      <w:r>
        <w:t xml:space="preserve"> </w:t>
      </w:r>
      <w:r>
        <w:t>sraP</w:t>
      </w:r>
      <w:r>
        <w:t xml:space="preserve"> </w:t>
      </w:r>
      <w:r>
        <w:t>deletion reduced epithelial adhesion, nasal colonization, and systemic virulence. ST59 also demonstrated superior acid tolerance, linked to transcriptomic activation of transport and metabolic pathways. Our findings highlight that the epidemiological success of clones requires a balance of reduced resistance, targeted virulence, and environmental adaptability.</w:t>
      </w:r>
    </w:p>
    <w:p>
      <w:pPr>
        <w:spacing w:before="120" w:after="120"/>
      </w:pPr>
      <w:r>
        <w:rPr>
          <w:sz w:val="18"/>
        </w:rPr>
        <w:t>——————————————————————————————————————————————————————————————————————</w:t>
      </w:r>
    </w:p>
    <w:p>
      <w:pPr>
        <w:spacing w:before="160" w:after="40" w:line="240" w:lineRule="auto"/>
      </w:pPr>
      <w:r>
        <w:rPr>
          <w:b/>
        </w:rPr>
        <w:t xml:space="preserve">[304] </w:t>
      </w:r>
      <w:hyperlink r:id="rId762">
        <w:r>
          <w:rPr>
            <w:color w:val="1155CC"/>
            <w:u w:val="single"/>
          </w:rPr>
          <w:t>miR-203通过表观遗传调控促进早期胚胎发生中的及时细胞命运转变</w:t>
        </w:r>
      </w:hyperlink>
    </w:p>
    <w:p>
      <w:pPr>
        <w:spacing w:before="0" w:after="80"/>
      </w:pPr>
      <w:r>
        <w:rPr>
          <w:i/>
          <w:sz w:val="20"/>
        </w:rPr>
        <w:t>EN: miR-203 facilitates timely cell fate transitions via epigenetic modulation during early embryogenesis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63">
        <w:r>
          <w:rPr>
            <w:color w:val="1155CC"/>
            <w:u w:val="single"/>
          </w:rPr>
          <w:t>10.1126/sciadv.adr1776</w:t>
        </w:r>
      </w:hyperlink>
    </w:p>
    <w:p>
      <w:pPr>
        <w:spacing w:before="0" w:after="120"/>
      </w:pPr>
      <w:r>
        <w:rPr>
          <w:b/>
        </w:rPr>
        <w:t xml:space="preserve">Notes: </w:t>
      </w:r>
      <w:r>
        <w:t>abstract_source=crossref</w:t>
      </w:r>
    </w:p>
    <w:p>
      <w:pPr>
        <w:spacing w:before="0" w:after="80" w:lineRule="auto" w:line="276"/>
      </w:pPr>
      <w:r>
        <w:rPr>
          <w:b/>
        </w:rPr>
        <w:t xml:space="preserve">摘要（ZH）: </w:t>
      </w:r>
      <w:r>
        <w:t>通常在发育转变时表达，microRNAs作为基因表达的微调器，促进细胞命运的获得和谱系分离。然而，它们如何调节早期哺乳动物胚胎发生中的最早发育转变仍不清楚。在这里，通过基于基因工程小鼠模型和单细胞RNA测序的严格体内方法，我们确定microRNA-203（miR-203）是胚胎植入前小鼠胚胎及时进展的关键调节因子。基因工程小鼠模型，包括一个生成的胚胎报告（早期胚胎报告）转基因小鼠，携带小鼠内源性逆转录病毒-L（MERVL）–Tomato和SRY-box 2（Sox2）–绿色荧光蛋白转基因，显示miR-203的缺失会减缓早期胚胎植入前的进展。</w:t>
      </w:r>
    </w:p>
    <w:p>
      <w:pPr>
        <w:spacing w:before="0" w:after="200" w:lineRule="auto" w:line="276"/>
      </w:pPr>
      <w:r>
        <w:rPr>
          <w:b/>
        </w:rPr>
        <w:t xml:space="preserve">Abstract (EN): </w:t>
      </w:r>
      <w:r>
        <w:t>Commonly expressed at developmental transitions, microRNAs operate as fine-tuners of gene expression to facilitate cell fate acquisition and lineage segregation. Nevertheless, how they might regulate the earliest developmental transitions in early mammalian embryogenesis remains obscure. Here, in a strictly in vivo approach based on genetically engineered mouse models and single-cell RNA sequencing, we identify microRNA-203 (miR-203) as a critical regulator of timely progression in preimplantation mouse embryos. Genetically engineered mouse models including a generated embryonic reporter (early embryo reporter) transgenic mouse carrying murine endogenous retrovirus-L (MERVL)–Tomato and SRY-box 2 (Sox2)–green fluorescent protein transgenes show that loss of miR-203 slows down early preimplantation development leading to the accumulation of embryos with high expression of totipotency-associated markers, including MERVL endogenous retroviral elements. A combination of single-cell transcriptional studies and epigenetic analyses identified histone acetylases including the central coactivator and histone acetyltransferase EP300 as critical miR-203 targets in the control of cell specification in early embryos. These data suggest that miR-203 carves the epigenetic rewiring required for early developmental transitions, allowing a timely and correctly paced development, at least partially by fine-tuning EP300 levels.</w:t>
      </w:r>
    </w:p>
    <w:p>
      <w:pPr>
        <w:spacing w:before="120" w:after="120"/>
      </w:pPr>
      <w:r>
        <w:rPr>
          <w:sz w:val="18"/>
        </w:rPr>
        <w:t>——————————————————————————————————————————————————————————————————————</w:t>
      </w:r>
    </w:p>
    <w:p>
      <w:pPr>
        <w:spacing w:before="160" w:after="40" w:line="240" w:lineRule="auto"/>
      </w:pPr>
      <w:r>
        <w:rPr>
          <w:b/>
        </w:rPr>
        <w:t xml:space="preserve">[305] </w:t>
      </w:r>
      <w:hyperlink r:id="rId764">
        <w:r>
          <w:rPr>
            <w:color w:val="1155CC"/>
            <w:u w:val="single"/>
          </w:rPr>
          <w:t>生态疫苗接种：一种防止蝙蝠人畜共患病溢出的策略</w:t>
        </w:r>
      </w:hyperlink>
    </w:p>
    <w:p>
      <w:pPr>
        <w:spacing w:before="0" w:after="80"/>
      </w:pPr>
      <w:r>
        <w:rPr>
          <w:i/>
          <w:sz w:val="20"/>
        </w:rPr>
        <w:t>EN: Ecological vaccination: A strategy to prevent zoonotic spillover from bats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65">
        <w:r>
          <w:rPr>
            <w:color w:val="1155CC"/>
            <w:u w:val="single"/>
          </w:rPr>
          <w:t>10.1126/sciadv.aec0269</w:t>
        </w:r>
      </w:hyperlink>
    </w:p>
    <w:p>
      <w:pPr>
        <w:spacing w:before="0" w:after="120"/>
      </w:pPr>
      <w:r>
        <w:rPr>
          <w:b/>
        </w:rPr>
        <w:t xml:space="preserve">Notes: </w:t>
      </w:r>
      <w:r>
        <w:t>abstract_source=crossref</w:t>
      </w:r>
    </w:p>
    <w:p>
      <w:pPr>
        <w:spacing w:before="0" w:after="80" w:lineRule="auto" w:line="276"/>
      </w:pPr>
      <w:r>
        <w:rPr>
          <w:b/>
        </w:rPr>
        <w:t xml:space="preserve">摘要（ZH）: </w:t>
      </w:r>
      <w:r>
        <w:t>蝙蝠作为人畜共患病病原体的重要储存库，同时也扮演着重要的生态角色。为了在不伤害蝙蝠种群的情况下降低溢出风险，我们开发了一种多途径疫苗接种策略，使用重组水泡性口炎病毒（rVSV）为基础的疫苗。携带疫苗的蚊子传递了基于rVSV的狂犬病和尼帕病毒疫苗，在啮齿动物和蝙蝠模型中提供了保护。在模拟自然条件下，与携带疫苗的蚊子共同生活引发了蝙蝠的强烈免疫反应，支持了超出实验室环境的可行性。作为一种补充方法，利用蝙蝠寻求矿物质行为的盐水陷阱通过口服疫苗接种实现了可比的免疫保护。这些结果共同展示了一种灵活的、生态学导向的疫苗接种计划。</w:t>
      </w:r>
    </w:p>
    <w:p>
      <w:pPr>
        <w:spacing w:before="0" w:after="200" w:lineRule="auto" w:line="276"/>
      </w:pPr>
      <w:r>
        <w:rPr>
          <w:b/>
        </w:rPr>
        <w:t xml:space="preserve">Abstract (EN): </w:t>
      </w:r>
      <w:r>
        <w:t>Bats serve as critical reservoirs of zoonotic pathogens but also play essential ecological roles. To mitigate spillover risks without harming bat populations, we developed a multiroute vaccination strategy using recombinant vesicular stomatitis virus (rVSV)–based vaccines. Vaccine-carrying mosquitoes delivered rVSV-based rabies and Nipah vaccines, conferring protection in rodent and bat models. Under simulated natural conditions, cohabitation with vaccine-carrying mosquitoes elicited strong immune responses in bats, supporting feasibility beyond laboratory settings. As a complementary approach, saline traps exploiting bats’ mineral-seeking behavior achieved comparable immune protection through oral vaccination. Together, these results demonstrate a flexible, ecology-informed vaccination platform for immunizing wild bats, offering a scalable strategy to reduce zoonotic spillover risk while supporting bat conservation.</w:t>
      </w:r>
    </w:p>
    <w:p>
      <w:pPr>
        <w:spacing w:before="120" w:after="120"/>
      </w:pPr>
      <w:r>
        <w:rPr>
          <w:sz w:val="18"/>
        </w:rPr>
        <w:t>——————————————————————————————————————————————————————————————————————</w:t>
      </w:r>
    </w:p>
    <w:p>
      <w:pPr>
        <w:spacing w:before="160" w:after="40" w:line="240" w:lineRule="auto"/>
      </w:pPr>
      <w:r>
        <w:rPr>
          <w:b/>
        </w:rPr>
        <w:t xml:space="preserve">[306] </w:t>
      </w:r>
      <w:hyperlink r:id="rId766">
        <w:r>
          <w:rPr>
            <w:color w:val="1155CC"/>
            <w:u w:val="single"/>
          </w:rPr>
          <w:t>一种先前未被识别的具有细菌祖先的真菌冰核蛋白类别</w:t>
        </w:r>
      </w:hyperlink>
    </w:p>
    <w:p>
      <w:pPr>
        <w:spacing w:before="0" w:after="80"/>
      </w:pPr>
      <w:r>
        <w:rPr>
          <w:i/>
          <w:sz w:val="20"/>
        </w:rPr>
        <w:t>EN: A previously unrecognized class of fungal ice-nucleating proteins with bacterial ancestry</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67">
        <w:r>
          <w:rPr>
            <w:color w:val="1155CC"/>
            <w:u w:val="single"/>
          </w:rPr>
          <w:t>10.1126/sciadv.aed9652</w:t>
        </w:r>
      </w:hyperlink>
    </w:p>
    <w:p>
      <w:pPr>
        <w:spacing w:before="0" w:after="120"/>
      </w:pPr>
      <w:r>
        <w:rPr>
          <w:b/>
        </w:rPr>
        <w:t xml:space="preserve">Notes: </w:t>
      </w:r>
      <w:r>
        <w:t>abstract_source=crossref</w:t>
      </w:r>
    </w:p>
    <w:p>
      <w:pPr>
        <w:spacing w:before="0" w:after="80" w:lineRule="auto" w:line="276"/>
      </w:pPr>
      <w:r>
        <w:rPr>
          <w:b/>
        </w:rPr>
        <w:t xml:space="preserve">摘要（ZH）: </w:t>
      </w:r>
      <w:r>
        <w:t>冰核蛋白（INpros）在高亚零温度下催化冰的形成，具有重要的生物学和环境意义。虽然细菌INpros的结构已被表征，但其他生物中的对应物仍然大多未知。在这里，我们在Mortierellaceae家族的真菌中识别出膜非依赖性蛋白质，这些蛋白质以高效促进冰的形成。这些蛋白质预计会采用β-螺旋折叠并多聚化以形成扩展的冰结合表面，表现出与细菌INpros的机制相似性。结构建模、系统发育分析和异源基因表达导致Escherichia coli和S中的冰核形成。</w:t>
      </w:r>
    </w:p>
    <w:p>
      <w:pPr>
        <w:spacing w:before="0" w:after="200" w:lineRule="auto" w:line="276"/>
      </w:pPr>
      <w:r>
        <w:rPr>
          <w:b/>
        </w:rPr>
        <w:t xml:space="preserve">Abstract (EN): </w:t>
      </w:r>
      <w:r>
        <w:t>Ice-nucleating proteins (INpros) catalyze ice formation at high subzero temperatures, with major biological and environmental implications. While bacterial INpros have been structurally characterized, their counterparts in other organisms have remained largely unknown. Here, we identify membrane-independent proteins in fungi of the</w:t>
      </w:r>
      <w:r>
        <w:t xml:space="preserve"> </w:t>
      </w:r>
      <w:r>
        <w:t>Mortierellaceae</w:t>
      </w:r>
      <w:r>
        <w:t xml:space="preserve"> </w:t>
      </w:r>
      <w:r>
        <w:t>family that promote ice formation with high efficiency. These proteins are predicted to adopt β-solenoid folds and multimerize to form extended ice-binding surfaces, exhibiting mechanistic parallels with bacterial INpros. Structural modeling, phylogenetic analysis, and heterologous gene expression leading to ice nucleation in</w:t>
      </w:r>
      <w:r>
        <w:t xml:space="preserve"> </w:t>
      </w:r>
      <w:r>
        <w:t>Escherichia coli</w:t>
      </w:r>
      <w:r>
        <w:t xml:space="preserve"> </w:t>
      </w:r>
      <w:r>
        <w:t>and</w:t>
      </w:r>
      <w:r>
        <w:t xml:space="preserve"> </w:t>
      </w:r>
      <w:r>
        <w:t>Saccharomyces cerevisiae</w:t>
      </w:r>
      <w:r>
        <w:t xml:space="preserve"> </w:t>
      </w:r>
      <w:r>
        <w:t>show that the fungal INpros are encoded by orthologs of the bacterial</w:t>
      </w:r>
      <w:r>
        <w:t xml:space="preserve"> </w:t>
      </w:r>
      <w:r>
        <w:t>InaZ</w:t>
      </w:r>
      <w:r>
        <w:t xml:space="preserve"> </w:t>
      </w:r>
      <w:r>
        <w:t>gene, which was likely acquired by a fungal ancestor through horizontal gene transfer. The discovery of cell-free fungal INpros provides tools for innovative freezing applications and reveals biophysical constraints on ice nucleation across life.</w:t>
      </w:r>
    </w:p>
    <w:p>
      <w:pPr>
        <w:spacing w:before="120" w:after="120"/>
      </w:pPr>
      <w:r>
        <w:rPr>
          <w:sz w:val="18"/>
        </w:rPr>
        <w:t>——————————————————————————————————————————————————————————————————————</w:t>
      </w:r>
    </w:p>
    <w:p>
      <w:pPr>
        <w:spacing w:before="160" w:after="40" w:line="240" w:lineRule="auto"/>
      </w:pPr>
      <w:r>
        <w:rPr>
          <w:b/>
        </w:rPr>
        <w:t xml:space="preserve">[307] </w:t>
      </w:r>
      <w:hyperlink r:id="rId768">
        <w:r>
          <w:rPr>
            <w:color w:val="1155CC"/>
            <w:u w:val="single"/>
          </w:rPr>
          <w:t>人体器官图谱</w:t>
        </w:r>
      </w:hyperlink>
    </w:p>
    <w:p>
      <w:pPr>
        <w:spacing w:before="0" w:after="80"/>
      </w:pPr>
      <w:r>
        <w:rPr>
          <w:i/>
          <w:sz w:val="20"/>
        </w:rPr>
        <w:t>EN: The Human Organ Atlas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69">
        <w:r>
          <w:rPr>
            <w:color w:val="1155CC"/>
            <w:u w:val="single"/>
          </w:rPr>
          <w:t>10.1126/sciadv.adz2240</w:t>
        </w:r>
      </w:hyperlink>
    </w:p>
    <w:p>
      <w:pPr>
        <w:spacing w:before="0" w:after="120"/>
      </w:pPr>
      <w:r>
        <w:rPr>
          <w:b/>
        </w:rPr>
        <w:t xml:space="preserve">Notes: </w:t>
      </w:r>
      <w:r>
        <w:t>abstract_source=crossref</w:t>
      </w:r>
    </w:p>
    <w:p>
      <w:pPr>
        <w:spacing w:before="0" w:after="80" w:lineRule="auto" w:line="276"/>
      </w:pPr>
      <w:r>
        <w:rPr>
          <w:b/>
        </w:rPr>
        <w:t xml:space="preserve">摘要（ZH）: </w:t>
      </w:r>
      <w:r>
        <w:t>我们介绍了人类器官图谱（HOA），这是一个开放数据存储库，使人类器官的多尺度三维成像变得可访问。该存储库还提供软件工具和培训资源，支持全球访问、共享和分析这些数据集，促进进一步研究和HOA的持续扩展。图像是使用同步辐射成像技术生成的，分层相位对比断层扫描（HiP-CT），利用ESRF的极亮光源，涵盖了约20微米/体素的全器官成像，并在完整器官内的局部感兴趣体积成像到约1微米/体素。这提供了对人体解剖的全面探索，提供了对复杂结构和空间关系的无与伦比的见解。HOA提供</w:t>
      </w:r>
    </w:p>
    <w:p>
      <w:pPr>
        <w:spacing w:before="0" w:after="200" w:lineRule="auto" w:line="276"/>
      </w:pPr>
      <w:r>
        <w:rPr>
          <w:b/>
        </w:rPr>
        <w:t xml:space="preserve">Abstract (EN): </w:t>
      </w:r>
      <w:r>
        <w:t>We present the Human Organ Atlas (HOA), an open data repository making accessible multiscale three-dimensional imaging of human organs. The repository also provides software tools and training resources enabling worldwide access, sharing, and analysis of these datasets, facilitating further research and the continued expansion of the HOA. The images are generated using a synchrotron imaging technique, hierarchical phase-contrast tomography (HiP-CT), that uses the ESRF’s Extremely Brilliant Source, spanning whole-organ imaging at ~20 micrometers/voxel with local volumes of interest within intact organs imaged down to ~1 micrometer/voxel. This offers a comprehensive exploration of human anatomy, providing unparalleled insights into intricate structures and spatial relationships. The HOA offers researchers, clinicians, and educators a valuable resource for anatomical study, image analysis, medical education, and large-scale data mining.</w:t>
      </w:r>
    </w:p>
    <w:p>
      <w:pPr>
        <w:spacing w:before="120" w:after="120"/>
      </w:pPr>
      <w:r>
        <w:rPr>
          <w:sz w:val="18"/>
        </w:rPr>
        <w:t>——————————————————————————————————————————————————————————————————————</w:t>
      </w:r>
    </w:p>
    <w:p>
      <w:pPr>
        <w:spacing w:before="160" w:after="40" w:line="240" w:lineRule="auto"/>
      </w:pPr>
      <w:r>
        <w:rPr>
          <w:b/>
        </w:rPr>
        <w:t xml:space="preserve">[308] </w:t>
      </w:r>
      <w:hyperlink r:id="rId770">
        <w:r>
          <w:rPr>
            <w:color w:val="1155CC"/>
            <w:u w:val="single"/>
          </w:rPr>
          <w:t>基于个性化功能拓扑的多站点脑龄预测建模揭示重度抑郁症中的不同神经发育</w:t>
        </w:r>
      </w:hyperlink>
    </w:p>
    <w:p>
      <w:pPr>
        <w:spacing w:before="0" w:after="80"/>
      </w:pPr>
      <w:r>
        <w:rPr>
          <w:i/>
          <w:sz w:val="20"/>
        </w:rPr>
        <w:t>EN: Personalized functional topography–based multisite brain age prediction modeling reveals divergent neurodevelopment in major depression</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71">
        <w:r>
          <w:rPr>
            <w:color w:val="1155CC"/>
            <w:u w:val="single"/>
          </w:rPr>
          <w:t>10.1073/pnas.2519586123</w:t>
        </w:r>
      </w:hyperlink>
    </w:p>
    <w:p>
      <w:pPr>
        <w:spacing w:before="0" w:after="120"/>
      </w:pPr>
      <w:r>
        <w:rPr>
          <w:b/>
        </w:rPr>
        <w:t xml:space="preserve">Notes: </w:t>
      </w:r>
      <w:r>
        <w:t>abstract_source=crossref</w:t>
      </w:r>
    </w:p>
    <w:p>
      <w:pPr>
        <w:spacing w:before="0" w:after="80" w:lineRule="auto" w:line="276"/>
      </w:pPr>
      <w:r>
        <w:rPr>
          <w:b/>
        </w:rPr>
        <w:t xml:space="preserve">摘要（ZH）: </w:t>
      </w:r>
      <w:r>
        <w:t>重度抑郁症（MDD）与整个生命周期中功能性大脑网络的广泛改变有关。然而，MDD患者中非典型大脑发育的异质性仍然很大程度上未被表征。使用一个由1,105名MDD患者和1,065名健康对照组成的多站点静息态功能MRI数据集，我们构建了一个基于个性化功能拓扑的多中心大脑年龄预测模型，并识别出两个具有正或负大脑年龄差距（BAGs）的患者亚组。在具有正BAG（BAG+）的患者中，显著网络（SAL）扩展到背外侧前额叶和腹外侧前额叶皮层，此外感觉运动和背侧注意网络（DAN）的收缩也有贡献</w:t>
      </w:r>
    </w:p>
    <w:p>
      <w:pPr>
        <w:spacing w:before="0" w:after="200" w:lineRule="auto" w:line="276"/>
      </w:pPr>
      <w:r>
        <w:rPr>
          <w:b/>
        </w:rPr>
        <w:t xml:space="preserve">Abstract (EN): </w:t>
      </w:r>
      <w:r>
        <w:t>Major depressive disorder (MDD) is associated with widespread alterations in functional brain networks across the lifespan. However, heterogeneity in atypical brain development among patients with MDD remains largely uncharacterized. Using a multisite resting-state functional MRI dataset consisting of 1,105 MDD patients and 1,065 healthy controls, we constructed a harmonized multicenter brain age prediction model based on individualized functional topography and identified two patient subgroups with positive or negative brain age gaps (BAGs). In patients with a positive BAG (BAG+), expansion of the salience network (SAL) into the dorsolateral prefrontal and ventrolateral prefrontal cortices, in addition to contraction of the sensorimotor and dorsal attention networks (DAN), contributes to accelerated brain aging. Conversely, in the negative BAG (BAG−) group, SAL expansion into the orbitofrontal cortex (OFC) and contraction of the visual and sensorimotor networks (SMN) were linked to delayed brain development. These subgroups also exhibited distinct neurodevelopmental trajectories. Clinically, BAG+ patients showed stronger associations between higher-order network topography and mood symptoms, whereas BAG− patients exhibited links between visual/default mode network topography and insomnia. At the molecular level, both groups showed enrichment of genes related to synaptic signaling but displayed distinct expression patterns and divergent expression trajectories in key neurodevelopmental gene sets. Notably, antidepressant treatment modulated the brain in ways that were specific to each subgroup. These findings reveal heterogeneous neurodevelopmental profiles in MDD with distinct biological and clinical signatures, offering insights into personalized precision medicine for this disorder.</w:t>
      </w:r>
    </w:p>
    <w:p>
      <w:pPr>
        <w:spacing w:before="120" w:after="120"/>
      </w:pPr>
      <w:r>
        <w:rPr>
          <w:sz w:val="18"/>
        </w:rPr>
        <w:t>——————————————————————————————————————————————————————————————————————</w:t>
      </w:r>
    </w:p>
    <w:p>
      <w:pPr>
        <w:spacing w:before="160" w:after="40" w:line="240" w:lineRule="auto"/>
      </w:pPr>
      <w:r>
        <w:rPr>
          <w:b/>
        </w:rPr>
        <w:t xml:space="preserve">[309] </w:t>
      </w:r>
      <w:hyperlink r:id="rId772">
        <w:r>
          <w:rPr>
            <w:color w:val="1155CC"/>
            <w:u w:val="single"/>
          </w:rPr>
          <w:t>使用无标记深度学习自动跟踪加速细胞迁移调节因子的发现</w:t>
        </w:r>
      </w:hyperlink>
    </w:p>
    <w:p>
      <w:pPr>
        <w:spacing w:before="0" w:after="80"/>
      </w:pPr>
      <w:r>
        <w:rPr>
          <w:i/>
          <w:sz w:val="20"/>
        </w:rPr>
        <w:t>EN: Accelerated discovery of cell migration regulators using label-free deep learning–based automated tracking</w:t>
      </w:r>
    </w:p>
    <w:p>
      <w:pPr>
        <w:spacing w:before="0" w:after="120"/>
      </w:pPr>
      <w:r>
        <w:rPr>
          <w:b/>
        </w:rPr>
        <w:t xml:space="preserve">Source: </w:t>
      </w:r>
      <w:r>
        <w:t>AAAS: Science Advances: Table of Contents</w:t>
      </w:r>
      <w:r>
        <w:t xml:space="preserve">    </w:t>
      </w:r>
      <w:r>
        <w:rPr>
          <w:b/>
        </w:rPr>
        <w:t xml:space="preserve">Pub date: </w:t>
      </w:r>
      <w:r>
        <w:t>2026-03-11 07:00:00+00:00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[310] </w:t>
      </w:r>
      <w:hyperlink r:id="rId773">
        <w:r>
          <w:rPr>
            <w:color w:val="1155CC"/>
            <w:u w:val="single"/>
          </w:rPr>
          <w:t>通过扭曲的1T-TaSe2中的双重莫尔图案调节电子结构</w:t>
        </w:r>
      </w:hyperlink>
    </w:p>
    <w:p>
      <w:pPr>
        <w:spacing w:before="0" w:after="80"/>
      </w:pPr>
      <w:r>
        <w:rPr>
          <w:i/>
          <w:sz w:val="20"/>
        </w:rPr>
        <w:t>EN: Modulation of electronic structure via dual moiré patterns in twisted 1T-TaSe2</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74">
        <w:r>
          <w:rPr>
            <w:color w:val="1155CC"/>
            <w:u w:val="single"/>
          </w:rPr>
          <w:t>10.1073/pnas.2520703123</w:t>
        </w:r>
      </w:hyperlink>
    </w:p>
    <w:p>
      <w:pPr>
        <w:spacing w:before="0" w:after="120"/>
      </w:pPr>
      <w:r>
        <w:rPr>
          <w:b/>
        </w:rPr>
        <w:t xml:space="preserve">Notes: </w:t>
      </w:r>
      <w:r>
        <w:t>abstract_source=crossref</w:t>
      </w:r>
    </w:p>
    <w:p>
      <w:pPr>
        <w:spacing w:before="0" w:after="80" w:lineRule="auto" w:line="276"/>
      </w:pPr>
      <w:r>
        <w:rPr>
          <w:b/>
        </w:rPr>
        <w:t xml:space="preserve">摘要（ZH）: </w:t>
      </w:r>
      <w:r>
        <w:t>我们研究了1T-TaSe2的扭曲双层（扭曲角&lt;4°）使用扫描隧道显微镜和光谱，揭示了共存的扭曲原子晶格和电荷密度波（CDW）超晶格产生了具有不同电子调制效应的双重莫尔结构：拓扑莫尔图案源于原子晶格扭曲调制CDW强度，而扭曲的CDW超晶格</w:t>
      </w:r>
    </w:p>
    <w:p>
      <w:pPr>
        <w:spacing w:before="0" w:after="200" w:lineRule="auto" w:line="276"/>
      </w:pPr>
      <w:r>
        <w:rPr>
          <w:b/>
        </w:rPr>
        <w:t xml:space="preserve">Abstract (EN): </w:t>
      </w:r>
      <w:r>
        <w:t>We investigate a twisted bilayer of 1</w:t>
      </w:r>
      <w:r>
        <w:t xml:space="preserve"> </w:t>
      </w:r>
      <w:r>
        <w:t>T</w:t>
      </w:r>
      <w:r>
        <w:t xml:space="preserve"> </w:t>
      </w:r>
      <w:r>
        <w:t>-TaSe</w:t>
      </w:r>
      <w:r>
        <w:rPr>
          <w:vertAlign w:val="subscript"/>
        </w:rPr>
        <w:t>2</w:t>
      </w:r>
      <w:r>
        <w:t>(twist angle</w:t>
      </w:r>
      <w:r>
        <w:t xml:space="preserve"> </w:t>
      </w:r>
      <w:r>
        <w:t>&amp;lt;</w:t>
      </w:r>
      <w:r>
        <w:t xml:space="preserve"> </w:t>
      </w:r>
      <w:r>
        <w:rPr>
          <w:vertAlign w:val="subscript"/>
        </w:rPr>
        <w:t>4</w:t>
      </w:r>
      <w:r>
        <w:t>°</w:t>
      </w:r>
      <w:r>
        <w:t xml:space="preserve"> </w:t>
      </w:r>
      <w:r>
        <w:t>) using scanning tunneling microscopy and spectroscopy, revealing that the coexisting twisted atomic lattice and charge density wave (CDW) superlattice generate a dual moiré structure with distinct electronic modulation effects: The topographic moiré pattern stems from atomic lattice twisting modulating CDW intensity, while the twisted CDW superlattice drives a continuous insulator-to-metal transition, as evidenced by electronic gap evolution from large to metallic states. Density functional theory calculations show this transition arises from twist-induced changes in star of David motif stacking. Using the moiré-period gap map as the interlayer potential</w:t>
      </w:r>
      <w:r>
        <w:t xml:space="preserve"> </w:t>
      </w:r>
      <w:r>
        <w:t>V</w:t>
      </w:r>
      <w:r>
        <w:t xml:space="preserve"> </w:t>
      </w:r>
      <w:r>
        <w:t>(</w:t>
      </w:r>
      <w:r>
        <w:t xml:space="preserve"> </w:t>
      </w:r>
      <w:r>
        <w:t>r</w:t>
      </w:r>
      <w:r>
        <w:t xml:space="preserve"> </w:t>
      </w:r>
      <w:r>
        <w:t>)</w:t>
      </w:r>
      <w:r>
        <w:t xml:space="preserve"> </w:t>
      </w:r>
      <w:r>
        <w:t>, we construct a continuum model via its Fourier components</w:t>
      </w:r>
      <w:r>
        <w:t xml:space="preserve"> </w:t>
      </w:r>
      <w:r>
        <w:t>V</w:t>
      </w:r>
      <w:r>
        <w:t xml:space="preserve"> </w:t>
      </w:r>
      <w:r>
        <w:t>G</w:t>
      </w:r>
      <w:r>
        <w:t xml:space="preserve"> </w:t>
      </w:r>
      <w:r>
        <w:t>, finding that</w:t>
      </w:r>
      <w:r>
        <w:t xml:space="preserve"> </w:t>
      </w:r>
      <w:r>
        <w:t>V</w:t>
      </w:r>
      <w:r>
        <w:t xml:space="preserve"> </w:t>
      </w:r>
      <w:r>
        <w:t>G</w:t>
      </w:r>
      <w:r>
        <w:t xml:space="preserve"> </w:t>
      </w:r>
      <w:r>
        <w:t>mediates multiple interlayer scattering processes that produce numerous superposition states manifesting as split flat-band pairs with distinct energy gaps. This work elucidates a CDW-twist-based mechanism for electronic control in 1</w:t>
      </w:r>
      <w:r>
        <w:t xml:space="preserve"> </w:t>
      </w:r>
      <w:r>
        <w:t>T</w:t>
      </w:r>
      <w:r>
        <w:t xml:space="preserve"> </w:t>
      </w:r>
      <w:r>
        <w:t>-TaSe</w:t>
      </w:r>
      <w:r>
        <w:rPr>
          <w:vertAlign w:val="subscript"/>
        </w:rPr>
        <w:t>2</w:t>
      </w:r>
      <w:r>
        <w:t>and provides insights into Mott physics and complex electronic phases in related materials.</w:t>
      </w:r>
    </w:p>
    <w:p>
      <w:pPr>
        <w:spacing w:before="120" w:after="120"/>
      </w:pPr>
      <w:r>
        <w:rPr>
          <w:sz w:val="18"/>
        </w:rPr>
        <w:t>——————————————————————————————————————————————————————————————————————</w:t>
      </w:r>
    </w:p>
    <w:p>
      <w:pPr>
        <w:spacing w:before="160" w:after="40" w:line="240" w:lineRule="auto"/>
      </w:pPr>
      <w:r>
        <w:rPr>
          <w:b/>
        </w:rPr>
        <w:t xml:space="preserve">[311] </w:t>
      </w:r>
      <w:hyperlink r:id="rId775">
        <w:r>
          <w:rPr>
            <w:color w:val="1155CC"/>
            <w:u w:val="single"/>
          </w:rPr>
          <w:t>全球极端火灾天气中人类指纹的出现</w:t>
        </w:r>
      </w:hyperlink>
    </w:p>
    <w:p>
      <w:pPr>
        <w:spacing w:before="0" w:after="80"/>
      </w:pPr>
      <w:r>
        <w:rPr>
          <w:i/>
          <w:sz w:val="20"/>
        </w:rPr>
        <w:t>EN: The emerging human fingerprint on global extreme fire weather</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76">
        <w:r>
          <w:rPr>
            <w:color w:val="1155CC"/>
            <w:u w:val="single"/>
          </w:rPr>
          <w:t>10.1126/sciadv.adx9845</w:t>
        </w:r>
      </w:hyperlink>
    </w:p>
    <w:p>
      <w:pPr>
        <w:spacing w:before="0" w:after="120"/>
      </w:pPr>
      <w:r>
        <w:rPr>
          <w:b/>
        </w:rPr>
        <w:t xml:space="preserve">Notes: </w:t>
      </w:r>
      <w:r>
        <w:t>abstract_source=crossref</w:t>
      </w:r>
    </w:p>
    <w:p>
      <w:pPr>
        <w:spacing w:before="0" w:after="80" w:lineRule="auto" w:line="276"/>
      </w:pPr>
      <w:r>
        <w:rPr>
          <w:b/>
        </w:rPr>
        <w:t xml:space="preserve">摘要（ZH）: </w:t>
      </w:r>
      <w:r>
        <w:t>极端火灾天气（炎热、干燥和多风的条件）在全球范围内加剧，但正式将这一趋势归因于人为气候变化仍然具有挑战性。在此，我们分析了1980-2023年间全球极端火灾天气天数（FWI95d，年度火灾天气指数超过95百分位数的天数）的趋势，使用气候模型集合、观测数据和指纹检测技术。我们发现，观察到的极端火灾天气的增加具有明显的外部强迫信号，在99%的置信度下可检测到超过自然变率，并可归因于人为气候变化。这种在人为影响下出现的极端火灾天气指纹突显了气候科学的基准，并强调了将这些见解整合到野火风险管理中的紧迫性。</w:t>
      </w:r>
    </w:p>
    <w:p>
      <w:pPr>
        <w:spacing w:before="0" w:after="200" w:lineRule="auto" w:line="276"/>
      </w:pPr>
      <w:r>
        <w:rPr>
          <w:b/>
        </w:rPr>
        <w:t xml:space="preserve">Abstract (EN): </w:t>
      </w:r>
      <w:r>
        <w:t>Extreme fire weather (hot, dry, and windy conditions) has intensified globally, yet formally attributing this trend to anthropogenic climate change remains challenging. Here, we analyze global trends in extreme fire weather days (FWI95d, annual count of days with Fire Weather Index above the 95th percentile) over 1980–2023, using climate model ensembles, observational data, and fingerprint detection techniques. We find that the observed increase in extreme fire weather bears a clear externally forced signal, detectable at 99% confidence above natural variability and attributable to human-induced climate change. This emerging human-induced fingerprint on extreme fire weather highlights a benchmark for climate science and underscores the urgency of integrating these insights into wildfire risk management and adaptation strategies.</w:t>
      </w:r>
    </w:p>
    <w:p>
      <w:pPr>
        <w:spacing w:before="120" w:after="120"/>
      </w:pPr>
      <w:r>
        <w:rPr>
          <w:sz w:val="18"/>
        </w:rPr>
        <w:t>——————————————————————————————————————————————————————————————————————</w:t>
      </w:r>
    </w:p>
    <w:p>
      <w:pPr>
        <w:spacing w:before="160" w:after="40" w:line="240" w:lineRule="auto"/>
      </w:pPr>
      <w:r>
        <w:rPr>
          <w:b/>
        </w:rPr>
        <w:t xml:space="preserve">[312] </w:t>
      </w:r>
      <w:hyperlink r:id="rId777">
        <w:r>
          <w:rPr>
            <w:color w:val="1155CC"/>
            <w:u w:val="single"/>
          </w:rPr>
          <w:t>通过消除m5C甲基转移酶增强植物抗病毒反应和生产力</w:t>
        </w:r>
      </w:hyperlink>
    </w:p>
    <w:p>
      <w:pPr>
        <w:spacing w:before="0" w:after="80"/>
      </w:pPr>
      <w:r>
        <w:rPr>
          <w:i/>
          <w:sz w:val="20"/>
        </w:rPr>
        <w:t>EN: Enhancing plant antiviral responses and productivity through the elimination of m5C methyltransferase</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78">
        <w:r>
          <w:rPr>
            <w:color w:val="1155CC"/>
            <w:u w:val="single"/>
          </w:rPr>
          <w:t>10.1126/sciadv.aea4046</w:t>
        </w:r>
      </w:hyperlink>
    </w:p>
    <w:p>
      <w:pPr>
        <w:spacing w:before="0" w:after="120"/>
      </w:pPr>
      <w:r>
        <w:rPr>
          <w:b/>
        </w:rPr>
        <w:t xml:space="preserve">Notes: </w:t>
      </w:r>
      <w:r>
        <w:t>abstract_source=crossref</w:t>
      </w:r>
    </w:p>
    <w:p>
      <w:pPr>
        <w:spacing w:before="0" w:after="80" w:lineRule="auto" w:line="276"/>
      </w:pPr>
      <w:r>
        <w:rPr>
          <w:b/>
        </w:rPr>
        <w:t xml:space="preserve">摘要（ZH）: </w:t>
      </w:r>
      <w:r>
        <w:t>RNA 5-甲基胞嘧啶（m</w:t>
      </w:r>
      <w:r>
        <w:rPr>
          <w:vertAlign w:val="subscript"/>
        </w:rPr>
        <w:t>5</w:t>
      </w:r>
      <w:r>
        <w:t>C）在植物抗病毒防御中扮演着未定义的角色。在此，我们揭示了小麦甲基转移酶NOP2/Sun RNA甲基转移酶2（TaNSUN2）是一种RNA m</w:t>
      </w:r>
      <w:r>
        <w:rPr>
          <w:vertAlign w:val="subscript"/>
        </w:rPr>
        <w:t>5</w:t>
      </w:r>
      <w:r>
        <w:t>C甲基转移酶，由真核延伸因子1-α（TaeEF1A）招募到中国小麦花叶病毒（CWMV）复制复合体（VRCs）中。TaNSUN2促进CWMV RNA的m</w:t>
      </w:r>
      <w:r>
        <w:rPr>
          <w:vertAlign w:val="subscript"/>
        </w:rPr>
        <w:t>5</w:t>
      </w:r>
      <w:r>
        <w:t>C修饰，以稳定它们并提高其翻译效率。此外，RNA 3′非翻译区的m</w:t>
      </w:r>
      <w:r>
        <w:rPr>
          <w:vertAlign w:val="subscript"/>
        </w:rPr>
        <w:t>5</w:t>
      </w:r>
      <w:r>
        <w:t>C修饰增强了TaeEF1A结合，促进病毒复制，并加强了病毒衣壳蛋白的相互作用，促进病毒组装。</w:t>
      </w:r>
    </w:p>
    <w:p>
      <w:pPr>
        <w:spacing w:before="0" w:after="200" w:lineRule="auto" w:line="276"/>
      </w:pPr>
      <w:r>
        <w:rPr>
          <w:b/>
        </w:rPr>
        <w:t xml:space="preserve">Abstract (EN): </w:t>
      </w:r>
      <w:r>
        <w:t>RNA 5-methylcytosine (m</w:t>
      </w:r>
      <w:r>
        <w:rPr>
          <w:vertAlign w:val="subscript"/>
        </w:rPr>
        <w:t>5</w:t>
      </w:r>
      <w:r>
        <w:t>C) plays an undefined role in plant antiviral defense. Here, we reveal that the wheat methyltransferase NOP2/Sun RNA methyltransferase 2 (TaNSUN2) is an RNA m</w:t>
      </w:r>
      <w:r>
        <w:rPr>
          <w:vertAlign w:val="subscript"/>
        </w:rPr>
        <w:t>5</w:t>
      </w:r>
      <w:r>
        <w:t>C methyltransferase recruited by eukaryotic elongation factor 1-alpha (TaeEF1A) into Chinese wheat mosaic virus (CWMV) replication complexes (VRCs). TaNSUN2 promotes the m</w:t>
      </w:r>
      <w:r>
        <w:rPr>
          <w:vertAlign w:val="subscript"/>
        </w:rPr>
        <w:t>5</w:t>
      </w:r>
      <w:r>
        <w:t>C modification of CWMV RNAs to stabilize them and enhance their translational efficiency. Moreover, m</w:t>
      </w:r>
      <w:r>
        <w:rPr>
          <w:vertAlign w:val="subscript"/>
        </w:rPr>
        <w:t>5</w:t>
      </w:r>
      <w:r>
        <w:t>C modification in RNA 3′ untranslated region strengthens both TaeEF1A binding, promoting viral replication, and viral coat protein interaction, facilitating viral assembly. A major allele of</w:t>
      </w:r>
      <w:r>
        <w:t xml:space="preserve"> </w:t>
      </w:r>
      <w:r>
        <w:t>TaNSUN2</w:t>
      </w:r>
      <w:r>
        <w:t xml:space="preserve"> </w:t>
      </w:r>
      <w:r>
        <w:t>prevents its interaction with TaeEF1A and hinders its entry into the VRCs to suppress m</w:t>
      </w:r>
      <w:r>
        <w:rPr>
          <w:vertAlign w:val="subscript"/>
        </w:rPr>
        <w:t>5</w:t>
      </w:r>
      <w:r>
        <w:t>C modification of viral RNAs.</w:t>
      </w:r>
      <w:r>
        <w:t xml:space="preserve"> </w:t>
      </w:r>
      <w:r>
        <w:t>TaNSUN2</w:t>
      </w:r>
      <w:r>
        <w:t xml:space="preserve"> </w:t>
      </w:r>
      <w:r>
        <w:t>knockout enhances wheat resistance to CWMV and increases the weight and size of wheat grains. Our findings provide mechanistic insights into the function of RNA modifications in plant virus infection and a valuable genetic resource for future wheat breeding projects.</w:t>
      </w:r>
    </w:p>
    <w:p>
      <w:pPr>
        <w:spacing w:before="120" w:after="120"/>
      </w:pPr>
      <w:r>
        <w:rPr>
          <w:sz w:val="18"/>
        </w:rPr>
        <w:t>——————————————————————————————————————————————————————————————————————</w:t>
      </w:r>
    </w:p>
    <w:p>
      <w:pPr>
        <w:spacing w:before="160" w:after="40" w:line="240" w:lineRule="auto"/>
      </w:pPr>
      <w:r>
        <w:rPr>
          <w:b/>
        </w:rPr>
        <w:t xml:space="preserve">[313] </w:t>
      </w:r>
      <w:hyperlink r:id="rId779">
        <w:r>
          <w:rPr>
            <w:color w:val="1155CC"/>
            <w:u w:val="single"/>
          </w:rPr>
          <w:t>Jaen Maisonet等人的更正，小分子泛素特异性蛋白酶7 (USP7) 的变构激活剂</w:t>
        </w:r>
      </w:hyperlink>
    </w:p>
    <w:p>
      <w:pPr>
        <w:spacing w:before="0" w:after="80"/>
      </w:pPr>
      <w:r>
        <w:rPr>
          <w:i/>
          <w:sz w:val="20"/>
        </w:rPr>
        <w:t>EN: Correction for Jaen Maisonet et al., Small-molecule allosteric activator of ubiquitin-specific protease 7 (USP7)</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80">
        <w:r>
          <w:rPr>
            <w:color w:val="1155CC"/>
            <w:u w:val="single"/>
          </w:rPr>
          <w:t>10.1073/pnas.2606204123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781">
        <w:r>
          <w:rPr>
            <w:color w:val="1155CC"/>
            <w:u w:val="single"/>
          </w:rPr>
          <w:t>跨超宽光学带宽的量子信息多路复用处理</w:t>
        </w:r>
      </w:hyperlink>
    </w:p>
    <w:p>
      <w:pPr>
        <w:spacing w:before="0" w:after="80"/>
      </w:pPr>
      <w:r>
        <w:rPr>
          <w:i/>
          <w:sz w:val="20"/>
        </w:rPr>
        <w:t>EN: Multiplexed processing of quantum information across an ultrawide optical bandwidth</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782">
        <w:r>
          <w:rPr>
            <w:color w:val="1155CC"/>
            <w:u w:val="single"/>
          </w:rPr>
          <w:t>10.1126/sciadv.adw5085</w:t>
        </w:r>
      </w:hyperlink>
    </w:p>
    <w:p>
      <w:pPr>
        <w:spacing w:before="0" w:after="120"/>
      </w:pPr>
      <w:r>
        <w:rPr>
          <w:b/>
        </w:rPr>
        <w:t xml:space="preserve">Notes: </w:t>
      </w:r>
      <w:r>
        <w:t>abstract_source=crossref</w:t>
      </w:r>
    </w:p>
    <w:p>
      <w:pPr>
        <w:spacing w:before="0" w:after="80" w:lineRule="auto" w:line="276"/>
      </w:pPr>
      <w:r>
        <w:rPr>
          <w:b/>
        </w:rPr>
        <w:t xml:space="preserve">摘要（ZH）: </w:t>
      </w:r>
      <w:r>
        <w:t>量子信息处理能够实现安全通信、量子传送和计算。然而，当前的协议受到标准测量设备（兆赫兹到吉赫兹）窄电子带宽的限制，极大地未能利用现成量子光源的宽光学带宽（10到100太赫兹）。我们引入了一个用于量子信道频率复用的一般框架，以及在这些信道中跨整个光学带宽高效处理量子信息的方法。利用宽带压缩光源、光谱操作和参数同相检测，我们生成、处理并测量多个量子信道并行。我们通过连续变量量子协议的复用演示了这一点。</w:t>
      </w:r>
    </w:p>
    <w:p>
      <w:pPr>
        <w:spacing w:before="0" w:after="200" w:lineRule="auto" w:line="276"/>
      </w:pPr>
      <w:r>
        <w:rPr>
          <w:b/>
        </w:rPr>
        <w:t xml:space="preserve">Abstract (EN): </w:t>
      </w:r>
      <w:r>
        <w:t>Quantum information processing enables secure communication, quantum teleportation, and computation. However, current protocols are limited by the narrow electronic bandwidth of standard measurement devices (megahertz to gigahertz), vastly underusing the broad optical bandwidth (10 to 100 terahertz) of readily available quantum light sources. We introduce a general framework for frequency-multiplexing of quantum channels along with methods for efficient processing of quantum information in those channels across the full optical bandwidth. Using a broadband squeezed-light source, spectral manipulation, and parametric homodyne detection, we generate, process, and measure multiple quantum channels in parallel. We demonstrate this through multiplexed protocols of both continuous-variable quantum key distribution (CV-QKD) and quantum teleportation. We experimentally demonstrate a proof-of-principle realization of multiplexed CV-QKD over 23 independent spectral channels with eavesdropping detection in each channel. These techniques pave the way for massively parallel quantum processing, potentially boosting the throughput of quantum protocols by orders of magnitude.</w:t>
      </w:r>
    </w:p>
    <w:p>
      <w:pPr>
        <w:spacing w:before="120" w:after="120"/>
      </w:pPr>
      <w:r>
        <w:rPr>
          <w:sz w:val="18"/>
        </w:rPr>
        <w:t>——————————————————————————————————————————————————————————————————————</w:t>
      </w:r>
    </w:p>
    <w:p>
      <w:pPr>
        <w:spacing w:before="160" w:after="40" w:line="240" w:lineRule="auto"/>
      </w:pPr>
      <w:r>
        <w:rPr>
          <w:b/>
        </w:rPr>
        <w:t xml:space="preserve">[315] </w:t>
      </w:r>
      <w:hyperlink r:id="rId783">
        <w:r>
          <w:rPr>
            <w:color w:val="1155CC"/>
            <w:u w:val="single"/>
          </w:rPr>
          <w:t>单细胞分析识别出在出芽酵母中竞争决定细胞命运的独立衰老过程</w:t>
        </w:r>
      </w:hyperlink>
    </w:p>
    <w:p>
      <w:pPr>
        <w:spacing w:before="0" w:after="80"/>
      </w:pPr>
      <w:r>
        <w:rPr>
          <w:i/>
          <w:sz w:val="20"/>
        </w:rPr>
        <w:t>EN: Single-cell analyses identify independent aging processes that compete to determine cellular fate in budding yeast</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84">
        <w:r>
          <w:rPr>
            <w:color w:val="1155CC"/>
            <w:u w:val="single"/>
          </w:rPr>
          <w:t>10.1073/pnas.2534452123</w:t>
        </w:r>
      </w:hyperlink>
    </w:p>
    <w:p>
      <w:pPr>
        <w:spacing w:before="0" w:after="120"/>
      </w:pPr>
      <w:r>
        <w:rPr>
          <w:b/>
        </w:rPr>
        <w:t xml:space="preserve">Notes: </w:t>
      </w:r>
      <w:r>
        <w:t>abstract_source=crossref</w:t>
      </w:r>
    </w:p>
    <w:p>
      <w:pPr>
        <w:spacing w:before="0" w:after="80" w:lineRule="auto" w:line="276"/>
      </w:pPr>
      <w:r>
        <w:rPr>
          <w:b/>
        </w:rPr>
        <w:t xml:space="preserve">摘要（ZH）: </w:t>
      </w:r>
      <w:r>
        <w:t>表型异质性在衰老过程中普遍存在，但其潜在的分子驱动因素仍然知之甚少。在出芽酵母中，已提出两种不同的衰老轨迹，分别以核糖体DNA（rDNA）不稳定性或线粒体衰退为特征，并被认为是互斥的。在此，我们通过结合单细胞转录组学和纵向荧光显微镜系统地剖析了衰老酵母细胞中的异质性。我们的数据揭示了衰老细胞中出现的不同转录反应，突出表现为rDNA沉默的丧失、缺氧反应和环境应激反应（ESR）。与预期相反，我们确定ESR的诱导不是由rDNA不稳定性引起的，而是线粒体膜早期衰退的结果。</w:t>
      </w:r>
    </w:p>
    <w:p>
      <w:pPr>
        <w:spacing w:before="0" w:after="200" w:lineRule="auto" w:line="276"/>
      </w:pPr>
      <w:r>
        <w:rPr>
          <w:b/>
        </w:rPr>
        <w:t xml:space="preserve">Abstract (EN): </w:t>
      </w:r>
      <w:r>
        <w:t>Phenotypic heterogeneity is prevalent during aging, yet its underlying molecular drivers remain poorly understood. In budding yeast, two distinct aging trajectories, characterized by either ribosomal DNA (rDNA) instability or mitochondrial decline, have been proposed to be mutually exclusive. Here, we systematically dissect the heterogeneity among aging yeast cells by combining single-cell transcriptomics with longitudinal fluorescence microscopy. Our data reveal distinct transcriptional responses that emerge in aging cells, highlighted by loss of rDNA silencing, a hypoxia response, and the environmental stress response (ESR). Contrary to expectation, we establish that ESR induction is not caused by rDNA instability but is instead a consequence of an early decline in mitochondrial membrane potential. However, the ESR is merely a biomarker of this decline and not itself a determinant of lifespan. While rDNA instability and mitochondrial dysfunction are anticorrelated as terminal phenotypes, we find that they are not necessarily mutually exclusive and can instead proceed concurrently within individual cells. Targeted genetic perturbations that are specific for one pathway do not impinge on the other, which is in contradiction to the idea of mutual inhibition between the two. We therefore propose a “competing hazards model”, where independent aging processes progress in parallel, and the observed mode of death is determined by which process first reaches a catastrophic failure point. Our work untangles the causal links between several aging pathways and provides a framework for understanding how distinct aging trajectories emerge from independent molecular events.</w:t>
      </w:r>
    </w:p>
    <w:p>
      <w:pPr>
        <w:spacing w:before="120" w:after="120"/>
      </w:pPr>
      <w:r>
        <w:rPr>
          <w:sz w:val="18"/>
        </w:rPr>
        <w:t>——————————————————————————————————————————————————————————————————————</w:t>
      </w:r>
    </w:p>
    <w:p>
      <w:pPr>
        <w:spacing w:before="160" w:after="40" w:line="240" w:lineRule="auto"/>
      </w:pPr>
      <w:r>
        <w:rPr>
          <w:b/>
        </w:rPr>
        <w:t xml:space="preserve">[316] </w:t>
      </w:r>
      <w:hyperlink r:id="rId785">
        <w:r>
          <w:rPr>
            <w:color w:val="1155CC"/>
            <w:u w:val="single"/>
          </w:rPr>
          <w:t>人类记忆编码期间协作大脑之间的量子启发纠缠</w:t>
        </w:r>
      </w:hyperlink>
    </w:p>
    <w:p>
      <w:pPr>
        <w:spacing w:before="0" w:after="80"/>
      </w:pPr>
      <w:r>
        <w:rPr>
          <w:i/>
          <w:sz w:val="20"/>
        </w:rPr>
        <w:t>EN: Quantum-inspired entanglement between collaborating brains during human memory encoding</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86">
        <w:r>
          <w:rPr>
            <w:color w:val="1155CC"/>
            <w:u w:val="single"/>
          </w:rPr>
          <w:t>10.1073/pnas.2520834123</w:t>
        </w:r>
      </w:hyperlink>
    </w:p>
    <w:p>
      <w:pPr>
        <w:spacing w:before="0" w:after="120"/>
      </w:pPr>
      <w:r>
        <w:rPr>
          <w:b/>
        </w:rPr>
        <w:t xml:space="preserve">Notes: </w:t>
      </w:r>
      <w:r>
        <w:t>abstract_source=crossref</w:t>
      </w:r>
    </w:p>
    <w:p>
      <w:pPr>
        <w:spacing w:before="0" w:after="80" w:lineRule="auto" w:line="276"/>
      </w:pPr>
      <w:r>
        <w:rPr>
          <w:b/>
        </w:rPr>
        <w:t xml:space="preserve">摘要（ZH）: </w:t>
      </w:r>
      <w:r>
        <w:t>两个人的大脑在信息处理过程中对齐的程度被认为是协作记忆编码的核心；然而，支持这种人际对齐的神经机制仍然难以捉摸。基于相位对齐度量的传统脑间同步模型无法区分真正的脑间连接与由共享刺激处理驱动的虚假同步。在此，我们引入了一个量子启发的框架来捕捉两个协作大脑之间的连接。使用双脑脑电图（EEG）超扫描，我们在两次实验中量化了协作（Colla）记忆和独立（Indep）记忆编码期间的脑间耦合，包括实验1中的70对（N = 140）和实验2中的41对（N = 82），其中包含</w:t>
      </w:r>
    </w:p>
    <w:p>
      <w:pPr>
        <w:spacing w:before="0" w:after="200" w:lineRule="auto" w:line="276"/>
      </w:pPr>
      <w:r>
        <w:rPr>
          <w:b/>
        </w:rPr>
        <w:t xml:space="preserve">Abstract (EN): </w:t>
      </w:r>
      <w:r>
        <w:t>The extent to which two brains align during information processing is thought to be central to collaborative memory encoding; however, the neural mechanisms that support such interpersonal alignment remain elusive. Traditional interbrain synchrony models based on phase-alignment metrics fail to distinguish true interbrain connectivity from spurious synchrony driven by shared stimulus processing. Here, we introduce a quantum-inspired framework to capture the connectivity between two collaborating brains. Using dual-brain Electroencephalogram (EEG) hyperscanning, we quantified interbrain coupling during collaborative (Colla)-memory and independent (Indep)-memory encoding in two experiments, including 70 dyads (N = 140) in Experiment 1 and 41 dyads (N = 82) in Experiment 2, which incorporated an empathy-enhancement training procedure. Treating Indep as a baseline state, we found that Colla without training deviated from this baseline by showing a higher probability of</w:t>
      </w:r>
      <w:r>
        <w:t xml:space="preserve"> </w:t>
      </w:r>
      <w:r>
        <w:t>aligned</w:t>
      </w:r>
      <w:r>
        <w:t xml:space="preserve"> </w:t>
      </w:r>
      <w:r>
        <w:t>states and a lower probability of</w:t>
      </w:r>
      <w:r>
        <w:t xml:space="preserve"> </w:t>
      </w:r>
      <w:r>
        <w:t>misaligned</w:t>
      </w:r>
      <w:r>
        <w:t xml:space="preserve"> </w:t>
      </w:r>
      <w:r>
        <w:t>states. Following empathy enhancement, Colla state probabilities returned toward the Indep baseline, accompanied by parallel normalization in memory retrieval performance and a shift in the cortical distribution of Colla-Indep differences toward regions implicated in socioemotional processing. Together, the Quantum Aligned-Misaligned Entanglement Model demonstrates that interbrain connectivity dynamics during memory encoding are context sensitive, dynamically evolving with cooperative engagement, and can be reshaped by empathic interaction in ways that systematically relate to subsequent retrieval performance. These findings suggest that quantum-inspired entanglement can be applied to modeling interbrain neural connectivity, offering a framework for understanding collaborative memory encoding.</w:t>
      </w:r>
    </w:p>
    <w:p>
      <w:pPr>
        <w:spacing w:before="120" w:after="120"/>
      </w:pPr>
      <w:r>
        <w:rPr>
          <w:sz w:val="18"/>
        </w:rPr>
        <w:t>——————————————————————————————————————————————————————————————————————</w:t>
      </w:r>
    </w:p>
    <w:p>
      <w:pPr>
        <w:spacing w:before="160" w:after="40" w:line="240" w:lineRule="auto"/>
      </w:pPr>
      <w:r>
        <w:rPr>
          <w:b/>
        </w:rPr>
        <w:t xml:space="preserve">[317] </w:t>
      </w:r>
      <w:hyperlink r:id="rId787">
        <w:r>
          <w:rPr>
            <w:color w:val="1155CC"/>
            <w:u w:val="single"/>
          </w:rPr>
          <w:t>具有可重构水凝胶界面的软电极阵列用于开颅手术期间的高保真神经生理监测</w:t>
        </w:r>
      </w:hyperlink>
    </w:p>
    <w:p>
      <w:pPr>
        <w:spacing w:before="0" w:after="80"/>
      </w:pPr>
      <w:r>
        <w:rPr>
          <w:i/>
          <w:sz w:val="20"/>
        </w:rPr>
        <w:t>EN: A soft electrode array with reconfigurable hydrogel interfaces for high-fidelity neurophysiological monitoring during craniotomy</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88">
        <w:r>
          <w:rPr>
            <w:color w:val="1155CC"/>
            <w:u w:val="single"/>
          </w:rPr>
          <w:t>10.1073/pnas.2533145123</w:t>
        </w:r>
      </w:hyperlink>
    </w:p>
    <w:p>
      <w:pPr>
        <w:spacing w:before="0" w:after="120"/>
      </w:pPr>
      <w:r>
        <w:rPr>
          <w:b/>
        </w:rPr>
        <w:t xml:space="preserve">Notes: </w:t>
      </w:r>
      <w:r>
        <w:t>abstract_source=crossref</w:t>
      </w:r>
    </w:p>
    <w:p>
      <w:pPr>
        <w:spacing w:before="0" w:after="80" w:lineRule="auto" w:line="276"/>
      </w:pPr>
      <w:r>
        <w:rPr>
          <w:b/>
        </w:rPr>
        <w:t xml:space="preserve">摘要（ZH）: </w:t>
      </w:r>
      <w:r>
        <w:t>实现对大脑皮层电生理活动的准确监测对于在开颅手术期间预防术后神经功能缺损至关重要。然而，由于复杂的颅内环境（例如，潮湿/脆弱的大脑表面和手术器械干扰），当前技术在实现一致的高质量神经信号采集方面面临深刻挑战。在此，我们开发了一种具有可重构水凝胶界面的软电极阵列，用于在神经外科手术过程中持续高保真监测功能性大脑皮层的电生理状态。具体而言，我们提出了一种溶液触发的重构策略，以实现电极上水凝胶界面层的反复拆卸/更换，确保一致性</w:t>
      </w:r>
    </w:p>
    <w:p>
      <w:pPr>
        <w:spacing w:before="0" w:after="200" w:lineRule="auto" w:line="276"/>
      </w:pPr>
      <w:r>
        <w:rPr>
          <w:b/>
        </w:rPr>
        <w:t xml:space="preserve">Abstract (EN): </w:t>
      </w:r>
      <w:r>
        <w:t>Achieving accurate monitoring of electrophysiological activity from the brain cortex is critical for preventing postoperative neurological deficits during craniotomy. However, current technologies face profound challenges in enabling consistent high-quality neural signal acquisition due to complex intracranial environments (e.g., wet/fragile brain surfaces and surgical instrument interference). Here, we develop a soft electrode array with reconfigurable hydrogel interfaces for sustainable high-fidelity monitoring of electrophysiological states from the functional brain cortex throughout neurosurgical procedures. Specifically, we propose a solution-triggered reconfiguration strategy to implement the repeated disassembly/replacement of hydrogel interface layers on electrodes, ensuring consistently superior recording and stimulation properties. Furthermore, through modification with cationic hydrogel microspheres, the hydrogel interface demonstrates strengthened wet adhesion and antiswelling performances, creating robust hydrogel/brain coupling to minimize motion artifacts. In craniotomy of animal models, the electrode array maintains low impedance and high signal-to-noise ratio during repeated repositioning tests through hydrogel interface reconfiguration. In traumatic brain injury models, the electrode array can record consistent high-quality somatosensory evoked potential with dynamic tracking of potential amplitude and latency changes in sensory areas. Quantitative assessments in nerve block experiments verify that the soft electrode array can efficiently elicit motor evoked potentials in motor areas with low stimulation currents. The proposed soft electrode array represents a promising platform for sustainable high-fidelity electrophysiological monitoring. The hydrogel interface design strategy provides an effective approach for developing reconfigurable devices in biomedical applications.</w:t>
      </w:r>
    </w:p>
    <w:p>
      <w:pPr>
        <w:spacing w:before="120" w:after="120"/>
      </w:pPr>
      <w:r>
        <w:rPr>
          <w:sz w:val="18"/>
        </w:rPr>
        <w:t>——————————————————————————————————————————————————————————————————————</w:t>
      </w:r>
    </w:p>
    <w:p>
      <w:pPr>
        <w:spacing w:before="160" w:after="40" w:line="240" w:lineRule="auto"/>
      </w:pPr>
      <w:r>
        <w:rPr>
          <w:b/>
        </w:rPr>
        <w:t xml:space="preserve">[318] </w:t>
      </w:r>
      <w:hyperlink r:id="rId789">
        <w:r>
          <w:rPr>
            <w:color w:val="1155CC"/>
            <w:u w:val="single"/>
          </w:rPr>
          <w:t>在科学中创建负责任的作者文化：将作者实践锚定在透明度、信用和责任原则中</w:t>
        </w:r>
      </w:hyperlink>
    </w:p>
    <w:p>
      <w:pPr>
        <w:spacing w:before="0" w:after="80"/>
      </w:pPr>
      <w:r>
        <w:rPr>
          <w:i/>
          <w:sz w:val="20"/>
        </w:rPr>
        <w:t>EN: Creating a responsible authorship culture in science: Anchoring authorship practices in principles of transparency, credit, and accountability</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90">
        <w:r>
          <w:rPr>
            <w:color w:val="1155CC"/>
            <w:u w:val="single"/>
          </w:rPr>
          <w:t>10.1073/pnas.2531268123</w:t>
        </w:r>
      </w:hyperlink>
    </w:p>
    <w:p>
      <w:pPr>
        <w:spacing w:before="0" w:after="120"/>
      </w:pPr>
      <w:r>
        <w:rPr>
          <w:b/>
        </w:rPr>
        <w:t xml:space="preserve">Notes: </w:t>
      </w:r>
      <w:r>
        <w:t>abstract_source=crossref</w:t>
      </w:r>
    </w:p>
    <w:p>
      <w:pPr>
        <w:spacing w:before="0" w:after="80" w:lineRule="auto" w:line="276"/>
      </w:pPr>
      <w:r>
        <w:rPr>
          <w:b/>
        </w:rPr>
        <w:t xml:space="preserve">摘要（ZH）: </w:t>
      </w:r>
      <w:r>
        <w:t>作者身份仍然是学术信用的主要货币和研究诚信的基石，但当前的实践往往未能反映现代科学的协作和跨学科性质，并且可疑的作者身份实践仍然存在。我们认为，解决这些缺陷是研究人员、期刊、研究资助者、学术团体和研究机构共同的责任。我们审查了期刊和研究机构发布的作者身份指南，发现它们对研究人员的建议高度可变。我们建议，培养负责任的作者身份文化需要一个基于透明度、信用和问责制的共享原则框架。这三个相互关联的原则强调了作者身份的时机</w:t>
      </w:r>
    </w:p>
    <w:p>
      <w:pPr>
        <w:spacing w:before="0" w:after="200" w:lineRule="auto" w:line="276"/>
      </w:pPr>
      <w:r>
        <w:rPr>
          <w:b/>
        </w:rPr>
        <w:t xml:space="preserve">Abstract (EN): </w:t>
      </w:r>
      <w:r>
        <w:t>Authorship remains the primary currency of academic credit and a cornerstone of research integrity, yet current practices often fail to reflect the collaborative and interdisciplinary nature of modern science and questionable authorship practices persist. We argue that addressing these shortcomings is a collective responsibility shared by researchers, journals, research funders, scholarly societies, and research institutions. We examined authorship guidelines issued by journals and research institutions and found that their recommendations to researchers are highly variable. We propose that fostering a responsible authorship culture requires a shared, principle-based framework grounded in transparency, credit, and accountability. These three interconnected principles highlight when authorship practices are questionable and offer a framework for constructive reflection on the meaning of authorship. We outline practical ways research leaders can embed these principles into everyday practice by initiating early, inclusive, and fair authorship discussions and ensuring transparent description of contributions. Research institutions have a unique opportunity to inculcate good practices and lead this culture change with harmonized guidance, education, fair conflict resolution, and reform of researcher assessment. Anchoring authorship in transparency, credit, and accountability will strengthen the credibility of individual research, the fairness of recognition systems, and, ultimately, the trustworthiness of science itself.</w:t>
      </w:r>
    </w:p>
    <w:p>
      <w:pPr>
        <w:spacing w:before="120" w:after="120"/>
      </w:pPr>
      <w:r>
        <w:rPr>
          <w:sz w:val="18"/>
        </w:rPr>
        <w:t>——————————————————————————————————————————————————————————————————————</w:t>
      </w:r>
    </w:p>
    <w:p>
      <w:pPr>
        <w:spacing w:before="160" w:after="40" w:line="240" w:lineRule="auto"/>
      </w:pPr>
      <w:r>
        <w:rPr>
          <w:b/>
        </w:rPr>
        <w:t xml:space="preserve">[319] </w:t>
      </w:r>
      <w:hyperlink r:id="rId791">
        <w:r>
          <w:rPr>
            <w:color w:val="1155CC"/>
            <w:u w:val="single"/>
          </w:rPr>
          <w:t>光滑到粗糙形态转换，分枝杆菌脓肿中的噬菌体抗性机制</w:t>
        </w:r>
      </w:hyperlink>
    </w:p>
    <w:p>
      <w:pPr>
        <w:spacing w:before="0" w:after="80"/>
      </w:pPr>
      <w:r>
        <w:rPr>
          <w:i/>
          <w:sz w:val="20"/>
        </w:rPr>
        <w:t>EN: Smooth-to-rough morphotype switching, a mechanism of phage resistance in Mycobacterium abscessus</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92">
        <w:r>
          <w:rPr>
            <w:color w:val="1155CC"/>
            <w:u w:val="single"/>
          </w:rPr>
          <w:t>10.1073/pnas.2531197123</w:t>
        </w:r>
      </w:hyperlink>
    </w:p>
    <w:p>
      <w:pPr>
        <w:spacing w:before="0" w:after="120"/>
      </w:pPr>
      <w:r>
        <w:rPr>
          <w:b/>
        </w:rPr>
        <w:t xml:space="preserve">Notes: </w:t>
      </w:r>
      <w:r>
        <w:t>abstract_source=crossref</w:t>
      </w:r>
    </w:p>
    <w:p>
      <w:pPr>
        <w:spacing w:before="0" w:after="80" w:lineRule="auto" w:line="276"/>
      </w:pPr>
      <w:r>
        <w:rPr>
          <w:b/>
        </w:rPr>
        <w:t xml:space="preserve">摘要（ZH）: </w:t>
      </w:r>
      <w:r>
        <w:t>分枝杆菌</w:t>
      </w:r>
      <w:r>
        <w:t xml:space="preserve"> </w:t>
      </w:r>
      <w:r>
        <w:t>abscessus</w:t>
      </w:r>
      <w:r>
        <w:t xml:space="preserve"> </w:t>
      </w:r>
      <w:r>
        <w:t>感染由于其严重的病理和治疗困难，主要由其固有的抗菌素耐药性驱动，代表了一个日益严重的全球健康问题。虽然噬菌体疗法已成为一种有前途的替代方法，但研究主要集中在缺乏糖肽脂（GPL）的</w:t>
      </w:r>
      <w:r>
        <w:t xml:space="preserve"> </w:t>
      </w:r>
      <w:r>
        <w:t>M. abscessus</w:t>
      </w:r>
      <w:r>
        <w:t xml:space="preserve"> </w:t>
      </w:r>
      <w:r>
        <w:t>粗糙变体，而不是在亚洲占主导地位的GPL产生的光滑变体。在此，我们旨在开发针对光滑和粗糙形态的噬菌体鸡尾酒。在此过程中，我们发现对光滑变体的噬菌体治疗可以在体外和体内选择出从光滑到粗糙变体的形态转换，导致噬菌体再</w:t>
      </w:r>
    </w:p>
    <w:p>
      <w:pPr>
        <w:spacing w:before="0" w:after="200" w:lineRule="auto" w:line="276"/>
      </w:pPr>
      <w:r>
        <w:rPr>
          <w:b/>
        </w:rPr>
        <w:t xml:space="preserve">Abstract (EN): </w:t>
      </w:r>
      <w:r>
        <w:t>Mycobacterium</w:t>
      </w:r>
      <w:r>
        <w:t xml:space="preserve"> </w:t>
      </w:r>
      <w:r>
        <w:t>abscessus</w:t>
      </w:r>
      <w:r>
        <w:t xml:space="preserve"> </w:t>
      </w:r>
      <w:r>
        <w:t>infections represent a growing global health concern due to their severe pathology and difficulty of treatment, largely driven by their intrinsic antimicrobial resistance. While phage therapy has emerged as a promising alternative approach, studies have predominantly focused on glycopeptidolipids (GPL)-deficient</w:t>
      </w:r>
      <w:r>
        <w:t xml:space="preserve"> </w:t>
      </w:r>
      <w:r>
        <w:t>M. abscessus</w:t>
      </w:r>
      <w:r>
        <w:t xml:space="preserve"> </w:t>
      </w:r>
      <w:r>
        <w:t>rough variants instead of the GPL-producing smooth variants predominant in Asia. Here, we aim to develop phage cocktails targeting both smooth and rough morphotypes. In the process, we found that phage treatment of smooth variants can select for rough morphotype switching from smooth-to-rough variants in vitro and in vivo, resulting in phage resistance associated with mutations within the</w:t>
      </w:r>
      <w:r>
        <w:t xml:space="preserve"> </w:t>
      </w:r>
      <w:r>
        <w:t>GPL</w:t>
      </w:r>
      <w:r>
        <w:t xml:space="preserve"> </w:t>
      </w:r>
      <w:r>
        <w:t>biosynthetic locus. We validated our findings in vitro and in vivo, suggesting a two-layered phage combination that surpasses single-phage treatments and potentially improves clinical phage cocktail strategies. This work underlines the need to better understand mechanisms of phage resistance in phage therapy and associated potential adverse effects and solutions. Phage resistance in</w:t>
      </w:r>
      <w:r>
        <w:t xml:space="preserve"> </w:t>
      </w:r>
      <w:r>
        <w:t>M. abscessus</w:t>
      </w:r>
      <w:r>
        <w:t xml:space="preserve"> </w:t>
      </w:r>
      <w:r>
        <w:t>through morphotype switching is clinically significant, as it may complicate treatment outcomes but could be averted with proper phage combinations.</w:t>
      </w:r>
    </w:p>
    <w:p>
      <w:pPr>
        <w:spacing w:before="120" w:after="120"/>
      </w:pPr>
      <w:r>
        <w:rPr>
          <w:sz w:val="18"/>
        </w:rPr>
        <w:t>——————————————————————————————————————————————————————————————————————</w:t>
      </w:r>
    </w:p>
    <w:p>
      <w:pPr>
        <w:spacing w:before="160" w:after="40" w:line="240" w:lineRule="auto"/>
      </w:pPr>
      <w:r>
        <w:rPr>
          <w:b/>
        </w:rPr>
        <w:t xml:space="preserve">[320] </w:t>
      </w:r>
      <w:hyperlink r:id="rId793">
        <w:r>
          <w:rPr>
            <w:color w:val="1155CC"/>
            <w:u w:val="single"/>
          </w:rPr>
          <w:t>BRCA1-A和LIG4复合物介导ecDNA生物发生和癌症药物抗性</w:t>
        </w:r>
      </w:hyperlink>
    </w:p>
    <w:p>
      <w:pPr>
        <w:spacing w:before="0" w:after="80"/>
      </w:pPr>
      <w:r>
        <w:rPr>
          <w:i/>
          <w:sz w:val="20"/>
        </w:rPr>
        <w:t>EN: BRCA1-A and LIG4 complexes mediate ecDNA biogenesis and cancer drug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94">
        <w:r>
          <w:rPr>
            <w:color w:val="1155CC"/>
            <w:u w:val="single"/>
          </w:rPr>
          <w:t>10.1073/pnas.2530443123</w:t>
        </w:r>
      </w:hyperlink>
    </w:p>
    <w:p>
      <w:pPr>
        <w:spacing w:before="0" w:after="120"/>
      </w:pPr>
      <w:r>
        <w:rPr>
          <w:b/>
        </w:rPr>
        <w:t xml:space="preserve">Notes: </w:t>
      </w:r>
      <w:r>
        <w:t>abstract_source=crossref</w:t>
      </w:r>
    </w:p>
    <w:p>
      <w:pPr>
        <w:spacing w:before="0" w:after="80" w:lineRule="auto" w:line="276"/>
      </w:pPr>
      <w:r>
        <w:rPr>
          <w:b/>
        </w:rPr>
        <w:t xml:space="preserve">摘要（ZH）: </w:t>
      </w:r>
      <w:r>
        <w:t>核外环状DNA（ecDNA）经常在细胞核内生成，对基因组动态和异质性做出贡献，从而促进癌细胞的进化和适应。然而，ecDNA生物发生的机制仍然知之甚少。在此，通过在人类细胞中进行全基因组CRISPR筛选，我们确定了BRCA1-A和LIG4复合物是ecDNA生成的关键驱动因素。在DNA分段后，上游BRCA1-A复合物保护DNA末端免受过度切割，促进末端连接以实现环化。相反，介导末端切割的MRN复合物对抗BRCA1-A复合物，抑制ecDNA的形成。在下游，LIG4通过连接DNA片段的自由末端保守地介导ecDNA的生成。此外，e</w:t>
      </w:r>
    </w:p>
    <w:p>
      <w:pPr>
        <w:spacing w:before="0" w:after="200" w:lineRule="auto" w:line="276"/>
      </w:pPr>
      <w:r>
        <w:rPr>
          <w:b/>
        </w:rPr>
        <w:t xml:space="preserve">Abstract (EN): </w:t>
      </w:r>
      <w:r>
        <w:t>Extrachromosomal circular DNA (ecDNA) is frequently generated within the nucleus, contributing to genome dynamics and heterogeneity, thereby promoting cancer cell evolution and adaptation. However, the mechanisms underlying ecDNA biogenesis remain poorly understood. Here, using genome-wide CRISPR screening in human cells, we identified the BRCA1-A and the LIG4 complexes as key drivers of ecDNA production. Following DNA segmentation, the upstream BRCA1-A complex protects DNA ends from excessive resection, promoting end-joining for circularization. Conversely, the MRN complex, which mediates end resection and thus antagonizes the BRCA1-A complex, suppresses ecDNA formation. Downstream, LIG4 conservatively mediates ecDNA production by joining the free ends of the DNA fragments. Furthermore, ecDNA from patient tumors harbors junction sites with a LIG4 signature. Notably, disruption of either LIG4 or the BRCA1-A complex in cancer cells impairs ecDNA-mediated adaptation, hindering the development of resistance to both chemotherapy and targeted therapies. Together, our study reveals the roles of the LIG4 and BRCA1-A complexes in ecDNA biogenesis, and uncovers therapeutic targets to block ecDNA-mediated adaptation for cancer treatment.</w:t>
      </w:r>
    </w:p>
    <w:p>
      <w:pPr>
        <w:spacing w:before="120" w:after="120"/>
      </w:pPr>
      <w:r>
        <w:rPr>
          <w:sz w:val="18"/>
        </w:rPr>
        <w:t>——————————————————————————————————————————————————————————————————————</w:t>
      </w:r>
    </w:p>
    <w:p>
      <w:pPr>
        <w:spacing w:before="160" w:after="40" w:line="240" w:lineRule="auto"/>
      </w:pPr>
      <w:r>
        <w:rPr>
          <w:b/>
        </w:rPr>
        <w:t xml:space="preserve">[321] </w:t>
      </w:r>
      <w:hyperlink r:id="rId795">
        <w:r>
          <w:rPr>
            <w:color w:val="1155CC"/>
            <w:u w:val="single"/>
          </w:rPr>
          <w:t>多个属的弹状病毒保守使用四跨膜蛋白CD9作为进入受体</w:t>
        </w:r>
      </w:hyperlink>
    </w:p>
    <w:p>
      <w:pPr>
        <w:spacing w:before="0" w:after="80"/>
      </w:pPr>
      <w:r>
        <w:rPr>
          <w:i/>
          <w:sz w:val="20"/>
        </w:rPr>
        <w:t>EN: Conserved use of tetraspanin CD9 as an entry receptor by rhabdoviruses spanning multiple genera</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96">
        <w:r>
          <w:rPr>
            <w:color w:val="1155CC"/>
            <w:u w:val="single"/>
          </w:rPr>
          <w:t>10.1073/pnas.2530369123</w:t>
        </w:r>
      </w:hyperlink>
    </w:p>
    <w:p>
      <w:pPr>
        <w:spacing w:before="0" w:after="120"/>
      </w:pPr>
      <w:r>
        <w:rPr>
          <w:b/>
        </w:rPr>
        <w:t xml:space="preserve">Notes: </w:t>
      </w:r>
      <w:r>
        <w:t>abstract_source=crossref</w:t>
      </w:r>
    </w:p>
    <w:p>
      <w:pPr>
        <w:spacing w:before="0" w:after="80" w:lineRule="auto" w:line="276"/>
      </w:pPr>
      <w:r>
        <w:rPr>
          <w:b/>
        </w:rPr>
        <w:t xml:space="preserve">摘要（ZH）: </w:t>
      </w:r>
      <w:r>
        <w:t>弹状病毒表现出广泛的宿主范围，但其跨物种嗜性背后的细胞受体仍然定义不清。在此，我们确定了四跨膜蛋白CD9作为不同属的多种弹状病毒的保守功能性进入受体，包括病毒性出血性败血症病毒（VHSV）（</w:t>
      </w:r>
      <w:r>
        <w:t xml:space="preserve"> </w:t>
      </w:r>
      <w:r>
        <w:t>Novirhabdovirus</w:t>
      </w:r>
      <w:r>
        <w:t xml:space="preserve"> </w:t>
      </w:r>
      <w:r>
        <w:t>）、</w:t>
      </w:r>
      <w:r>
        <w:t xml:space="preserve"> </w:t>
      </w:r>
      <w:r>
        <w:t>Siniperca chuatsi</w:t>
      </w:r>
      <w:r>
        <w:t xml:space="preserve"> </w:t>
      </w:r>
      <w:r>
        <w:t>弹状病毒（SCRV）（</w:t>
      </w:r>
      <w:r>
        <w:t xml:space="preserve"> </w:t>
      </w:r>
      <w:r>
        <w:t>Siniperhavirus</w:t>
      </w:r>
      <w:r>
        <w:t xml:space="preserve"> </w:t>
      </w:r>
      <w:r>
        <w:t>）和水疱性口炎病毒（VSV）（</w:t>
      </w:r>
      <w:r>
        <w:t xml:space="preserve"> </w:t>
      </w:r>
      <w:r>
        <w:t>Vesiculovirus</w:t>
      </w:r>
      <w:r>
        <w:t xml:space="preserve"> </w:t>
      </w:r>
      <w:r>
        <w:t>）。我们证明了VHSV糖蛋白G的IV域直接与</w:t>
      </w:r>
      <w:r>
        <w:t xml:space="preserve"> </w:t>
      </w:r>
      <w:r>
        <w:t>Lateolabrax japonicus</w:t>
      </w:r>
      <w:r>
        <w:t xml:space="preserve"> </w:t>
      </w:r>
      <w:r>
        <w:t>CD9（LjCD9）的大片段胞外环域相互作用。CD9 knoc</w:t>
      </w:r>
    </w:p>
    <w:p>
      <w:pPr>
        <w:spacing w:before="0" w:after="200" w:lineRule="auto" w:line="276"/>
      </w:pPr>
      <w:r>
        <w:rPr>
          <w:b/>
        </w:rPr>
        <w:t xml:space="preserve">Abstract (EN): </w:t>
      </w:r>
      <w:r>
        <w:t>Rhabdoviruses exhibit a broad host range, yet the cellular receptors underlying their cross-species tropism remain poorly defined. Here, we identified tetraspanin CD9 as a conserved functional entry receptor for diverse rhabdoviruses across genera, including viral hemorrhagic septicemia virus (VHSV) (</w:t>
      </w:r>
      <w:r>
        <w:t xml:space="preserve"> </w:t>
      </w:r>
      <w:r>
        <w:t>Novirhabdovirus</w:t>
      </w:r>
      <w:r>
        <w:t xml:space="preserve"> </w:t>
      </w:r>
      <w:r>
        <w:t>),</w:t>
      </w:r>
      <w:r>
        <w:t xml:space="preserve"> </w:t>
      </w:r>
      <w:r>
        <w:t>Siniperca chuatsi</w:t>
      </w:r>
      <w:r>
        <w:t xml:space="preserve"> </w:t>
      </w:r>
      <w:r>
        <w:t>rhabdovirus (SCRV) (</w:t>
      </w:r>
      <w:r>
        <w:t xml:space="preserve"> </w:t>
      </w:r>
      <w:r>
        <w:t>Siniperhavirus</w:t>
      </w:r>
      <w:r>
        <w:t xml:space="preserve"> </w:t>
      </w:r>
      <w:r>
        <w:t>), and vesicular stomatitis virus (VSV) (</w:t>
      </w:r>
      <w:r>
        <w:t xml:space="preserve"> </w:t>
      </w:r>
      <w:r>
        <w:t>Vesiculovirus</w:t>
      </w:r>
      <w:r>
        <w:t xml:space="preserve"> </w:t>
      </w:r>
      <w:r>
        <w:t>). We demonstrated that the domain IV of VHSV glycoprotein G directly interacted with the large extracellular loop domain of</w:t>
      </w:r>
      <w:r>
        <w:t xml:space="preserve"> </w:t>
      </w:r>
      <w:r>
        <w:t>Lateolabrax japonicus</w:t>
      </w:r>
      <w:r>
        <w:t xml:space="preserve"> </w:t>
      </w:r>
      <w:r>
        <w:t>CD9 (LjCD9). CD9 knockout, CD9 protein, or CD9 antibody significantly reduced VHSV infection in vitro and CD9 knockout zebrafish, while HEK293T cells, which are nonsusceptible but permissive to VHSV, become susceptible when expressing LjCD9, suggesting that LjCD9 is an entry receptor for VHSV. We further confirmed that LjCD9 functions as a functional receptor of SCRV. Importantly, the human CD9 orthologue can serve as a receptor of VSV. Our findings also revealed that LjCD9 mediated VHSV entry via clathrin- and caveolae-mediated endocytosis. Notably, nitazoxanide (NTZ) was identified as a broad-spectrum inhibitor of VHSV, SCRV, and VSV likely by interfering with the G protein–CD9 interaction. This study establishes CD9 as a cross-species receptor for rhabdoviruses and highlights NTZ as a promising broad-spectrum antiviral agent.</w:t>
      </w:r>
    </w:p>
    <w:p>
      <w:pPr>
        <w:spacing w:before="120" w:after="120"/>
      </w:pPr>
      <w:r>
        <w:rPr>
          <w:sz w:val="18"/>
        </w:rPr>
        <w:t>——————————————————————————————————————————————————————————————————————</w:t>
      </w:r>
    </w:p>
    <w:p>
      <w:pPr>
        <w:spacing w:before="160" w:after="40" w:line="240" w:lineRule="auto"/>
      </w:pPr>
      <w:r>
        <w:rPr>
          <w:b/>
        </w:rPr>
        <w:t xml:space="preserve">[322] </w:t>
      </w:r>
      <w:hyperlink r:id="rId797">
        <w:r>
          <w:rPr>
            <w:color w:val="1155CC"/>
            <w:u w:val="single"/>
          </w:rPr>
          <w:t>桥接发育和统计方法以研究变异和进化</w:t>
        </w:r>
      </w:hyperlink>
    </w:p>
    <w:p>
      <w:pPr>
        <w:spacing w:before="0" w:after="80"/>
      </w:pPr>
      <w:r>
        <w:rPr>
          <w:i/>
          <w:sz w:val="20"/>
        </w:rPr>
        <w:t>EN: Bridging developmental and statistical approaches to variation and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798">
        <w:r>
          <w:rPr>
            <w:color w:val="1155CC"/>
            <w:u w:val="single"/>
          </w:rPr>
          <w:t>10.1073/pnas.2529820123</w:t>
        </w:r>
      </w:hyperlink>
    </w:p>
    <w:p>
      <w:pPr>
        <w:spacing w:before="0" w:after="120"/>
      </w:pPr>
      <w:r>
        <w:rPr>
          <w:b/>
        </w:rPr>
        <w:t xml:space="preserve">Notes: </w:t>
      </w:r>
      <w:r>
        <w:t>abstract_source=crossref</w:t>
      </w:r>
    </w:p>
    <w:p>
      <w:pPr>
        <w:spacing w:before="0" w:after="80" w:lineRule="auto" w:line="276"/>
      </w:pPr>
      <w:r>
        <w:rPr>
          <w:b/>
        </w:rPr>
        <w:t xml:space="preserve">摘要（ZH）: </w:t>
      </w:r>
      <w:r>
        <w:t>表型变异是进化多样化和适应的原始材料。然而，进化理论中在发育和统计表型变异表示之间仍存在关键差距，限制了我们理解和预测进化变化的能力。在本文中，我们通过建立发育和统计表型变异描述之间的正式桥梁来弥合这一差距。将发育表示为动态系统，我们推导出发育系统扰动与数量遗传参数之间的显式关系。通过这一框架，我们获得了两个重要结果。首先，我们表明完整的发育轨迹包含的信息可以改善与进化相关的统计参数的估计。</w:t>
      </w:r>
    </w:p>
    <w:p>
      <w:pPr>
        <w:spacing w:before="0" w:after="200" w:lineRule="auto" w:line="276"/>
      </w:pPr>
      <w:r>
        <w:rPr>
          <w:b/>
        </w:rPr>
        <w:t xml:space="preserve">Abstract (EN): </w:t>
      </w:r>
      <w:r>
        <w:t>Phenotypic variation is the raw material for evolutionary diversification and adaptation. However, a critical gap remains in evolutionary theory between developmental and statistical representations of phenotypic variation, limiting our ability to understand and predict evolutionary change. In this paper, we close this gap by establishing a formal bridge between developmental and statistical accounts of phenotypic variation. Representing development as a dynamical system, we derive explicit relationships between perturbations to developmental systems and quantitative-genetic parameters. Through this framework, we obtain two important results. First, we show that the full developmental trajectory contains information that can improve the estimation of statistical parameters relevant to evolution. Second, we explain how different sources of variation—genetic, environmental, and stochastic—shape the distribution of phenotypic variation. This reveals conditions under which covariance matrices are expected to align, offering a developmental explanation for statistical patterns of phenotypic variation at both micro- and macroevolutionary scales. These findings advance our understanding of how developmental processes structure phenotypic variation, shape evolutionary dynamics, and influence evolvability.</w:t>
      </w:r>
    </w:p>
    <w:p>
      <w:pPr>
        <w:spacing w:before="120" w:after="120"/>
      </w:pPr>
      <w:r>
        <w:rPr>
          <w:sz w:val="18"/>
        </w:rPr>
        <w:t>——————————————————————————————————————————————————————————————————————</w:t>
      </w:r>
    </w:p>
    <w:p>
      <w:pPr>
        <w:spacing w:before="160" w:after="40" w:line="240" w:lineRule="auto"/>
      </w:pPr>
      <w:r>
        <w:rPr>
          <w:b/>
        </w:rPr>
        <w:t xml:space="preserve">[323] </w:t>
      </w:r>
      <w:hyperlink r:id="rId799">
        <w:r>
          <w:rPr>
            <w:color w:val="1155CC"/>
            <w:u w:val="single"/>
          </w:rPr>
          <w:t>蓝斑-杏仁核回路破坏前额叶控制以损害恐惧消退</w:t>
        </w:r>
      </w:hyperlink>
    </w:p>
    <w:p>
      <w:pPr>
        <w:spacing w:before="0" w:after="80"/>
      </w:pPr>
      <w:r>
        <w:rPr>
          <w:i/>
          <w:sz w:val="20"/>
        </w:rPr>
        <w:t>EN: Locus coeruleus–amygdala circuit disrupts prefrontal control to impair fear extinction</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800">
        <w:r>
          <w:rPr>
            <w:color w:val="1155CC"/>
            <w:u w:val="single"/>
          </w:rPr>
          <w:t>10.1073/pnas.2528250123</w:t>
        </w:r>
      </w:hyperlink>
    </w:p>
    <w:p>
      <w:pPr>
        <w:spacing w:before="0" w:after="120"/>
      </w:pPr>
      <w:r>
        <w:rPr>
          <w:b/>
        </w:rPr>
        <w:t xml:space="preserve">Notes: </w:t>
      </w:r>
      <w:r>
        <w:t>abstract_source=crossref</w:t>
      </w:r>
    </w:p>
    <w:p>
      <w:pPr>
        <w:spacing w:before="0" w:after="80" w:lineRule="auto" w:line="276"/>
      </w:pPr>
      <w:r>
        <w:rPr>
          <w:b/>
        </w:rPr>
        <w:t xml:space="preserve">摘要（ZH）: </w:t>
      </w:r>
      <w:r>
        <w:t>压力削弱了消退学习，并阻碍了基于暴露的多种神经精神障碍的临床治疗。在动物和人类中，腹内侧前额叶皮层（vmPFC）的功能障碍导致压力损害的消退，但压力调节vmPFC功能的神经回路尚不清楚。我们假设蓝斑（LC）去甲肾上腺素通过招募来自基底外侧杏仁核（BLA）到vmPFC的投射来削弱消退学习。使用电路特异性化学遗传学和钙成像的组合，我们发现激活LC去甲肾上腺素能神经元模拟行为压力源（电击），引发冻结行为，减少vmPFC中的自发神经活动，损害消退学习，并改变群体动态。</w:t>
      </w:r>
    </w:p>
    <w:p>
      <w:pPr>
        <w:spacing w:before="0" w:after="200" w:lineRule="auto" w:line="276"/>
      </w:pPr>
      <w:r>
        <w:rPr>
          <w:b/>
        </w:rPr>
        <w:t xml:space="preserve">Abstract (EN): </w:t>
      </w:r>
      <w:r>
        <w:t>Stress undermines extinction learning and hinders exposure-based clinical therapies for a variety of neuropsychiatric disorders. In both animals and humans, dysfunction in the ventromedial prefrontal cortex (vmPFC) contributes to stress-impaired extinction, but the neural circuit by which stress modulates vmPFC function is not known. We hypothesize that locus coeruleus (LC) norepinephrine undermines extinction learning by recruiting projections from the basolateral amygdala (BLA) to vmPFC. Using a combination of circuit-specific chemogenetics and calcium imaging, we find that activation of LC noradrenergic neurons mimics a behavioral stressor (footshock), induces freezing behavior, reduces spontaneous neuronal activity in the vmPFC, impairs extinction learning, and alters the population dynamics of vmPFC ensembles. Activation of LC also increases shock-induced responses in BLA neurons that project to vmPFC. Selective chemogenetic activation of LC→BLA projections impairs extinction; propranolol infusions into the BLA mitigate the effects of LC activation. Together, these results indicate that the BLA serves as a critical interface between the LC and mPFC to mediate stress-induced extinction impairments.</w:t>
      </w:r>
    </w:p>
    <w:p>
      <w:pPr>
        <w:spacing w:before="120" w:after="120"/>
      </w:pPr>
      <w:r>
        <w:rPr>
          <w:sz w:val="18"/>
        </w:rPr>
        <w:t>——————————————————————————————————————————————————————————————————————</w:t>
      </w:r>
    </w:p>
    <w:p>
      <w:pPr>
        <w:spacing w:before="160" w:after="40" w:line="240" w:lineRule="auto"/>
      </w:pPr>
      <w:r>
        <w:rPr>
          <w:b/>
        </w:rPr>
        <w:t xml:space="preserve">[324] </w:t>
      </w:r>
      <w:hyperlink r:id="rId801">
        <w:r>
          <w:rPr>
            <w:color w:val="1155CC"/>
            <w:u w:val="single"/>
          </w:rPr>
          <w:t>扭曲各向异性同质双层中的莫尔崩溃和Luttinger液体</w:t>
        </w:r>
      </w:hyperlink>
    </w:p>
    <w:p>
      <w:pPr>
        <w:spacing w:before="0" w:after="80"/>
      </w:pPr>
      <w:r>
        <w:rPr>
          <w:i/>
          <w:sz w:val="20"/>
        </w:rPr>
        <w:t>EN: Moiré collapse and Luttinger liquids in twisted anisotropic homobilayers</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802">
        <w:r>
          <w:rPr>
            <w:color w:val="1155CC"/>
            <w:u w:val="single"/>
          </w:rPr>
          <w:t>10.1073/pnas.2527371123</w:t>
        </w:r>
      </w:hyperlink>
    </w:p>
    <w:p>
      <w:pPr>
        <w:spacing w:before="0" w:after="120"/>
      </w:pPr>
      <w:r>
        <w:rPr>
          <w:b/>
        </w:rPr>
        <w:t xml:space="preserve">Notes: </w:t>
      </w:r>
      <w:r>
        <w:t>abstract_source=crossref</w:t>
      </w:r>
    </w:p>
    <w:p>
      <w:pPr>
        <w:spacing w:before="0" w:after="80" w:lineRule="auto" w:line="276"/>
      </w:pPr>
      <w:r>
        <w:rPr>
          <w:b/>
        </w:rPr>
        <w:t xml:space="preserve">摘要（ZH）: </w:t>
      </w:r>
      <w:r>
        <w:t>我们引入了扭曲各向异性同质双层作为一种独特的莫尔系统，其特征在于一个独特的“魔角”，θM，在此处莫尔单元格崩溃。与主要关注小晶格错位的传统莫尔材料研究不同，我们证明这种莫尔崩溃发生在一般扭曲各向异性同质双层的大扭曲角度下。崩溃角度，θM。</w:t>
      </w:r>
    </w:p>
    <w:p>
      <w:pPr>
        <w:spacing w:before="0" w:after="200" w:lineRule="auto" w:line="276"/>
      </w:pPr>
      <w:r>
        <w:rPr>
          <w:b/>
        </w:rPr>
        <w:t xml:space="preserve">Abstract (EN): </w:t>
      </w:r>
      <w:r>
        <w:t>We introduce twisted anisotropic homobilayers as a distinct class of moiré systems, characterized by a distinctive “magic angle,”</w:t>
      </w:r>
      <w:r>
        <w:t xml:space="preserve"> </w:t>
      </w:r>
      <w:r>
        <w:t>θ</w:t>
      </w:r>
      <w:r>
        <w:t xml:space="preserve"> </w:t>
      </w:r>
      <w:r>
        <w:t>M</w:t>
      </w:r>
      <w:r>
        <w:t xml:space="preserve"> </w:t>
      </w:r>
      <w:r>
        <w:t>, where the moiré unit cell collapses. Unlike conventional studies of moiré materials, which primarily focus on small lattice misalignments, we demonstrate that this moiré collapse occurs at large twist angles in generic twisted anisotropic homobilayers. The collapse angle,</w:t>
      </w:r>
      <w:r>
        <w:t xml:space="preserve"> </w:t>
      </w:r>
      <w:r>
        <w:t>θ</w:t>
      </w:r>
      <w:r>
        <w:t xml:space="preserve"> </w:t>
      </w:r>
      <w:r>
        <w:t>M</w:t>
      </w:r>
      <w:r>
        <w:t xml:space="preserve"> </w:t>
      </w:r>
      <w:r>
        <w:t>, is likely to give rise quasi-crystal behavior as well as to the formation of strongly correlated states, that arise not from flat bands, but from the presence of ultra-anisotropic electronic states, where non-Fermi liquid phases can be stabilized. In this work, we develop a continuum model for electrons based on extensive ab initio calculations for twisted bilayer black phosphorus, enabling a detailed study of the emerging moiré collapse features in this prototypical system. We show that the (temperature) stability criterion for the emergence of (sliding) Luttinger liquids is generally met as the twist angle approaches</w:t>
      </w:r>
      <w:r>
        <w:t xml:space="preserve"> </w:t>
      </w:r>
      <w:r>
        <w:t>θ</w:t>
      </w:r>
      <w:r>
        <w:t xml:space="preserve"> </w:t>
      </w:r>
      <w:r>
        <w:t>M</w:t>
      </w:r>
      <w:r>
        <w:t xml:space="preserve"> </w:t>
      </w:r>
      <w:r>
        <w:t>. Furthermore, we explicitly formulate the collapsed single-particle one-dimensional (1D) continuum Hamiltonian and provide the fully interacting, Hamiltonian applicable at low doping levels. Our analysis reveals a rich landscape of multichannel Luttinger liquids, potentially enhanced by valley degrees of freedom at large twist angles.</w:t>
      </w:r>
    </w:p>
    <w:p>
      <w:pPr>
        <w:spacing w:before="120" w:after="120"/>
      </w:pPr>
      <w:r>
        <w:rPr>
          <w:sz w:val="18"/>
        </w:rPr>
        <w:t>——————————————————————————————————————————————————————————————————————</w:t>
      </w:r>
    </w:p>
    <w:p>
      <w:pPr>
        <w:spacing w:before="160" w:after="40" w:line="240" w:lineRule="auto"/>
      </w:pPr>
      <w:r>
        <w:rPr>
          <w:b/>
        </w:rPr>
        <w:t xml:space="preserve">[325] </w:t>
      </w:r>
      <w:hyperlink r:id="rId803">
        <w:r>
          <w:rPr>
            <w:color w:val="1155CC"/>
            <w:u w:val="single"/>
          </w:rPr>
          <w:t>有偏见的AI写作助手改变用户对社会问题的态度</w:t>
        </w:r>
      </w:hyperlink>
    </w:p>
    <w:p>
      <w:pPr>
        <w:spacing w:before="0" w:after="80"/>
      </w:pPr>
      <w:r>
        <w:rPr>
          <w:i/>
          <w:sz w:val="20"/>
        </w:rPr>
        <w:t>EN: Biased AI writing assistants shift users’ attitudes on societal issues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04">
        <w:r>
          <w:rPr>
            <w:color w:val="1155CC"/>
            <w:u w:val="single"/>
          </w:rPr>
          <w:t>10.1126/sciadv.adw5578</w:t>
        </w:r>
      </w:hyperlink>
    </w:p>
    <w:p>
      <w:pPr>
        <w:spacing w:before="0" w:after="120"/>
      </w:pPr>
      <w:r>
        <w:rPr>
          <w:b/>
        </w:rPr>
        <w:t xml:space="preserve">Notes: </w:t>
      </w:r>
      <w:r>
        <w:t>abstract_source=crossref</w:t>
      </w:r>
    </w:p>
    <w:p>
      <w:pPr>
        <w:spacing w:before="0" w:after="80" w:lineRule="auto" w:line="276"/>
      </w:pPr>
      <w:r>
        <w:rPr>
          <w:b/>
        </w:rPr>
        <w:t xml:space="preserve">摘要（ZH）: </w:t>
      </w:r>
      <w:r>
        <w:t>由大型语言模型（LLM）驱动的人工智能（AI）写作助手越来越多地用于在人们写作时提供自动补全建议。在这个过程中，这些AI写作助手会影响人们的态度吗？在两项大规模预注册实验（N = 2582）中，我们让参与者在撰写关于重要社会问题的文章时使用提供偏见自动补全建议的AI写作助手。使用AI助手时，参与者在任务后调查中表达的态度趋向于AI的立场。然而，大多数参与者没有意识到AI建议的偏见及其影响。此外，AI写作助手的影响力比类似工具的影响力更强。</w:t>
      </w:r>
    </w:p>
    <w:p>
      <w:pPr>
        <w:spacing w:before="0" w:after="200" w:lineRule="auto" w:line="276"/>
      </w:pPr>
      <w:r>
        <w:rPr>
          <w:b/>
        </w:rPr>
        <w:t xml:space="preserve">Abstract (EN): </w:t>
      </w:r>
      <w:r>
        <w:t>Artificial intelligence (AI) writing assistants powered by large language models (LLMs) are increasingly used to make autocomplete suggestions to people as they write text. Can these AI writing assistants affect people’s attitudes in this process? In two large-scale preregistered experiments (</w:t>
      </w:r>
      <w:r>
        <w:t xml:space="preserve"> </w:t>
      </w:r>
      <w:r>
        <w:t>N</w:t>
      </w:r>
      <w:r>
        <w:t xml:space="preserve"> </w:t>
      </w:r>
      <w:r>
        <w:t>= 2582), we exposed participants writing about important societal issues to an AI writing assistant that provided biased autocomplete suggestions. When using the AI assistant, the attitudes participants expressed in a posttask survey converged toward the AI’s position. However, a majority of participants were unaware of the AI suggestions’ bias and their influence. Further, the influence of the AI writing assistant was stronger than the influence of similar suggestions presented as static text, showing that the influence is not fully explained by these suggestions, increasing accessibility of the biased information. Last, warning participants about assistants’ bias before or after exposure does not mitigate the attitude-shift effect.</w:t>
      </w:r>
    </w:p>
    <w:p>
      <w:pPr>
        <w:spacing w:before="120" w:after="120"/>
      </w:pPr>
      <w:r>
        <w:rPr>
          <w:sz w:val="18"/>
        </w:rPr>
        <w:t>——————————————————————————————————————————————————————————————————————</w:t>
      </w:r>
    </w:p>
    <w:p>
      <w:pPr>
        <w:spacing w:before="160" w:after="40" w:line="240" w:lineRule="auto"/>
      </w:pPr>
      <w:r>
        <w:rPr>
          <w:b/>
        </w:rPr>
        <w:t xml:space="preserve">[326] </w:t>
      </w:r>
      <w:hyperlink r:id="rId805">
        <w:r>
          <w:rPr>
            <w:color w:val="1155CC"/>
            <w:u w:val="single"/>
          </w:rPr>
          <w:t>2型淋巴细胞在肝纤维化期间限制3型淋巴细胞并在成纤维细胞生态位中共定位</w:t>
        </w:r>
      </w:hyperlink>
    </w:p>
    <w:p>
      <w:pPr>
        <w:spacing w:before="0" w:after="80"/>
      </w:pPr>
      <w:r>
        <w:rPr>
          <w:i/>
          <w:sz w:val="20"/>
        </w:rPr>
        <w:t>EN: Type 2 lymphocytes restrict type 3 lymphocytes during liver fibrosis and colocalize in fibroblast niches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06">
        <w:r>
          <w:rPr>
            <w:color w:val="1155CC"/>
            <w:u w:val="single"/>
          </w:rPr>
          <w:t>10.1126/sciadv.aea6805</w:t>
        </w:r>
      </w:hyperlink>
    </w:p>
    <w:p>
      <w:pPr>
        <w:spacing w:before="0" w:after="120"/>
      </w:pPr>
      <w:r>
        <w:rPr>
          <w:b/>
        </w:rPr>
        <w:t xml:space="preserve">Notes: </w:t>
      </w:r>
      <w:r>
        <w:t>abstract_source=crossref</w:t>
      </w:r>
    </w:p>
    <w:p>
      <w:pPr>
        <w:spacing w:before="0" w:after="80" w:lineRule="auto" w:line="276"/>
      </w:pPr>
      <w:r>
        <w:rPr>
          <w:b/>
        </w:rPr>
        <w:t xml:space="preserve">摘要（ZH）: </w:t>
      </w:r>
      <w:r>
        <w:t>成纤维细胞是动态结构细胞，通过与组织驻留的2型淋巴细胞（T2Ls）和3/17型淋巴细胞（T3Ls）的相互作用，指导有益的组织修复和病理性器官纤维化。由T2Ls和T3Ls分别产生的细胞因子白细胞介素-13（IL-13）和IL-17A与组织炎症和纤维化有关，但它们的空间定位如何影响有益或病理性器官重塑仍不清楚。使用肝损伤和纤维化的小鼠模型、三维显微镜和空间转录组学，我们发现了门静脉周围和纤维化束T2Ls的积累，主要是2型先天淋巴细胞（ILC2s），它们位于T3Ls和小生境外膜成纤维细胞附近，并邻近离散的促纤维化肌成纤维细胞。U</w:t>
      </w:r>
    </w:p>
    <w:p>
      <w:pPr>
        <w:spacing w:before="0" w:after="200" w:lineRule="auto" w:line="276"/>
      </w:pPr>
      <w:r>
        <w:rPr>
          <w:b/>
        </w:rPr>
        <w:t xml:space="preserve">Abstract (EN): </w:t>
      </w:r>
      <w:r>
        <w:t>Fibroblasts are dynamic structural cells that direct both beneficial tissue repair and pathological organ fibrosis through interactions with tissue-resident type 2 lymphocytes (T2Ls) and type 3/17 lymphocytes (T3Ls). The cytokines interleukin-13 (IL-13) and IL-17A, produced by T2Ls and T3Ls, respectively, are linked to both tissue inflammation and fibrosis, but how their spatial positioning influences beneficial or pathological organ remodeling remains unclear. Using mouse models of liver injury and fibrosis, three-dimensional microscopy, and spatial transcriptomics, we found an accumulation of periportal and fibrotic tract T2Ls, predominantly group 2 innate lymphoid cells (ILC2s), positioned near T3Ls and niche adventitial fibroblasts and adjacent to discrete profibrotic myofibroblasts. Unexpectedly, T2L ablation worsened both carbon tetrachloride– and bile duct ligation–induced liver fibrosis, accompanied by increased IL-17A</w:t>
      </w:r>
      <w:r>
        <w:t xml:space="preserve"> </w:t>
      </w:r>
      <w:r>
        <w:t>+</w:t>
      </w:r>
      <w:r>
        <w:t xml:space="preserve"> </w:t>
      </w:r>
      <w:r>
        <w:t>T3Ls, predominantly γδ T cells. In contrast, concurrent T2L and T3L ablation reduced liver fibrosis. Our work suggests a spatially associated cross-talk between liver lymphocytes and fibroblast niches that tunes liver repair but can go awry in pathological liver fibrosis.</w:t>
      </w:r>
    </w:p>
    <w:p>
      <w:pPr>
        <w:spacing w:before="120" w:after="120"/>
      </w:pPr>
      <w:r>
        <w:rPr>
          <w:sz w:val="18"/>
        </w:rPr>
        <w:t>——————————————————————————————————————————————————————————————————————</w:t>
      </w:r>
    </w:p>
    <w:p>
      <w:pPr>
        <w:spacing w:before="160" w:after="40" w:line="240" w:lineRule="auto"/>
      </w:pPr>
      <w:r>
        <w:rPr>
          <w:b/>
        </w:rPr>
        <w:t xml:space="preserve">[327] </w:t>
      </w:r>
      <w:hyperlink r:id="rId807">
        <w:r>
          <w:rPr>
            <w:color w:val="1155CC"/>
            <w:u w:val="single"/>
          </w:rPr>
          <w:t>岩石共营养：在磷化物氧化、产甲烷培养物中的专性共营养</w:t>
        </w:r>
      </w:hyperlink>
    </w:p>
    <w:p>
      <w:pPr>
        <w:spacing w:before="0" w:after="80"/>
      </w:pPr>
      <w:r>
        <w:rPr>
          <w:i/>
          <w:sz w:val="20"/>
        </w:rPr>
        <w:t>EN: Lithosyntrophy: Obligate syntrophy in a phosphite-oxidizing, methanogenic culture</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808">
        <w:r>
          <w:rPr>
            <w:color w:val="1155CC"/>
            <w:u w:val="single"/>
          </w:rPr>
          <w:t>10.1073/pnas.2523765123</w:t>
        </w:r>
      </w:hyperlink>
    </w:p>
    <w:p>
      <w:pPr>
        <w:spacing w:before="0" w:after="120"/>
      </w:pPr>
      <w:r>
        <w:rPr>
          <w:b/>
        </w:rPr>
        <w:t xml:space="preserve">Notes: </w:t>
      </w:r>
      <w:r>
        <w:t>abstract_source=crossref</w:t>
      </w:r>
    </w:p>
    <w:p>
      <w:pPr>
        <w:spacing w:before="0" w:after="80" w:lineRule="auto" w:line="276"/>
      </w:pPr>
      <w:r>
        <w:rPr>
          <w:b/>
        </w:rPr>
        <w:t xml:space="preserve">摘要（ZH）: </w:t>
      </w:r>
      <w:r>
        <w:t>有机物质向甲烷和二氧化碳的厌氧转化通常依赖于细菌和产甲烷古菌之间的专性合成相互作用，其中种间电子转移使热力学受限的反应接近平衡进行。合成营养菌通常将发酵产物如脂肪酸和醇的氧化与质子的还原耦合以形成氢气（H</w:t>
      </w:r>
      <w:r>
        <w:rPr>
          <w:vertAlign w:val="subscript"/>
        </w:rPr>
        <w:t>2</w:t>
      </w:r>
      <w:r>
        <w:t>）。这些反应只有在通过H</w:t>
      </w:r>
      <w:r>
        <w:rPr>
          <w:vertAlign w:val="subscript"/>
        </w:rPr>
        <w:t>2</w:t>
      </w:r>
      <w:r>
        <w:t>消耗合成营养伙伴维持低H</w:t>
      </w:r>
      <w:r>
        <w:rPr>
          <w:vertAlign w:val="subscript"/>
        </w:rPr>
        <w:t>2</w:t>
      </w:r>
      <w:r>
        <w:t>浓度时才能进行。在此，我们描述了一种“岩石合成营养”，这是一种合成相互作用模式，其中驱动产氢甲烷生成的电子起源于</w:t>
      </w:r>
    </w:p>
    <w:p>
      <w:pPr>
        <w:spacing w:before="0" w:after="200" w:lineRule="auto" w:line="276"/>
      </w:pPr>
      <w:r>
        <w:rPr>
          <w:b/>
        </w:rPr>
        <w:t xml:space="preserve">Abstract (EN): </w:t>
      </w:r>
      <w:r>
        <w:t>The anaerobic conversion of organic matter to methane and carbon dioxide typically relies on obligate syntrophic interactions between bacteria and methanogenic archaea, where interspecies electron transfer enables thermodynamically constrained reactions to proceed near equilibrium. Syntrophs often couple the oxidation of fermentation products such as fatty acids and alcohols to the reduction of protons to form hydrogen (H</w:t>
      </w:r>
      <w:r>
        <w:rPr>
          <w:vertAlign w:val="subscript"/>
        </w:rPr>
        <w:t>2</w:t>
      </w:r>
      <w:r>
        <w:t>). These reactions can only proceed if low H</w:t>
      </w:r>
      <w:r>
        <w:rPr>
          <w:vertAlign w:val="subscript"/>
        </w:rPr>
        <w:t>2</w:t>
      </w:r>
      <w:r>
        <w:t>concentrations are maintained by H</w:t>
      </w:r>
      <w:r>
        <w:rPr>
          <w:vertAlign w:val="subscript"/>
        </w:rPr>
        <w:t>2</w:t>
      </w:r>
      <w:r>
        <w:t>-consuming syntrophic partners. Here, we describe “lithosyntrophy,” a mode of syntrophic interaction in which electrons that drive hydrogenotrophic methanogenesis originate from an inorganic compound rather than from the canonical organic substrates.</w:t>
      </w:r>
      <w:r>
        <w:t xml:space="preserve"> </w:t>
      </w:r>
      <w:r>
        <w:t>Candidatus</w:t>
      </w:r>
      <w:r>
        <w:t xml:space="preserve"> </w:t>
      </w:r>
      <w:r>
        <w:t>Phosphitivorax anaerolimi Phox-21 oxidizes phosphite (HPO</w:t>
      </w:r>
      <w:r>
        <w:t xml:space="preserve"> </w:t>
      </w:r>
      <w:r>
        <w:rPr>
          <w:vertAlign w:val="subscript"/>
        </w:rPr>
        <w:t>3</w:t>
      </w:r>
      <w:r>
        <w:t xml:space="preserve"> </w:t>
      </w:r>
      <w:r>
        <w:t>2−</w:t>
      </w:r>
      <w:r>
        <w:t>, oxidation state +3) to phosphate coupled to hydrogenogenesis in an obligate energetic dependency on a hydrogenotrophic methanogen,</w:t>
      </w:r>
      <w:r>
        <w:t xml:space="preserve"> </w:t>
      </w:r>
      <w:r>
        <w:t>Methanoculleus</w:t>
      </w:r>
      <w:r>
        <w:t xml:space="preserve"> </w:t>
      </w:r>
      <w:r>
        <w:t>sp. Physiology experiments, thermodynamic calculations, genomic annotation, and metaproteomics analysis collectively revealed a mechanism for syntrophic phosphite oxidation in Phox-21. In this pathway, electrons derived from phosphite drive H</w:t>
      </w:r>
      <w:r>
        <w:rPr>
          <w:vertAlign w:val="subscript"/>
        </w:rPr>
        <w:t>2</w:t>
      </w:r>
      <w:r>
        <w:t>production via an electron-confurcating hydrogenase. Unlike previously characterized acetogenic phosphite oxidizers, Phox-21 is a mixotroph that assimilates acetate to form biomass. Lithosyntrophic phosphite oxidizers may play important roles both in transferring reducing equivalents as well as biologically available phosphorus to other members of their surrounding microbial communities, establishing a previously unrecognized metabolic and biogeochemical link between the phosphorus and carbon redox cycles in anoxic ecosystems.</w:t>
      </w:r>
    </w:p>
    <w:p>
      <w:pPr>
        <w:spacing w:before="120" w:after="120"/>
      </w:pPr>
      <w:r>
        <w:rPr>
          <w:sz w:val="18"/>
        </w:rPr>
        <w:t>——————————————————————————————————————————————————————————————————————</w:t>
      </w:r>
    </w:p>
    <w:p>
      <w:pPr>
        <w:spacing w:before="160" w:after="40" w:line="240" w:lineRule="auto"/>
      </w:pPr>
      <w:r>
        <w:rPr>
          <w:b/>
        </w:rPr>
        <w:t xml:space="preserve">[328] </w:t>
      </w:r>
      <w:hyperlink r:id="rId809">
        <w:r>
          <w:rPr>
            <w:color w:val="1155CC"/>
            <w:u w:val="single"/>
          </w:rPr>
          <w:t>mRNA稳定性调控的综合分析揭示乳腺癌中的转移抑制程序</w:t>
        </w:r>
      </w:hyperlink>
    </w:p>
    <w:p>
      <w:pPr>
        <w:spacing w:before="0" w:after="80"/>
      </w:pPr>
      <w:r>
        <w:rPr>
          <w:i/>
          <w:sz w:val="20"/>
        </w:rPr>
        <w:t>EN: Integrative analysis of mRNA stability regulation uncovers a metastasis-suppressive program in breast cancer</w:t>
      </w:r>
    </w:p>
    <w:p>
      <w:pPr>
        <w:spacing w:before="0" w:after="120"/>
      </w:pPr>
      <w:r>
        <w:rPr>
          <w:b/>
        </w:rPr>
        <w:t xml:space="preserve">Source: </w:t>
      </w:r>
      <w:r>
        <w:t>AAAS: Science Advances: Table of Contents</w:t>
      </w:r>
      <w:r>
        <w:t xml:space="preserve">    </w:t>
      </w:r>
      <w:r>
        <w:rPr>
          <w:b/>
        </w:rPr>
        <w:t xml:space="preserve">Pub date: </w:t>
      </w:r>
      <w:r>
        <w:t>2026-03-11 07:00:00+00:00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[329] </w:t>
      </w:r>
      <w:hyperlink r:id="rId810">
        <w:r>
          <w:rPr>
            <w:color w:val="1155CC"/>
            <w:u w:val="single"/>
          </w:rPr>
          <w:t>40特斯拉微型磁体</w:t>
        </w:r>
      </w:hyperlink>
    </w:p>
    <w:p>
      <w:pPr>
        <w:spacing w:before="0" w:after="80"/>
      </w:pPr>
      <w:r>
        <w:rPr>
          <w:i/>
          <w:sz w:val="20"/>
        </w:rPr>
        <w:t>EN: 40 Tesla miniature magnets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11">
        <w:r>
          <w:rPr>
            <w:color w:val="1155CC"/>
            <w:u w:val="single"/>
          </w:rPr>
          <w:t>10.1126/sciadv.adz5826</w:t>
        </w:r>
      </w:hyperlink>
    </w:p>
    <w:p>
      <w:pPr>
        <w:spacing w:before="0" w:after="120"/>
      </w:pPr>
      <w:r>
        <w:rPr>
          <w:b/>
        </w:rPr>
        <w:t xml:space="preserve">Notes: </w:t>
      </w:r>
      <w:r>
        <w:t>abstract_source=crossref</w:t>
      </w:r>
    </w:p>
    <w:p>
      <w:pPr>
        <w:spacing w:before="0" w:after="80" w:lineRule="auto" w:line="276"/>
      </w:pPr>
      <w:r>
        <w:rPr>
          <w:b/>
        </w:rPr>
        <w:t xml:space="preserve">摘要（ZH）: </w:t>
      </w:r>
      <w:r>
        <w:t>超高磁场在广泛的科学学科中实现了显著的进步。传统上，超过40特斯拉的稳态磁场只能通过消耗兆瓦功率的大型电阻磁体实现。在此，我们展示了使用两个紧凑型全HTS磁体实现的38和42特斯拉的峰值磁场，这些磁体分别由两个和四个煎饼线圈组成。这些磁体实现了高达每平方毫米2257安培的电流密度，并具有3.1毫米的极小孔径。此外，磁体线圈小到可以放在手掌中，功耗不到1瓦。通过专门的绕线方法实现了这种紧凑型磁体，使其能够在小直径上无缝绕线，同时保持电流承载能力。</w:t>
      </w:r>
    </w:p>
    <w:p>
      <w:pPr>
        <w:spacing w:before="0" w:after="200" w:lineRule="auto" w:line="276"/>
      </w:pPr>
      <w:r>
        <w:rPr>
          <w:b/>
        </w:rPr>
        <w:t xml:space="preserve">Abstract (EN): </w:t>
      </w:r>
      <w:r>
        <w:t>Ultrahigh magnetic fields enable substantial advancements across a wide range of scientific disciplines. Traditionally, steady fields above 40 tesla have been achievable only with large resistive magnets that consume megawatts of power. Here, we demonstrate peak fields of 38 and 42 tesla using two compact all-HTS magnets, composed of two and four pancake coils, respectively. These magnets achieve current densities of up to 2257 amps per square millimeter and feature an exceptionally small bore diameter of 3.1 millimeters. Furthermore, the magnet coils are small enough to fit in the palm of a hand and consume less than 1 watt of power. Such compact magnets are realized through specialized winding methods that enable seamless winding over the small diameter while preserving the current-carrying capacity of the HTS tape. Nuclear magnetic resonance (NMR) experiments were performed inside the 3-millimeter magnet bore to provide calibration points for Hall sensors. These results show the potential of compact all-HTS magnets to enable widely accessible high-field NMR and other applications.</w:t>
      </w:r>
    </w:p>
    <w:p>
      <w:pPr>
        <w:spacing w:before="120" w:after="120"/>
      </w:pPr>
      <w:r>
        <w:rPr>
          <w:sz w:val="18"/>
        </w:rPr>
        <w:t>——————————————————————————————————————————————————————————————————————</w:t>
      </w:r>
    </w:p>
    <w:p>
      <w:pPr>
        <w:spacing w:before="160" w:after="40" w:line="240" w:lineRule="auto"/>
      </w:pPr>
      <w:r>
        <w:rPr>
          <w:b/>
        </w:rPr>
        <w:t xml:space="preserve">[330] </w:t>
      </w:r>
      <w:hyperlink r:id="rId812">
        <w:r>
          <w:rPr>
            <w:color w:val="1155CC"/>
            <w:u w:val="single"/>
          </w:rPr>
          <w:t>黑猩猩并不比倭黑猩猩更具攻击性，但对不同性别的目标有所不同</w:t>
        </w:r>
      </w:hyperlink>
    </w:p>
    <w:p>
      <w:pPr>
        <w:spacing w:before="0" w:after="80"/>
      </w:pPr>
      <w:r>
        <w:rPr>
          <w:i/>
          <w:sz w:val="20"/>
        </w:rPr>
        <w:t>EN: Chimpanzees are not more aggressive than bonobos but target sexes differently</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13">
        <w:r>
          <w:rPr>
            <w:color w:val="1155CC"/>
            <w:u w:val="single"/>
          </w:rPr>
          <w:t>10.1126/sciadv.adz2433</w:t>
        </w:r>
      </w:hyperlink>
    </w:p>
    <w:p>
      <w:pPr>
        <w:spacing w:before="0" w:after="120"/>
      </w:pPr>
      <w:r>
        <w:rPr>
          <w:b/>
        </w:rPr>
        <w:t xml:space="preserve">Notes: </w:t>
      </w:r>
      <w:r>
        <w:t>abstract_source=crossref</w:t>
      </w:r>
    </w:p>
    <w:p>
      <w:pPr>
        <w:spacing w:before="0" w:after="80" w:lineRule="auto" w:line="276"/>
      </w:pPr>
      <w:r>
        <w:rPr>
          <w:b/>
        </w:rPr>
        <w:t xml:space="preserve">摘要（ZH）: </w:t>
      </w:r>
      <w:r>
        <w:t>长期以来，倭黑猩猩（Pan paniscus）被认为是和平的，而黑猩猩（Pan troglodytes）则被认为是具有攻击性的，这种观点塑造了我们对灵长类动物和人类社会进化的理解。然而，最近来自野外的观察挑战了这种二分法，要求对Pan物种的攻击性进行标准化的比较分析。在此，我们使用贝叶斯社会网络分析，研究了22个动物园饲养的黑猩猩（N = 9组，101个个体）和倭黑猩猩（N = 13组，88个个体）群体中的攻击性互动。我们发现两种物种在整体或接触攻击性上没有差异。</w:t>
      </w:r>
    </w:p>
    <w:p>
      <w:pPr>
        <w:spacing w:before="0" w:after="200" w:lineRule="auto" w:line="276"/>
      </w:pPr>
      <w:r>
        <w:rPr>
          <w:b/>
        </w:rPr>
        <w:t xml:space="preserve">Abstract (EN): </w:t>
      </w:r>
      <w:r>
        <w:t>The long-standing view that bonobos (</w:t>
      </w:r>
      <w:r>
        <w:t xml:space="preserve"> </w:t>
      </w:r>
      <w:r>
        <w:t>Pan paniscus</w:t>
      </w:r>
      <w:r>
        <w:t xml:space="preserve"> </w:t>
      </w:r>
      <w:r>
        <w:t>) are peaceful while chimpanzees (</w:t>
      </w:r>
      <w:r>
        <w:t xml:space="preserve"> </w:t>
      </w:r>
      <w:r>
        <w:t>Pan troglodytes</w:t>
      </w:r>
      <w:r>
        <w:t xml:space="preserve"> </w:t>
      </w:r>
      <w:r>
        <w:t>) are aggressive has shaped our understanding of primate and human social evolution. However, recent observations from the wild challenge this dichotomy, warranting standardized comparative analyses of aggression in the</w:t>
      </w:r>
      <w:r>
        <w:t xml:space="preserve"> </w:t>
      </w:r>
      <w:r>
        <w:t>Pan</w:t>
      </w:r>
      <w:r>
        <w:t xml:space="preserve"> </w:t>
      </w:r>
      <w:r>
        <w:t>species. Here, we examined aggressive interactions across 22 zoo-housed groups of chimpanzees (</w:t>
      </w:r>
      <w:r>
        <w:t xml:space="preserve"> </w:t>
      </w:r>
      <w:r>
        <w:t>N</w:t>
      </w:r>
      <w:r>
        <w:t xml:space="preserve"> </w:t>
      </w:r>
      <w:r>
        <w:t>= 9 groups, 101 individuals) and bonobos (</w:t>
      </w:r>
      <w:r>
        <w:t xml:space="preserve"> </w:t>
      </w:r>
      <w:r>
        <w:t>N</w:t>
      </w:r>
      <w:r>
        <w:t xml:space="preserve"> </w:t>
      </w:r>
      <w:r>
        <w:t>= 13 groups, 88 individuals) using Bayesian social network analysis. We find no species differences in overall or contact aggression rates, accounting for group size and sex ratio. However, aggression patterns diverge by sex: Bonobos exhibit higher female-to-male aggression, while chimpanzees show the reverse. Notably, absolute aggression rates varied substantially between groups within each species, reinforcing recent evidence on group-specific social structures in</w:t>
      </w:r>
      <w:r>
        <w:t xml:space="preserve"> </w:t>
      </w:r>
      <w:r>
        <w:t>Pan</w:t>
      </w:r>
      <w:r>
        <w:t xml:space="preserve"> </w:t>
      </w:r>
      <w:r>
        <w:t>. These findings challenge the traditional aggression dichotomy between bonobos and chimpanzees and provide insights into the evolutionary dynamics of social conflict strategies in great apes, including humans.</w:t>
      </w:r>
    </w:p>
    <w:p>
      <w:pPr>
        <w:spacing w:before="120" w:after="120"/>
      </w:pPr>
      <w:r>
        <w:rPr>
          <w:sz w:val="18"/>
        </w:rPr>
        <w:t>——————————————————————————————————————————————————————————————————————</w:t>
      </w:r>
    </w:p>
    <w:p>
      <w:pPr>
        <w:spacing w:before="160" w:after="40" w:line="240" w:lineRule="auto"/>
      </w:pPr>
      <w:r>
        <w:rPr>
          <w:b/>
        </w:rPr>
        <w:t xml:space="preserve">[331] </w:t>
      </w:r>
      <w:hyperlink r:id="rId814">
        <w:r>
          <w:rPr>
            <w:color w:val="1155CC"/>
            <w:u w:val="single"/>
          </w:rPr>
          <w:t>细胞骨架重塑促进隧道纳米管的形成，并在败血症中驱动心脏驻留细胞线粒体转移</w:t>
        </w:r>
      </w:hyperlink>
    </w:p>
    <w:p>
      <w:pPr>
        <w:spacing w:before="0" w:after="80"/>
      </w:pPr>
      <w:r>
        <w:rPr>
          <w:i/>
          <w:sz w:val="20"/>
        </w:rPr>
        <w:t>EN: Cytoskeletal remodeling promotes tunneling nanotube formation and drives cardiac resident cell mitochondrial transfer in sepsis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15">
        <w:r>
          <w:rPr>
            <w:color w:val="1155CC"/>
            <w:u w:val="single"/>
          </w:rPr>
          <w:t>10.1126/sciadv.adz3266</w:t>
        </w:r>
      </w:hyperlink>
    </w:p>
    <w:p>
      <w:pPr>
        <w:spacing w:before="0" w:after="120"/>
      </w:pPr>
      <w:r>
        <w:rPr>
          <w:b/>
        </w:rPr>
        <w:t xml:space="preserve">Notes: </w:t>
      </w:r>
      <w:r>
        <w:t>abstract_source=crossref</w:t>
      </w:r>
    </w:p>
    <w:p>
      <w:pPr>
        <w:spacing w:before="0" w:after="80" w:lineRule="auto" w:line="276"/>
      </w:pPr>
      <w:r>
        <w:rPr>
          <w:b/>
        </w:rPr>
        <w:t xml:space="preserve">摘要（ZH）: </w:t>
      </w:r>
      <w:r>
        <w:t>败血症引起的心脏功能障碍源于复杂的细胞间通信网络，这些网络超越了直接的心肌细胞损伤，但这些相互作用的纳米级机制仍然知之甚少。在此，我们确定了隧道纳米管（TNTs）作为动态生物纳米结构，促进细胞间线粒体转移，揭示了它们在败血症心脏重塑中的关键作用。使用小鼠盲肠结扎穿刺（CLP）模型和单细胞RNA测序，我们证明败血症重新编程了心脏内皮细胞、成纤维细胞和巨噬细胞，产生了代谢受损的亚群，具有功能失调的线粒体呼吸。我们揭示了一种由Drp1驱动的细胞骨架重塑过程，该过程协调了TNT的生物发生，其中Drp1在</w:t>
      </w:r>
    </w:p>
    <w:p>
      <w:pPr>
        <w:spacing w:before="0" w:after="200" w:lineRule="auto" w:line="276"/>
      </w:pPr>
      <w:r>
        <w:rPr>
          <w:b/>
        </w:rPr>
        <w:t xml:space="preserve">Abstract (EN): </w:t>
      </w:r>
      <w:r>
        <w:t>Sepsis-induced cardiac dysfunction arises from complex intercellular communication networks that extend beyond direct cardiomyocyte damage, yet the nanoscale mechanisms governing these interactions remain poorly understood. Here, we identify tunneling nanotubes (TNTs) as dynamic biological nanostructures facilitating intercellular mitochondrial transfer, revealing their critical role in septic cardiac remodeling. Using a murine cecal ligation and puncture (CLP) model and single-cell RNA sequencing, we demonstrate that sepsis reprograms cardiac endothelial cells, fibroblasts, and macrophages, generating metabolically impaired subpopulations with dysfunctional mitochondrial respiration. We uncover a Drp1-driven cytoskeletal remodeling process that orchestrates TNT biogenesis, wherein Drp1 interacts with Filamin and Kinesin to regulate TNT formation and extension, enabling long-range organelle trafficking. Cardiac-specific Drp1 knockout disrupts TNT-mediated mitochondrial exchange, halting metabolic deterioration and reversing cellular reprogramming. These findings establish Drp1-mediated TNT networks as nanoscale conduits of organelle communication, offering insights into biological nanotube engineering, cellular-scale nanotechnology, and potential therapeutic interventions for mitochondrial dysfunction in sepsis.</w:t>
      </w:r>
    </w:p>
    <w:p>
      <w:pPr>
        <w:spacing w:before="120" w:after="120"/>
      </w:pPr>
      <w:r>
        <w:rPr>
          <w:sz w:val="18"/>
        </w:rPr>
        <w:t>——————————————————————————————————————————————————————————————————————</w:t>
      </w:r>
    </w:p>
    <w:p>
      <w:pPr>
        <w:spacing w:before="160" w:after="40" w:line="240" w:lineRule="auto"/>
      </w:pPr>
      <w:r>
        <w:rPr>
          <w:b/>
        </w:rPr>
        <w:t xml:space="preserve">[332] </w:t>
      </w:r>
      <w:hyperlink r:id="rId816">
        <w:r>
          <w:rPr>
            <w:color w:val="1155CC"/>
            <w:u w:val="single"/>
          </w:rPr>
          <w:t>大气系统驱动过去13万年来亚洲尘埃和湿度变化的时空分异</w:t>
        </w:r>
      </w:hyperlink>
    </w:p>
    <w:p>
      <w:pPr>
        <w:spacing w:before="0" w:after="80"/>
      </w:pPr>
      <w:r>
        <w:rPr>
          <w:i/>
          <w:sz w:val="20"/>
        </w:rPr>
        <w:t>EN: Atmospheric systems drive spatiotemporal divergence of dust and moisture changes across Asia over the past 130,000 years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17">
        <w:r>
          <w:rPr>
            <w:color w:val="1155CC"/>
            <w:u w:val="single"/>
          </w:rPr>
          <w:t>10.1126/sciadv.adx8500</w:t>
        </w:r>
      </w:hyperlink>
    </w:p>
    <w:p>
      <w:pPr>
        <w:spacing w:before="0" w:after="120"/>
      </w:pPr>
      <w:r>
        <w:rPr>
          <w:b/>
        </w:rPr>
        <w:t xml:space="preserve">Notes: </w:t>
      </w:r>
      <w:r>
        <w:t>abstract_source=crossref</w:t>
      </w:r>
    </w:p>
    <w:p>
      <w:pPr>
        <w:spacing w:before="0" w:after="80" w:lineRule="auto" w:line="276"/>
      </w:pPr>
      <w:r>
        <w:rPr>
          <w:b/>
        </w:rPr>
        <w:t xml:space="preserve">摘要（ZH）: </w:t>
      </w:r>
      <w:r>
        <w:t>亚洲的黄土-古土壤序列提供了一个关键的档案，记录了过去由西风带和亚洲季风塑造的尘埃沉积和气候动态。我们汇编了107个黄土剖面的光释光年龄和气候代理，以重建过去13万年（ka）尘埃质量积累率（MARs）和水文气候变异性。结果揭示了一个一致的模式：在海洋同位素阶段（MIS）4到2（71到12 ka）期间，MARs高且湿度低，而在MIS 5（130到71 ka）和MIS 1（12 ka至今）期间，MARs低且湿度高。这些变化是由冰川-间冰期循环中冰量波动引起的大气湿度变化所驱动的。在MIS 5、MIS 4到2和MIS 1中，MARs和湿度存在显著的空间和时间对比。</w:t>
      </w:r>
    </w:p>
    <w:p>
      <w:pPr>
        <w:spacing w:before="0" w:after="200" w:lineRule="auto" w:line="276"/>
      </w:pPr>
      <w:r>
        <w:rPr>
          <w:b/>
        </w:rPr>
        <w:t xml:space="preserve">Abstract (EN): </w:t>
      </w:r>
      <w:r>
        <w:t>Loess-paleosol sequences across Asia provide a critical archive of past dust deposition and climate dynamics shaped by westerlies and Asian monsoons. We compile luminescence ages and climatic proxies from 107 loess sections to reconstruct dust mass accumulation rates (MARs) and hydroclimate variability over the past 130 thousand years (ka). The results reveal a consistent pattern: high MARs and low moisture during Marine Isotope Stages (MIS) 4 to 2 (71 to 12 ka) and low MARs with high moisture during MIS 5 (130 to 71 ka) and MIS 1 (12 ka to present). These shifts are driven by cooling-induced changes in atmospheric humidity linked to fluctuations in ice volume across glacial-interglacial cycles. Within MIS 5, MIS 4 to 2, and MIS 1, pronounced spatial and temporal contrasts in MARs and moisture emerge between westerlies-dominated northern Iran and central Asia and monsoon-dominated East Asia. Notably, westerly and monsoonal precipitation vary out of phase, driven by insolation-controlled shifts in moisture transport.</w:t>
      </w:r>
    </w:p>
    <w:p>
      <w:pPr>
        <w:spacing w:before="120" w:after="120"/>
      </w:pPr>
      <w:r>
        <w:rPr>
          <w:sz w:val="18"/>
        </w:rPr>
        <w:t>——————————————————————————————————————————————————————————————————————</w:t>
      </w:r>
    </w:p>
    <w:p>
      <w:pPr>
        <w:spacing w:before="160" w:after="40" w:line="240" w:lineRule="auto"/>
      </w:pPr>
      <w:r>
        <w:rPr>
          <w:b/>
        </w:rPr>
        <w:t xml:space="preserve">[333] </w:t>
      </w:r>
      <w:hyperlink r:id="rId818">
        <w:r>
          <w:rPr>
            <w:color w:val="1155CC"/>
            <w:u w:val="single"/>
          </w:rPr>
          <w:t>可生物降解的靶向聚合物mRNA纳米颗粒实现体内CD19 CAR T细胞生成，并导致B细胞耗竭</w:t>
        </w:r>
      </w:hyperlink>
    </w:p>
    <w:p>
      <w:pPr>
        <w:spacing w:before="0" w:after="80"/>
      </w:pPr>
      <w:r>
        <w:rPr>
          <w:i/>
          <w:sz w:val="20"/>
        </w:rPr>
        <w:t>EN: Biodegradable targeted polymeric mRNA nanoparticles enable in vivo CD19 CAR T cell generation and lead to B cell depletion</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19">
        <w:r>
          <w:rPr>
            <w:color w:val="1155CC"/>
            <w:u w:val="single"/>
          </w:rPr>
          <w:t>10.1126/sciadv.adz1722</w:t>
        </w:r>
      </w:hyperlink>
    </w:p>
    <w:p>
      <w:pPr>
        <w:spacing w:before="0" w:after="120"/>
      </w:pPr>
      <w:r>
        <w:rPr>
          <w:b/>
        </w:rPr>
        <w:t xml:space="preserve">Notes: </w:t>
      </w:r>
      <w:r>
        <w:t>abstract_source=crossref</w:t>
      </w:r>
    </w:p>
    <w:p>
      <w:pPr>
        <w:spacing w:before="0" w:after="80" w:lineRule="auto" w:line="276"/>
      </w:pPr>
      <w:r>
        <w:rPr>
          <w:b/>
        </w:rPr>
        <w:t xml:space="preserve">摘要（ZH）: </w:t>
      </w:r>
      <w:r>
        <w:t>虽然嵌合抗原受体（CAR）T细胞疗法已显示出对B细胞恶性肿瘤的治疗效果，但这些疗法的广泛实施受到繁琐的体外制造过程的阻碍。将CAR编码信使RNA（mRNA）递送到内源性T细胞可以在体内生成这些治疗细胞，并简化这一制造流程。为此，T细胞激活配体被结合到可生物降解的聚合物mRNA纳米颗粒上，形成T细胞靶向颗粒。通过结合多个激活配体，体外T细胞转染和刺激增加，并且与未靶向颗粒相比，体内T细胞转染和选择性更高。这些纳米颗粒可以灵活地封装mRNA货物。</w:t>
      </w:r>
    </w:p>
    <w:p>
      <w:pPr>
        <w:spacing w:before="0" w:after="200" w:lineRule="auto" w:line="276"/>
      </w:pPr>
      <w:r>
        <w:rPr>
          <w:b/>
        </w:rPr>
        <w:t xml:space="preserve">Abstract (EN): </w:t>
      </w:r>
      <w:r>
        <w:t>While chimeric antigen receptor (CAR) T cell therapies have demonstrated therapeutic efficacy against B cell malignancies, widespread implementation of these therapies is hindered by a cumbersome, ex vivo manufacturing process. Delivery of CAR-encoding messenger RNA (mRNA) to endogenous T cells can generate these therapeutic cells in vivo and streamline this manufacturing workflow. To accomplish this, T cell–activating ligands were conjugated to a biodegradable polymeric mRNA nanoparticle to form T cell–targeted particles. By conjugating multiple activating ligands, T cell transfection and stimulation in vitro was increased, and greater T cell transfection and selectivity in vivo was achieved compared to an untargeted particle. These nanoparticles can flexibly encapsulate mRNA cargos and were used to deliver anti-CD19 CAR mRNA in vivo, enabling depletion of 95% of B cells in the peripheral blood and 50% depletion of splenic B cells in healthy mice. These findings regarding nanoparticle tropism and their potential therapeutic efficacy highlight the importance of this nonviral, polymeric platform to address key limitations associated with current CAR T practices.</w:t>
      </w:r>
    </w:p>
    <w:p>
      <w:pPr>
        <w:spacing w:before="120" w:after="120"/>
      </w:pPr>
      <w:r>
        <w:rPr>
          <w:sz w:val="18"/>
        </w:rPr>
        <w:t>——————————————————————————————————————————————————————————————————————</w:t>
      </w:r>
    </w:p>
    <w:p>
      <w:pPr>
        <w:spacing w:before="160" w:after="40" w:line="240" w:lineRule="auto"/>
      </w:pPr>
      <w:r>
        <w:rPr>
          <w:b/>
        </w:rPr>
        <w:t xml:space="preserve">[334] </w:t>
      </w:r>
      <w:hyperlink r:id="rId820">
        <w:r>
          <w:rPr>
            <w:color w:val="1155CC"/>
            <w:u w:val="single"/>
          </w:rPr>
          <w:t>多年环境强迫塑造了亚南极海鸟的繁殖物候和成功</w:t>
        </w:r>
      </w:hyperlink>
    </w:p>
    <w:p>
      <w:pPr>
        <w:spacing w:before="0" w:after="80"/>
      </w:pPr>
      <w:r>
        <w:rPr>
          <w:i/>
          <w:sz w:val="20"/>
        </w:rPr>
        <w:t>EN: Multiannual environmental forcing shapes breeding phenology and success in a sub-Antarctic seabird</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21">
        <w:r>
          <w:rPr>
            <w:color w:val="1155CC"/>
            <w:u w:val="single"/>
          </w:rPr>
          <w:t>10.1126/sciadv.aea6342</w:t>
        </w:r>
      </w:hyperlink>
    </w:p>
    <w:p>
      <w:pPr>
        <w:spacing w:before="0" w:after="120"/>
      </w:pPr>
      <w:r>
        <w:rPr>
          <w:b/>
        </w:rPr>
        <w:t xml:space="preserve">Notes: </w:t>
      </w:r>
      <w:r>
        <w:t>abstract_source=crossref</w:t>
      </w:r>
    </w:p>
    <w:p>
      <w:pPr>
        <w:spacing w:before="0" w:after="80" w:lineRule="auto" w:line="276"/>
      </w:pPr>
      <w:r>
        <w:rPr>
          <w:b/>
        </w:rPr>
        <w:t xml:space="preserve">摘要（ZH）: </w:t>
      </w:r>
      <w:r>
        <w:t>气候驱动的物候不匹配通过在关键繁殖阶段破坏食物供应威胁鸟类繁殖。在海洋生态系统中，环境变化与其对食物网影响之间的时间滞后难以建模，但它们可能对更高营养级的繁殖产生深远影响。我们利用来自17,000只标记的帝企鹅的24年数据，解析海洋和气候变异如何影响南大洋主要捕食者物种的繁殖物候和成功率。我们记录到繁殖物候提前了19天，同时繁殖成功率增加（2000年为44%，2023年为62%）。滑动窗口分析显示，关键觅食区的海温和初级生产力预测了物候和繁殖成功。</w:t>
      </w:r>
    </w:p>
    <w:p>
      <w:pPr>
        <w:spacing w:before="0" w:after="200" w:lineRule="auto" w:line="276"/>
      </w:pPr>
      <w:r>
        <w:rPr>
          <w:b/>
        </w:rPr>
        <w:t xml:space="preserve">Abstract (EN): </w:t>
      </w:r>
      <w:r>
        <w:t>Climate-driven phenological mismatches threaten avian reproduction by disrupting food availability during critical breeding stages. In marine ecosystems, time lags between environmental changes and their effects on food webs are challenging to model, yet they can have a profound impact on reproduction at higher trophic levels. We disentangle how oceanic and climatic variability influence the breeding phenology and success of a major predator species in the Southern Ocean, drawing on 24 years of data from 17,000 marked king penguins. We document a 19-day advancement in breeding phenology, alongside increased breeding success (44% in 2000 and 62% in 2023). A sliding-window analysis reveals that sea temperature and primary production in key foraging zones predict both phenology and breeding success, with lags up to several weeks and 2 years, respectively. The amplitude of their recent response, as well as their dependence on multiyear environmental conditions, underscores a potential vulnerability in a context of decreasing environment predictability. However, so far, king penguins appear to be keeping pace with environmental changes and demonstrate a remarkable resilience and important flexibility in the face of variable oceanographic conditions.</w:t>
      </w:r>
    </w:p>
    <w:p>
      <w:pPr>
        <w:spacing w:before="120" w:after="120"/>
      </w:pPr>
      <w:r>
        <w:rPr>
          <w:sz w:val="18"/>
        </w:rPr>
        <w:t>——————————————————————————————————————————————————————————————————————</w:t>
      </w:r>
    </w:p>
    <w:p>
      <w:pPr>
        <w:spacing w:before="160" w:after="40" w:line="240" w:lineRule="auto"/>
      </w:pPr>
      <w:r>
        <w:rPr>
          <w:b/>
        </w:rPr>
        <w:t xml:space="preserve">[335] </w:t>
      </w:r>
      <w:hyperlink r:id="rId822">
        <w:r>
          <w:rPr>
            <w:color w:val="1155CC"/>
            <w:u w:val="single"/>
          </w:rPr>
          <w:t>在超薄非晶/晶体氮化镓异质结构中触发雪崩式紫外光倍增现象</w:t>
        </w:r>
      </w:hyperlink>
    </w:p>
    <w:p>
      <w:pPr>
        <w:spacing w:before="0" w:after="80"/>
      </w:pPr>
      <w:r>
        <w:rPr>
          <w:i/>
          <w:sz w:val="20"/>
        </w:rPr>
        <w:t>EN: Triggering avalanche-like ultraviolet photomultiplication phenomena in ultrathin amorphous/crystalline gallium nitride heterostructures</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23">
        <w:r>
          <w:rPr>
            <w:color w:val="1155CC"/>
            <w:u w:val="single"/>
          </w:rPr>
          <w:t>10.1126/sciadv.aea7319</w:t>
        </w:r>
      </w:hyperlink>
    </w:p>
    <w:p>
      <w:pPr>
        <w:spacing w:before="0" w:after="120"/>
      </w:pPr>
      <w:r>
        <w:rPr>
          <w:b/>
        </w:rPr>
        <w:t xml:space="preserve">Notes: </w:t>
      </w:r>
      <w:r>
        <w:t>abstract_source=crossref</w:t>
      </w:r>
    </w:p>
    <w:p>
      <w:pPr>
        <w:spacing w:before="0" w:after="80" w:lineRule="auto" w:line="276"/>
      </w:pPr>
      <w:r>
        <w:rPr>
          <w:b/>
        </w:rPr>
        <w:t xml:space="preserve">摘要（ZH）: </w:t>
      </w:r>
      <w:r>
        <w:t>雪崩现象是通过在高电场下的撞击电离引发的载流子倍增形成的，是雪崩光电二极管的工作原理。然而，这一过程不可避免地导致暗电流放大，从而限制了尽管增益很大但光电流与暗电流的比率。在此，我们展示了在通过两步“非晶化-再结晶”工艺形成的非晶态氧氮化镓（a-GaON）/氮化镓（GaN）异质结构中实现雪崩样非线性光电流放大，同时保持超低暗电流。与依赖撞击电离过程不同，工程化的非晶/晶体界面在低电压下实现了陷阱辅助的光诱导载流子倍增行为，产生了大增益（3.9 × 10</w:t>
      </w:r>
      <w:r>
        <w:rPr>
          <w:vertAlign w:val="subscript"/>
        </w:rPr>
        <w:t>6</w:t>
      </w:r>
    </w:p>
    <w:p>
      <w:pPr>
        <w:spacing w:before="0" w:after="200" w:lineRule="auto" w:line="276"/>
      </w:pPr>
      <w:r>
        <w:rPr>
          <w:b/>
        </w:rPr>
        <w:t xml:space="preserve">Abstract (EN): </w:t>
      </w:r>
      <w:r>
        <w:t>Avalanche phenomena, triggered by carrier multiplication through impact ionization under high electric fields, form the operating principle of avalanche photodiodes. However, this process inevitably leads to amplified dark current, thereby limiting the photo-to-dark-current ratio despite large gain. Here, we demonstrate avalanche-like nonlinear photocurrent amplification while we maintain ultralow dark current in an amorphous-gallium oxynitride (a-GaON)/gallium nitride (GaN) heterostructure formed via a two-step “amorphization-recrystallization” process. Instead of relying on the impact ionization process, the engineered amorphous/crystalline interface enables trap-assisted photo-induced carrier multiplication behavior at low voltages, yielding a large gain (3.9 × 10</w:t>
      </w:r>
      <w:r>
        <w:rPr>
          <w:vertAlign w:val="subscript"/>
        </w:rPr>
        <w:t>6</w:t>
      </w:r>
      <w:r>
        <w:t>) and ultrahigh responsivity (4.3 × 10</w:t>
      </w:r>
      <w:r>
        <w:rPr>
          <w:vertAlign w:val="subscript"/>
        </w:rPr>
        <w:t>7</w:t>
      </w:r>
      <w:r>
        <w:t>amperes per watt) at 35 volts, with an ultralow dark current (~0.7 picoamperes), which are strongly competitive relative to state-of-the-art ultraviolet avalanche photodiodes. We further present proof-of-concept ultraviolet hardware systems incorporated with the newly constructed device. This amorphous/crystalline interfacial engineering strategy presents an unexploited, simple, and scalable device paradigm for fabricating advanced photodetectors in next-generation compact and integrated optoelectronic systems.</w:t>
      </w:r>
    </w:p>
    <w:p>
      <w:pPr>
        <w:spacing w:before="120" w:after="120"/>
      </w:pPr>
      <w:r>
        <w:rPr>
          <w:sz w:val="18"/>
        </w:rPr>
        <w:t>——————————————————————————————————————————————————————————————————————</w:t>
      </w:r>
    </w:p>
    <w:p>
      <w:pPr>
        <w:spacing w:before="160" w:after="40" w:line="240" w:lineRule="auto"/>
      </w:pPr>
      <w:r>
        <w:rPr>
          <w:b/>
        </w:rPr>
        <w:t xml:space="preserve">[336] </w:t>
      </w:r>
      <w:hyperlink r:id="rId824">
        <w:r>
          <w:rPr>
            <w:color w:val="1155CC"/>
            <w:u w:val="single"/>
          </w:rPr>
          <w:t>病毒模拟可能有助于解释免疫原性细胞死亡</w:t>
        </w:r>
      </w:hyperlink>
    </w:p>
    <w:p>
      <w:pPr>
        <w:spacing w:before="0" w:after="80"/>
      </w:pPr>
      <w:r>
        <w:rPr>
          <w:i/>
          <w:sz w:val="20"/>
        </w:rPr>
        <w:t>EN: Viral mimicry may help explain immunogenic cell death</w:t>
      </w:r>
    </w:p>
    <w:p>
      <w:pPr>
        <w:spacing w:before="0" w:after="120"/>
      </w:pPr>
      <w:r>
        <w:rPr>
          <w:b/>
        </w:rPr>
        <w:t xml:space="preserve">Source: </w:t>
      </w:r>
      <w:r>
        <w:t>Proceedings of the National Academy of Sciences: Keyword search for query</w:t>
      </w:r>
      <w:r>
        <w:t xml:space="preserve">    </w:t>
      </w:r>
      <w:r>
        <w:rPr>
          <w:b/>
        </w:rPr>
        <w:t xml:space="preserve">Pub date: </w:t>
      </w:r>
      <w:r>
        <w:t>2026-03-11 07:00:00+00:00</w:t>
      </w:r>
      <w:r>
        <w:t xml:space="preserve">    </w:t>
      </w:r>
      <w:r>
        <w:rPr>
          <w:b/>
        </w:rPr>
        <w:t xml:space="preserve">DOI: </w:t>
      </w:r>
      <w:hyperlink r:id="rId825">
        <w:r>
          <w:rPr>
            <w:color w:val="1155CC"/>
            <w:u w:val="single"/>
          </w:rPr>
          <w:t>10.1073/pnas.2537547123</w:t>
        </w:r>
      </w:hyperlink>
    </w:p>
    <w:p>
      <w:pPr>
        <w:spacing w:before="0" w:after="120"/>
      </w:pPr>
      <w:r>
        <w:rPr>
          <w:b/>
        </w:rPr>
        <w:t xml:space="preserve">Notes: </w:t>
      </w:r>
      <w:r>
        <w:t>abstract_source=crossref</w:t>
      </w:r>
    </w:p>
    <w:p>
      <w:pPr>
        <w:spacing w:before="0" w:after="80" w:lineRule="auto" w:line="276"/>
      </w:pPr>
      <w:r>
        <w:rPr>
          <w:b/>
        </w:rPr>
        <w:t xml:space="preserve">摘要（ZH）: </w:t>
      </w:r>
      <w:r>
        <w:t>病毒模拟可能是动物模型和患者中化疗效力的一个被低估的贡献者。这个假设基于对一种双Au(I)-NHC复合物的研究，该复合物在使用iKAP结直肠癌小鼠模型的两项不同挑战研究中被发现能够在体内产生强烈的抗肿瘤免疫反应。对处理过的细胞进行RNA分析显示，刺激了与病毒感染期间上调的基因重叠的基因。双Au(I)-NHC复合物通过同时进行萘醌基团的氧化还原循环和Au(I)对硫氧还蛋白还原酶的抑制产生活性氧（ROS）。这种ROS的增加导致内质网应激、未折叠蛋白反应通路的激活和上调</w:t>
      </w:r>
    </w:p>
    <w:p>
      <w:pPr>
        <w:spacing w:before="0" w:after="200" w:lineRule="auto" w:line="276"/>
      </w:pPr>
      <w:r>
        <w:rPr>
          <w:b/>
        </w:rPr>
        <w:t xml:space="preserve">Abstract (EN): </w:t>
      </w:r>
      <w:r>
        <w:t>Viral mimicry may be an underappreciated contributor to chemotherapeutic potency in animal models and patients. This hypothesis is based on studies of a bis-Au(I)-NHC complex that was found to generate a strong</w:t>
      </w:r>
      <w:r>
        <w:t xml:space="preserve"> </w:t>
      </w:r>
      <w:r>
        <w:t>anti-tumor immune response</w:t>
      </w:r>
      <w:r>
        <w:t xml:space="preserve"> </w:t>
      </w:r>
      <w:r>
        <w:t>in vivo in two different challenge studies using an iKAP colorectal cancer mouse model. RNA profiling of treated cells revealed the stimulation of genes that overlap with those upregulated during a viral infection. The bis-Au(I)-NHC complex generates reactive oxygen species (ROS) through the simultaneous redox cycling of the naphthoquinone moiety and inhibition of thioredoxin reductase with Au(I). This ROS increase causes endoplasmic reticulum stress, activation of the unfolded protein response pathway and upregulation of Ifih1, a gene that encodes for the viral dsRNA sensor MDA5. Activation of MDA5 triggers a strong type I interferon response and expression of chemokine ligand 10 that can recruit immune cells to the treated tumor in a manner analogous to immune responses during viral infection. This proposed mechanism bridges the gap between cytotoxicity and the innate and adaptive immune responses. We suggest viral mimicry may be a key driver of chemotherapy potency in animals and an important determinant of positive outcomes in cancer patients.</w:t>
      </w:r>
    </w:p>
    <w:p>
      <w:pPr>
        <w:spacing w:before="120" w:after="120"/>
      </w:pPr>
      <w:r>
        <w:rPr>
          <w:sz w:val="18"/>
        </w:rPr>
        <w:t>——————————————————————————————————————————————————————————————————————</w:t>
      </w:r>
    </w:p>
    <w:p>
      <w:pPr>
        <w:spacing w:before="160" w:after="40" w:line="240" w:lineRule="auto"/>
      </w:pPr>
      <w:r>
        <w:rPr>
          <w:b/>
        </w:rPr>
        <w:t xml:space="preserve">[337] </w:t>
      </w:r>
      <w:hyperlink r:id="rId826">
        <w:r>
          <w:rPr>
            <w:color w:val="1155CC"/>
            <w:u w:val="single"/>
          </w:rPr>
          <w:t>电活性界面增强的介电弹性体具有超高电粘附性和多功能液滴驱动</w:t>
        </w:r>
      </w:hyperlink>
    </w:p>
    <w:p>
      <w:pPr>
        <w:spacing w:before="0" w:after="80"/>
      </w:pPr>
      <w:r>
        <w:rPr>
          <w:i/>
          <w:sz w:val="20"/>
        </w:rPr>
        <w:t>EN: Electroactive interface–enhanced dielectric elastomer with ultrahigh electroadhesion and multifunctional droplet actuation</w:t>
      </w:r>
    </w:p>
    <w:p>
      <w:pPr>
        <w:spacing w:before="0" w:after="120"/>
      </w:pPr>
      <w:r>
        <w:rPr>
          <w:b/>
        </w:rPr>
        <w:t xml:space="preserve">Source: </w:t>
      </w:r>
      <w:r>
        <w:t>AAAS: Science Advances: Table of Contents</w:t>
      </w:r>
      <w:r>
        <w:t xml:space="preserve">    </w:t>
      </w:r>
      <w:r>
        <w:rPr>
          <w:b/>
        </w:rPr>
        <w:t xml:space="preserve">Pub date: </w:t>
      </w:r>
      <w:r>
        <w:t>2026-03-11 07:00:00+00:00</w:t>
      </w:r>
      <w:r>
        <w:t xml:space="preserve">    </w:t>
      </w:r>
      <w:r>
        <w:rPr>
          <w:b/>
        </w:rPr>
        <w:t xml:space="preserve">DOI: </w:t>
      </w:r>
      <w:hyperlink r:id="rId827">
        <w:r>
          <w:rPr>
            <w:color w:val="1155CC"/>
            <w:u w:val="single"/>
          </w:rPr>
          <w:t>10.1126/sciadv.aec3342</w:t>
        </w:r>
      </w:hyperlink>
    </w:p>
    <w:p>
      <w:pPr>
        <w:spacing w:before="0" w:after="120"/>
      </w:pPr>
      <w:r>
        <w:rPr>
          <w:b/>
        </w:rPr>
        <w:t xml:space="preserve">Notes: </w:t>
      </w:r>
      <w:r>
        <w:t>abstract_source=crossref</w:t>
      </w:r>
    </w:p>
    <w:p>
      <w:pPr>
        <w:spacing w:before="0" w:after="80" w:lineRule="auto" w:line="276"/>
      </w:pPr>
      <w:r>
        <w:rPr>
          <w:b/>
        </w:rPr>
        <w:t xml:space="preserve">摘要（ZH）: </w:t>
      </w:r>
      <w:r>
        <w:t>具有高能量转换密度的介电弹性体（DEs）在柔性驱动和传感应用中非常理想。然而，目前的DEs仅在电驱动下表现良好，无法调节材料与其环境之间的界面相互作用，例如电粘附和介电电润湿（EWOD）的主动控制。在此，我们报告了一种使用极性小分子添加剂的方法，以实现DEs中的电活性界面调节。对于电粘附，电活性界面增强的介电弹性体（EIEDE）与金属网电极结合，在14兆伏每米时达到31.75千帕的粘附强度，是改性前的488倍。对于EWOD性能，EIEDE诱导液滴接触角</w:t>
      </w:r>
    </w:p>
    <w:p>
      <w:pPr>
        <w:spacing w:before="0" w:after="200" w:lineRule="auto" w:line="276"/>
      </w:pPr>
      <w:r>
        <w:rPr>
          <w:b/>
        </w:rPr>
        <w:t xml:space="preserve">Abstract (EN): </w:t>
      </w:r>
      <w:r>
        <w:t>Dielectric elastomers (DEs) with high energy conversion density are highly desirable for flexible actuation and sensing applications. However, current DEs only perform well under electrical actuation, incapable of regulating interfacial interactions between materials and their environment, such as active control of electroadhesion and electrowetting-on-dielectric (EWOD). Herein, we report a method using polar small-molecule additives to enable electroactive interfacial regulation in DEs. For electroadhesion, the electroactive interface–enhanced dielectric elastomer (EIEDE) with a metal mesh electrode attains adhesion strength of 31.75 kilopascals at 14 megavolts per meter, which is 488 times greater than that before modification. For EWOD performance, the EIEDE induces droplet contact angle to decrease sharply from 83.15° to 9.92°, showing the best electric-field response among DEs and enabling functions like droplet transport and shape modulation. The EIEDE simultaneously integrates large-strain deformation with electroactive interfacial regulation, achieving breakthrough performance in superhigh electroadhesion and excellent EWOD performance.</w:t>
      </w:r>
    </w:p>
    <w:p>
      <w:pPr>
        <w:spacing w:before="120" w:after="120"/>
      </w:pPr>
      <w:r>
        <w:rPr>
          <w:sz w:val="18"/>
        </w:rPr>
        <w:t>——————————————————————————————————————————————————————————————————————</w:t>
      </w:r>
    </w:p>
    <w:p>
      <w:pPr>
        <w:spacing w:before="160" w:after="40" w:line="240" w:lineRule="auto"/>
      </w:pPr>
      <w:r>
        <w:rPr>
          <w:b/>
        </w:rPr>
        <w:t xml:space="preserve">[338] </w:t>
      </w:r>
      <w:hyperlink r:id="rId828">
        <w:r>
          <w:rPr>
            <w:color w:val="1155CC"/>
            <w:u w:val="single"/>
          </w:rPr>
          <w:t>期刊编辑部名单</w:t>
        </w:r>
      </w:hyperlink>
    </w:p>
    <w:p>
      <w:pPr>
        <w:spacing w:before="0" w:after="80"/>
      </w:pPr>
      <w:r>
        <w:rPr>
          <w:i/>
          <w:sz w:val="20"/>
        </w:rPr>
        <w:t>EN: Issue Editorial Masthead</w:t>
      </w:r>
    </w:p>
    <w:p>
      <w:pPr>
        <w:spacing w:before="0" w:after="120"/>
      </w:pPr>
      <w:r>
        <w:rPr>
          <w:b/>
        </w:rPr>
        <w:t xml:space="preserve">Source: </w:t>
      </w:r>
      <w:r>
        <w:t>acs: Chemical Reviews: Table of Contents</w:t>
      </w:r>
      <w:r>
        <w:t xml:space="preserve">    </w:t>
      </w:r>
      <w:r>
        <w:rPr>
          <w:b/>
        </w:rPr>
        <w:t xml:space="preserve">Pub date: </w:t>
      </w:r>
      <w:r>
        <w:t>2026-03-11 07:01:59+00:00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829">
        <w:r>
          <w:rPr>
            <w:color w:val="1155CC"/>
            <w:u w:val="single"/>
          </w:rPr>
          <w:t>期刊出版信息</w:t>
        </w:r>
      </w:hyperlink>
    </w:p>
    <w:p>
      <w:pPr>
        <w:spacing w:before="0" w:after="80"/>
      </w:pPr>
      <w:r>
        <w:rPr>
          <w:i/>
          <w:sz w:val="20"/>
        </w:rPr>
        <w:t>EN: Issue Publication Information</w:t>
      </w:r>
    </w:p>
    <w:p>
      <w:pPr>
        <w:spacing w:before="0" w:after="120"/>
      </w:pPr>
      <w:r>
        <w:rPr>
          <w:b/>
        </w:rPr>
        <w:t xml:space="preserve">Source: </w:t>
      </w:r>
      <w:r>
        <w:t>acs: Chemical Reviews: Table of Contents</w:t>
      </w:r>
      <w:r>
        <w:t xml:space="preserve">    </w:t>
      </w:r>
      <w:r>
        <w:rPr>
          <w:b/>
        </w:rPr>
        <w:t xml:space="preserve">Pub date: </w:t>
      </w:r>
      <w:r>
        <w:t>2026-03-11 07:01:59+00:00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[340] </w:t>
      </w:r>
      <w:hyperlink r:id="rId830">
        <w:r>
          <w:rPr>
            <w:color w:val="1155CC"/>
            <w:u w:val="single"/>
          </w:rPr>
          <w:t>红外检测的最新进展：从材料进步到集成智能系统</w:t>
        </w:r>
      </w:hyperlink>
    </w:p>
    <w:p>
      <w:pPr>
        <w:spacing w:before="0" w:after="80"/>
      </w:pPr>
      <w:r>
        <w:rPr>
          <w:i/>
          <w:sz w:val="20"/>
        </w:rPr>
        <w:t>EN: Recent Progress in Infrared Detection From Material Advances to Integrated Intelligent Systems</w:t>
      </w:r>
    </w:p>
    <w:p>
      <w:pPr>
        <w:spacing w:before="0" w:after="120"/>
      </w:pPr>
      <w:r>
        <w:rPr>
          <w:b/>
        </w:rPr>
        <w:t xml:space="preserve">Source: </w:t>
      </w:r>
      <w:r>
        <w:t>Wiley: Advanced Materials: Table of Contents</w:t>
      </w:r>
      <w:r>
        <w:t xml:space="preserve">    </w:t>
      </w:r>
      <w:r>
        <w:rPr>
          <w:b/>
        </w:rPr>
        <w:t xml:space="preserve">Pub date: </w:t>
      </w:r>
      <w:r>
        <w:t>2026-03-11 07:10:14+00:00</w:t>
      </w:r>
      <w:r>
        <w:t xml:space="preserve">    </w:t>
      </w:r>
      <w:r>
        <w:rPr>
          <w:b/>
        </w:rPr>
        <w:t xml:space="preserve">DOI: </w:t>
      </w:r>
      <w:hyperlink r:id="rId831">
        <w:r>
          <w:rPr>
            <w:color w:val="1155CC"/>
            <w:u w:val="single"/>
          </w:rPr>
          <w:t>10.1002/adma.202521432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业、环境和医疗保健需求的增长正在加速下一代红外系统的发展，这些系统具有高探测率、多功能传感和设备智能。虽然传统设备（例如，HgCdTe、量子阱）在性能方面仍占主导地位，但它们在冷却要求、成本和功能方面面临限制。最近，在材料、结构和检测系统方面取得了相当大的进展。作为红外系统的基础，基于传统材料的光电探测器通过带隙对齐工程和新兴材料（例如，二维材料和量子点）显示出高光探测率、低暗电流和室温操作。同时，芯片上的微结构（例如</w:t>
      </w:r>
    </w:p>
    <w:p>
      <w:pPr>
        <w:spacing w:before="0" w:after="200" w:lineRule="auto" w:line="276"/>
      </w:pPr>
      <w:r>
        <w:rPr>
          <w:b/>
        </w:rPr>
        <w:t xml:space="preserve">Abstract (EN): </w:t>
      </w:r>
      <w:r>
        <w:t>Growing industrial, environmental, and healthcare needs are accelerating the development of next‐generation infrared systems with high detectivity, multifunctional sensing, and on‐device intelligence. While traditional devices (e.g., HgCdTe, quantum wells) continue to dominate in terms of performance, they face limitations in cooling requirements, cost, and functionality. Recently, considerable advances have been made in materials, structures, and detection systems. As the foundation of IR systems, photodetectors based on traditional materials with band alignment engineering and emerging materials (e.g., two‐dimensional materials and quantum dots) show high photodetectivity, low dark current, and room‐temperature operation. Meanwhile, on‐chip microstructures (e.g., plasmons, metasurfaces, and 3D‐assembled architectures) integration enables manipulation of coupling and propagation of electromagnetic fields, which enhances polarization and wavelength‐dependent light absorption. These developments empower infrared devices with multidimensional photodetection capabilities and tunable spectral response. Furthermore, advanced technologies like in‐sensor computing, miniaturized spectrometers, and on‐chip digitization merge sensing, storage, and computing into a single chip. The integration enables monolithic infrared systems with more compact architectures while possessing adaptive perception, data compression, and real‐time signal processing capabilities. Finally, a comparative analysis containing material engineering, microstructure design, and integrated architecture is presented to outline the challenges and opportunities toward compact, intelligent, multifunctional infrared detection platforms.</w:t>
      </w:r>
    </w:p>
    <w:p>
      <w:pPr>
        <w:spacing w:before="120" w:after="120"/>
      </w:pPr>
      <w:r>
        <w:rPr>
          <w:sz w:val="18"/>
        </w:rPr>
        <w:t>——————————————————————————————————————————————————————————————————————</w:t>
      </w:r>
    </w:p>
    <w:p>
      <w:pPr>
        <w:spacing w:before="160" w:after="40" w:line="240" w:lineRule="auto"/>
      </w:pPr>
      <w:r>
        <w:rPr>
          <w:b/>
        </w:rPr>
        <w:t xml:space="preserve">[341] </w:t>
      </w:r>
      <w:hyperlink r:id="rId832">
        <w:r>
          <w:rPr>
            <w:color w:val="1155CC"/>
            <w:u w:val="single"/>
          </w:rPr>
          <w:t>2026年《科学》杂志“舞动你的博士”比赛的获奖者是……</w:t>
        </w:r>
      </w:hyperlink>
    </w:p>
    <w:p>
      <w:pPr>
        <w:spacing w:before="0" w:after="80"/>
      </w:pPr>
      <w:r>
        <w:rPr>
          <w:i/>
          <w:sz w:val="20"/>
        </w:rPr>
        <w:t>EN: And the winner of Science’s 2026 ‘Dance Your Ph.D.’ contest is …</w:t>
      </w:r>
    </w:p>
    <w:p>
      <w:pPr>
        <w:spacing w:before="0" w:after="120"/>
      </w:pPr>
      <w:r>
        <w:rPr>
          <w:b/>
        </w:rPr>
        <w:t xml:space="preserve">Source: </w:t>
      </w:r>
      <w:r>
        <w:t>Latest News from Science Magazine</w:t>
      </w:r>
      <w:r>
        <w:t xml:space="preserve">    </w:t>
      </w:r>
      <w:r>
        <w:rPr>
          <w:b/>
        </w:rPr>
        <w:t xml:space="preserve">Pub date: </w:t>
      </w:r>
      <w:r>
        <w:t>2026-03-11 08:00:00+00:00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[342] </w:t>
      </w:r>
      <w:hyperlink r:id="rId833">
        <w:r>
          <w:rPr>
            <w:color w:val="1155CC"/>
            <w:u w:val="single"/>
          </w:rPr>
          <w:t>通过测量和建模功率依赖的瞬态光致发光来量化金属卤化物钙钛矿中不断演变的缺陷参数</w:t>
        </w:r>
      </w:hyperlink>
    </w:p>
    <w:p>
      <w:pPr>
        <w:spacing w:before="0" w:after="80"/>
      </w:pPr>
      <w:r>
        <w:rPr>
          <w:i/>
          <w:sz w:val="20"/>
        </w:rPr>
        <w:t>EN: Quantifying Evolving Defect Parameters in Metal Halide Perovskites via the Measurement and Modeling of Power‐Dependent Transient Photoluminescence</w:t>
      </w:r>
    </w:p>
    <w:p>
      <w:pPr>
        <w:spacing w:before="0" w:after="120"/>
      </w:pPr>
      <w:r>
        <w:rPr>
          <w:b/>
        </w:rPr>
        <w:t xml:space="preserve">Source: </w:t>
      </w:r>
      <w:r>
        <w:t>Wiley: Advanced Energy Materials: Table of Contents</w:t>
      </w:r>
      <w:r>
        <w:t xml:space="preserve">    </w:t>
      </w:r>
      <w:r>
        <w:rPr>
          <w:b/>
        </w:rPr>
        <w:t xml:space="preserve">Pub date: </w:t>
      </w:r>
      <w:r>
        <w:t>2026-03-11 08:00:34+00:00</w:t>
      </w:r>
      <w:r>
        <w:t xml:space="preserve">    </w:t>
      </w:r>
      <w:r>
        <w:rPr>
          <w:b/>
        </w:rPr>
        <w:t xml:space="preserve">DOI: </w:t>
      </w:r>
      <w:hyperlink r:id="rId834">
        <w:r>
          <w:rPr>
            <w:color w:val="1155CC"/>
            <w:u w:val="single"/>
          </w:rPr>
          <w:t>10.1002/aenm.202504811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卤化物钙钛矿（MHPs）中的动态光诱导缺陷态在非平衡光物理学、亚稳态和光电器件（如太阳能电池）的长期性能中起着关键作用。这种亚稳态在稳态光致发光实验中很明显，其中振幅根据环境和激发条件增加或减少。在此，我们结合激发依赖的时间分辨光致发光（trPL）测量与贝叶斯优化的参数估计，并结合完整的Shockley–Read–Hall和扩散模型，以定量跟踪Cs</w:t>
      </w:r>
      <w:r>
        <w:t xml:space="preserve"> </w:t>
      </w:r>
      <w:r>
        <w:t>0.05</w:t>
      </w:r>
      <w:r>
        <w:t xml:space="preserve"> </w:t>
      </w:r>
      <w:r>
        <w:t>FA</w:t>
      </w:r>
      <w:r>
        <w:t xml:space="preserve"> </w:t>
      </w:r>
      <w:r>
        <w:t>0.95</w:t>
      </w:r>
      <w:r>
        <w:t xml:space="preserve"> </w:t>
      </w:r>
      <w:r>
        <w:t>PbI</w:t>
      </w:r>
      <w:r>
        <w:t xml:space="preserve"> </w:t>
      </w:r>
      <w:r>
        <w:t>中的缺陷态形成。</w:t>
      </w:r>
    </w:p>
    <w:p>
      <w:pPr>
        <w:spacing w:before="0" w:after="200" w:lineRule="auto" w:line="276"/>
      </w:pPr>
      <w:r>
        <w:rPr>
          <w:b/>
        </w:rPr>
        <w:t xml:space="preserve">Abstract (EN): </w:t>
      </w:r>
      <w:r>
        <w:t>Dynamic photoinduced defect states in metal halide perovskites (MHPs) critically govern the non‐equilibrium photophysics, metastability, and long‐term performance of optoelectronic devices, such as solar cells. This metastability is evident in steady‐state photoluminescence experiments, where the amplitudes increase or decrease depending on the environmental and excitation conditions. Here, we combine excitation‐dependent time‐resolved photoluminescence (trPL) measurements with parameter estimation via Bayesian optimization coupled with a full Shockley–Read–Hall and diffusion model to quantitatively track defect state formation in Cs</w:t>
      </w:r>
      <w:r>
        <w:t xml:space="preserve"> </w:t>
      </w:r>
      <w:r>
        <w:t>0.05</w:t>
      </w:r>
      <w:r>
        <w:t xml:space="preserve"> </w:t>
      </w:r>
      <w:r>
        <w:t>FA</w:t>
      </w:r>
      <w:r>
        <w:t xml:space="preserve"> </w:t>
      </w:r>
      <w:r>
        <w:t>0.95</w:t>
      </w:r>
      <w:r>
        <w:t xml:space="preserve"> </w:t>
      </w:r>
      <w:r>
        <w:t>PbI</w:t>
      </w:r>
      <w:r>
        <w:rPr>
          <w:vertAlign w:val="subscript"/>
        </w:rPr>
        <w:t>3</w:t>
      </w:r>
      <w:r>
        <w:t>thin films, under continuous 1 sun illumination. This methodology is applied to quantify the evolution of defect distributions in absorbers with two distinct initial optoelectronic qualities, leveraging the sensitivity of trPL decays to defect‐assisted non‐radiative recombination processes. We show that 21 h of continuous illumination causes the slopes of the differential‐lifetime/mean carrier‐density plots to converge from initially distinct decay behaviors, which we interpret as a convergence of dominant recombination mechanisms following irradiation. The fitting results further suggest the emergence of trapping species with highly asymmetric capture cross‐section ratios. Overall, this study establishes a general diagnostic methodology for tracking carrier‐induced degradation pathways in perovskites and other emerging semiconductors.</w:t>
      </w:r>
    </w:p>
    <w:p>
      <w:pPr>
        <w:spacing w:before="120" w:after="120"/>
      </w:pPr>
      <w:r>
        <w:rPr>
          <w:sz w:val="18"/>
        </w:rPr>
        <w:t>——————————————————————————————————————————————————————————————————————</w:t>
      </w:r>
    </w:p>
    <w:p>
      <w:pPr>
        <w:spacing w:before="160" w:after="40" w:line="240" w:lineRule="auto"/>
      </w:pPr>
      <w:r>
        <w:rPr>
          <w:b/>
        </w:rPr>
        <w:t xml:space="preserve">[343] </w:t>
      </w:r>
      <w:hyperlink r:id="rId835">
        <w:r>
          <w:rPr>
            <w:color w:val="1155CC"/>
            <w:u w:val="single"/>
          </w:rPr>
          <w:t>使用一种肠杆菌素类似物进行细菌感染的正电子发射断层扫描成像，以监测使用儿茶酚抗生素的治疗效果</w:t>
        </w:r>
      </w:hyperlink>
    </w:p>
    <w:p>
      <w:pPr>
        <w:spacing w:before="0" w:after="80"/>
      </w:pPr>
      <w:r>
        <w:rPr>
          <w:i/>
          <w:sz w:val="20"/>
        </w:rPr>
        <w:t>EN: Positron Emission Tomography Imaging of Bacterial Infections With an Enterobactin Analog to Monitor Treatment Efficacy With a Catechol Antibiotic</w:t>
      </w:r>
    </w:p>
    <w:p>
      <w:pPr>
        <w:spacing w:before="0" w:after="120"/>
      </w:pPr>
      <w:r>
        <w:rPr>
          <w:b/>
        </w:rPr>
        <w:t xml:space="preserve">Source: </w:t>
      </w:r>
      <w:r>
        <w:t>Wiley: Angewandte Chemie International Edition: Table of Contents</w:t>
      </w:r>
      <w:r>
        <w:t xml:space="preserve">    </w:t>
      </w:r>
      <w:r>
        <w:rPr>
          <w:b/>
        </w:rPr>
        <w:t xml:space="preserve">Pub date: </w:t>
      </w:r>
      <w:r>
        <w:t>2026-03-11 08:01:48+00:00</w:t>
      </w:r>
      <w:r>
        <w:t xml:space="preserve">    </w:t>
      </w:r>
      <w:r>
        <w:rPr>
          <w:b/>
        </w:rPr>
        <w:t xml:space="preserve">DOI: </w:t>
      </w:r>
      <w:hyperlink r:id="rId836">
        <w:r>
          <w:rPr>
            <w:color w:val="1155CC"/>
            <w:u w:val="single"/>
          </w:rPr>
          <w:t>10.1002/anie.2391261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正电子发射断层扫描（PET）是一种正在临床研究中的新兴工具，用于检测细菌感染。识别感染部位和病原体对后续治疗方法的潜在敏感性可以简化治疗并防止抗生素的误用。先前的研究确定TREN-CAM是使用正电子发射放射性核素68Ga进行放射金属标记的有前途的支架。在此，我们研究67/68Ga标记的TREN-CAM和enterobactin用于非侵入性成像大肠杆菌感染的适用性。体外摄取实验与[</w:t>
      </w:r>
    </w:p>
    <w:p>
      <w:pPr>
        <w:spacing w:before="0" w:after="200" w:lineRule="auto" w:line="276"/>
      </w:pPr>
      <w:r>
        <w:rPr>
          <w:b/>
        </w:rPr>
        <w:t xml:space="preserve">Abstract (EN): </w:t>
      </w:r>
      <w:r>
        <w:t>Positron emission tomography (PET) is an emerging tool under clinical investigation for the detection of bacterial infections. The ability to identify the site of infection and the pathogen's potential susceptibility to subsequent treatment approaches can streamline treatment and prevent misuse of antibiotics. Previous studies identified TREN‐CAM as a promising scaffold for radiometal labeling using the positron‐emitting radionuclide</w:t>
      </w:r>
      <w:r>
        <w:rPr>
          <w:vertAlign w:val="subscript"/>
        </w:rPr>
        <w:t>68</w:t>
      </w:r>
      <w:r>
        <w:t>Ga. Here, we investigate the suitability of</w:t>
      </w:r>
      <w:r>
        <w:t xml:space="preserve"> </w:t>
      </w:r>
      <w:r>
        <w:t>67/68</w:t>
      </w:r>
      <w:r>
        <w:t xml:space="preserve"> </w:t>
      </w:r>
      <w:r>
        <w:t>Ga‐labeled TREN‐CAM and enterobactin for the noninvasive imaging of an</w:t>
      </w:r>
      <w:r>
        <w:t xml:space="preserve"> </w:t>
      </w:r>
      <w:r>
        <w:t>Escherichia coli</w:t>
      </w:r>
      <w:r>
        <w:t xml:space="preserve"> </w:t>
      </w:r>
      <w:r>
        <w:t>infection. In vitro uptake experiments with [</w:t>
      </w:r>
      <w:r>
        <w:rPr>
          <w:vertAlign w:val="subscript"/>
        </w:rPr>
        <w:t>67</w:t>
      </w:r>
      <w:r>
        <w:t>Ga]Ga</w:t>
      </w:r>
      <w:r>
        <w:t xml:space="preserve"> </w:t>
      </w:r>
      <w:r>
        <w:t>III</w:t>
      </w:r>
      <w:r>
        <w:t xml:space="preserve"> </w:t>
      </w:r>
      <w:r>
        <w:t>‐TREN‐CAM demonstrate superior uptake in</w:t>
      </w:r>
      <w:r>
        <w:t xml:space="preserve"> </w:t>
      </w:r>
      <w:r>
        <w:t>E. coli</w:t>
      </w:r>
      <w:r>
        <w:t xml:space="preserve"> </w:t>
      </w:r>
      <w:r>
        <w:t>K12 and</w:t>
      </w:r>
      <w:r>
        <w:t xml:space="preserve"> </w:t>
      </w:r>
      <w:r>
        <w:t>Pseudomonas aeruginosa</w:t>
      </w:r>
      <w:r>
        <w:t xml:space="preserve"> </w:t>
      </w:r>
      <w:r>
        <w:t>PAO1 when compared with [</w:t>
      </w:r>
      <w:r>
        <w:rPr>
          <w:vertAlign w:val="subscript"/>
        </w:rPr>
        <w:t>67</w:t>
      </w:r>
      <w:r>
        <w:t>Ga]Ga</w:t>
      </w:r>
      <w:r>
        <w:t xml:space="preserve"> </w:t>
      </w:r>
      <w:r>
        <w:t>III</w:t>
      </w:r>
      <w:r>
        <w:t xml:space="preserve"> </w:t>
      </w:r>
      <w:r>
        <w:t>‐DFO, a compound currently under clinical investigation for infection imaging. Selectivity experiments indicate that [</w:t>
      </w:r>
      <w:r>
        <w:rPr>
          <w:vertAlign w:val="subscript"/>
        </w:rPr>
        <w:t>67</w:t>
      </w:r>
      <w:r>
        <w:t>Ga]Ga</w:t>
      </w:r>
      <w:r>
        <w:t xml:space="preserve"> </w:t>
      </w:r>
      <w:r>
        <w:t>III</w:t>
      </w:r>
      <w:r>
        <w:t xml:space="preserve"> </w:t>
      </w:r>
      <w:r>
        <w:t>‐TREN‐CAM is recognized by the active transmembrane transport machinery for</w:t>
      </w:r>
      <w:r>
        <w:t xml:space="preserve"> </w:t>
      </w:r>
      <w:r>
        <w:t>nat</w:t>
      </w:r>
      <w:r>
        <w:t xml:space="preserve"> </w:t>
      </w:r>
      <w:r>
        <w:t>Fe</w:t>
      </w:r>
      <w:r>
        <w:t xml:space="preserve"> </w:t>
      </w:r>
      <w:r>
        <w:t>III</w:t>
      </w:r>
      <w:r>
        <w:t xml:space="preserve"> </w:t>
      </w:r>
      <w:r>
        <w:t>‐Ent. Using a soft tissue</w:t>
      </w:r>
      <w:r>
        <w:t xml:space="preserve"> </w:t>
      </w:r>
      <w:r>
        <w:t>E. coli</w:t>
      </w:r>
      <w:r>
        <w:t xml:space="preserve"> </w:t>
      </w:r>
      <w:r>
        <w:t>infection model, we demonstrate that [</w:t>
      </w:r>
      <w:r>
        <w:rPr>
          <w:vertAlign w:val="subscript"/>
        </w:rPr>
        <w:t>68</w:t>
      </w:r>
      <w:r>
        <w:t>Ga]Ga</w:t>
      </w:r>
      <w:r>
        <w:t xml:space="preserve"> </w:t>
      </w:r>
      <w:r>
        <w:t>III</w:t>
      </w:r>
      <w:r>
        <w:t xml:space="preserve"> </w:t>
      </w:r>
      <w:r>
        <w:t>‐TREN‐CAM selectively accumulates in infected tissue. Notably, [</w:t>
      </w:r>
      <w:r>
        <w:rPr>
          <w:vertAlign w:val="subscript"/>
        </w:rPr>
        <w:t>68</w:t>
      </w:r>
      <w:r>
        <w:t>Ga]Ga</w:t>
      </w:r>
      <w:r>
        <w:t xml:space="preserve"> </w:t>
      </w:r>
      <w:r>
        <w:t>III</w:t>
      </w:r>
      <w:r>
        <w:t xml:space="preserve"> </w:t>
      </w:r>
      <w:r>
        <w:t>‐TREN‐CAM provides better infection‐to‐inflammation contrast, accelerated blood clearance, and lower off‐target accumulation compared to [</w:t>
      </w:r>
      <w:r>
        <w:rPr>
          <w:vertAlign w:val="subscript"/>
        </w:rPr>
        <w:t>68</w:t>
      </w:r>
      <w:r>
        <w:t>Ga]Ga</w:t>
      </w:r>
      <w:r>
        <w:t xml:space="preserve"> </w:t>
      </w:r>
      <w:r>
        <w:t>III</w:t>
      </w:r>
      <w:r>
        <w:t xml:space="preserve"> </w:t>
      </w:r>
      <w:r>
        <w:t>‐Ent and [</w:t>
      </w:r>
      <w:r>
        <w:rPr>
          <w:vertAlign w:val="subscript"/>
        </w:rPr>
        <w:t>68</w:t>
      </w:r>
      <w:r>
        <w:t>Ga]Ga</w:t>
      </w:r>
      <w:r>
        <w:t xml:space="preserve"> </w:t>
      </w:r>
      <w:r>
        <w:t>III</w:t>
      </w:r>
      <w:r>
        <w:t xml:space="preserve"> </w:t>
      </w:r>
      <w:r>
        <w:t>‐citrate. The potential of [</w:t>
      </w:r>
      <w:r>
        <w:rPr>
          <w:vertAlign w:val="subscript"/>
        </w:rPr>
        <w:t>68</w:t>
      </w:r>
      <w:r>
        <w:t>Ga]Ga</w:t>
      </w:r>
      <w:r>
        <w:t xml:space="preserve"> </w:t>
      </w:r>
      <w:r>
        <w:t>III</w:t>
      </w:r>
      <w:r>
        <w:t xml:space="preserve"> </w:t>
      </w:r>
      <w:r>
        <w:t>‐TREN‐CAM to serve as a tool to monitor the therapeutic efficacy of cefiderocol is also evaluated, offering insight into its utility in guiding antibiotic treatment.</w:t>
      </w:r>
    </w:p>
    <w:p>
      <w:pPr>
        <w:spacing w:before="120" w:after="120"/>
      </w:pPr>
      <w:r>
        <w:rPr>
          <w:sz w:val="18"/>
        </w:rPr>
        <w:t>——————————————————————————————————————————————————————————————————————</w:t>
      </w:r>
    </w:p>
    <w:p>
      <w:pPr>
        <w:spacing w:before="160" w:after="40" w:line="240" w:lineRule="auto"/>
      </w:pPr>
      <w:r>
        <w:rPr>
          <w:b/>
        </w:rPr>
        <w:t xml:space="preserve">[344] </w:t>
      </w:r>
      <w:hyperlink r:id="rId837">
        <w:r>
          <w:rPr>
            <w:color w:val="1155CC"/>
            <w:u w:val="single"/>
          </w:rPr>
          <w:t>Moeve对Onuba项目做出最终投资决定</w:t>
        </w:r>
      </w:hyperlink>
    </w:p>
    <w:p>
      <w:pPr>
        <w:spacing w:before="0" w:after="80"/>
      </w:pPr>
      <w:r>
        <w:rPr>
          <w:i/>
          <w:sz w:val="20"/>
        </w:rPr>
        <w:t>EN: Moeve takes FID on Project Onuba</w:t>
      </w:r>
    </w:p>
    <w:p>
      <w:pPr>
        <w:spacing w:before="0" w:after="120"/>
      </w:pPr>
      <w:r>
        <w:rPr>
          <w:b/>
        </w:rPr>
        <w:t xml:space="preserve">Source: </w:t>
      </w:r>
      <w:r>
        <w:t>Articles – Ammonia Energy Association</w:t>
      </w:r>
      <w:r>
        <w:t xml:space="preserve">    </w:t>
      </w:r>
      <w:r>
        <w:rPr>
          <w:b/>
        </w:rPr>
        <w:t xml:space="preserve">Pub date: </w:t>
      </w:r>
      <w:r>
        <w:t>2026-03-11 08:37:52+00:00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[345] </w:t>
      </w:r>
      <w:hyperlink r:id="rId838">
        <w:r>
          <w:rPr>
            <w:color w:val="1155CC"/>
            <w:u w:val="single"/>
          </w:rPr>
          <w:t>[ASAP] 单晶纳米材料的自组装用于集成电子学和光子学</w:t>
        </w:r>
      </w:hyperlink>
    </w:p>
    <w:p>
      <w:pPr>
        <w:spacing w:before="0" w:after="80"/>
      </w:pPr>
      <w:r>
        <w:rPr>
          <w:i/>
          <w:sz w:val="20"/>
        </w:rPr>
        <w:t>EN: [ASAP] Self-Assembly of Single-Crystalline Nanomaterials for Integrated Electronics and Photonics</w:t>
      </w:r>
    </w:p>
    <w:p>
      <w:pPr>
        <w:spacing w:before="0" w:after="120"/>
      </w:pPr>
      <w:r>
        <w:rPr>
          <w:b/>
        </w:rPr>
        <w:t xml:space="preserve">Source: </w:t>
      </w:r>
      <w:r>
        <w:t>Chemical Reviews: Latest Articles (ACS Publications)</w:t>
      </w:r>
      <w:r>
        <w:t xml:space="preserve">    </w:t>
      </w:r>
      <w:r>
        <w:rPr>
          <w:b/>
        </w:rPr>
        <w:t xml:space="preserve">Pub date: </w:t>
      </w:r>
      <w:r>
        <w:t>2026-03-11 08:50:42+00:00</w:t>
      </w:r>
      <w:r>
        <w:t xml:space="preserve">    </w:t>
      </w:r>
      <w:r>
        <w:rPr>
          <w:b/>
        </w:rPr>
        <w:t xml:space="preserve">DOI: </w:t>
      </w:r>
      <w:hyperlink r:id="rId839">
        <w:r>
          <w:rPr>
            <w:color w:val="1155CC"/>
            <w:u w:val="single"/>
          </w:rPr>
          <w:t>10.1021/acs.chemrev.5c00499</w:t>
        </w:r>
      </w:hyperlink>
    </w:p>
    <w:p>
      <w:pPr>
        <w:spacing w:before="0" w:after="120"/>
      </w:pPr>
      <w:r>
        <w:rPr>
          <w:b/>
        </w:rPr>
        <w:t xml:space="preserve">Notes: </w:t>
      </w:r>
      <w:r>
        <w:t>abstract_source=pubmed</w:t>
      </w:r>
    </w:p>
    <w:p>
      <w:pPr>
        <w:spacing w:before="0" w:after="80" w:lineRule="auto" w:line="276"/>
      </w:pPr>
      <w:r>
        <w:rPr>
          <w:b/>
        </w:rPr>
        <w:t xml:space="preserve">摘要（ZH）: </w:t>
      </w:r>
      <w:r>
        <w:t>单晶纳米材料的可扩展集成仍然是现代材料科学中的一个关键挑战，涉及晶体成核、增长和长程有序组装的精确控制。本文综述了通过构建优选成核位点来诱导有序纳米材料组装的新兴策略。在微/纳米图案化的背景下，自组装发生在从几纳米到数百纳米的受限空间内，其中无处不在的边界和界面将系统驱动到一个动力学上有利的远离平衡状态。即使是微小的环境扰动也能触发随机成核和不受控的组装。我们系统地调查了在各种组装中的最新研究进展</w:t>
      </w:r>
    </w:p>
    <w:p>
      <w:pPr>
        <w:spacing w:before="0" w:after="200" w:lineRule="auto" w:line="276"/>
      </w:pPr>
      <w:r>
        <w:rPr>
          <w:b/>
        </w:rPr>
        <w:t xml:space="preserve">Abstract (EN): </w:t>
      </w:r>
      <w:r>
        <w:t>The scalable integration of single-crystalline nanomaterials remains a critical challenge in modern materials science, involving precise control of crystal nucleation, growth, and long-range ordered assembly throughout material processing. This Review highlights emerging strategies for inducing ordered nanomaterial assembly by constructing preferred nucleation sites. In the context of micro/nanopatterning, self-assembly occurs within confined spaces ranging from a few nanometers to hundreds of nanometers, where ubiquitous boundaries and interfaces drive the system into a kinetically favorable far-from-equilibrium state. Even minute environmental perturbations can trigger random nucleation and uncontrolled assembly. We systematically investigate recent research advances across diverse assembly systems, including confined self-assembly, field-assisted crystallization, and interface-mediated growth, revealing how fine-tuning of thermodynamic parameters enables the transformation of localized regions from far-from-equilibrium to near equilibrium states during micro/nanoscale assembly, thereby achieving controlled assembly. Through in-depth analysis of molecular packing at the microscopic scale, mesoscopic morphology regulation, and macroscopic integration, we further elucidate the critical role of multiscale assembly of single-crystalline nanomaterials in enhancing device performance.</w:t>
      </w:r>
    </w:p>
    <w:p>
      <w:pPr>
        <w:spacing w:before="120" w:after="120"/>
      </w:pPr>
      <w:r>
        <w:rPr>
          <w:sz w:val="18"/>
        </w:rPr>
        <w:t>——————————————————————————————————————————————————————————————————————</w:t>
      </w:r>
    </w:p>
    <w:p>
      <w:pPr>
        <w:spacing w:before="160" w:after="40" w:line="240" w:lineRule="auto"/>
      </w:pPr>
      <w:r>
        <w:rPr>
          <w:b/>
        </w:rPr>
        <w:t xml:space="preserve">[346] </w:t>
      </w:r>
      <w:hyperlink r:id="rId840">
        <w:r>
          <w:rPr>
            <w:color w:val="1155CC"/>
            <w:u w:val="single"/>
          </w:rPr>
          <w:t>[ASAP] 结构上具有弹性的肽组装调节致病性Galectin-10结晶以缓解结晶病炎症</w:t>
        </w:r>
      </w:hyperlink>
    </w:p>
    <w:p>
      <w:pPr>
        <w:spacing w:before="0" w:after="80"/>
      </w:pPr>
      <w:r>
        <w:rPr>
          <w:i/>
          <w:sz w:val="20"/>
        </w:rPr>
        <w:t>EN: [ASAP] Structurally Resilient Peptide Assembly Regulates Pathogenic Galectin-10 Crystallization To Mitigate Crystallopathy Inflammation</w:t>
      </w:r>
    </w:p>
    <w:p>
      <w:pPr>
        <w:spacing w:before="0" w:after="120"/>
      </w:pPr>
      <w:r>
        <w:rPr>
          <w:b/>
        </w:rPr>
        <w:t xml:space="preserve">Source: </w:t>
      </w:r>
      <w:r>
        <w:t>Journal of the American Chemical Society: Latest Articles (ACS Publications)</w:t>
      </w:r>
      <w:r>
        <w:t xml:space="preserve">    </w:t>
      </w:r>
      <w:r>
        <w:rPr>
          <w:b/>
        </w:rPr>
        <w:t xml:space="preserve">Pub date: </w:t>
      </w:r>
      <w:r>
        <w:t>2026-03-11 08:53:56+00:00</w:t>
      </w:r>
      <w:r>
        <w:t xml:space="preserve">    </w:t>
      </w:r>
      <w:r>
        <w:rPr>
          <w:b/>
        </w:rPr>
        <w:t xml:space="preserve">DOI: </w:t>
      </w:r>
      <w:hyperlink r:id="rId841">
        <w:r>
          <w:rPr>
            <w:color w:val="1155CC"/>
            <w:u w:val="single"/>
          </w:rPr>
          <w:t>10.1021/jacs.5c21181</w:t>
        </w:r>
      </w:hyperlink>
    </w:p>
    <w:p>
      <w:pPr>
        <w:spacing w:before="0" w:after="120"/>
      </w:pPr>
      <w:r>
        <w:rPr>
          <w:b/>
        </w:rPr>
        <w:t xml:space="preserve">Notes: </w:t>
      </w:r>
      <w:r>
        <w:t>abstract_source=openalex</w:t>
      </w:r>
    </w:p>
    <w:p>
      <w:pPr>
        <w:spacing w:before="0" w:after="80" w:lineRule="auto" w:line="276"/>
      </w:pPr>
      <w:r>
        <w:rPr>
          <w:b/>
        </w:rPr>
        <w:t xml:space="preserve">摘要（ZH）: </w:t>
      </w:r>
      <w:r>
        <w:t>致病蛋白在体内结晶会触发多因素炎症级联反应，最终导致不可逆的组织损伤，代表了一个未满足的治疗挑战。在此，我们报告了一种新型自组装肽ISQ，它专门靶向半乳糖凝集素-10（Gal-10）结晶，这是气道炎症的关键病理驱动因素，其中Gal-10晶体沉积激活白细胞介素-1β（IL-1β）依赖的通路并促进中性粒细胞炎症。ISQ表现出双重功能：它不仅以纳摩尔亲和力（K&lt;sub&gt;D&lt;/sub&gt; = 2.1 nM）结合Gal-10以溶解体外形成的晶体，还能自发自组装成稳定的纳米结构，具有结构韧性，即使在热变性后也能保持靶标识别</w:t>
      </w:r>
    </w:p>
    <w:p>
      <w:pPr>
        <w:spacing w:before="0" w:after="200" w:lineRule="auto" w:line="276"/>
      </w:pPr>
      <w:r>
        <w:rPr>
          <w:b/>
        </w:rPr>
        <w:t xml:space="preserve">Abstract (EN): </w:t>
      </w:r>
      <w:r>
        <w:t>Pathogenic protein crystallization &lt;i&gt;in vivo&lt;/i&gt; triggers multifactorial inflammatory cascades that ultimately lead to irreversible tissue damage, representing an unmet therapeutic challenge. Here we report ISQ, a novel self-assembling peptide that specifically targets galectin-10 (Gal-10) crystallization─a key pathological driver of airway inflammation, where Gal-10 crystal deposition activates interleukin-1β (IL-1β)-dependent pathways and promotes neutrophilic inflammation. ISQ exhibits dual functionality: it not only binds Gal-10 with nanomolar affinity (&lt;i&gt;K&lt;/i&gt;&lt;sub&gt;D&lt;/sub&gt; = 2.1 nM) to dissolve preformed crystals &lt;i&gt;in vitro&lt;/i&gt;, but also spontaneously self-assembles into stable nanostructures with structural resilience that maintain target recognition even after thermal denaturation, demonstrating superior robustness compared to antibodies. In a Gal-10 crystal-induced murine model, intratracheal administration of ISQ assemblies significantly attenuated airway inflammation, reducing both proinflammatory cytokine production and neutrophil infiltration. The therapeutic efficacy was further confirmed in primary airway epithelial cells derived from patients with Gal-10 crystallopathies. Collectively, these findings establish ISQ as a first-in-class, self-assembling peptide therapeutic that disrupts pathogenic protein crystallization, offering a promising treatment strategy for crystallopathy inflammation currently lacking effective interventions.</w:t>
      </w:r>
    </w:p>
    <w:p>
      <w:pPr>
        <w:spacing w:before="120" w:after="120"/>
      </w:pPr>
      <w:r>
        <w:rPr>
          <w:sz w:val="18"/>
        </w:rPr>
        <w:t>——————————————————————————————————————————————————————————————————————</w:t>
      </w:r>
    </w:p>
    <w:p>
      <w:pPr>
        <w:spacing w:before="160" w:after="40" w:line="240" w:lineRule="auto"/>
      </w:pPr>
      <w:r>
        <w:rPr>
          <w:b/>
        </w:rPr>
        <w:t xml:space="preserve">[347] </w:t>
      </w:r>
      <w:hyperlink r:id="rId842">
        <w:r>
          <w:rPr>
            <w:color w:val="1155CC"/>
            <w:u w:val="single"/>
          </w:rPr>
          <w:t>[ASAP] CO与胺的电催化氧化偶联以合成对称和不对称的脲衍生物</w:t>
        </w:r>
      </w:hyperlink>
    </w:p>
    <w:p>
      <w:pPr>
        <w:spacing w:before="0" w:after="80"/>
      </w:pPr>
      <w:r>
        <w:rPr>
          <w:i/>
          <w:sz w:val="20"/>
        </w:rPr>
        <w:t>EN: [ASAP] Electrocatalytic Oxidative Coupling of CO with Amines toward Symmetrical and Asymmetrical Urea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2026-03-11 09:14:50+00:00</w:t>
      </w:r>
      <w:r>
        <w:t xml:space="preserve">    </w:t>
      </w:r>
      <w:r>
        <w:rPr>
          <w:b/>
        </w:rPr>
        <w:t xml:space="preserve">DOI: </w:t>
      </w:r>
      <w:hyperlink r:id="rId843">
        <w:r>
          <w:rPr>
            <w:color w:val="1155CC"/>
            <w:u w:val="single"/>
          </w:rPr>
          <w:t>10.1021/jacs.5c22164</w:t>
        </w:r>
      </w:hyperlink>
    </w:p>
    <w:p>
      <w:pPr>
        <w:spacing w:before="0" w:after="120"/>
      </w:pPr>
      <w:r>
        <w:rPr>
          <w:b/>
        </w:rPr>
        <w:t xml:space="preserve">Notes: </w:t>
      </w:r>
      <w:r>
        <w:t>abstract_source=pubmed</w:t>
      </w:r>
    </w:p>
    <w:p>
      <w:pPr>
        <w:spacing w:before="0" w:after="80" w:lineRule="auto" w:line="276"/>
      </w:pPr>
      <w:r>
        <w:rPr>
          <w:b/>
        </w:rPr>
        <w:t xml:space="preserve">摘要（ZH）: </w:t>
      </w:r>
      <w:r>
        <w:t>尿素衍生物在制药和农业行业有广泛的应用。现有的合成路线涉及有毒试剂和多步工艺，并在苛刻条件下进行。在这项工作中，我们报告了一种电催化氧化偶联策略，能够在温和条件下一锅合成尿素衍生物，使用CO和胺。C-N偶联反应中1,3-二叔丁基尿素的形成可实现高达77%的法拉第效率。原位光谱和动力学研究表明，氧化C-N偶联反应通过Eley-Rideal机制进行，其中表面吸附的CO首先与胺偶联形成相应的异氰酸酯中间体，随后进行亲核攻击。该电催化策略的普遍性和潜力</w:t>
      </w:r>
    </w:p>
    <w:p>
      <w:pPr>
        <w:spacing w:before="0" w:after="200" w:lineRule="auto" w:line="276"/>
      </w:pPr>
      <w:r>
        <w:rPr>
          <w:b/>
        </w:rPr>
        <w:t xml:space="preserve">Abstract (EN): </w:t>
      </w:r>
      <w:r>
        <w:t>Urea derivatives have broad applications in the pharmaceutical and agricultural industries. Existing synthetic routes involve toxic reagents and multistep processes and operate at harsh conditions. In this work, we report an electrocatalytic oxidative coupling strategy capable of synthesizing urea derivatives from CO and amines under mild conditions in one pot. A Faradaic efficiency of up to 77% could be achieved in the C-N coupling reaction for the formation of 1,3-di-tert-butylurea. In situ spectroscopic and kinetic investigations reveal that the oxidative C-N coupling reaction proceeds via an Eley-Rideal mechanism, in which surface-adsorbed CO first couples with amines to form corresponding isocyanate intermediates followed by a nucleophilic attack. Generality and potential of this electrosynthetic approach are demonstrated by the synthesis of a broad range of symmetrical and asymmetrical urea derivatives with high selectivity, including active medical ingredients such as pimavanserin and a soluble epoxide hydrolase inhibitor.</w:t>
      </w:r>
    </w:p>
    <w:p>
      <w:pPr>
        <w:spacing w:before="120" w:after="120"/>
      </w:pPr>
      <w:r>
        <w:rPr>
          <w:sz w:val="18"/>
        </w:rPr>
        <w:t>——————————————————————————————————————————————————————————————————————</w:t>
      </w:r>
    </w:p>
    <w:p>
      <w:pPr>
        <w:spacing w:before="160" w:after="40" w:line="240" w:lineRule="auto"/>
      </w:pPr>
      <w:r>
        <w:rPr>
          <w:b/>
        </w:rPr>
        <w:t xml:space="preserve">[348] </w:t>
      </w:r>
      <w:hyperlink r:id="rId844">
        <w:r>
          <w:rPr>
            <w:color w:val="1155CC"/>
            <w:u w:val="single"/>
          </w:rPr>
          <w:t>研究人员开发了改进的NMC电池组用于电动公交车</w:t>
        </w:r>
      </w:hyperlink>
    </w:p>
    <w:p>
      <w:pPr>
        <w:spacing w:before="0" w:after="80"/>
      </w:pPr>
      <w:r>
        <w:rPr>
          <w:i/>
          <w:sz w:val="20"/>
        </w:rPr>
        <w:t>EN: Researchers develop improved NMC battery pack for electric buses</w:t>
      </w:r>
    </w:p>
    <w:p>
      <w:pPr>
        <w:spacing w:before="0" w:after="120"/>
      </w:pPr>
      <w:r>
        <w:rPr>
          <w:b/>
        </w:rPr>
        <w:t xml:space="preserve">Source: </w:t>
      </w:r>
      <w:r>
        <w:t>Battery – electrive.com</w:t>
      </w:r>
      <w:r>
        <w:t xml:space="preserve">    </w:t>
      </w:r>
      <w:r>
        <w:rPr>
          <w:b/>
        </w:rPr>
        <w:t xml:space="preserve">Pub date: </w:t>
      </w:r>
      <w:r>
        <w:t>2026-03-11 09:42:04+00:00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[349] </w:t>
      </w:r>
      <w:hyperlink r:id="rId845">
        <w:r>
          <w:rPr>
            <w:color w:val="1155CC"/>
            <w:u w:val="single"/>
          </w:rPr>
          <w:t>[ASAP] 通过结合光阳极和暗阴极实现整体水分解的全人工分子基光电化学电池</w:t>
        </w:r>
      </w:hyperlink>
    </w:p>
    <w:p>
      <w:pPr>
        <w:spacing w:before="0" w:after="80"/>
      </w:pPr>
      <w:r>
        <w:rPr>
          <w:i/>
          <w:sz w:val="20"/>
        </w:rPr>
        <w:t>EN: [ASAP] A Fully Artificial Molecular-Based Photoelectrochemical Cell Enabling Overall Water Splitting by Combining a Photoanode and a Dark-Cathode</w:t>
      </w:r>
    </w:p>
    <w:p>
      <w:pPr>
        <w:spacing w:before="0" w:after="120"/>
      </w:pPr>
      <w:r>
        <w:rPr>
          <w:b/>
        </w:rPr>
        <w:t xml:space="preserve">Source: </w:t>
      </w:r>
      <w:r>
        <w:t>Journal of the American Chemical Society: Latest Articles (ACS Publications)</w:t>
      </w:r>
      <w:r>
        <w:t xml:space="preserve">    </w:t>
      </w:r>
      <w:r>
        <w:rPr>
          <w:b/>
        </w:rPr>
        <w:t xml:space="preserve">Pub date: </w:t>
      </w:r>
      <w:r>
        <w:t>2026-03-11 09:43:48+00:00</w:t>
      </w:r>
      <w:r>
        <w:t xml:space="preserve">    </w:t>
      </w:r>
      <w:r>
        <w:rPr>
          <w:b/>
        </w:rPr>
        <w:t xml:space="preserve">DOI: </w:t>
      </w:r>
      <w:hyperlink r:id="rId846">
        <w:r>
          <w:rPr>
            <w:color w:val="1155CC"/>
            <w:u w:val="single"/>
          </w:rPr>
          <w:t>10.1021/jacs.6c01742</w:t>
        </w:r>
      </w:hyperlink>
    </w:p>
    <w:p>
      <w:pPr>
        <w:spacing w:before="0" w:after="120"/>
      </w:pPr>
      <w:r>
        <w:rPr>
          <w:b/>
        </w:rPr>
        <w:t xml:space="preserve">Notes: </w:t>
      </w:r>
      <w:r>
        <w:t>abstract_source=pubmed</w:t>
      </w:r>
    </w:p>
    <w:p>
      <w:pPr>
        <w:spacing w:before="0" w:after="80" w:lineRule="auto" w:line="276"/>
      </w:pPr>
      <w:r>
        <w:rPr>
          <w:b/>
        </w:rPr>
        <w:t xml:space="preserve">摘要（ZH）: </w:t>
      </w:r>
      <w:r>
        <w:t>已经进行了大量努力来开发基于分子的人工光合系统，通过仔细功能化光电化学电池，使用各种分子组分作为光敏剂（PSs）、水氧化催化剂（WOCs）和水还原催化剂（WRCs）。然而，开发能够有效促进整体太阳能水分解的完全人工光合系统仍然是一个巨大挑战。在这项研究中，通过利用锚定有多吡啶钌光敏剂和钌基WOC的介孔TiO2光阳极，以及锚定有铂卟啉WRC的介孔TiO2暗阴极，构建了一个完全人工的基于分子的光电化学电池（MPEC）。仅通过可见光</w:t>
      </w:r>
    </w:p>
    <w:p>
      <w:pPr>
        <w:spacing w:before="0" w:after="200" w:lineRule="auto" w:line="276"/>
      </w:pPr>
      <w:r>
        <w:rPr>
          <w:b/>
        </w:rPr>
        <w:t xml:space="preserve">Abstract (EN): </w:t>
      </w:r>
      <w:r>
        <w:t>Significant efforts have been made to develop molecular-based artificial photosynthetic systems for overall solar water splitting by carefully functionalizing the photoelectrochemical cells with various molecular components serving as photosensitizers (PSs), water oxidation catalysts (WOCs), and water reduction catalysts (WRCs). Nevertheless, the development of fully artificial photosynthetic systems efficiently promoting overall solar water splitting remains a great challenge. In this study, a fully artificial molecular-based photoelectrochemical cell (MPEC) is constructed by utilizing the mesoporous TiO2 photoanode anchored with both a polypyridyl ruthenium PS and a ruthenium-based WOC, while the mesoporous TiO2 dark-cathode is anchored with a platinum porphyrin WRC. Only by visible-light irradiation at the photoanode, our MPEC promotes water splitting into H2 and O2 in a 2:1 molar ratio with almost quantitative Faradaic efficiencies. The applied-bias-compensated solar-to-hydrogen (AB-STH) conversion efficiency achieved herein (0.06%) is the highest value among the fully artificial MPECs reported to date. The present study also points out the importance of recalling the need to fabricate photosynthetic systems enabling the overall water splitting using a single photoreaction step without adopting the Z-scheme strategy.</w:t>
      </w:r>
    </w:p>
    <w:p>
      <w:pPr>
        <w:spacing w:before="120" w:after="120"/>
      </w:pPr>
      <w:r>
        <w:rPr>
          <w:sz w:val="18"/>
        </w:rPr>
        <w:t>——————————————————————————————————————————————————————————————————————</w:t>
      </w:r>
    </w:p>
    <w:p>
      <w:pPr>
        <w:spacing w:before="160" w:after="40" w:line="240" w:lineRule="auto"/>
      </w:pPr>
      <w:r>
        <w:rPr>
          <w:b/>
        </w:rPr>
        <w:t xml:space="preserve">[350] </w:t>
      </w:r>
      <w:hyperlink r:id="rId847">
        <w:r>
          <w:rPr>
            <w:color w:val="1155CC"/>
            <w:u w:val="single"/>
          </w:rPr>
          <w:t>[ASAP] 基于羰基末端醌型单元的n型共轭聚合物用于透明导体</w:t>
        </w:r>
      </w:hyperlink>
    </w:p>
    <w:p>
      <w:pPr>
        <w:spacing w:before="0" w:after="80"/>
      </w:pPr>
      <w:r>
        <w:rPr>
          <w:i/>
          <w:sz w:val="20"/>
        </w:rPr>
        <w:t>EN: [ASAP] n-Type Conjugated Polymer Based on a Carbonyl-Terminated Quinoidal Unit for Transparent Conductor</w:t>
      </w:r>
    </w:p>
    <w:p>
      <w:pPr>
        <w:spacing w:before="0" w:after="120"/>
      </w:pPr>
      <w:r>
        <w:rPr>
          <w:b/>
        </w:rPr>
        <w:t xml:space="preserve">Source: </w:t>
      </w:r>
      <w:r>
        <w:t>Journal of the American Chemical Society: Latest Articles (ACS Publications)</w:t>
      </w:r>
      <w:r>
        <w:t xml:space="preserve">    </w:t>
      </w:r>
      <w:r>
        <w:rPr>
          <w:b/>
        </w:rPr>
        <w:t xml:space="preserve">Pub date: </w:t>
      </w:r>
      <w:r>
        <w:t>2026-03-11 09:44:57+00:00</w:t>
      </w:r>
      <w:r>
        <w:t xml:space="preserve">    </w:t>
      </w:r>
      <w:r>
        <w:rPr>
          <w:b/>
        </w:rPr>
        <w:t xml:space="preserve">DOI: </w:t>
      </w:r>
      <w:hyperlink r:id="rId848">
        <w:r>
          <w:rPr>
            <w:color w:val="1155CC"/>
            <w:u w:val="single"/>
          </w:rPr>
          <w:t>10.1021/jacs.5c20042</w:t>
        </w:r>
      </w:hyperlink>
    </w:p>
    <w:p>
      <w:pPr>
        <w:spacing w:before="0" w:after="120"/>
      </w:pPr>
      <w:r>
        <w:rPr>
          <w:b/>
        </w:rPr>
        <w:t xml:space="preserve">Notes: </w:t>
      </w:r>
      <w:r>
        <w:t>abstract_source=pubmed</w:t>
      </w:r>
    </w:p>
    <w:p>
      <w:pPr>
        <w:spacing w:before="0" w:after="80" w:lineRule="auto" w:line="276"/>
      </w:pPr>
      <w:r>
        <w:rPr>
          <w:b/>
        </w:rPr>
        <w:t xml:space="preserve">摘要（ZH）: </w:t>
      </w:r>
      <w:r>
        <w:t>同时实现高电导率和光学透明性对于聚合物来说仍然是一个艰巨的挑战。在这项研究中，我们通过使用一种通过新开发的方法合成的羰基封端的醌型单元制备了共轭聚合物（PBT），解决了这一挑战。由于其吸收带位于红外区域，且在紫外和可见区域的吸收最小，PBT呈现浅色。这一独特特性允许红外光探测和成像，而不牺牲可见清晰度，并最大限度地减少可见光的干扰。掺杂后，PBT光谱中的红外吸收带几乎完全被抑制，导致从300到2500 nm的宽光谱透明性，最大透过率高达98%。</w:t>
      </w:r>
    </w:p>
    <w:p>
      <w:pPr>
        <w:spacing w:before="0" w:after="200" w:lineRule="auto" w:line="276"/>
      </w:pPr>
      <w:r>
        <w:rPr>
          <w:b/>
        </w:rPr>
        <w:t xml:space="preserve">Abstract (EN): </w:t>
      </w:r>
      <w:r>
        <w:t>Simultaneously achieving high electrical conductivity and optical transparency remains a formidable challenge for polymers. In this study, we addressed this challenge by preparing a conjugated polymer (PBT) using a carbonyl-terminated quinoidal unit that was synthesized via a newly developed method. PBT is lightly colored because its absorption band is located in the infrared region with minimal absorption in the ultraviolet and visible regions. This unique feature allows infrared photodetection and imaging without sacrificing visible clarity and minimizing interference from visible light. Upon doping, the infrared absorption band in the spectrum of PBT is almost completely suppressed, resulting in broad-spectrum transparency from 300 to 2500 nm with a maximum transmittance of up to 98%. The excellent optical transparency, combined with a close match between the transmission and solar spectrum, ensures that doped PBT has a minimal impact on the color rendering index of light, thereby preserving the color fidelity of objects. Furthermore, the electrical conductivity of doped PBT exceeds 100 S cm-1, the highest reported for intrinsically transparent conjugated polymers. As an active material, doped PBT has been successfully used to fabricate transparent thermoelectric devices. These results highlight the potential of PBT for innovative applications in next-generation transparent electronics.</w:t>
      </w:r>
    </w:p>
    <w:p>
      <w:pPr>
        <w:spacing w:before="120" w:after="120"/>
      </w:pPr>
      <w:r>
        <w:rPr>
          <w:sz w:val="18"/>
        </w:rPr>
        <w:t>——————————————————————————————————————————————————————————————————————</w:t>
      </w:r>
    </w:p>
    <w:p>
      <w:pPr>
        <w:spacing w:before="160" w:after="40" w:line="240" w:lineRule="auto"/>
      </w:pPr>
      <w:r>
        <w:rPr>
          <w:b/>
        </w:rPr>
        <w:t xml:space="preserve">[351] </w:t>
      </w:r>
      <w:hyperlink r:id="rId849">
        <w:r>
          <w:rPr>
            <w:color w:val="1155CC"/>
            <w:u w:val="single"/>
          </w:rPr>
          <w:t>(–)‐Verrucarol的不对称全合成</w:t>
        </w:r>
      </w:hyperlink>
    </w:p>
    <w:p>
      <w:pPr>
        <w:spacing w:before="0" w:after="80"/>
      </w:pPr>
      <w:r>
        <w:rPr>
          <w:i/>
          <w:sz w:val="20"/>
        </w:rPr>
        <w:t>EN: Asymmetric Total Synthesis of (–)‐Verrucarol</w:t>
      </w:r>
    </w:p>
    <w:p>
      <w:pPr>
        <w:spacing w:before="0" w:after="120"/>
      </w:pPr>
      <w:r>
        <w:rPr>
          <w:b/>
        </w:rPr>
        <w:t xml:space="preserve">Source: </w:t>
      </w:r>
      <w:r>
        <w:t>Wiley: Angewandte Chemie International Edition: Table of Contents</w:t>
      </w:r>
      <w:r>
        <w:t xml:space="preserve">    </w:t>
      </w:r>
      <w:r>
        <w:rPr>
          <w:b/>
        </w:rPr>
        <w:t xml:space="preserve">Pub date: </w:t>
      </w:r>
      <w:r>
        <w:t>2026-03-11 10:15:06+00:00</w:t>
      </w:r>
      <w:r>
        <w:t xml:space="preserve">    </w:t>
      </w:r>
      <w:r>
        <w:rPr>
          <w:b/>
        </w:rPr>
        <w:t xml:space="preserve">DOI: </w:t>
      </w:r>
      <w:hyperlink r:id="rId850">
        <w:r>
          <w:rPr>
            <w:color w:val="1155CC"/>
            <w:u w:val="single"/>
          </w:rPr>
          <w:t>10.1002/anie.5526474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我们披露了一种简洁的、不对称的（−）‐verrucarol合成方法，该化合物是具有生物活性的三萜大环化合物（包括verrucarins A和J）的天然产物前体。历史上，12,13‐环氧三萜‐9‐烯（EPT）核心的6/6/5（A/B/C）环系统的对映选择性构建一直是一个重大挑战。该结构的构建始于手性路易斯酸催化的对映选择性[4+2]环加成反应，生成一个</w:t>
      </w:r>
      <w:r>
        <w:t xml:space="preserve"> </w:t>
      </w:r>
      <w:r>
        <w:t>cis</w:t>
      </w:r>
      <w:r>
        <w:t xml:space="preserve"> </w:t>
      </w:r>
      <w:r>
        <w:t>‐融合的A/B环片段。通过实验和密度泛函理论（DFT）开发了关键[4+2]环加成反应的机制假设。在完成6/6/5核心的过程中，我们展示了非对映体</w:t>
      </w:r>
    </w:p>
    <w:p>
      <w:pPr>
        <w:spacing w:before="0" w:after="200" w:lineRule="auto" w:line="276"/>
      </w:pPr>
      <w:r>
        <w:rPr>
          <w:b/>
        </w:rPr>
        <w:t xml:space="preserve">Abstract (EN): </w:t>
      </w:r>
      <w:r>
        <w:t>We disclose a concise, asymmetric synthesis of (−)‐verrucarol, the natural product precursor of bioactive trichothecene macrocycles including verrucarins A and J. Historically, enantioselective construction of the 6/6/5 (A/B/C) ring system of the 12,13‐epoxytrichothec‐9‐ene (EPT) core of trichothecene natural products has been a significant challenge. This architecture was constructed beginning with a chiral Lewis acid‐catalyzed, enantioselective [4+2] cycloaddition to afford a</w:t>
      </w:r>
      <w:r>
        <w:t xml:space="preserve"> </w:t>
      </w:r>
      <w:r>
        <w:t>cis</w:t>
      </w:r>
      <w:r>
        <w:t xml:space="preserve"> </w:t>
      </w:r>
      <w:r>
        <w:t>‐fused A/B ring fragment. A mechanistic hypothesis for the pivotal [4+2] cycloaddition was developed through experimentation and density functional theory (DFT). En route to completing the 6/6/5 core, we demonstrate diastereoselective modifications of the [4+2] cycloadduct including silylative generation and addition to a vinyl oxocarbenium. Final C‐ring closure was achieved by a diastereoselective</w:t>
      </w:r>
      <w:r>
        <w:t xml:space="preserve"> </w:t>
      </w:r>
      <w:r>
        <w:t>5‐endo‐trig</w:t>
      </w:r>
      <w:r>
        <w:t xml:space="preserve"> </w:t>
      </w:r>
      <w:r>
        <w:t>cyclization, thereby completing formal [3+2] annulation over two steps. Late‐stage alkene transposition and hydroxyl‐directed epoxidation furnished the target compound, (−)‐verrucarol.</w:t>
      </w:r>
    </w:p>
    <w:p>
      <w:pPr>
        <w:spacing w:before="120" w:after="120"/>
      </w:pPr>
      <w:r>
        <w:rPr>
          <w:sz w:val="18"/>
        </w:rPr>
        <w:t>——————————————————————————————————————————————————————————————————————</w:t>
      </w:r>
    </w:p>
    <w:p>
      <w:pPr>
        <w:spacing w:before="160" w:after="40" w:line="240" w:lineRule="auto"/>
      </w:pPr>
      <w:r>
        <w:rPr>
          <w:b/>
        </w:rPr>
        <w:t xml:space="preserve">[352] </w:t>
      </w:r>
      <w:hyperlink r:id="rId851">
        <w:r>
          <w:rPr>
            <w:color w:val="1155CC"/>
            <w:u w:val="single"/>
          </w:rPr>
          <w:t>[ASAP] 金属-酚膜中的亚纳米孔径工程</w:t>
        </w:r>
      </w:hyperlink>
    </w:p>
    <w:p>
      <w:pPr>
        <w:spacing w:before="0" w:after="80"/>
      </w:pPr>
      <w:r>
        <w:rPr>
          <w:i/>
          <w:sz w:val="20"/>
        </w:rPr>
        <w:t>EN: [ASAP] Sub-nm Pore Size Engineering in Metal–Phenolic Membranes</w:t>
      </w:r>
    </w:p>
    <w:p>
      <w:pPr>
        <w:spacing w:before="0" w:after="120"/>
      </w:pPr>
      <w:r>
        <w:rPr>
          <w:b/>
        </w:rPr>
        <w:t xml:space="preserve">Source: </w:t>
      </w:r>
      <w:r>
        <w:t>Journal of the American Chemical Society: Latest Articles (ACS Publications)</w:t>
      </w:r>
      <w:r>
        <w:t xml:space="preserve">    </w:t>
      </w:r>
      <w:r>
        <w:rPr>
          <w:b/>
        </w:rPr>
        <w:t xml:space="preserve">Pub date: </w:t>
      </w:r>
      <w:r>
        <w:t>2026-03-11 10:23:44+00:00</w:t>
      </w:r>
      <w:r>
        <w:t xml:space="preserve">    </w:t>
      </w:r>
      <w:r>
        <w:rPr>
          <w:b/>
        </w:rPr>
        <w:t xml:space="preserve">DOI: </w:t>
      </w:r>
      <w:hyperlink r:id="rId852">
        <w:r>
          <w:rPr>
            <w:color w:val="1155CC"/>
            <w:u w:val="single"/>
          </w:rPr>
          <w:t>10.1021/jacs.5c19580</w:t>
        </w:r>
      </w:hyperlink>
    </w:p>
    <w:p>
      <w:pPr>
        <w:spacing w:before="0" w:after="120"/>
      </w:pPr>
      <w:r>
        <w:rPr>
          <w:b/>
        </w:rPr>
        <w:t xml:space="preserve">Notes: </w:t>
      </w:r>
      <w:r>
        <w:t>abstract_source=openalex</w:t>
      </w:r>
    </w:p>
    <w:p>
      <w:pPr>
        <w:spacing w:before="0" w:after="80" w:lineRule="auto" w:line="276"/>
      </w:pPr>
      <w:r>
        <w:rPr>
          <w:b/>
        </w:rPr>
        <w:t xml:space="preserve">摘要（ZH）: </w:t>
      </w:r>
      <w:r>
        <w:t>具有可调纳米孔的金属有机膜为节能、高精度分离提供了一个多功能平台。然而，由于对键合化学和配位结构的控制有限，在亚纳米（sub-nm）领域进行动态孔径工程是一项挑战。在此，我们报告了一种基于金属-酚网络（MPNs）的氧化介导配位（OMC）的动力学组装策略，该策略调节配体-金属键合化学并指导介观组织，以实现对孔径的精确和动态亚纳米控制。工程化的MPN膜经历可逆的、pH诱导的配位转变，实现了0.73-1.43 nm（阳极氧化铝基板）的孔径工程范围，约为其他报道的两倍宽</w:t>
      </w:r>
    </w:p>
    <w:p>
      <w:pPr>
        <w:spacing w:before="0" w:after="200" w:lineRule="auto" w:line="276"/>
      </w:pPr>
      <w:r>
        <w:rPr>
          <w:b/>
        </w:rPr>
        <w:t xml:space="preserve">Abstract (EN): </w:t>
      </w:r>
      <w:r>
        <w:t>Metal-organic membranes with tunable nanopores provide a versatile platform for energy-efficient, high-precision separations. However, dynamic pore size engineering in the subnanometer (sub-nm) domain is challenging due to restricted control over bonding chemistry and coordination structures. Herein, we report a kinetic assembly strategy based on the oxidation-mediated coordination (OMC) of metal-phenolic networks (MPNs) that regulates ligand-metal bonding chemistry and directs mesoscale organization to afford precise and dynamic sub-nm control over pore size. The engineered MPN membranes undergo reversible, pH-induced coordination transitions, achieving a pore size engineering range of 0.73-1.43 nm (anodic aluminum oxide substrates), approximately two times wider than that reported for other dynamic nanofiltration membranes (typical range &lt; 0.3 nm). Experimental results reveal that the OMC assembly strategy suppresses μ-hydroxo-bridged iron species and chelated water, thereby promoting uniform coordination environments and the formation of short- and medium-range domains that enhance the fidelity of coordination-state switching. Using a single membrane, multistage fractionation of organic dyes, lignin-derived monomers and trimers, and ultrasmall nanoparticles (0.2-3.0 nm) are achieved. This work demonstrates that kinetic assembly is a powerful approach to control dynamic coordination networks, advancing the structural control and functional adaptability of MPNs in controlled separation and stimuli-responsive applications.</w:t>
      </w:r>
    </w:p>
    <w:p>
      <w:pPr>
        <w:spacing w:before="120" w:after="120"/>
      </w:pPr>
      <w:r>
        <w:rPr>
          <w:sz w:val="18"/>
        </w:rPr>
        <w:t>——————————————————————————————————————————————————————————————————————</w:t>
      </w:r>
    </w:p>
    <w:p>
      <w:pPr>
        <w:spacing w:before="160" w:after="40" w:line="240" w:lineRule="auto"/>
      </w:pPr>
      <w:r>
        <w:rPr>
          <w:b/>
        </w:rPr>
        <w:t xml:space="preserve">[353] </w:t>
      </w:r>
      <w:hyperlink r:id="rId853">
        <w:r>
          <w:rPr>
            <w:color w:val="1155CC"/>
            <w:u w:val="single"/>
          </w:rPr>
          <w:t>[ASAP] 一种用于脂肪肝疾病中胆汁酸协同调节的可扩展COF基螯合剂</w:t>
        </w:r>
      </w:hyperlink>
    </w:p>
    <w:p>
      <w:pPr>
        <w:spacing w:before="0" w:after="80"/>
      </w:pPr>
      <w:r>
        <w:rPr>
          <w:i/>
          <w:sz w:val="20"/>
        </w:rPr>
        <w:t>EN: [ASAP] A Scalable COF-Based Sequestrant for Synergistic Bile Acid Modulation in Fatty Liver Disease</w:t>
      </w:r>
    </w:p>
    <w:p>
      <w:pPr>
        <w:spacing w:before="0" w:after="120"/>
      </w:pPr>
      <w:r>
        <w:rPr>
          <w:b/>
        </w:rPr>
        <w:t xml:space="preserve">Source: </w:t>
      </w:r>
      <w:r>
        <w:t>Journal of the American Chemical Society: Latest Articles (ACS Publications)</w:t>
      </w:r>
      <w:r>
        <w:t xml:space="preserve">    </w:t>
      </w:r>
      <w:r>
        <w:rPr>
          <w:b/>
        </w:rPr>
        <w:t xml:space="preserve">Pub date: </w:t>
      </w:r>
      <w:r>
        <w:t>2026-03-11 10:33:38+00:00</w:t>
      </w:r>
      <w:r>
        <w:t xml:space="preserve">    </w:t>
      </w:r>
      <w:r>
        <w:rPr>
          <w:b/>
        </w:rPr>
        <w:t xml:space="preserve">DOI: </w:t>
      </w:r>
      <w:hyperlink r:id="rId854">
        <w:r>
          <w:rPr>
            <w:color w:val="1155CC"/>
            <w:u w:val="single"/>
          </w:rPr>
          <w:t>10.1021/jacs.5c17573</w:t>
        </w:r>
      </w:hyperlink>
    </w:p>
    <w:p>
      <w:pPr>
        <w:spacing w:before="0" w:after="120"/>
      </w:pPr>
      <w:r>
        <w:rPr>
          <w:b/>
        </w:rPr>
        <w:t xml:space="preserve">Notes: </w:t>
      </w:r>
      <w:r>
        <w:t>abstract_source=openalex</w:t>
      </w:r>
    </w:p>
    <w:p>
      <w:pPr>
        <w:spacing w:before="0" w:after="80" w:lineRule="auto" w:line="276"/>
      </w:pPr>
      <w:r>
        <w:rPr>
          <w:b/>
        </w:rPr>
        <w:t xml:space="preserve">摘要（ZH）: </w:t>
      </w:r>
      <w:r>
        <w:t>代谢功能障碍相关脂肪肝病（MAFLD）与胆固醇代谢异常和胆汁酸失衡密切相关，已成为一个迅速增加的临床挑战。在此，我们开发了一种协同阴离子交换/孔吸附策略，使用一种高度稳定的、生物/工业兼容的烯键共价有机框架（COF）平台作为口服胆汁酸（BA）吸附剂。这种协同方法使COFs能够高效且选择性地吸附去质子化和质子化的BAs，同时避免营养物质的吸附。吸附性能显著优于仅针对去质子化BAs且常导致营养流失的临床药物考来烯胺，这已通过体外和体内实验验证。值得注意的是，在</w:t>
      </w:r>
    </w:p>
    <w:p>
      <w:pPr>
        <w:spacing w:before="0" w:after="200" w:lineRule="auto" w:line="276"/>
      </w:pPr>
      <w:r>
        <w:rPr>
          <w:b/>
        </w:rPr>
        <w:t xml:space="preserve">Abstract (EN): </w:t>
      </w:r>
      <w:r>
        <w:t>Metabolic dysfunction-associated fatty liver disease (MAFLD), closely linked to abnormal cholesterol metabolism and bile acid imbalance, has become a rapidly increasing clinical challenge. Herein, we develop a synergistic anion-exchange/pore-adsorption strategy for treating MAFLD using a highly stable, bio/industrial-compatible olefin-linked covalent organic framework (COF) platform as an oral bile acid (BA) adsorbent. This synergistic approach enables the COFs to efficiently and selectively adsorb both deprotonated and protonated BAs while avoiding nutrient adsorption. The adsorbent performance significantly surpasses that of the clinical drug cholestyramine, which targets only deprotonated BAs and often leads to nutrient loss, as validated by in vitro and in vivo experiments. Notably, in a high-fat-diet-induced MAFLD mouse model, a 10-week COF treatment markedly reduced serum levels of total cholesterol and low-density lipoprotein cholesterol as well as liver injury markers, thereby alleviating hepatic steatosis, inflammation, and overall liver damage. This study not only establishes COFs as a promising class of next-generation oral adsorbents but also offers a mechanistic blueprint for targeting metabolic disorders through molecularly engineered materials.</w:t>
      </w:r>
    </w:p>
    <w:p>
      <w:pPr>
        <w:spacing w:before="120" w:after="120"/>
      </w:pPr>
      <w:r>
        <w:rPr>
          <w:sz w:val="18"/>
        </w:rPr>
        <w:t>——————————————————————————————————————————————————————————————————————</w:t>
      </w:r>
    </w:p>
    <w:p>
      <w:pPr>
        <w:spacing w:before="160" w:after="40" w:line="240" w:lineRule="auto"/>
      </w:pPr>
      <w:r>
        <w:rPr>
          <w:b/>
        </w:rPr>
        <w:t xml:space="preserve">[354] </w:t>
      </w:r>
      <w:hyperlink r:id="rId855">
        <w:r>
          <w:rPr>
            <w:color w:val="1155CC"/>
            <w:u w:val="single"/>
          </w:rPr>
          <w:t>通过电子结构调控实现高效氧析出反应的磁性自支撑电极</w:t>
        </w:r>
      </w:hyperlink>
    </w:p>
    <w:p>
      <w:pPr>
        <w:spacing w:before="0" w:after="80"/>
      </w:pPr>
      <w:r>
        <w:rPr>
          <w:i/>
          <w:sz w:val="20"/>
        </w:rPr>
        <w:t>EN: Magnetic Free‐Standing Electrodes Achieving Efficient Oxygen Evolution Reaction via Electronic Structure Regulation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[355] </w:t>
      </w:r>
      <w:hyperlink r:id="rId856">
        <w:r>
          <w:rPr>
            <w:color w:val="1155CC"/>
            <w:u w:val="single"/>
          </w:rPr>
          <w:t>期刊信息</w:t>
        </w:r>
      </w:hyperlink>
    </w:p>
    <w:p>
      <w:pPr>
        <w:spacing w:before="0" w:after="80"/>
      </w:pPr>
      <w:r>
        <w:rPr>
          <w:i/>
          <w:sz w:val="20"/>
        </w:rPr>
        <w:t>EN: Issue Information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[356] </w:t>
      </w:r>
      <w:hyperlink r:id="rId857">
        <w:r>
          <w:rPr>
            <w:color w:val="1155CC"/>
            <w:u w:val="single"/>
          </w:rPr>
          <w:t>到2050年实现气候中和：铝在短期和长期能源及氢存储中的作用</w:t>
        </w:r>
      </w:hyperlink>
    </w:p>
    <w:p>
      <w:pPr>
        <w:spacing w:before="0" w:after="80"/>
      </w:pPr>
      <w:r>
        <w:rPr>
          <w:i/>
          <w:sz w:val="20"/>
        </w:rPr>
        <w:t>EN: Towards Climate Neutrality by 2050: Role of Aluminum for Short‐ and Long‐Term Energy and Hydrogen Storage</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858">
        <w:r>
          <w:rPr>
            <w:color w:val="1155CC"/>
            <w:u w:val="single"/>
          </w:rPr>
          <w:t>预配置高价态Ni状态将晶格氧活化与动态表面重构分离以实现2.0 A cm−2下稳定的水氧化</w:t>
        </w:r>
      </w:hyperlink>
    </w:p>
    <w:p>
      <w:pPr>
        <w:spacing w:before="0" w:after="80"/>
      </w:pPr>
      <w:r>
        <w:rPr>
          <w:i/>
          <w:sz w:val="20"/>
        </w:rPr>
        <w:t>EN: Preconfiguring a High−Valent Ni State Decouples Lattice−Oxygen Activation From Dynamic Surface Reconstruction for Stable Water Oxidation at 2.0 A cm−2</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[358] </w:t>
      </w:r>
      <w:hyperlink r:id="rId859">
        <w:r>
          <w:rPr>
            <w:color w:val="1155CC"/>
            <w:u w:val="single"/>
          </w:rPr>
          <w:t>碳物种掺杂克服石墨相氮化碳的限制以实现前沿光催化：精确划分、协同策略和改进机制</w:t>
        </w:r>
      </w:hyperlink>
    </w:p>
    <w:p>
      <w:pPr>
        <w:spacing w:before="0" w:after="80"/>
      </w:pPr>
      <w:r>
        <w:rPr>
          <w:i/>
          <w:sz w:val="20"/>
        </w:rPr>
        <w:t>EN: Carbon Species Doping Overcomes the Limitation of Graphitic Carbon Nitride Toward Frontier Photocatalysis: Precise Division, Synergistic Strategy and Improvement Mechanism</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[359] </w:t>
      </w:r>
      <w:hyperlink r:id="rId860">
        <w:r>
          <w:rPr>
            <w:color w:val="1155CC"/>
            <w:u w:val="single"/>
          </w:rPr>
          <w:t>单位点铜-钯催化剂的分子自下而上设计用于选择性甘油电氧化</w:t>
        </w:r>
      </w:hyperlink>
    </w:p>
    <w:p>
      <w:pPr>
        <w:spacing w:before="0" w:after="80"/>
      </w:pPr>
      <w:r>
        <w:rPr>
          <w:i/>
          <w:sz w:val="20"/>
        </w:rPr>
        <w:t>EN: Molecular Bottom‐Up Design of Single‐Site Copper‐Palladium Catalysts for Selective Glycerol Electro‐Oxidation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[360] </w:t>
      </w:r>
      <w:hyperlink r:id="rId861">
        <w:r>
          <w:rPr>
            <w:color w:val="1155CC"/>
            <w:u w:val="single"/>
          </w:rPr>
          <w:t>全纺织电刺激实现电力浪费减少</w:t>
        </w:r>
      </w:hyperlink>
    </w:p>
    <w:p>
      <w:pPr>
        <w:spacing w:before="0" w:after="80"/>
      </w:pPr>
      <w:r>
        <w:rPr>
          <w:i/>
          <w:sz w:val="20"/>
        </w:rPr>
        <w:t>EN: Full‐Textile Electrostimulation Realizing Electrical Waste Reduction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[361] </w:t>
      </w:r>
      <w:hyperlink r:id="rId862">
        <w:r>
          <w:rPr>
            <w:color w:val="1155CC"/>
            <w:u w:val="single"/>
          </w:rPr>
          <w:t>CaCd2P2：一种在光电化学水氧化下稳定的可见光吸收Zintl磷化物</w:t>
        </w:r>
      </w:hyperlink>
    </w:p>
    <w:p>
      <w:pPr>
        <w:spacing w:before="0" w:after="80"/>
      </w:pPr>
      <w:r>
        <w:rPr>
          <w:i/>
          <w:sz w:val="20"/>
        </w:rPr>
        <w:t>EN: CaCd2P2: A Visible‐Light Absorbing Zintl Phosphide Stable Under Photoelectrochemical Water Oxidation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863">
        <w:r>
          <w:rPr>
            <w:color w:val="1155CC"/>
            <w:u w:val="single"/>
          </w:rPr>
          <w:t>具有可调离子侧链的共轭聚电解质用于碘化物介导的光电化学H2生成中的铂还原</w:t>
        </w:r>
      </w:hyperlink>
    </w:p>
    <w:p>
      <w:pPr>
        <w:spacing w:before="0" w:after="80"/>
      </w:pPr>
      <w:r>
        <w:rPr>
          <w:i/>
          <w:sz w:val="20"/>
        </w:rPr>
        <w:t>EN: Conjugated Polyelectrolytes with Tunable Ionic Side Chains for Iodide‐Mediated Pt Reduction in Photoelectrochemical H2 Generation</w:t>
      </w:r>
    </w:p>
    <w:p>
      <w:pPr>
        <w:spacing w:before="0" w:after="120"/>
      </w:pPr>
      <w:r>
        <w:rPr>
          <w:b/>
        </w:rPr>
        <w:t xml:space="preserve">Source: </w:t>
      </w:r>
      <w:r>
        <w:t>Wiley: Advanced Energy Materials: Table of Contents</w:t>
      </w:r>
      <w:r>
        <w:t xml:space="preserve">    </w:t>
      </w:r>
      <w:r>
        <w:rPr>
          <w:b/>
        </w:rPr>
        <w:t xml:space="preserve">Pub date: </w:t>
      </w:r>
      <w:r>
        <w:t>2026-03-11 10:42:56+00:00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864">
        <w:r>
          <w:rPr>
            <w:color w:val="1155CC"/>
            <w:u w:val="single"/>
          </w:rPr>
          <w:t>伟哥化合物可能有望治疗致命的遗传疾病</w:t>
        </w:r>
      </w:hyperlink>
    </w:p>
    <w:p>
      <w:pPr>
        <w:spacing w:before="0" w:after="80"/>
      </w:pPr>
      <w:r>
        <w:rPr>
          <w:i/>
          <w:sz w:val="20"/>
        </w:rPr>
        <w:t>EN: Viagra compound may hold promise for treating fatal genetic disease</w:t>
      </w:r>
    </w:p>
    <w:p>
      <w:pPr>
        <w:spacing w:before="0" w:after="120"/>
      </w:pPr>
      <w:r>
        <w:rPr>
          <w:b/>
        </w:rPr>
        <w:t xml:space="preserve">Source: </w:t>
      </w:r>
      <w:r>
        <w:t>Latest News from Science Magazine</w:t>
      </w:r>
      <w:r>
        <w:t xml:space="preserve">    </w:t>
      </w:r>
      <w:r>
        <w:rPr>
          <w:b/>
        </w:rPr>
        <w:t xml:space="preserve">Pub date: </w:t>
      </w:r>
      <w:r>
        <w:t>2026-03-11 11:00:00+00:00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865">
        <w:r>
          <w:rPr>
            <w:color w:val="1155CC"/>
            <w:u w:val="single"/>
          </w:rPr>
          <w:t>为什么能源部的科学实验室将引领联邦对人工智能的推动</w:t>
        </w:r>
      </w:hyperlink>
    </w:p>
    <w:p>
      <w:pPr>
        <w:spacing w:before="0" w:after="80"/>
      </w:pPr>
      <w:r>
        <w:rPr>
          <w:i/>
          <w:sz w:val="20"/>
        </w:rPr>
        <w:t>EN: Why the Energy Department’s science labs will spearhead the federal push into AI</w:t>
      </w:r>
    </w:p>
    <w:p>
      <w:pPr>
        <w:spacing w:before="0" w:after="120"/>
      </w:pPr>
      <w:r>
        <w:rPr>
          <w:b/>
        </w:rPr>
        <w:t xml:space="preserve">Source: </w:t>
      </w:r>
      <w:r>
        <w:t>Latest News from Science Magazine</w:t>
      </w:r>
      <w:r>
        <w:t xml:space="preserve">    </w:t>
      </w:r>
      <w:r>
        <w:rPr>
          <w:b/>
        </w:rPr>
        <w:t xml:space="preserve">Pub date: </w:t>
      </w:r>
      <w:r>
        <w:t>2026-03-11 11:25:00+00:00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[365] </w:t>
      </w:r>
      <w:hyperlink r:id="rId866">
        <w:r>
          <w:rPr>
            <w:color w:val="1155CC"/>
            <w:u w:val="single"/>
          </w:rPr>
          <w:t>[ASAP] 非天然胞嘧啶类似物增强了一种可定制的酶法，用于整合表观遗传和四碱基基因测序</w:t>
        </w:r>
      </w:hyperlink>
    </w:p>
    <w:p>
      <w:pPr>
        <w:spacing w:before="0" w:after="80"/>
      </w:pPr>
      <w:r>
        <w:rPr>
          <w:i/>
          <w:sz w:val="20"/>
        </w:rPr>
        <w:t>EN: [ASAP] Unnatural Cytosine Analogs Potentiate a Customizable, Enzymatic Method for Integrated Epigenetic and Four-Base Genetic Sequencing</w:t>
      </w:r>
    </w:p>
    <w:p>
      <w:pPr>
        <w:spacing w:before="0" w:after="120"/>
      </w:pPr>
      <w:r>
        <w:rPr>
          <w:b/>
        </w:rPr>
        <w:t xml:space="preserve">Source: </w:t>
      </w:r>
      <w:r>
        <w:t>Journal of the American Chemical Society: Latest Articles (ACS Publications)</w:t>
      </w:r>
      <w:r>
        <w:t xml:space="preserve">    </w:t>
      </w:r>
      <w:r>
        <w:rPr>
          <w:b/>
        </w:rPr>
        <w:t xml:space="preserve">Pub date: </w:t>
      </w:r>
      <w:r>
        <w:t>2026-03-11 11:38:55+00:00</w:t>
      </w:r>
      <w:r>
        <w:t xml:space="preserve">    </w:t>
      </w:r>
      <w:r>
        <w:rPr>
          <w:b/>
        </w:rPr>
        <w:t xml:space="preserve">DOI: </w:t>
      </w:r>
      <w:hyperlink r:id="rId867">
        <w:r>
          <w:rPr>
            <w:color w:val="1155CC"/>
            <w:u w:val="single"/>
          </w:rPr>
          <w:t>10.1021/jacs.5c18450</w:t>
        </w:r>
      </w:hyperlink>
    </w:p>
    <w:p>
      <w:pPr>
        <w:spacing w:before="0" w:after="120"/>
      </w:pPr>
      <w:r>
        <w:rPr>
          <w:b/>
        </w:rPr>
        <w:t xml:space="preserve">Notes: </w:t>
      </w:r>
      <w:r>
        <w:t>abstract_source=pubmed</w:t>
      </w:r>
    </w:p>
    <w:p>
      <w:pPr>
        <w:spacing w:before="0" w:after="80" w:lineRule="auto" w:line="276"/>
      </w:pPr>
      <w:r>
        <w:rPr>
          <w:b/>
        </w:rPr>
        <w:t xml:space="preserve">摘要（ZH）: </w:t>
      </w:r>
      <w:r>
        <w:t>遗传和表观遗传信息的相互作用塑造了细胞身份、发育和疾病。然而，标准的DNA修饰分析方法（例如，亚硫酸氢盐测序）依赖于选择性C到T的转换，阻碍了同时检查遗传和表观遗传信息。在此，我们介绍了集成测序，它在单个DNA分子中提供了DNA修饰的高保真映射，同时保留了原生的四碱基遗传密码。集成测序利用了合成带有非天然胞嘧啶类似物的连接拷贝链，这些类似物能够抵抗酶促转换，并结合了一种新型的DNA脱氨酶-解旋酶融合体，驱动原始模板链中天然胞嘧啶的选择性C到T转换。我们证明了集成测序是</w:t>
      </w:r>
    </w:p>
    <w:p>
      <w:pPr>
        <w:spacing w:before="0" w:after="200" w:lineRule="auto" w:line="276"/>
      </w:pPr>
      <w:r>
        <w:rPr>
          <w:b/>
        </w:rPr>
        <w:t xml:space="preserve">Abstract (EN): </w:t>
      </w:r>
      <w:r>
        <w:t>The interplay of genetic and epigenetic information shapes cell identity, development, and disease. However, standard methods for profiling DNA modifications (e.g., bisulfite sequencing) rely on selective C-to-T conversions, hindering the simultaneous examination of both genetic and epigenetic information. Here, we introduce Integrated Sequencing, which provides high-fidelity mapping of DNA modifications while preserving the native four-base genetic code in single DNA molecules. Integrated-Seq leverages the synthesis of a tethered copy strand with unnatural cytosine analogs that resist enzymatic conversion, combined with a novel DNA deaminase-helicase fusion that drives selective C-to-T conversion of natural cytosines in the original template strand. We demonstrate that Integrated-Seq is compatible with customizable enzymatic readouts to parse 5-methylcytosine and 5-hydroxymethylcytosine, and that preservation of the original four-base genetic code markedly improved enrichment, facilitating analysis of targeted genomic regions. Integrated-Seq thus provides a platform for simultaneous genetic and epigenetic analyses, paving the way for deep insights into fundamental biology and next-generation diagnostics.</w:t>
      </w:r>
    </w:p>
    <w:p>
      <w:pPr>
        <w:spacing w:before="120" w:after="120"/>
      </w:pPr>
      <w:r>
        <w:rPr>
          <w:sz w:val="18"/>
        </w:rPr>
        <w:t>——————————————————————————————————————————————————————————————————————</w:t>
      </w:r>
    </w:p>
    <w:p>
      <w:pPr>
        <w:spacing w:before="160" w:after="40" w:line="240" w:lineRule="auto"/>
      </w:pPr>
      <w:r>
        <w:rPr>
          <w:b/>
        </w:rPr>
        <w:t xml:space="preserve">[366] </w:t>
      </w:r>
      <w:hyperlink r:id="rId868">
        <w:r>
          <w:rPr>
            <w:color w:val="1155CC"/>
            <w:u w:val="single"/>
          </w:rPr>
          <w:t>[ASAP] 铜微结构在CO2电解过程中对乙烯稳定性的作用</w:t>
        </w:r>
      </w:hyperlink>
    </w:p>
    <w:p>
      <w:pPr>
        <w:spacing w:before="0" w:after="80"/>
      </w:pPr>
      <w:r>
        <w:rPr>
          <w:i/>
          <w:sz w:val="20"/>
        </w:rPr>
        <w:t>EN: [ASAP] Role of the Copper Microstructure on Ethylene Stability during CO2 Electrolysis</w:t>
      </w:r>
    </w:p>
    <w:p>
      <w:pPr>
        <w:spacing w:before="0" w:after="120"/>
      </w:pPr>
      <w:r>
        <w:rPr>
          <w:b/>
        </w:rPr>
        <w:t xml:space="preserve">Source: </w:t>
      </w:r>
      <w:r>
        <w:t>ACS Energy Letters: Latest Articles (ACS Publications)</w:t>
      </w:r>
      <w:r>
        <w:t xml:space="preserve">    </w:t>
      </w:r>
      <w:r>
        <w:rPr>
          <w:b/>
        </w:rPr>
        <w:t xml:space="preserve">Pub date: </w:t>
      </w:r>
      <w:r>
        <w:t>2026-03-11 11:39:38+00:00</w:t>
      </w:r>
      <w:r>
        <w:t xml:space="preserve">    </w:t>
      </w:r>
      <w:r>
        <w:rPr>
          <w:b/>
        </w:rPr>
        <w:t xml:space="preserve">DOI: </w:t>
      </w:r>
      <w:hyperlink r:id="rId869">
        <w:r>
          <w:rPr>
            <w:color w:val="1155CC"/>
            <w:u w:val="single"/>
          </w:rPr>
          <w:t>10.1021/acsenergylett.6c00513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870">
        <w:r>
          <w:rPr>
            <w:color w:val="1155CC"/>
            <w:u w:val="single"/>
          </w:rPr>
          <w:t>Bregal Sphere将为自然恢复项目提供高达5亿美元的支持</w:t>
        </w:r>
      </w:hyperlink>
    </w:p>
    <w:p>
      <w:pPr>
        <w:spacing w:before="0" w:after="80"/>
      </w:pPr>
      <w:r>
        <w:rPr>
          <w:i/>
          <w:sz w:val="20"/>
        </w:rPr>
        <w:t>EN: Bregal Sphere To Back Imperative With Up To $500M For Nature Restoration Projects</w:t>
      </w:r>
    </w:p>
    <w:p>
      <w:pPr>
        <w:spacing w:before="0" w:after="120"/>
      </w:pPr>
      <w:r>
        <w:rPr>
          <w:b/>
        </w:rPr>
        <w:t xml:space="preserve">Source: </w:t>
      </w:r>
      <w:r>
        <w:t>Carbon Herald</w:t>
      </w:r>
      <w:r>
        <w:t xml:space="preserve">    </w:t>
      </w:r>
      <w:r>
        <w:rPr>
          <w:b/>
        </w:rPr>
        <w:t xml:space="preserve">Pub date: </w:t>
      </w:r>
      <w:r>
        <w:t>2026-03-11 11:44:36+00:00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871">
        <w:r>
          <w:rPr>
            <w:color w:val="1155CC"/>
            <w:u w:val="single"/>
          </w:rPr>
          <w:t>一种遗传技巧帮助这种全雌鱼类逃避进化厄运</w:t>
        </w:r>
      </w:hyperlink>
    </w:p>
    <w:p>
      <w:pPr>
        <w:spacing w:before="0" w:after="80"/>
      </w:pPr>
      <w:r>
        <w:rPr>
          <w:i/>
          <w:sz w:val="20"/>
        </w:rPr>
        <w:t>EN: A genetic trick helps this all-female fish species escape evolutionary doom</w:t>
      </w:r>
    </w:p>
    <w:p>
      <w:pPr>
        <w:spacing w:before="0" w:after="120"/>
      </w:pPr>
      <w:r>
        <w:rPr>
          <w:b/>
        </w:rPr>
        <w:t xml:space="preserve">Source: </w:t>
      </w:r>
      <w:r>
        <w:t>Latest News from Science Magazine</w:t>
      </w:r>
      <w:r>
        <w:t xml:space="preserve">    </w:t>
      </w:r>
      <w:r>
        <w:rPr>
          <w:b/>
        </w:rPr>
        <w:t xml:space="preserve">Pub date: </w:t>
      </w:r>
      <w:r>
        <w:t>2026-03-11 12:00:00+00:00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872">
        <w:r>
          <w:rPr>
            <w:color w:val="1155CC"/>
            <w:u w:val="single"/>
          </w:rPr>
          <w:t>宇宙中最亮的恒星爆炸可能由高磁性中子星驱动</w:t>
        </w:r>
      </w:hyperlink>
    </w:p>
    <w:p>
      <w:pPr>
        <w:spacing w:before="0" w:after="80"/>
      </w:pPr>
      <w:r>
        <w:rPr>
          <w:i/>
          <w:sz w:val="20"/>
        </w:rPr>
        <w:t>EN: Universe’s brightest stellar explosions may be powered by highly magnetic neutron stars</w:t>
      </w:r>
    </w:p>
    <w:p>
      <w:pPr>
        <w:spacing w:before="0" w:after="120"/>
      </w:pPr>
      <w:r>
        <w:rPr>
          <w:b/>
        </w:rPr>
        <w:t xml:space="preserve">Source: </w:t>
      </w:r>
      <w:r>
        <w:t>Latest News from Science Magazine</w:t>
      </w:r>
      <w:r>
        <w:t xml:space="preserve">    </w:t>
      </w:r>
      <w:r>
        <w:rPr>
          <w:b/>
        </w:rPr>
        <w:t xml:space="preserve">Pub date: </w:t>
      </w:r>
      <w:r>
        <w:t>2026-03-11 12:00:00+00:00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873">
        <w:r>
          <w:rPr>
            <w:color w:val="1155CC"/>
            <w:u w:val="single"/>
          </w:rPr>
          <w:t>‘力作’小鼠研究表明肠道微生物可以促进记忆丧失</w:t>
        </w:r>
      </w:hyperlink>
    </w:p>
    <w:p>
      <w:pPr>
        <w:spacing w:before="0" w:after="80"/>
      </w:pPr>
      <w:r>
        <w:rPr>
          <w:i/>
          <w:sz w:val="20"/>
        </w:rPr>
        <w:t>EN: ‘Tour de force’ mouse study shows a gut microbe can promote memory loss</w:t>
      </w:r>
    </w:p>
    <w:p>
      <w:pPr>
        <w:spacing w:before="0" w:after="120"/>
      </w:pPr>
      <w:r>
        <w:rPr>
          <w:b/>
        </w:rPr>
        <w:t xml:space="preserve">Source: </w:t>
      </w:r>
      <w:r>
        <w:t>Latest News from Science Magazine</w:t>
      </w:r>
      <w:r>
        <w:t xml:space="preserve">    </w:t>
      </w:r>
      <w:r>
        <w:rPr>
          <w:b/>
        </w:rPr>
        <w:t xml:space="preserve">Pub date: </w:t>
      </w:r>
      <w:r>
        <w:t>2026-03-11 12:00:00+00:00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874">
        <w:r>
          <w:rPr>
            <w:color w:val="1155CC"/>
            <w:u w:val="single"/>
          </w:rPr>
          <w:t>[ASAP] 在固体表面上直接可视化孤立聚合物链的段状动力学</w:t>
        </w:r>
      </w:hyperlink>
    </w:p>
    <w:p>
      <w:pPr>
        <w:spacing w:before="0" w:after="80"/>
      </w:pPr>
      <w:r>
        <w:rPr>
          <w:i/>
          <w:sz w:val="20"/>
        </w:rPr>
        <w:t>EN: [ASAP] Direct Visualization of Segment-Like Dynamics in Isolated Polymer Chains on Solid Surfaces</w:t>
      </w:r>
    </w:p>
    <w:p>
      <w:pPr>
        <w:spacing w:before="0" w:after="120"/>
      </w:pPr>
      <w:r>
        <w:rPr>
          <w:b/>
        </w:rPr>
        <w:t xml:space="preserve">Source: </w:t>
      </w:r>
      <w:r>
        <w:t>Journal of the American Chemical Society: Latest Articles (ACS Publications)</w:t>
      </w:r>
      <w:r>
        <w:t xml:space="preserve">    </w:t>
      </w:r>
      <w:r>
        <w:rPr>
          <w:b/>
        </w:rPr>
        <w:t xml:space="preserve">Pub date: </w:t>
      </w:r>
      <w:r>
        <w:t>2026-03-11 12:00:28+00:00</w:t>
      </w:r>
      <w:r>
        <w:t xml:space="preserve">    </w:t>
      </w:r>
      <w:r>
        <w:rPr>
          <w:b/>
        </w:rPr>
        <w:t xml:space="preserve">DOI: </w:t>
      </w:r>
      <w:hyperlink r:id="rId875">
        <w:r>
          <w:rPr>
            <w:color w:val="1155CC"/>
            <w:u w:val="single"/>
          </w:rPr>
          <w:t>10.1021/jacs.5c23137</w:t>
        </w:r>
      </w:hyperlink>
    </w:p>
    <w:p>
      <w:pPr>
        <w:spacing w:before="0" w:after="120"/>
      </w:pPr>
      <w:r>
        <w:rPr>
          <w:b/>
        </w:rPr>
        <w:t xml:space="preserve">Notes: </w:t>
      </w:r>
      <w:r>
        <w:t>abstract_source=openalex</w:t>
      </w:r>
    </w:p>
    <w:p>
      <w:pPr>
        <w:spacing w:before="0" w:after="80" w:lineRule="auto" w:line="276"/>
      </w:pPr>
      <w:r>
        <w:rPr>
          <w:b/>
        </w:rPr>
        <w:t xml:space="preserve">摘要（ZH）: </w:t>
      </w:r>
      <w:r>
        <w:t>聚合物基复合材料、涂层和粘合剂的性能受到固体界面上链动态的关键影响，但其分子原理仍未解决。在此，我们使用时间分辨原子力显微镜直接绘制了在原子平坦基板上孤立聚苯乙烯链的段级松弛动态。我们发现了显著的空间异质性，一些段随着温度加速，而另一些则减速，这种反直觉的行为源于瞬态吸附。这些动态通过界面耦合传播到邻近链，并将吸附的影响扩展到直接接触之外。分子动力学模拟证实了热激活和吸附驱动的减速过程的共存，</w:t>
      </w:r>
    </w:p>
    <w:p>
      <w:pPr>
        <w:spacing w:before="0" w:after="200" w:lineRule="auto" w:line="276"/>
      </w:pPr>
      <w:r>
        <w:rPr>
          <w:b/>
        </w:rPr>
        <w:t xml:space="preserve">Abstract (EN): </w:t>
      </w:r>
      <w:r>
        <w:t>The performance of polymer-based composites, coatings, and adhesives is critically governed by the dynamics of chains at solid interfaces, yet their molecular principles remain unresolved. Here, we use time-resolved atomic force microscopy to directly map segment-level relaxation dynamics in isolated polystyrene chains on atomically flat substrates. We uncover pronounced spatial heterogeneity, with some segments accelerating with temperature while others slowing down, a counterintuitive behavior arising from transient adsorption. These dynamics propagate into neighboring chains through interfacial coupling and extend the influence of adsorption beyond direct contacts. Molecular dynamics simulations corroborate the coexistence of thermally activated and adsorption-driven slowing processes, and experiments on catechol-functionalized chains demonstrate generality and relevance to adhesion on metal oxides. Our results establish a real-space framework for linking interfacial structure and chain dynamics. They also reveal isolated chains on solids as nonequilibrium systems, offering a paradigm for molecular-level design of adhesion and interfacial toughness.</w:t>
      </w:r>
    </w:p>
    <w:p>
      <w:pPr>
        <w:spacing w:before="120" w:after="120"/>
      </w:pPr>
      <w:r>
        <w:rPr>
          <w:sz w:val="18"/>
        </w:rPr>
        <w:t>——————————————————————————————————————————————————————————————————————</w:t>
      </w:r>
    </w:p>
    <w:p>
      <w:pPr>
        <w:spacing w:before="160" w:after="40" w:line="240" w:lineRule="auto"/>
      </w:pPr>
      <w:r>
        <w:rPr>
          <w:b/>
        </w:rPr>
        <w:t xml:space="preserve">[372] </w:t>
      </w:r>
      <w:hyperlink r:id="rId876">
        <w:r>
          <w:rPr>
            <w:color w:val="1155CC"/>
            <w:u w:val="single"/>
          </w:rPr>
          <w:t>[ASAP] H1N1流感病毒在人类气道上皮细胞上的N-连接聚糖受体的化学酶合成</w:t>
        </w:r>
      </w:hyperlink>
    </w:p>
    <w:p>
      <w:pPr>
        <w:spacing w:before="0" w:after="80"/>
      </w:pPr>
      <w:r>
        <w:rPr>
          <w:i/>
          <w:sz w:val="20"/>
        </w:rPr>
        <w:t>EN: [ASAP] Chemoenzymatic Synthesis of N-Linked Glycan Receptors of H1N1 Influenza Virus on Human Airway Epithelial Cells</w:t>
      </w:r>
    </w:p>
    <w:p>
      <w:pPr>
        <w:spacing w:before="0" w:after="120"/>
      </w:pPr>
      <w:r>
        <w:rPr>
          <w:b/>
        </w:rPr>
        <w:t xml:space="preserve">Source: </w:t>
      </w:r>
      <w:r>
        <w:t>Journal of the American Chemical Society: Latest Articles (ACS Publications)</w:t>
      </w:r>
      <w:r>
        <w:t xml:space="preserve">    </w:t>
      </w:r>
      <w:r>
        <w:rPr>
          <w:b/>
        </w:rPr>
        <w:t xml:space="preserve">Pub date: </w:t>
      </w:r>
      <w:r>
        <w:t>2026-03-11 12:07:38+00:00</w:t>
      </w:r>
      <w:r>
        <w:t xml:space="preserve">    </w:t>
      </w:r>
      <w:r>
        <w:rPr>
          <w:b/>
        </w:rPr>
        <w:t xml:space="preserve">DOI: </w:t>
      </w:r>
      <w:hyperlink r:id="rId877">
        <w:r>
          <w:rPr>
            <w:color w:val="1155CC"/>
            <w:u w:val="single"/>
          </w:rPr>
          <w:t>10.1021/jacs.6c00093</w:t>
        </w:r>
      </w:hyperlink>
    </w:p>
    <w:p>
      <w:pPr>
        <w:spacing w:before="0" w:after="120"/>
      </w:pPr>
      <w:r>
        <w:rPr>
          <w:b/>
        </w:rPr>
        <w:t xml:space="preserve">Notes: </w:t>
      </w:r>
      <w:r>
        <w:t>abstract_source=openalex</w:t>
      </w:r>
    </w:p>
    <w:p>
      <w:pPr>
        <w:spacing w:before="0" w:after="80" w:lineRule="auto" w:line="276"/>
      </w:pPr>
      <w:r>
        <w:rPr>
          <w:b/>
        </w:rPr>
        <w:t xml:space="preserve">摘要（ZH）: </w:t>
      </w:r>
      <w:r>
        <w:t>人类流感病毒附着在气道上皮细胞表面是通过血凝素（HA）介导的，血凝素与被称为人类型受体的Neu5Acα2-6Gal末端糖链结合。许多报告表明，目前每年感染人类的H1N1和H3N2流感病毒已经进化为优先识别仅一部分人类型受体。基于对鼻腔和气管人类上皮细胞的糖组学分析，我们定义并化学酶法合成了一种新型的α2-6唾液酸化N-连接糖链库，代表了作为人类流感病毒候选受体的结构多样性。利用这个库，我们研究了源自1918年和2009年两次大流行的H1N1病毒的HA特异性。我们发现H1N1病毒来自</w:t>
      </w:r>
    </w:p>
    <w:p>
      <w:pPr>
        <w:spacing w:before="0" w:after="200" w:lineRule="auto" w:line="276"/>
      </w:pPr>
      <w:r>
        <w:rPr>
          <w:b/>
        </w:rPr>
        <w:t xml:space="preserve">Abstract (EN): </w:t>
      </w:r>
      <w:r>
        <w:t>Attachment of human influenza virus to the surface of airway epithelial cells is mediated by the hemagglutinin (HA) that binds to Neu5Acα2-6Gal-terminated glycans termed human-type receptors. Numerous reports suggest that current H1N1 and H3N2 influenza viruses that annually infect humans have evolved to preferentially recognize only a subset of human-type receptors. Based on glycomics analysis of nasal and tracheal human epithelial cells, we have defined and chemoenzymatically synthesized a novel library of α2-6 sialylated N-linked glycans that represent the diversity of structures that are candidate receptors of human influenza viruses. Using this library, we investigated the specificity of the HAs of H1N1 viruses stemming from two pandemics in 1918 and 2009. We find that H1N1 viruses from both pandemics have maintained a remarkably similar receptor specificity, with a strong preference for α2-6 sialylated biantennary N-linked glycans extended with two or more Galβ1-4GlcNAc (LacNAc) repeats on at least one antenna.</w:t>
      </w:r>
    </w:p>
    <w:p>
      <w:pPr>
        <w:spacing w:before="120" w:after="120"/>
      </w:pPr>
      <w:r>
        <w:rPr>
          <w:sz w:val="18"/>
        </w:rPr>
        <w:t>——————————————————————————————————————————————————————————————————————</w:t>
      </w:r>
    </w:p>
    <w:p>
      <w:pPr>
        <w:spacing w:before="160" w:after="40" w:line="240" w:lineRule="auto"/>
      </w:pPr>
      <w:r>
        <w:rPr>
          <w:b/>
        </w:rPr>
        <w:t xml:space="preserve">[373] </w:t>
      </w:r>
      <w:hyperlink r:id="rId878">
        <w:r>
          <w:rPr>
            <w:color w:val="1155CC"/>
            <w:u w:val="single"/>
          </w:rPr>
          <w:t>在高熵钙钛矿上原位析出银纳米岛用于能效耦合硝酸盐还原和硫化物氧化</w:t>
        </w:r>
      </w:hyperlink>
    </w:p>
    <w:p>
      <w:pPr>
        <w:spacing w:before="0" w:after="80"/>
      </w:pPr>
      <w:r>
        <w:rPr>
          <w:i/>
          <w:sz w:val="20"/>
        </w:rPr>
        <w:t>EN: In‐Situ Exsolving Silver Nano‐islands on High‐Entropy Perovskites for Energy‐Efficient Coupled Nitrate Reduction and Sulfide Oxidation</w:t>
      </w:r>
    </w:p>
    <w:p>
      <w:pPr>
        <w:spacing w:before="0" w:after="120"/>
      </w:pPr>
      <w:r>
        <w:rPr>
          <w:b/>
        </w:rPr>
        <w:t xml:space="preserve">Source: </w:t>
      </w:r>
      <w:r>
        <w:t>Wiley: Angewandte Chemie International Edition: Table of Contents</w:t>
      </w:r>
      <w:r>
        <w:t xml:space="preserve">    </w:t>
      </w:r>
      <w:r>
        <w:rPr>
          <w:b/>
        </w:rPr>
        <w:t xml:space="preserve">Pub date: </w:t>
      </w:r>
      <w:r>
        <w:t>2026-03-11 12:34:50+00:00</w:t>
      </w:r>
      <w:r>
        <w:t xml:space="preserve">    </w:t>
      </w:r>
      <w:r>
        <w:rPr>
          <w:b/>
        </w:rPr>
        <w:t xml:space="preserve">DOI: </w:t>
      </w:r>
      <w:hyperlink r:id="rId879">
        <w:r>
          <w:rPr>
            <w:color w:val="1155CC"/>
            <w:u w:val="single"/>
          </w:rPr>
          <w:t>10.1002/anie.3805070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为氨（NO3RR）是一种有前途的氮回收途径，但由于复杂的多步动力学和氢析出反应的严重竞争而受到阻碍。将NO3RR与硫化物氧化反应（SOR）耦合，通过同时实现双污染物修复和增值产品提供了一种节能的替代方案。在此，我们报告了一种原位析出策略，构建了由析出Ag纳米岛（NIs）锚定在高熵钙钛矿氧化物基体（Ag-LaSrAgFeCoOx）上的串联电催化剂。结构复杂性和丰富的</w:t>
      </w:r>
    </w:p>
    <w:p>
      <w:pPr>
        <w:spacing w:before="0" w:after="200" w:lineRule="auto" w:line="276"/>
      </w:pPr>
      <w:r>
        <w:rPr>
          <w:b/>
        </w:rPr>
        <w:t xml:space="preserve">Abstract (EN): </w:t>
      </w:r>
      <w:r>
        <w:t>Electrochemical nitrate reduction to ammonia (NO</w:t>
      </w:r>
      <w:r>
        <w:rPr>
          <w:vertAlign w:val="subscript"/>
        </w:rPr>
        <w:t>3</w:t>
      </w:r>
      <w:r>
        <w:t>RR) is a promising pathway for nitrogen recycling but remains hindered by complex multistep kinetics and severe competition from the hydrogen evolution reaction. Coupling NO</w:t>
      </w:r>
      <w:r>
        <w:rPr>
          <w:vertAlign w:val="subscript"/>
        </w:rPr>
        <w:t>3</w:t>
      </w:r>
      <w:r>
        <w:t>RR with the sulfide oxidation reaction (SOR) offers an energy‐efficient alternative by simultaneously enabling dual‐pollutant remediation with value‐added products. Herein, we report an in situ exsolution strategy to construct a tandem electrocatalyst composed of exsolved Ag nano‐islands (NIs) anchored on a high‐entropy perovskite oxide matrix (Ag‐LaSrAgFeCoO</w:t>
      </w:r>
      <w:r>
        <w:t xml:space="preserve"> </w:t>
      </w:r>
      <w:r>
        <w:t>x</w:t>
      </w:r>
      <w:r>
        <w:t xml:space="preserve"> </w:t>
      </w:r>
      <w:r>
        <w:t>). The structural complexity and abundant oxygen vacancies (O</w:t>
      </w:r>
      <w:r>
        <w:t xml:space="preserve"> </w:t>
      </w:r>
      <w:r>
        <w:t>v</w:t>
      </w:r>
      <w:r>
        <w:t xml:space="preserve"> </w:t>
      </w:r>
      <w:r>
        <w:t>) of the LaSrAgFeCoO</w:t>
      </w:r>
      <w:r>
        <w:t xml:space="preserve"> </w:t>
      </w:r>
      <w:r>
        <w:t>x</w:t>
      </w:r>
      <w:r>
        <w:t xml:space="preserve"> </w:t>
      </w:r>
      <w:r>
        <w:t>synergistically interact with the exsolved Ag NIs, creating spatially and functionally distinct active sites. As a result, the Ag‐LaSrAgFeCoO</w:t>
      </w:r>
      <w:r>
        <w:t xml:space="preserve"> </w:t>
      </w:r>
      <w:r>
        <w:t>x</w:t>
      </w:r>
      <w:r>
        <w:t xml:space="preserve"> </w:t>
      </w:r>
      <w:r>
        <w:t>catalyst achieves high NH</w:t>
      </w:r>
      <w:r>
        <w:rPr>
          <w:vertAlign w:val="subscript"/>
        </w:rPr>
        <w:t>4</w:t>
      </w:r>
      <w:r>
        <w:t>+</w:t>
      </w:r>
      <w:r>
        <w:t xml:space="preserve"> </w:t>
      </w:r>
      <w:r>
        <w:t>Faradaic efficiency of 97.6% and yield rate of 0.35 mmol h–</w:t>
      </w:r>
      <w:r>
        <w:rPr>
          <w:vertAlign w:val="subscript"/>
        </w:rPr>
        <w:t>1</w:t>
      </w:r>
      <w:r>
        <w:t>cm</w:t>
      </w:r>
      <w:r>
        <w:t xml:space="preserve"> </w:t>
      </w:r>
      <w:r>
        <w:t>−2</w:t>
      </w:r>
      <w:r>
        <w:t xml:space="preserve"> </w:t>
      </w:r>
      <w:r>
        <w:t>. In situ characterization and theoretical calculations reveal a relay catalytic mechanism in which Ag sites of Ag NIs preferentially activate NO</w:t>
      </w:r>
      <w:r>
        <w:rPr>
          <w:vertAlign w:val="subscript"/>
        </w:rPr>
        <w:t>3</w:t>
      </w:r>
      <w:r>
        <w:t>–</w:t>
      </w:r>
      <w:r>
        <w:t xml:space="preserve"> </w:t>
      </w:r>
      <w:r>
        <w:t>, while O</w:t>
      </w:r>
      <w:r>
        <w:t xml:space="preserve"> </w:t>
      </w:r>
      <w:r>
        <w:t>v</w:t>
      </w:r>
      <w:r>
        <w:t xml:space="preserve"> </w:t>
      </w:r>
      <w:r>
        <w:t>‐rich LaSrAgFeCoO</w:t>
      </w:r>
      <w:r>
        <w:t xml:space="preserve"> </w:t>
      </w:r>
      <w:r>
        <w:t>x</w:t>
      </w:r>
      <w:r>
        <w:t xml:space="preserve"> </w:t>
      </w:r>
      <w:r>
        <w:t>promotes intermediates hydrogenation and NH</w:t>
      </w:r>
      <w:r>
        <w:rPr>
          <w:vertAlign w:val="subscript"/>
        </w:rPr>
        <w:t>3</w:t>
      </w:r>
      <w:r>
        <w:t>desorption, alongside efficient hydrogen supply. Moreover, the bifunctional Ag‐LaSrAgFeCoO</w:t>
      </w:r>
      <w:r>
        <w:t xml:space="preserve"> </w:t>
      </w:r>
      <w:r>
        <w:t>x</w:t>
      </w:r>
      <w:r>
        <w:t xml:space="preserve"> </w:t>
      </w:r>
      <w:r>
        <w:t>enables energy‐efficient NO</w:t>
      </w:r>
      <w:r>
        <w:rPr>
          <w:vertAlign w:val="subscript"/>
        </w:rPr>
        <w:t>3</w:t>
      </w:r>
      <w:r>
        <w:t>RR||SOR coupling, delivering a positive open‐circuit potential of 557 mV and stable co‐production of ammonia and sulfur. This work highlights high‐entropy materials as a powerful platform for tandem electrocatalysis in complex coupled reactions.</w:t>
      </w:r>
    </w:p>
    <w:p>
      <w:pPr>
        <w:spacing w:before="120" w:after="120"/>
      </w:pPr>
      <w:r>
        <w:rPr>
          <w:sz w:val="18"/>
        </w:rPr>
        <w:t>——————————————————————————————————————————————————————————————————————</w:t>
      </w:r>
    </w:p>
    <w:p>
      <w:pPr>
        <w:spacing w:before="160" w:after="40" w:line="240" w:lineRule="auto"/>
      </w:pPr>
      <w:r>
        <w:rPr>
          <w:b/>
        </w:rPr>
        <w:t xml:space="preserve">[374] </w:t>
      </w:r>
      <w:hyperlink r:id="rId880">
        <w:r>
          <w:rPr>
            <w:color w:val="1155CC"/>
            <w:u w:val="single"/>
          </w:rPr>
          <w:t>分子级识别表面驱动机器学习区分同系气体</w:t>
        </w:r>
      </w:hyperlink>
    </w:p>
    <w:p>
      <w:pPr>
        <w:spacing w:before="0" w:after="80"/>
      </w:pPr>
      <w:r>
        <w:rPr>
          <w:i/>
          <w:sz w:val="20"/>
        </w:rPr>
        <w:t>EN: Molecular‐Level Recognition Surfaces Drive Machine‐Learning Discrimination of Homologous Gases</w:t>
      </w:r>
    </w:p>
    <w:p>
      <w:pPr>
        <w:spacing w:before="0" w:after="120"/>
      </w:pPr>
      <w:r>
        <w:rPr>
          <w:b/>
        </w:rPr>
        <w:t xml:space="preserve">Source: </w:t>
      </w:r>
      <w:r>
        <w:t>Wiley: Advanced Materials: Table of Contents</w:t>
      </w:r>
      <w:r>
        <w:t xml:space="preserve">    </w:t>
      </w:r>
      <w:r>
        <w:rPr>
          <w:b/>
        </w:rPr>
        <w:t xml:space="preserve">Pub date: </w:t>
      </w:r>
      <w:r>
        <w:t>2026-03-11 13:07:02+00:00</w:t>
      </w:r>
      <w:r>
        <w:t xml:space="preserve">    </w:t>
      </w:r>
      <w:r>
        <w:rPr>
          <w:b/>
        </w:rPr>
        <w:t xml:space="preserve">DOI: </w:t>
      </w:r>
      <w:hyperlink r:id="rId881">
        <w:r>
          <w:rPr>
            <w:color w:val="1155CC"/>
            <w:u w:val="single"/>
          </w:rPr>
          <w:t>10.1002/adma.202521921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机器学习赋能的化学电阻半导体传感提供了一条准确区分和量化化学同系气体的有前途的途径，但由于识别过程中重叠的吸附行为和几乎相同的电子响应而仍然具有挑战性。在此，我们设计了分子级识别表面以调节反应位点并放大同系气体响应中的细微差异，这对于机器学习辅助的区分至关重要。通过将近双分子层无定形磷钨酸（约2 nm厚）均匀集成到WO3纳米线，我们生成了具有多样吸附</w:t>
      </w:r>
    </w:p>
    <w:p>
      <w:pPr>
        <w:spacing w:before="0" w:after="200" w:lineRule="auto" w:line="276"/>
      </w:pPr>
      <w:r>
        <w:rPr>
          <w:b/>
        </w:rPr>
        <w:t xml:space="preserve">Abstract (EN): </w:t>
      </w:r>
      <w:r>
        <w:t>Chemoresistive semiconductor sensing empowered by machine learning offers a promising route for accurate discrimination and quantification of chemically homologous gases, but remains challenging due to overlapping adsorption behaviors during recognition and presenting nearly identical electronic responses. Here, we design molecular‐level recognition surfaces to modulate reaction sites and amplify the subtle differences in homologous gas responses, which is critical for machine‐learning‐assisted discrimination. By conformally integrating near‐bi‐molecular‐layer amorphous phosphotungstic acid (∼2 nm thick) onto WO</w:t>
      </w:r>
      <w:r>
        <w:rPr>
          <w:vertAlign w:val="subscript"/>
        </w:rPr>
        <w:t>3</w:t>
      </w:r>
      <w:r>
        <w:t>nanowires, we generate a continuum of Lewis and Brønsted acid sites with diverse adsorption activation energies and differential reaction pathways toward ammonia/amine homologous gases. This design produces characteristic fingerprint spectra based on temperature‐dependent steady‐state response intensity and transient reaction rate, achieving a high recognition accuracy of 91.0% for four target ammonia/amines using a minimal training dataset and simple classifiers. Remarkably, this sensing system quantitatively resolves binary ethylamine/dimethylamine isomer mixtures with high precision (</w:t>
      </w:r>
      <w:r>
        <w:t xml:space="preserve"> </w:t>
      </w:r>
      <w:r>
        <w:t>R</w:t>
      </w:r>
      <w:r>
        <w:rPr>
          <w:vertAlign w:val="subscript"/>
        </w:rPr>
        <w:t>2</w:t>
      </w:r>
      <w:r>
        <w:t xml:space="preserve"> </w:t>
      </w:r>
      <w:r>
        <w:t>&amp;gt; 0.99, error &amp;lt; 4%) with excellent generalization, a capability not realized previously. The near molecular‐level amorphization strategy bridges the gap between single‐atom dispersion and conventional nanoheterostructures, providing a powerful platform to modulate gas recognition processes and driving machine‐learning discrimination and quantitative analysis of homologous gases in complex environments.</w:t>
      </w:r>
    </w:p>
    <w:p>
      <w:pPr>
        <w:spacing w:before="120" w:after="120"/>
      </w:pPr>
      <w:r>
        <w:rPr>
          <w:sz w:val="18"/>
        </w:rPr>
        <w:t>——————————————————————————————————————————————————————————————————————</w:t>
      </w:r>
    </w:p>
    <w:p>
      <w:pPr>
        <w:spacing w:before="160" w:after="40" w:line="240" w:lineRule="auto"/>
      </w:pPr>
      <w:r>
        <w:rPr>
          <w:b/>
        </w:rPr>
        <w:t xml:space="preserve">[375] </w:t>
      </w:r>
      <w:hyperlink r:id="rId882">
        <w:r>
          <w:rPr>
            <w:color w:val="1155CC"/>
            <w:u w:val="single"/>
          </w:rPr>
          <w:t>通过柔性生物集成流量传感器对体液进行连续监测</w:t>
        </w:r>
      </w:hyperlink>
    </w:p>
    <w:p>
      <w:pPr>
        <w:spacing w:before="0" w:after="80"/>
      </w:pPr>
      <w:r>
        <w:rPr>
          <w:i/>
          <w:sz w:val="20"/>
        </w:rPr>
        <w:t>EN: Continuous Monitoring of Body Fluid by Flexible Bio‐Integrated Flow Sensors</w:t>
      </w:r>
    </w:p>
    <w:p>
      <w:pPr>
        <w:spacing w:before="0" w:after="120"/>
      </w:pPr>
      <w:r>
        <w:rPr>
          <w:b/>
        </w:rPr>
        <w:t xml:space="preserve">Source: </w:t>
      </w:r>
      <w:r>
        <w:t>Wiley: Advanced Materials: Table of Contents</w:t>
      </w:r>
      <w:r>
        <w:t xml:space="preserve">    </w:t>
      </w:r>
      <w:r>
        <w:rPr>
          <w:b/>
        </w:rPr>
        <w:t xml:space="preserve">Pub date: </w:t>
      </w:r>
      <w:r>
        <w:t>2026-03-11 13:35:47+00:00</w:t>
      </w:r>
      <w:r>
        <w:t xml:space="preserve">    </w:t>
      </w:r>
      <w:r>
        <w:rPr>
          <w:b/>
        </w:rPr>
        <w:t xml:space="preserve">DOI: </w:t>
      </w:r>
      <w:hyperlink r:id="rId883">
        <w:r>
          <w:rPr>
            <w:color w:val="1155CC"/>
            <w:u w:val="single"/>
          </w:rPr>
          <w:t>10.1002/adma.202523029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体液在维持健康中起着关键作用。柔性生物集成流量传感器（BIFS）设备和系统克服了传统临床设备的体积庞大和间歇性监测问题。它们实现了体液的实时、连续监测，从而推动了医疗保健的发展。然而，低灵敏度和不够稳定等挑战阻碍了其广泛的临床和实际应用。在本综述中，我们介绍了BIFS在人体体液连续监测方面的最新进展。首先，我们描述了开发高性能BIFS设备和系统的有效工程策略，包括基本工作机制、微尺度功能材料的设计方法和方法学</w:t>
      </w:r>
    </w:p>
    <w:p>
      <w:pPr>
        <w:spacing w:before="0" w:after="200" w:lineRule="auto" w:line="276"/>
      </w:pPr>
      <w:r>
        <w:rPr>
          <w:b/>
        </w:rPr>
        <w:t xml:space="preserve">Abstract (EN): </w:t>
      </w:r>
      <w:r>
        <w:t>Body fluids play pivotal roles in maintaining health. Flexible bio‐integrated flow sensor (BIFS) devices and systems overcome the bulky size and intermittent monitoring of conventional clinical equipment. They enable real‐time, continuous monitoring of body fluids, thereby advancing healthcare. However, challenges such as low sensitivity and inadequate stability have hindered their widespread clinical and practical applications. In this review, we present the latest advancements in BIFS for continuous monitoring of human body fluids. Initially, we delineate effective engineering strategies for developing high‐performance BIFS devices and systems, encompassing fundamental working mechanisms, design approaches for microscale functional materials, and methodologies for macroscale fluid‐structure interaction structures. Subsequently, we compile and showcase representative BIFS and their applications in personalized healthcare. Finally, we explore and present potential directions for the development of BIFS for practical and continuous monitoring of human body fluids, offering insights into future perspectives in this domain.</w:t>
      </w:r>
    </w:p>
    <w:p>
      <w:pPr>
        <w:spacing w:before="120" w:after="120"/>
      </w:pPr>
      <w:r>
        <w:rPr>
          <w:sz w:val="18"/>
        </w:rPr>
        <w:t>——————————————————————————————————————————————————————————————————————</w:t>
      </w:r>
    </w:p>
    <w:p>
      <w:pPr>
        <w:spacing w:before="160" w:after="40" w:line="240" w:lineRule="auto"/>
      </w:pPr>
      <w:r>
        <w:rPr>
          <w:b/>
        </w:rPr>
        <w:t xml:space="preserve">[376] </w:t>
      </w:r>
      <w:hyperlink r:id="rId884">
        <w:r>
          <w:rPr>
            <w:color w:val="1155CC"/>
            <w:u w:val="single"/>
          </w:rPr>
          <w:t>金红石型TiO2光阳极在光电化学水分解过程中的降解机制</w:t>
        </w:r>
      </w:hyperlink>
    </w:p>
    <w:p>
      <w:pPr>
        <w:spacing w:before="0" w:after="80"/>
      </w:pPr>
      <w:r>
        <w:rPr>
          <w:i/>
          <w:sz w:val="20"/>
        </w:rPr>
        <w:t>EN: Degradation Mechanisms of Rutile‐Type TiO2 Photoanodes during Photoelectrochemical Water Splitting</w:t>
      </w:r>
    </w:p>
    <w:p>
      <w:pPr>
        <w:spacing w:before="0" w:after="120"/>
      </w:pPr>
      <w:r>
        <w:rPr>
          <w:b/>
        </w:rPr>
        <w:t xml:space="preserve">Source: </w:t>
      </w:r>
      <w:r>
        <w:t>Wiley: Advanced Energy Materials: Table of Contents</w:t>
      </w:r>
      <w:r>
        <w:t xml:space="preserve">    </w:t>
      </w:r>
      <w:r>
        <w:rPr>
          <w:b/>
        </w:rPr>
        <w:t xml:space="preserve">Pub date: </w:t>
      </w:r>
      <w:r>
        <w:t>2026-03-11 14:00:43+00:00</w:t>
      </w:r>
      <w:r>
        <w:t xml:space="preserve">    </w:t>
      </w:r>
      <w:r>
        <w:rPr>
          <w:b/>
        </w:rPr>
        <w:t xml:space="preserve">DOI: </w:t>
      </w:r>
      <w:hyperlink r:id="rId885">
        <w:r>
          <w:rPr>
            <w:color w:val="1155CC"/>
            <w:u w:val="single"/>
          </w:rPr>
          <w:t>10.1002/aenm.202506779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TiO</w:t>
      </w:r>
      <w:r>
        <w:rPr>
          <w:vertAlign w:val="subscript"/>
        </w:rPr>
        <w:t>2</w:t>
      </w:r>
      <w:r>
        <w:t>被广泛应用于氧气析出反应（OER）的光阳极材料以及防腐蚀。然而，其在光电化学（PEC）过程中的稳定性仍然存在争议。在此，我们系统地研究了光照、电极电位和电解质pH对金红石型TiO</w:t>
      </w:r>
      <w:r>
        <w:rPr>
          <w:vertAlign w:val="subscript"/>
        </w:rPr>
        <w:t>2</w:t>
      </w:r>
      <w:r>
        <w:t>纳米线在PEC OER过程中的稳定性的影响。我们提供了</w:t>
      </w:r>
      <w:r>
        <w:t xml:space="preserve"> </w:t>
      </w:r>
      <w:r>
        <w:t>operando</w:t>
      </w:r>
      <w:r>
        <w:t xml:space="preserve"> </w:t>
      </w:r>
      <w:r>
        <w:t>的TiO</w:t>
      </w:r>
      <w:r>
        <w:rPr>
          <w:vertAlign w:val="subscript"/>
        </w:rPr>
        <w:t>2</w:t>
      </w:r>
      <w:r>
        <w:t>光稳定性见解，量化光溶解以识别酸性和碱性电解质中的降解机制。TiO</w:t>
      </w:r>
      <w:r>
        <w:t xml:space="preserve"> </w:t>
      </w:r>
      <w:r>
        <w:t>的结构演变</w:t>
      </w:r>
    </w:p>
    <w:p>
      <w:pPr>
        <w:spacing w:before="0" w:after="200" w:lineRule="auto" w:line="276"/>
      </w:pPr>
      <w:r>
        <w:rPr>
          <w:b/>
        </w:rPr>
        <w:t xml:space="preserve">Abstract (EN): </w:t>
      </w:r>
      <w:r>
        <w:t>TiO</w:t>
      </w:r>
      <w:r>
        <w:rPr>
          <w:vertAlign w:val="subscript"/>
        </w:rPr>
        <w:t>2</w:t>
      </w:r>
      <w:r>
        <w:t>is widely applied as a photoanode material for the oxygen evolution reaction (OER), as well as for corrosion protection. However, its stability during photoelectrochemical (PEC) processes is still under debate. Here, we systematically investigate the effect of illumination, electrode potential, and electrolyte pH on the stability of rutile‐type TiO</w:t>
      </w:r>
      <w:r>
        <w:rPr>
          <w:vertAlign w:val="subscript"/>
        </w:rPr>
        <w:t>2</w:t>
      </w:r>
      <w:r>
        <w:t>nanowires during PEC OER. We provide</w:t>
      </w:r>
      <w:r>
        <w:t xml:space="preserve"> </w:t>
      </w:r>
      <w:r>
        <w:t>operando</w:t>
      </w:r>
      <w:r>
        <w:t xml:space="preserve"> </w:t>
      </w:r>
      <w:r>
        <w:t>insights into the photostability of TiO</w:t>
      </w:r>
      <w:r>
        <w:rPr>
          <w:vertAlign w:val="subscript"/>
        </w:rPr>
        <w:t>2</w:t>
      </w:r>
      <w:r>
        <w:t>, quantifying the photodissolution to identify degradation mechanisms in acidic and alkaline electrolytes. The structural evolution of TiO</w:t>
      </w:r>
      <w:r>
        <w:rPr>
          <w:vertAlign w:val="subscript"/>
        </w:rPr>
        <w:t>2</w:t>
      </w:r>
      <w:r>
        <w:t>nanowires is correlated with their photodissolution as well as local pH changes during OER. Based on these findings, we propose a model that links the pH‐dependent degradation of PEC performance with dissolution processes, thereby establishing a comprehensive understanding of the durabilities of TiO</w:t>
      </w:r>
      <w:r>
        <w:rPr>
          <w:vertAlign w:val="subscript"/>
        </w:rPr>
        <w:t>2</w:t>
      </w:r>
      <w:r>
        <w:t>photoanodes in different electrolyte environments. Overall, this work identifies and rationalizes the PEC stability boundaries of TiO</w:t>
      </w:r>
      <w:r>
        <w:rPr>
          <w:vertAlign w:val="subscript"/>
        </w:rPr>
        <w:t>2</w:t>
      </w:r>
      <w:r>
        <w:t>, which is key for its practical application in photo/electro‐catalysis and as a corrosion protection layer.</w:t>
      </w:r>
    </w:p>
    <w:p>
      <w:pPr>
        <w:spacing w:before="120" w:after="120"/>
      </w:pPr>
      <w:r>
        <w:rPr>
          <w:sz w:val="18"/>
        </w:rPr>
        <w:t>——————————————————————————————————————————————————————————————————————</w:t>
      </w:r>
    </w:p>
    <w:p>
      <w:pPr>
        <w:spacing w:before="160" w:after="40" w:line="240" w:lineRule="auto"/>
      </w:pPr>
      <w:r>
        <w:rPr>
          <w:b/>
        </w:rPr>
        <w:t xml:space="preserve">[377] </w:t>
      </w:r>
      <w:hyperlink r:id="rId886">
        <w:r>
          <w:rPr>
            <w:color w:val="1155CC"/>
            <w:u w:val="single"/>
          </w:rPr>
          <w:t>重新思考细胞外囊泡信号传导</w:t>
        </w:r>
      </w:hyperlink>
    </w:p>
    <w:p>
      <w:pPr>
        <w:spacing w:before="0" w:after="80"/>
      </w:pPr>
      <w:r>
        <w:rPr>
          <w:i/>
          <w:sz w:val="20"/>
        </w:rPr>
        <w:t>EN: Rethinking Extracellular Vesicle Signaling</w:t>
      </w:r>
    </w:p>
    <w:p>
      <w:pPr>
        <w:spacing w:before="0" w:after="120"/>
      </w:pPr>
      <w:r>
        <w:rPr>
          <w:b/>
        </w:rPr>
        <w:t xml:space="preserve">Source: </w:t>
      </w:r>
      <w:r>
        <w:t>Wiley: Advanced Materials: Table of Contents</w:t>
      </w:r>
      <w:r>
        <w:t xml:space="preserve">    </w:t>
      </w:r>
      <w:r>
        <w:rPr>
          <w:b/>
        </w:rPr>
        <w:t xml:space="preserve">Pub date: </w:t>
      </w:r>
      <w:r>
        <w:t>2026-03-11 14:21:17+00:00</w:t>
      </w:r>
      <w:r>
        <w:t xml:space="preserve">    </w:t>
      </w:r>
      <w:r>
        <w:rPr>
          <w:b/>
        </w:rPr>
        <w:t xml:space="preserve">DOI: </w:t>
      </w:r>
      <w:hyperlink r:id="rId887">
        <w:r>
          <w:rPr>
            <w:color w:val="1155CC"/>
            <w:u w:val="single"/>
          </w:rPr>
          <w:t>10.1002/adma.202522172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外囊泡通过将生物活性货物从生产细胞运输到受体细胞来介导细胞间通信。细胞摄取和随后细胞质释放内部货物通常被强调为细胞外囊泡介导信号传导的主要机制。本文强调了基于表面结合而不内化的两种细胞外囊泡信号传导的替代模式：“结合并停留”和“结合并离开”。细胞外囊泡对多个细胞的瞬时结合，在每个细胞中诱导下游信号传导，挑战了传统的“一个囊泡一个细胞”模型。我们提供了对细胞外囊泡信号传导模式效率和效果的前瞻性观点，并概述了可能的技术</w:t>
      </w:r>
    </w:p>
    <w:p>
      <w:pPr>
        <w:spacing w:before="0" w:after="200" w:lineRule="auto" w:line="276"/>
      </w:pPr>
      <w:r>
        <w:rPr>
          <w:b/>
        </w:rPr>
        <w:t xml:space="preserve">Abstract (EN): </w:t>
      </w:r>
      <w:r>
        <w:t>Extracellular vesicles mediate intercellular communication through transport of bioactive cargo from producing to recipient cells. Cellular uptake and subsequent cytoplasmic release of internal cargo is often emphasized as the main mechanism of extracellular vesicle‐mediated signaling. This article highlights two alternate modes of extracellular vesicle signaling based on surface binding without internalization: ‘bind‐and‐stay’, and ‘bind‐and‐leave’. The transient binding of extracellular vesicles to multiple cells, inducing downstream signaling in each, challenges the conventional “one‐vesicle‐one‐cell” model. We provide a forward‐looking perspective on the efficiency and effectiveness of extracellular vesicle signaling modes and outline techniques that could be leveraged to study these interactions moving forward. An improved understanding of extracellular vesicle signaling is necessary for advancing fundamental biology and therapeutic development.</w:t>
      </w:r>
    </w:p>
    <w:p>
      <w:pPr>
        <w:spacing w:before="120" w:after="120"/>
      </w:pPr>
      <w:r>
        <w:rPr>
          <w:sz w:val="18"/>
        </w:rPr>
        <w:t>——————————————————————————————————————————————————————————————————————</w:t>
      </w:r>
    </w:p>
    <w:p>
      <w:pPr>
        <w:spacing w:before="160" w:after="40" w:line="240" w:lineRule="auto"/>
      </w:pPr>
      <w:r>
        <w:rPr>
          <w:b/>
        </w:rPr>
        <w:t xml:space="preserve">[378] </w:t>
      </w:r>
      <w:hyperlink r:id="rId888">
        <w:r>
          <w:rPr>
            <w:color w:val="1155CC"/>
            <w:u w:val="single"/>
          </w:rPr>
          <w:t>通过相工程石墨烯封装实现铝氮化物的同时抗水解性和高热导率</w:t>
        </w:r>
      </w:hyperlink>
    </w:p>
    <w:p>
      <w:pPr>
        <w:spacing w:before="0" w:after="80"/>
      </w:pPr>
      <w:r>
        <w:rPr>
          <w:i/>
          <w:sz w:val="20"/>
        </w:rPr>
        <w:t>EN: Concurrent Hydrolysis Resistance and High Thermal Conductivity in Aluminum Nitride Enabled by Phase‐Engineered Graphene Encapsulation</w:t>
      </w:r>
    </w:p>
    <w:p>
      <w:pPr>
        <w:spacing w:before="0" w:after="120"/>
      </w:pPr>
      <w:r>
        <w:rPr>
          <w:b/>
        </w:rPr>
        <w:t xml:space="preserve">Source: </w:t>
      </w:r>
      <w:r>
        <w:t>Wiley: Advanced Materials: Table of Contents</w:t>
      </w:r>
      <w:r>
        <w:t xml:space="preserve">    </w:t>
      </w:r>
      <w:r>
        <w:rPr>
          <w:b/>
        </w:rPr>
        <w:t xml:space="preserve">Pub date: </w:t>
      </w:r>
      <w:r>
        <w:t>2026-03-11 14:35:25+00:00</w:t>
      </w:r>
      <w:r>
        <w:t xml:space="preserve">    </w:t>
      </w:r>
      <w:r>
        <w:rPr>
          <w:b/>
        </w:rPr>
        <w:t xml:space="preserve">DOI: </w:t>
      </w:r>
      <w:hyperlink r:id="rId889">
        <w:r>
          <w:rPr>
            <w:color w:val="1155CC"/>
            <w:u w:val="single"/>
          </w:rPr>
          <w:t>10.1002/adma.202523695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氮化铝（AlN）作为下一代热管理的基石材料，但其对水解的敏感性严重削弱了长期可靠性。在此，我们通过引入相工程策略，从根本上重新配置AlN表面，超越传统的表面改性。通过流化床化学气相沉积，我们在AlN粉末上精确构建了共形、高结晶度和低缺陷的石墨烯“皮肤”（D峰与G峰的强度比约为0.088），其中独特的生长动力学和界面相由AlN基底决定，因此与传统的非金属基底不同。密度泛函理论计算揭示，该过程产生了共价键合的h</w:t>
      </w:r>
    </w:p>
    <w:p>
      <w:pPr>
        <w:spacing w:before="0" w:after="200" w:lineRule="auto" w:line="276"/>
      </w:pPr>
      <w:r>
        <w:rPr>
          <w:b/>
        </w:rPr>
        <w:t xml:space="preserve">Abstract (EN): </w:t>
      </w:r>
      <w:r>
        <w:t>Aluminum nitride (AlN) stands as a cornerstone material for next‐generation thermal management, yet its notorious susceptibility to hydrolysis severely undermines long‐term reliability. Here, we transcend conventional surface modification by introducing a phase‐engineering strategy to fundamentally reconfigure the AlN surface. Through fluidized bed‐chemical vapor deposition, we precisely construct conformal, high‐crystalline and low‐defective graphene “skin” on AlN powders (the intensity ratio of D‐peak to G‐peak ∼0.088), where the unique growth kinetics and interfacial phase are dictated by the AlN substrate, thus differ from the conventional non‐metallic substrates. As revealed by density functional theory calculations, this process yields a covalently‐bonded heterointerface characterized by distinct C–Al–N configurations, thereby moving beyond weak van der Waals interactions. The phase‐engineered graphene skin delivers dual, synergistic functions, enhancing the thermal conductivity of AlN by 38.7% via optimized thermal transport pathways, while simultaneously acting as an ultrastable barrier, granting exceptional resistance to prolonged hygrothermal aging with the thermal conductivity variation of thermal interface material less than 1% in 30 days. This work resolves the long‐standing trade‐off between environmental stability and thermal performance in AlN, establishing a paradigm of phase‐engineered graphene encapsulation for ceramic fillers, thereby enabling the scalable fabrication of robust, hydrolysis‐resistant and high thermal conductivity composites.</w:t>
      </w:r>
    </w:p>
    <w:p>
      <w:pPr>
        <w:spacing w:before="120" w:after="120"/>
      </w:pPr>
      <w:r>
        <w:rPr>
          <w:sz w:val="18"/>
        </w:rPr>
        <w:t>——————————————————————————————————————————————————————————————————————</w:t>
      </w:r>
    </w:p>
    <w:p>
      <w:pPr>
        <w:spacing w:before="160" w:after="40" w:line="240" w:lineRule="auto"/>
      </w:pPr>
      <w:r>
        <w:rPr>
          <w:b/>
        </w:rPr>
        <w:t xml:space="preserve">[379] </w:t>
      </w:r>
      <w:hyperlink r:id="rId890">
        <w:r>
          <w:rPr>
            <w:color w:val="1155CC"/>
            <w:u w:val="single"/>
          </w:rPr>
          <w:t>冷冻保存生物墨水实现贴壁细胞的直接生物打印</w:t>
        </w:r>
      </w:hyperlink>
    </w:p>
    <w:p>
      <w:pPr>
        <w:spacing w:before="0" w:after="80"/>
      </w:pPr>
      <w:r>
        <w:rPr>
          <w:i/>
          <w:sz w:val="20"/>
        </w:rPr>
        <w:t>EN: Cryopreservative Bioink Enables Direct Bioprinting of Adherent Cells</w:t>
      </w:r>
    </w:p>
    <w:p>
      <w:pPr>
        <w:spacing w:before="0" w:after="120"/>
      </w:pPr>
      <w:r>
        <w:rPr>
          <w:b/>
        </w:rPr>
        <w:t xml:space="preserve">Source: </w:t>
      </w:r>
      <w:r>
        <w:t>Wiley: Advanced Materials: Table of Contents</w:t>
      </w:r>
      <w:r>
        <w:t xml:space="preserve">    </w:t>
      </w:r>
      <w:r>
        <w:rPr>
          <w:b/>
        </w:rPr>
        <w:t xml:space="preserve">Pub date: </w:t>
      </w:r>
      <w:r>
        <w:t>2026-03-11 14:51:11+00:00</w:t>
      </w:r>
      <w:r>
        <w:t xml:space="preserve">    </w:t>
      </w:r>
      <w:r>
        <w:rPr>
          <w:b/>
        </w:rPr>
        <w:t xml:space="preserve">DOI: </w:t>
      </w:r>
      <w:hyperlink r:id="rId891">
        <w:r>
          <w:rPr>
            <w:color w:val="1155CC"/>
            <w:u w:val="single"/>
          </w:rPr>
          <w:t>10.1002/adma.72714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冷冻保存集成生物打印通过结合细胞负载的生物墨水冷冻与直接解冻后打印，代表了一种有前途的组织再生方法，绕过了传统的培养步骤。然而，关键挑战仍然存在：冰晶化损害细胞活力，而水凝胶结构完整性恶化，影响可打印性。我们提出了一种用于冷冻保存启用的三维（3D）生物打印的双相生物墨水平台——CAMP（冷冻保存粘附和维护打印），它可以在液氮储存（−196°C）后直接在4–8°C进行3D打印。CAMP通过氢键介导的水固定抑制冰重结晶，实现了约80%的细胞活力，而无需使用有毒的冷冻保护剂</w:t>
      </w:r>
    </w:p>
    <w:p>
      <w:pPr>
        <w:spacing w:before="0" w:after="200" w:lineRule="auto" w:line="276"/>
      </w:pPr>
      <w:r>
        <w:rPr>
          <w:b/>
        </w:rPr>
        <w:t xml:space="preserve">Abstract (EN): </w:t>
      </w:r>
      <w:r>
        <w:t>Cryopreservation‐integrated bioprinting represents a promising approach for tissue regeneration by combining cell‐laden bioink freezing with direct post‐thaw printing, bypassing traditional culturing steps. However, key challenges remain: ice crystallization compromises cellular viability, while hydrogel structural integrity deteriorates, impairing printability. We present a biphasic bioink platform for cryopreservation‐enabled three‐dimensional (3D) bioprinting—CAMP (Cryopreservation for Adhesion and Maintenance Printing), which enables direct 3D printing at 4–8°C post liquid nitrogen storage (−196°C). CAMP inhibits ice recrystallization through hydrogen bond‐mediated water immobilization, achieving approximately 80% cell viability without the use of toxic cryoprotectants. Cryopreserved cells in the bioink retained focal adhesions and increased phosphorylated FAK expression, and the bioink exhibited approximately ten fold higher ice recrystallization inhibition than phosphate‐buffered saline. Mechanistically, CAMP suppressed cell death via phospho‐FAK signaling. In vivo evaluation using a rat femoral defect model demonstrated the therapeutic efficacy of CAMP, with cryopreserved constructs promoting complete bone regeneration within three months. CAMP overcomes the key limitations of conventional biofabrication by combining cell cryopreservation, bioprinting, and functional tissue formation into a single workflow. By bridging cryopreservation and bioprinting, CAMP represents a significant advance toward clinically viable, ready‐to‐implant engineered tissues.</w:t>
      </w:r>
    </w:p>
    <w:p>
      <w:pPr>
        <w:spacing w:before="120" w:after="120"/>
      </w:pPr>
      <w:r>
        <w:rPr>
          <w:sz w:val="18"/>
        </w:rPr>
        <w:t>——————————————————————————————————————————————————————————————————————</w:t>
      </w:r>
    </w:p>
    <w:p>
      <w:pPr>
        <w:spacing w:before="160" w:after="40" w:line="240" w:lineRule="auto"/>
      </w:pPr>
      <w:r>
        <w:rPr>
          <w:b/>
        </w:rPr>
        <w:t xml:space="preserve">[380] </w:t>
      </w:r>
      <w:hyperlink r:id="rId892">
        <w:r>
          <w:rPr>
            <w:color w:val="1155CC"/>
            <w:u w:val="single"/>
          </w:rPr>
          <w:t>一种用于增强超声功率传输的能量聚焦柔性轻质声学超材料</w:t>
        </w:r>
      </w:hyperlink>
    </w:p>
    <w:p>
      <w:pPr>
        <w:spacing w:before="0" w:after="80"/>
      </w:pPr>
      <w:r>
        <w:rPr>
          <w:i/>
          <w:sz w:val="20"/>
        </w:rPr>
        <w:t>EN: An Energy Focusing Flexible and Lightweight Acoustic Metamaterial for Enhanced Ultrasound Power Transfer</w:t>
      </w:r>
    </w:p>
    <w:p>
      <w:pPr>
        <w:spacing w:before="0" w:after="120"/>
      </w:pPr>
      <w:r>
        <w:rPr>
          <w:b/>
        </w:rPr>
        <w:t xml:space="preserve">Source: </w:t>
      </w:r>
      <w:r>
        <w:t>Wiley: Advanced Materials: Table of Contents</w:t>
      </w:r>
      <w:r>
        <w:t xml:space="preserve">    </w:t>
      </w:r>
      <w:r>
        <w:rPr>
          <w:b/>
        </w:rPr>
        <w:t xml:space="preserve">Pub date: </w:t>
      </w:r>
      <w:r>
        <w:t>2026-03-11 14:55:53+00:00</w:t>
      </w:r>
      <w:r>
        <w:t xml:space="preserve">    </w:t>
      </w:r>
      <w:r>
        <w:rPr>
          <w:b/>
        </w:rPr>
        <w:t xml:space="preserve">DOI: </w:t>
      </w:r>
      <w:hyperlink r:id="rId893">
        <w:r>
          <w:rPr>
            <w:color w:val="1155CC"/>
            <w:u w:val="single"/>
          </w:rPr>
          <w:t>10.1002/adma.202519545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声波能量传输通过利用能量收集器将传入的超声波转换为电能，实现了植入式医疗设备的无线充电。大多数能量收集器依赖于锆钛酸铅（PZT）晶体进行能量转换，但由于PZT是刚性和密集的陶瓷，将其放大以收集更多能量会产生不适合医疗应用的较重设备。本研究提出了一种超材料增强的超声波能量收集器（Meta-UEH），它集成了一个小型PZT晶体和局部共振超材料，该超材料将超声波能量集中在PZT上，从而提高其能量收集性能。该超材料是柔性的、轻量的，并且完全被动，非常适合用于医疗</w:t>
      </w:r>
    </w:p>
    <w:p>
      <w:pPr>
        <w:spacing w:before="0" w:after="200" w:lineRule="auto" w:line="276"/>
      </w:pPr>
      <w:r>
        <w:rPr>
          <w:b/>
        </w:rPr>
        <w:t xml:space="preserve">Abstract (EN): </w:t>
      </w:r>
      <w:r>
        <w:t>Ultrasound power transfer enables the wireless charging of implantable medical devices by utilizing an energy harvester to convert incoming ultrasound into electrical energy. Most harvesters rely on Lead Zirconate Titanate (PZT) crystals for energy conversion, but since PZTs are rigid and dense ceramics, scaling them up to harvest more energy produces heavier devices that are impractical for medical applications. This study presents a metamaterial‐enhanced ultrasound energy harvester (Meta‐UEH) that integrates a small PZT crystal with a locally resonant metamaterial, which concentrates ultrasound energy onto the PZT and thus improves its energy harvesting performance. The metamaterial is flexible, lightweight, and entirely passive, making it well‐suited for medical applications, while increasing the power of harvested electricity by more than double. Experimental and simulation results confirm that the Meta‐UEH achieves enhanced efficiency even under reverberation or deformation, benefiting from standing waves that form between transducers and the metamaterial, with harvested electrical power reaching up to 350% of that obtained without the metamaterial and standing wave. The underlying mechanisms behind the improvement are analyzed, revealing that the improvement is not specific to PZTs but can also be applied to other ultrasound‐electricity conversion methods, such as piezoelectric and triboelectric nanogenerators.</w:t>
      </w:r>
    </w:p>
    <w:p>
      <w:pPr>
        <w:spacing w:before="120" w:after="120"/>
      </w:pPr>
      <w:r>
        <w:rPr>
          <w:sz w:val="18"/>
        </w:rPr>
        <w:t>——————————————————————————————————————————————————————————————————————</w:t>
      </w:r>
    </w:p>
    <w:p>
      <w:pPr>
        <w:spacing w:before="160" w:after="40" w:line="240" w:lineRule="auto"/>
      </w:pPr>
      <w:r>
        <w:rPr>
          <w:b/>
        </w:rPr>
        <w:t xml:space="preserve">[381] </w:t>
      </w:r>
      <w:hyperlink r:id="rId894">
        <w:r>
          <w:rPr>
            <w:color w:val="1155CC"/>
            <w:u w:val="single"/>
          </w:rPr>
          <w:t>欧盟审计员警告能源共同体目标超出现实</w:t>
        </w:r>
      </w:hyperlink>
    </w:p>
    <w:p>
      <w:pPr>
        <w:spacing w:before="0" w:after="80"/>
      </w:pPr>
      <w:r>
        <w:rPr>
          <w:i/>
          <w:sz w:val="20"/>
        </w:rPr>
        <w:t>EN: EU auditors warn energy community targets outpace reality</w:t>
      </w:r>
    </w:p>
    <w:p>
      <w:pPr>
        <w:spacing w:before="0" w:after="120"/>
      </w:pPr>
      <w:r>
        <w:rPr>
          <w:b/>
        </w:rPr>
        <w:t xml:space="preserve">Source: </w:t>
      </w:r>
      <w:r>
        <w:t>Commercial &amp; Industrial PV – pv magazine International</w:t>
      </w:r>
      <w:r>
        <w:t xml:space="preserve">    </w:t>
      </w:r>
      <w:r>
        <w:rPr>
          <w:b/>
        </w:rPr>
        <w:t xml:space="preserve">Pub date: </w:t>
      </w:r>
      <w:r>
        <w:t>2026-03-11 15:30:37+00:00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895">
        <w:r>
          <w:rPr>
            <w:color w:val="1155CC"/>
            <w:u w:val="single"/>
          </w:rPr>
          <w:t>[ASAP] Sn掺入的单壁沸石纳米管的合成作为路易斯酸催化剂</w:t>
        </w:r>
      </w:hyperlink>
    </w:p>
    <w:p>
      <w:pPr>
        <w:spacing w:before="0" w:after="80"/>
      </w:pPr>
      <w:r>
        <w:rPr>
          <w:i/>
          <w:sz w:val="20"/>
        </w:rPr>
        <w:t>EN: [ASAP] Synthesis of Sn-Incorporated Single-Walled Zeolitic Nanotube as a Lewis Acidic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2026-03-11 15:34:23+00:00</w:t>
      </w:r>
      <w:r>
        <w:t xml:space="preserve">    </w:t>
      </w:r>
      <w:r>
        <w:rPr>
          <w:b/>
        </w:rPr>
        <w:t xml:space="preserve">DOI: </w:t>
      </w:r>
      <w:hyperlink r:id="rId896">
        <w:r>
          <w:rPr>
            <w:color w:val="1155CC"/>
            <w:u w:val="single"/>
          </w:rPr>
          <w:t>10.1021/jacs.5c23149</w:t>
        </w:r>
      </w:hyperlink>
    </w:p>
    <w:p>
      <w:pPr>
        <w:spacing w:before="0" w:after="120"/>
      </w:pPr>
      <w:r>
        <w:rPr>
          <w:b/>
        </w:rPr>
        <w:t xml:space="preserve">Notes: </w:t>
      </w:r>
      <w:r>
        <w:t>abstract_source=pubmed</w:t>
      </w:r>
    </w:p>
    <w:p>
      <w:pPr>
        <w:spacing w:before="0" w:after="80" w:lineRule="auto" w:line="276"/>
      </w:pPr>
      <w:r>
        <w:rPr>
          <w:b/>
        </w:rPr>
        <w:t xml:space="preserve">摘要（ZH）: </w:t>
      </w:r>
      <w:r>
        <w:t>单壁沸石纳米管是一种新型的开放框架材料，其特点是中空的管状形态和双层沸石墙。扩展其组成多样性和可调性对于释放这种新材料的潜力至关重要。在此，我们通过固态离子交换法合成了锡掺杂的单壁沸石纳米管（Sn-ZNT）。由于其独特的双层结构，其中大多数框架原子高度暴露，预计在使用酸性前体进行离子交换时会发生局部脱铝，产生锡取代的空位。表征显示，掺入的锡物种位于框架位点，主要以部分水解的“开放”位点存在。这些锡物种</w:t>
      </w:r>
    </w:p>
    <w:p>
      <w:pPr>
        <w:spacing w:before="0" w:after="200" w:lineRule="auto" w:line="276"/>
      </w:pPr>
      <w:r>
        <w:rPr>
          <w:b/>
        </w:rPr>
        <w:t xml:space="preserve">Abstract (EN): </w:t>
      </w:r>
      <w:r>
        <w:t>The single-walled zeolitic nanotube is a novel open-framework material distinguished by its hollow tubular morphology and double-layered zeolitic walls. Expanding its compositional diversity and tunability is crucial for unlocking the potential of this new material. Here, we report the synthesis of tin-incorporated single-walled zeolitic nanotubes (Sn-ZNT) through a solid-state ion exchange method. Owing to the unique double-layered structure, where most framework atoms are highly exposed, local dealumination is expected to occur during ion exchange using an acidic precursor, generating vacant sites for Sn substitution. Characterizations revealed that the incorporated Sn species were located at framework sites and primarily existed as partially hydrolyzed "open" sites. These Sn species enriched and strengthened the Lewis acidity, enabling Sn-ZNT to act as an efficient Lewis acidic catalyst. Using the Baeyer-Villiger oxidation as a probe reaction, Sn-ZNT exhibited remarkable activity in converting 2-adamantanone to its corresponding lactone, achieving a turnover number three times higher than that of Sn-MFI. Sn-ZNT also exhibited unexpectedly high stability, with both its structural integrity and catalytic performance preserved over multiple reaction-regeneration cycles. The successful synthesis of Sn-ZNT expands the compositional versatility of this novel material and is expected to open up new opportunities for its applications in advanced catalysis and beyond.</w:t>
      </w:r>
    </w:p>
    <w:p>
      <w:pPr>
        <w:spacing w:before="120" w:after="120"/>
      </w:pPr>
      <w:r>
        <w:rPr>
          <w:sz w:val="18"/>
        </w:rPr>
        <w:t>——————————————————————————————————————————————————————————————————————</w:t>
      </w:r>
    </w:p>
    <w:p>
      <w:pPr>
        <w:spacing w:before="160" w:after="40" w:line="240" w:lineRule="auto"/>
      </w:pPr>
      <w:r>
        <w:rPr>
          <w:b/>
        </w:rPr>
        <w:t xml:space="preserve">[383] </w:t>
      </w:r>
      <w:hyperlink r:id="rId897">
        <w:r>
          <w:rPr>
            <w:color w:val="1155CC"/>
            <w:u w:val="single"/>
          </w:rPr>
          <w:t>[ASAP] 钆配合物的光诱导自旋极化</w:t>
        </w:r>
      </w:hyperlink>
    </w:p>
    <w:p>
      <w:pPr>
        <w:spacing w:before="0" w:after="80"/>
      </w:pPr>
      <w:r>
        <w:rPr>
          <w:i/>
          <w:sz w:val="20"/>
        </w:rPr>
        <w:t>EN: [ASAP] Photoinduced Spin Polarization of a Gadolinium Complex</w:t>
      </w:r>
    </w:p>
    <w:p>
      <w:pPr>
        <w:spacing w:before="0" w:after="120"/>
      </w:pPr>
      <w:r>
        <w:rPr>
          <w:b/>
        </w:rPr>
        <w:t xml:space="preserve">Source: </w:t>
      </w:r>
      <w:r>
        <w:t>Journal of the American Chemical Society: Latest Articles (ACS Publications)</w:t>
      </w:r>
      <w:r>
        <w:t xml:space="preserve">    </w:t>
      </w:r>
      <w:r>
        <w:rPr>
          <w:b/>
        </w:rPr>
        <w:t xml:space="preserve">Pub date: </w:t>
      </w:r>
      <w:r>
        <w:t>2026-03-11 15:43:32+00:00</w:t>
      </w:r>
      <w:r>
        <w:t xml:space="preserve">    </w:t>
      </w:r>
      <w:r>
        <w:rPr>
          <w:b/>
        </w:rPr>
        <w:t xml:space="preserve">DOI: </w:t>
      </w:r>
      <w:hyperlink r:id="rId898">
        <w:r>
          <w:rPr>
            <w:color w:val="1155CC"/>
            <w:u w:val="single"/>
          </w:rPr>
          <w:t>10.1021/jacs.5c20047</w:t>
        </w:r>
      </w:hyperlink>
    </w:p>
    <w:p>
      <w:pPr>
        <w:spacing w:before="0" w:after="120"/>
      </w:pPr>
      <w:r>
        <w:rPr>
          <w:b/>
        </w:rPr>
        <w:t xml:space="preserve">Notes: </w:t>
      </w:r>
      <w:r>
        <w:t>abstract_source=pubmed</w:t>
      </w:r>
    </w:p>
    <w:p>
      <w:pPr>
        <w:spacing w:before="0" w:after="80" w:lineRule="auto" w:line="276"/>
      </w:pPr>
      <w:r>
        <w:rPr>
          <w:b/>
        </w:rPr>
        <w:t xml:space="preserve">摘要（ZH）: </w:t>
      </w:r>
      <w:r>
        <w:t>本文探讨了光激发有机发色团与钆(III)离子在复合物中的相互作用，该复合物在其电子顺磁共振（EPR）特征中表现出有趣的自旋极化时间演变。时间分辨EPR、瞬态吸收和光致发光光谱结合密度泛函理论和光谱模拟的结果，揭示了光化学机制及其对复合物磁性特性的影响。我们表明，通过光激发邻近的有机发色团，可以扰动钆(III)离子的极化，这反映在镧系离子的EPR信号反转中。因此，我们建议了一种新的途径来初始化和操控基于镧系的量子位</w:t>
      </w:r>
    </w:p>
    <w:p>
      <w:pPr>
        <w:spacing w:before="0" w:after="200" w:lineRule="auto" w:line="276"/>
      </w:pPr>
      <w:r>
        <w:rPr>
          <w:b/>
        </w:rPr>
        <w:t xml:space="preserve">Abstract (EN): </w:t>
      </w:r>
      <w:r>
        <w:t>This paper explores the interaction between a photoexcited organic chromophore and a gadolinium(III) ion in a complex, which exhibits an intriguing time evolution of the spin polarization in its electron paramagnetic resonance (EPR) signature. Time-resolved EPR, transient absorption, and photoluminescence spectroscopies combine with results from density functional theory and spectral simulations to allow elucidation of the photochemical mechanism and its impact on the complex's magnetic properties. We show that perturbation of the polarization of a gadolinium(III) ion is possible via photoexcitation of a neighboring, organic chromophore, reflected in the inversion of the lanthanide ion's EPR signal. We, therefore, suggest a new avenue to initialize and manipulate lanthanide-based qudits with potential applications in quantum information science.</w:t>
      </w:r>
    </w:p>
    <w:p>
      <w:pPr>
        <w:spacing w:before="120" w:after="120"/>
      </w:pPr>
      <w:r>
        <w:rPr>
          <w:sz w:val="18"/>
        </w:rPr>
        <w:t>——————————————————————————————————————————————————————————————————————</w:t>
      </w:r>
    </w:p>
    <w:p>
      <w:pPr>
        <w:spacing w:before="160" w:after="40" w:line="240" w:lineRule="auto"/>
      </w:pPr>
      <w:r>
        <w:rPr>
          <w:b/>
        </w:rPr>
        <w:t xml:space="preserve">[384] </w:t>
      </w:r>
      <w:hyperlink r:id="rId899">
        <w:r>
          <w:rPr>
            <w:color w:val="1155CC"/>
            <w:u w:val="single"/>
          </w:rPr>
          <w:t>[ASAP] 通过酰基供体底物工程的OaAEP1介导的镜像肽连接</w:t>
        </w:r>
      </w:hyperlink>
    </w:p>
    <w:p>
      <w:pPr>
        <w:spacing w:before="0" w:after="80"/>
      </w:pPr>
      <w:r>
        <w:rPr>
          <w:i/>
          <w:sz w:val="20"/>
        </w:rPr>
        <w:t>EN: [ASAP] OaAEP1-Mediated Ligation of Mirror-Image Peptides via Acyl Donor Substrate Engineering</w:t>
      </w:r>
    </w:p>
    <w:p>
      <w:pPr>
        <w:spacing w:before="0" w:after="120"/>
      </w:pPr>
      <w:r>
        <w:rPr>
          <w:b/>
        </w:rPr>
        <w:t xml:space="preserve">Source: </w:t>
      </w:r>
      <w:r>
        <w:t>Journal of the American Chemical Society: Latest Articles (ACS Publications)</w:t>
      </w:r>
      <w:r>
        <w:t xml:space="preserve">    </w:t>
      </w:r>
      <w:r>
        <w:rPr>
          <w:b/>
        </w:rPr>
        <w:t xml:space="preserve">Pub date: </w:t>
      </w:r>
      <w:r>
        <w:t>2026-03-11 16:42:36+00:00</w:t>
      </w:r>
      <w:r>
        <w:t xml:space="preserve">    </w:t>
      </w:r>
      <w:r>
        <w:rPr>
          <w:b/>
        </w:rPr>
        <w:t xml:space="preserve">DOI: </w:t>
      </w:r>
      <w:hyperlink r:id="rId900">
        <w:r>
          <w:rPr>
            <w:color w:val="1155CC"/>
            <w:u w:val="single"/>
          </w:rPr>
          <w:t>10.1021/jacs.6c00057</w:t>
        </w:r>
      </w:hyperlink>
    </w:p>
    <w:p>
      <w:pPr>
        <w:spacing w:before="0" w:after="120"/>
      </w:pPr>
      <w:r>
        <w:rPr>
          <w:b/>
        </w:rPr>
        <w:t xml:space="preserve">Notes: </w:t>
      </w:r>
      <w:r>
        <w:t>abstract_source=pubmed</w:t>
      </w:r>
    </w:p>
    <w:p>
      <w:pPr>
        <w:spacing w:before="0" w:after="80" w:lineRule="auto" w:line="276"/>
      </w:pPr>
      <w:r>
        <w:rPr>
          <w:b/>
        </w:rPr>
        <w:t xml:space="preserve">摘要（ZH）: </w:t>
      </w:r>
      <w:r>
        <w:t>d-蛋白是非蛋白水解d-肽药物发现和镜像生命开发所需的重要合成分子。这类分子的化学合成主要依赖于化学连接方法；然而，由于天然酶的固有手性选择性，酶促连接不能轻易应用。在此，我们展示了酰基供体底物工程使OaAEP1介导的镜像肽连接成为可能。在这种方法中，具有C末端天冬酰胺硫酯的酰基供体d-肽被OaAEP1直接识别，并与具有N末端Gx-基序（x = l, i, v, c, G等）的d-肽酰基受体连接。该方法在非变性条件下（PBS缓冲液，pH 7.0）实现了高效的d-肽连接，其有效性</w:t>
      </w:r>
    </w:p>
    <w:p>
      <w:pPr>
        <w:spacing w:before="0" w:after="200" w:lineRule="auto" w:line="276"/>
      </w:pPr>
      <w:r>
        <w:rPr>
          <w:b/>
        </w:rPr>
        <w:t xml:space="preserve">Abstract (EN): </w:t>
      </w:r>
      <w:r>
        <w:t>d-proteins are important synthetic molecules needed for nonproteolytic d-peptide drug discovery and the development of mirror-image life. The chemical synthesis of such molecules primarily relies on chemical ligation methods; however, enzymatic ligation cannot be readily applied due to the inherent chiral selectivity of native enzymes. Here, we demonstrate that acyl donor substrate engineering enables the OaAEP1-mediated ligation of mirror-image peptides. In this approach, an acyl donor d-peptide with a C-terminal asparaginyl thioester is directly recognized by OaAEP1, which is ligated to a d-peptide acyl acceptor bearing an N-terminal Gx- motif (x = l, i, v, c, G, etc.). This method enables efficient d-peptides ligation under nondenaturing conditions (PBS buffer, pH 7.0), and its effectiveness and practicality are exemplified by the synthesis of the d-cyclopeptides, d-mini-proteins, and mirror-image K6-ubiquitinated α-synuclein (1-17) comprising 102 amino acids. This work demonstrates that substrate engineering is a powerful strategy for harnessing the hidden potential of natural enzymes.</w:t>
      </w:r>
    </w:p>
    <w:p>
      <w:pPr>
        <w:spacing w:before="120" w:after="120"/>
      </w:pPr>
      <w:r>
        <w:rPr>
          <w:sz w:val="18"/>
        </w:rPr>
        <w:t>——————————————————————————————————————————————————————————————————————</w:t>
      </w:r>
    </w:p>
    <w:p>
      <w:pPr>
        <w:spacing w:before="160" w:after="40" w:line="240" w:lineRule="auto"/>
      </w:pPr>
      <w:r>
        <w:rPr>
          <w:b/>
        </w:rPr>
        <w:t xml:space="preserve">[385] </w:t>
      </w:r>
      <w:hyperlink r:id="rId901">
        <w:r>
          <w:rPr>
            <w:color w:val="1155CC"/>
            <w:u w:val="single"/>
          </w:rPr>
          <w:t>[ASAP] 一种“肺陷阱”诊疗策略，用于精确管理耐药性细菌性肺炎和菌血症</w:t>
        </w:r>
      </w:hyperlink>
    </w:p>
    <w:p>
      <w:pPr>
        <w:spacing w:before="0" w:after="80"/>
      </w:pPr>
      <w:r>
        <w:rPr>
          <w:i/>
          <w:sz w:val="20"/>
        </w:rPr>
        <w:t>EN: [ASAP] A “Lung-Trap” Theranostic Strategy for Precision Management of Drug-Resistant Bacterial Pneumonia and Bacteremia</w:t>
      </w:r>
    </w:p>
    <w:p>
      <w:pPr>
        <w:spacing w:before="0" w:after="120"/>
      </w:pPr>
      <w:r>
        <w:rPr>
          <w:b/>
        </w:rPr>
        <w:t xml:space="preserve">Source: </w:t>
      </w:r>
      <w:r>
        <w:t>Journal of the American Chemical Society: Latest Articles (ACS Publications)</w:t>
      </w:r>
      <w:r>
        <w:t xml:space="preserve">    </w:t>
      </w:r>
      <w:r>
        <w:rPr>
          <w:b/>
        </w:rPr>
        <w:t xml:space="preserve">Pub date: </w:t>
      </w:r>
      <w:r>
        <w:t>2026-03-11 17:16:34+00:00</w:t>
      </w:r>
      <w:r>
        <w:t xml:space="preserve">    </w:t>
      </w:r>
      <w:r>
        <w:rPr>
          <w:b/>
        </w:rPr>
        <w:t xml:space="preserve">DOI: </w:t>
      </w:r>
      <w:hyperlink r:id="rId902">
        <w:r>
          <w:rPr>
            <w:color w:val="1155CC"/>
            <w:u w:val="single"/>
          </w:rPr>
          <w:t>10.1021/jacs.6c00209</w:t>
        </w:r>
      </w:hyperlink>
    </w:p>
    <w:p>
      <w:pPr>
        <w:spacing w:before="0" w:after="120"/>
      </w:pPr>
      <w:r>
        <w:rPr>
          <w:b/>
        </w:rPr>
        <w:t xml:space="preserve">Notes: </w:t>
      </w:r>
      <w:r>
        <w:t>abstract_source=pubmed</w:t>
      </w:r>
    </w:p>
    <w:p>
      <w:pPr>
        <w:spacing w:before="0" w:after="80" w:lineRule="auto" w:line="276"/>
      </w:pPr>
      <w:r>
        <w:rPr>
          <w:b/>
        </w:rPr>
        <w:t xml:space="preserve">摘要（ZH）: </w:t>
      </w:r>
      <w:r>
        <w:t>抗生素耐药性全球危机的升级要求开发新的治疗策略。本研究提出了一种“肺陷阱”策略，将范式从全身化学根除转变为局部物理拦截和清除。一种工程化的肽缀合物，即BTFR，选择性地积聚在肺血管中，并自组装成捕获细菌的纳米纤维。这些纳米结构有效地捕获耐甲氧西林金黄色葡萄球菌（MRSA），防止其传播，并减弱毒力。该平台还支持实时NIR-II成像，并表现出强大的光动力活性。体内研究表明，BTFR能有效捕获肺内细菌，显著降低细菌负荷，提高生存率。</w:t>
      </w:r>
    </w:p>
    <w:p>
      <w:pPr>
        <w:spacing w:before="0" w:after="200" w:lineRule="auto" w:line="276"/>
      </w:pPr>
      <w:r>
        <w:rPr>
          <w:b/>
        </w:rPr>
        <w:t xml:space="preserve">Abstract (EN): </w:t>
      </w:r>
      <w:r>
        <w:t>The escalating global crisis of antibiotic resistance demands the development of novel therapeutic strategies. This study proposes a "lung-trap" strategy that shifts the paradigm from systemic chemical eradication to localized physical interception and clearance. An engineered peptide conjugate, namely BTFR, selectively accumulates in the pulmonary vasculature and undergoes self-assembly into bacteria-capturing nanofibers. These nanostructures effectively entrap methicillin-resistant S. aureus (MRSA), prevent its dissemination, and attenuate virulence. The platform further enables real-time NIR-II imaging and exhibits potent photodynamic activity. In vivo studies demonstrated that BTFR efficiently captures bacteria within the lungs, significantly reduces bacterial loading, improves survival rates, and promotes tissue repair in models of MRSA-induced pneumonia and bacteremia. This approach transforms the lung from a passive site of infection into an active defense barrier, offering a promising new paradigm for the treatment of severe bacterial infections.</w:t>
      </w:r>
    </w:p>
    <w:p>
      <w:pPr>
        <w:spacing w:before="120" w:after="120"/>
      </w:pPr>
      <w:r>
        <w:rPr>
          <w:sz w:val="18"/>
        </w:rPr>
        <w:t>——————————————————————————————————————————————————————————————————————</w:t>
      </w:r>
    </w:p>
    <w:p>
      <w:pPr>
        <w:spacing w:before="160" w:after="40" w:line="240" w:lineRule="auto"/>
      </w:pPr>
      <w:r>
        <w:rPr>
          <w:b/>
        </w:rPr>
        <w:t xml:space="preserve">[386] </w:t>
      </w:r>
      <w:hyperlink r:id="rId903">
        <w:r>
          <w:rPr>
            <w:color w:val="1155CC"/>
            <w:u w:val="single"/>
          </w:rPr>
          <w:t>[ASAP] 阐明ZMQ-1的酸性和纹理特性，这是一种28元环介孔铝硅酸盐沸石</w:t>
        </w:r>
      </w:hyperlink>
    </w:p>
    <w:p>
      <w:pPr>
        <w:spacing w:before="0" w:after="80"/>
      </w:pPr>
      <w:r>
        <w:rPr>
          <w:i/>
          <w:sz w:val="20"/>
        </w:rPr>
        <w:t>EN: [ASAP] Elucidating the Acidic and Textural Properties of ZMQ-1, a 28-membered Ring Mesoporous Aluminosilicate Zeolite</w:t>
      </w:r>
    </w:p>
    <w:p>
      <w:pPr>
        <w:spacing w:before="0" w:after="120"/>
      </w:pPr>
      <w:r>
        <w:rPr>
          <w:b/>
        </w:rPr>
        <w:t xml:space="preserve">Source: </w:t>
      </w:r>
      <w:r>
        <w:t>Journal of the American Chemical Society: Latest Articles (ACS Publications)</w:t>
      </w:r>
      <w:r>
        <w:t xml:space="preserve">    </w:t>
      </w:r>
      <w:r>
        <w:rPr>
          <w:b/>
        </w:rPr>
        <w:t xml:space="preserve">Pub date: </w:t>
      </w:r>
      <w:r>
        <w:t>2026-03-11 17:42:39+00:00</w:t>
      </w:r>
      <w:r>
        <w:t xml:space="preserve">    </w:t>
      </w:r>
      <w:r>
        <w:rPr>
          <w:b/>
        </w:rPr>
        <w:t xml:space="preserve">DOI: </w:t>
      </w:r>
      <w:hyperlink r:id="rId904">
        <w:r>
          <w:rPr>
            <w:color w:val="1155CC"/>
            <w:u w:val="single"/>
          </w:rPr>
          <w:t>10.1021/jacs.5c21600</w:t>
        </w:r>
      </w:hyperlink>
    </w:p>
    <w:p>
      <w:pPr>
        <w:spacing w:before="0" w:after="120"/>
      </w:pPr>
      <w:r>
        <w:rPr>
          <w:b/>
        </w:rPr>
        <w:t xml:space="preserve">Notes: </w:t>
      </w:r>
      <w:r>
        <w:t>abstract_source=pubmed</w:t>
      </w:r>
    </w:p>
    <w:p>
      <w:pPr>
        <w:spacing w:before="0" w:after="80" w:lineRule="auto" w:line="276"/>
      </w:pPr>
      <w:r>
        <w:rPr>
          <w:b/>
        </w:rPr>
        <w:t xml:space="preserve">摘要（ZH）: </w:t>
      </w:r>
      <w:r>
        <w:t>ZMQ-1是一种新近发现的铝硅酸盐沸石，具有原子级有序的介孔（28 × 10元环），提供了独特的、内在的双峰微/介孔框架。本研究系统地调查了由双膦有机结构导向剂衍生的残留无机磷酸盐物种如何影响材料的纹理和酸性特性。通过使用氩气物理吸附、固态NMR、原位FTIR和DFT计算，我们证明了真空煅烧或有针对性的后合成洗涤（NH4Cl, CsNO3）可以去除约90%的残留磷物种，否则会严重降低Brønsted酸位点的密度和可及性。关键是准确确定吡啶和2,6-二叔丁基的摩尔消光系数。</w:t>
      </w:r>
    </w:p>
    <w:p>
      <w:pPr>
        <w:spacing w:before="0" w:after="200" w:lineRule="auto" w:line="276"/>
      </w:pPr>
      <w:r>
        <w:rPr>
          <w:b/>
        </w:rPr>
        <w:t xml:space="preserve">Abstract (EN): </w:t>
      </w:r>
      <w:r>
        <w:t>ZMQ-1 is a recently discovered aluminosilicate zeolite featuring atomically ordered mesopores (28 × 10-membered rings), providing a unique, intrinsically bimodal micro/mesoporous framework. This study systematically investigates how residual inorganic phosphate species, derived from the biphosphonium organic structure-directing agent, influence the textural and acidic properties of the material. Using argon physisorption, solid-state NMR, in situ FTIR, and DFT calculations, we demonstrate that vacuum calcination or targeted postsynthetic washing (NH4Cl, CsNO3) removes ∼90% of residual phosphorus species, which otherwise severely diminishes Brønsted acid sites density and accessibility. Crucially, the determination of accurate molar extinction coefficients for pyridine and 2,6-di-tert-butylpyridine revealed that residual phosphorus markedly hinders probe molecule accessibility and diminishes acid strength. DFT modeling identifies preferred Al substitution sites that orient Brønsted protons toward the 28-MR mesoporous channels. The catalytic potential of this architecture was interrogated via the sterically demanding alkylation of 2,4-di-tert-butylphenol with tert-butyl alcohol. Phosphorus-free ZMQ-1 achieves a 15.5% yield of the bulky target, 2,4,6-tri-tert-butylphenol─a 31-fold increase over hierarchical USY (0.5%) and vastly outperforming amorphous-walled Al-MCM-41. These findings establish ZMQ-1 as a landmark catalyst bridging the gap between zeolitic acidity and mesoporous accessibility and further push the catalytic operating boundaries of nanoporous solid acid catalysts.</w:t>
      </w:r>
    </w:p>
    <w:p>
      <w:pPr>
        <w:spacing w:before="120" w:after="120"/>
      </w:pPr>
      <w:r>
        <w:rPr>
          <w:sz w:val="18"/>
        </w:rPr>
        <w:t>——————————————————————————————————————————————————————————————————————</w:t>
      </w:r>
    </w:p>
    <w:p>
      <w:pPr>
        <w:spacing w:before="160" w:after="40" w:line="240" w:lineRule="auto"/>
      </w:pPr>
      <w:r>
        <w:rPr>
          <w:b/>
        </w:rPr>
        <w:t xml:space="preserve">[387] </w:t>
      </w:r>
      <w:hyperlink r:id="rId905">
        <w:r>
          <w:rPr>
            <w:color w:val="1155CC"/>
            <w:u w:val="single"/>
          </w:rPr>
          <w:t>[ASAP] 部分保护的N-乙酰氨基葡萄糖供体实现直接β-O-糖基化：应用和机制见解</w:t>
        </w:r>
      </w:hyperlink>
    </w:p>
    <w:p>
      <w:pPr>
        <w:spacing w:before="0" w:after="80"/>
      </w:pPr>
      <w:r>
        <w:rPr>
          <w:i/>
          <w:sz w:val="20"/>
        </w:rPr>
        <w:t>EN: [ASAP] Partially Protected N-Acetylglycosamine Donors Enable Direct β-O-Glycosylation: Applications and Mechanistic Insights</w:t>
      </w:r>
    </w:p>
    <w:p>
      <w:pPr>
        <w:spacing w:before="0" w:after="120"/>
      </w:pPr>
      <w:r>
        <w:rPr>
          <w:b/>
        </w:rPr>
        <w:t xml:space="preserve">Source: </w:t>
      </w:r>
      <w:r>
        <w:t>Journal of the American Chemical Society: Latest Articles (ACS Publications)</w:t>
      </w:r>
      <w:r>
        <w:t xml:space="preserve">    </w:t>
      </w:r>
      <w:r>
        <w:rPr>
          <w:b/>
        </w:rPr>
        <w:t xml:space="preserve">Pub date: </w:t>
      </w:r>
      <w:r>
        <w:t>2026-03-11 19:20:48+00:00</w:t>
      </w:r>
      <w:r>
        <w:t xml:space="preserve">    </w:t>
      </w:r>
      <w:r>
        <w:rPr>
          <w:b/>
        </w:rPr>
        <w:t xml:space="preserve">DOI: </w:t>
      </w:r>
      <w:hyperlink r:id="rId906">
        <w:r>
          <w:rPr>
            <w:color w:val="1155CC"/>
            <w:u w:val="single"/>
          </w:rPr>
          <w:t>10.1021/jacs.6c00723</w:t>
        </w:r>
      </w:hyperlink>
    </w:p>
    <w:p>
      <w:pPr>
        <w:spacing w:before="0" w:after="120"/>
      </w:pPr>
      <w:r>
        <w:rPr>
          <w:b/>
        </w:rPr>
        <w:t xml:space="preserve">Notes: </w:t>
      </w:r>
      <w:r>
        <w:t>abstract_source=openalex</w:t>
      </w:r>
    </w:p>
    <w:p>
      <w:pPr>
        <w:spacing w:before="0" w:after="80" w:lineRule="auto" w:line="276"/>
      </w:pPr>
      <w:r>
        <w:rPr>
          <w:b/>
        </w:rPr>
        <w:t xml:space="preserve">摘要（ZH）: </w:t>
      </w:r>
      <w:r>
        <w:t>复杂分子的高效合成需要精确控制位点、立体和化学选择性，同时尽量减少对保护基操作的依赖，这仍然是合成化学中的一个长期目标。2-乙酰氨基-2-脱氧-d-己糖（GlcNAc和GalNAc）是生物重要糖链和糖缀合物的普遍成分；然而，直接和快速获取其糖苷的方法仍然有限。传统策略通常需要苛刻条件来打开稳定的噁唑啉中间体或涉及对乙酰氨基基团的广泛保护基转化。在此，我们报告了一种由Au(I)催化的直接和温和的β-O-糖苷化反应，通过2-乙酰氨基-2-脱氧-6-O-叔丁基二苯基硅基-d-糖苷实现。</w:t>
      </w:r>
    </w:p>
    <w:p>
      <w:pPr>
        <w:spacing w:before="0" w:after="200" w:lineRule="auto" w:line="276"/>
      </w:pPr>
      <w:r>
        <w:rPr>
          <w:b/>
        </w:rPr>
        <w:t xml:space="preserve">Abstract (EN): </w:t>
      </w:r>
      <w:r>
        <w:t>The efficient synthesis of complex molecules with precise control over site-, stereo-, and chemoselectivity─while minimizing reliance on protecting-group manipulations─remains a long-standing goal in synthetic chemistry. 2-Acetamido-2-deoxy-&lt;i&gt;d&lt;/i&gt;-hexoses (GlcNAc and GalNAc) are ubiquitous components of biologically important glycans and glycoconjugates; however, direct and rapid methods to access their glycosides remain limited. Conventional strategies often require harsh conditions to open the stable oxazoline intermediate or involve extensive protecting-group transformations on the acetamido group. Here, we report an Au(I)-catalyzed, direct and mild β-&lt;i&gt;O&lt;/i&gt;-glycosylation of GlcNAc and GalNAc enabled by 2-acetamido-2-deoxy-6-&lt;i&gt;O&lt;/i&gt;-&lt;i&gt;tert&lt;/i&gt;-butyldiphenylsilyl-&lt;i&gt;d&lt;/i&gt;-glycosyl 8-alkynyl-1-naphthoate donors, avoiding harsh oxazoline activation and extensive protecting-group use. Mechanistic studies reveal a distinct oxazoline ring-opening pathway: an intramolecular hydrogen bond between the 2-acetamido group and the C-3 hydroxyl promotes ring cleavage, enabling glycosylation of a broad range of alcohols and carboxylic acids. This nonenzymatic transformation parallels the substrate-assisted mechanism of &lt;i&gt;O&lt;/i&gt;-GlcNAcase and offers a practical route to 2-acetamido glycosides under synthetically accessible conditions.</w:t>
      </w:r>
    </w:p>
    <w:p>
      <w:pPr>
        <w:spacing w:before="120" w:after="120"/>
      </w:pPr>
      <w:r>
        <w:rPr>
          <w:sz w:val="18"/>
        </w:rPr>
        <w:t>——————————————————————————————————————————————————————————————————————</w:t>
      </w:r>
    </w:p>
    <w:p>
      <w:pPr>
        <w:spacing w:before="160" w:after="40" w:line="240" w:lineRule="auto"/>
      </w:pPr>
      <w:r>
        <w:rPr>
          <w:b/>
        </w:rPr>
        <w:t xml:space="preserve">[388] </w:t>
      </w:r>
      <w:hyperlink r:id="rId907">
        <w:r>
          <w:rPr>
            <w:color w:val="1155CC"/>
            <w:u w:val="single"/>
          </w:rPr>
          <w:t>[ASAP] Li+促进的未活化C–H键的氰化反应通过生物模拟氧化由锰卟啉配合物催化</w:t>
        </w:r>
      </w:hyperlink>
    </w:p>
    <w:p>
      <w:pPr>
        <w:spacing w:before="0" w:after="80"/>
      </w:pPr>
      <w:r>
        <w:rPr>
          <w:i/>
          <w:sz w:val="20"/>
        </w:rPr>
        <w:t>EN: [ASAP] Li+ Promoted the Cyanation of Unactivated C–H Bonds Catalyzed by the Manganese Porphyrin Complex through Biomimetic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2026-03-11 19:36:12+00:00</w:t>
      </w:r>
      <w:r>
        <w:t xml:space="preserve">    </w:t>
      </w:r>
      <w:r>
        <w:rPr>
          <w:b/>
        </w:rPr>
        <w:t xml:space="preserve">DOI: </w:t>
      </w:r>
      <w:hyperlink r:id="rId908">
        <w:r>
          <w:rPr>
            <w:color w:val="1155CC"/>
            <w:u w:val="single"/>
          </w:rPr>
          <w:t>10.1021/jacs.5c21466</w:t>
        </w:r>
      </w:hyperlink>
    </w:p>
    <w:p>
      <w:pPr>
        <w:spacing w:before="0" w:after="120"/>
      </w:pPr>
      <w:r>
        <w:rPr>
          <w:b/>
        </w:rPr>
        <w:t xml:space="preserve">Notes: </w:t>
      </w:r>
      <w:r>
        <w:t>abstract_source=pubmed</w:t>
      </w:r>
    </w:p>
    <w:p>
      <w:pPr>
        <w:spacing w:before="0" w:after="80" w:lineRule="auto" w:line="276"/>
      </w:pPr>
      <w:r>
        <w:rPr>
          <w:b/>
        </w:rPr>
        <w:t xml:space="preserve">摘要（ZH）: </w:t>
      </w:r>
      <w:r>
        <w:t>血红素和非血红素氧化酶已知能够催化未活化C-H键的氧化。在大多数情况下，羟基化产物主要通过“氧反弹”途径形成。或者，在某些条件下，“氧反弹”途径被抑制时，可以获得非羟基化产物。因此，仿生氧化功能化未活化C-H键被认为是引入各种功能基团的潜在应用。氰基广泛存在于生物活性分子中，并在有机合成中作为多功能的构建模块。然而，在温和条件下直接氰化未活化C-H键仍然具有挑战性。尚未有通过仿生氧化反应对碳氢化合物进行氰化的报道。在此</w:t>
      </w:r>
    </w:p>
    <w:p>
      <w:pPr>
        <w:spacing w:before="0" w:after="200" w:lineRule="auto" w:line="276"/>
      </w:pPr>
      <w:r>
        <w:rPr>
          <w:b/>
        </w:rPr>
        <w:t xml:space="preserve">Abstract (EN): </w:t>
      </w:r>
      <w:r>
        <w:t>Heme and nonheme oxygenases have been known to catalyze the oxidation of unactivated C-H bonds. In most cases, hydroxylated products are formed predominantly via the "oxygen rebound" pathway. Alternatively, under certain conditions where the "oxygen rebound" pathway is inhibited, nonhydroxylated products could be obtained. Consequently, bioinspired oxidative functionalization of unactivated C-H bond is considered as a potential application to introduce various functional groups. The cyano group is widely found in bioactive molecules and serves as a versatile building block in organic synthesis. However, direct cyanation of unactivated C-H bonds under mild conditions still remains challenging. No cyanation of hydrocarbons through biomimetic oxidative reactions has been reported yet. In this study, LiOAc acting as Lewis acid was introduced into the manganese-porphyrin-catalyzed oxidation of hydrocarbons in the presence of a cyanation source. In all cases, nitrile products were obtained as the major products (&gt;90%) with satisfying turnover numbers, indicating the effective suppression of the "oxygen rebound" pathway in the presence of LiOAc. Mechanistic studies combined with theoretical calculations suggested that the reactive intermediate manganese(IV)-oxo porphyrin π-cation radical interacted with Li+, significantly inhibiting the "oxygen rebound" step. This led to the formation of a carbocation intermediate, which ultimately yielded nitrile products with a cyanation source. These findings demonstrate that redox-inactive metal ions, such as Li+, can modulate the reactivity of high-valent metal-oxo species, diverting the pathway from "oxygen rebound" to nonrebound processes. This strategy offers a potential route for the synthesis of nitriles from simple hydrocarbons under mild conditions.</w:t>
      </w:r>
    </w:p>
    <w:p>
      <w:pPr>
        <w:spacing w:before="120" w:after="120"/>
      </w:pPr>
      <w:r>
        <w:rPr>
          <w:sz w:val="18"/>
        </w:rPr>
        <w:t>——————————————————————————————————————————————————————————————————————</w:t>
      </w:r>
    </w:p>
    <w:p>
      <w:pPr>
        <w:spacing w:before="160" w:after="40" w:line="240" w:lineRule="auto"/>
      </w:pPr>
      <w:r>
        <w:rPr>
          <w:b/>
        </w:rPr>
        <w:t xml:space="preserve">[389] </w:t>
      </w:r>
      <w:hyperlink r:id="rId909">
        <w:r>
          <w:rPr>
            <w:color w:val="1155CC"/>
            <w:u w:val="single"/>
          </w:rPr>
          <w:t>[ASAP] 将硫酸盐与冠醚结合以构建阴离子锆金属有机框架中的超分子镭捕集器</w:t>
        </w:r>
      </w:hyperlink>
    </w:p>
    <w:p>
      <w:pPr>
        <w:spacing w:before="0" w:after="80"/>
      </w:pPr>
      <w:r>
        <w:rPr>
          <w:i/>
          <w:sz w:val="20"/>
        </w:rPr>
        <w:t>EN: [ASAP] Integrating Sulfate with Crown Ether To Construct Supramolecular Radium Traps in an Anionic Zirconium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2026-03-11 19:38:40+00:00</w:t>
      </w:r>
      <w:r>
        <w:t xml:space="preserve">    </w:t>
      </w:r>
      <w:r>
        <w:rPr>
          <w:b/>
        </w:rPr>
        <w:t xml:space="preserve">DOI: </w:t>
      </w:r>
      <w:hyperlink r:id="rId910">
        <w:r>
          <w:rPr>
            <w:color w:val="1155CC"/>
            <w:u w:val="single"/>
          </w:rPr>
          <w:t>10.1021/jacs.6c02736</w:t>
        </w:r>
      </w:hyperlink>
    </w:p>
    <w:p>
      <w:pPr>
        <w:spacing w:before="0" w:after="120"/>
      </w:pPr>
      <w:r>
        <w:rPr>
          <w:b/>
        </w:rPr>
        <w:t xml:space="preserve">Notes: </w:t>
      </w:r>
      <w:r>
        <w:t>abstract_source=pubmed</w:t>
      </w:r>
    </w:p>
    <w:p>
      <w:pPr>
        <w:spacing w:before="0" w:after="80" w:lineRule="auto" w:line="276"/>
      </w:pPr>
      <w:r>
        <w:rPr>
          <w:b/>
        </w:rPr>
        <w:t xml:space="preserve">摘要（ZH）: </w:t>
      </w:r>
      <w:r>
        <w:t>放射性毒性226Ra2+的隔离受到其复杂配位化学的挑战，这需要精确的分子识别策略。在此，我们报告了一种通过将尺寸选择性24-冠-8醚与邻近的硫酸盐锚点整合在一起，在稳定的锆金属有机框架（ZJU-X102-SO4）内设计的超分子陷阱。通过单晶X射线衍射、固态NMR、XAFS和DFT计算阐明了这种预组织陷阱的形成及其协同结合机制。首先用Ba2+替代物验证了这种双重识别设计，提供了快速动力学（30秒内达到平衡）和高容量（455 mg g-1）。对于目标226Ra2+，ZJU-X102-SO4可以在10分钟内去除70%的226Ra2+（C0 = 10 Bq mL-1），并展示了3的容量</w:t>
      </w:r>
    </w:p>
    <w:p>
      <w:pPr>
        <w:spacing w:before="0" w:after="200" w:lineRule="auto" w:line="276"/>
      </w:pPr>
      <w:r>
        <w:rPr>
          <w:b/>
        </w:rPr>
        <w:t xml:space="preserve">Abstract (EN): </w:t>
      </w:r>
      <w:r>
        <w:t>Sequestration of radiotoxic 226Ra2+ is challenged by its complex coordination chemistry, which requires a precise molecular recognition strategy. Here, we report a supramolecular trap engineered within a stable zirconium metal-organic framework (ZJU-X102-SO4) by integrating a size-selective 24-crown-8 ether with a proximal sulfate anchor. The formation of this preorganized trap and its cooperative binding mechanism were elucidated by single-crystal X-ray diffraction, solid-state NMR, XAFS, and DFT calculations. This dual-recognition design was first validated with the Ba2+ surrogate, affording rapid kinetics (equilibrium in 30 s) and a high capacity (455 mg g-1). For the target 226Ra2+, ZJU-X102-SO4 could remove 70% of 226Ra2+ within 10 min (C0 = 10 Bq mL-1) and demonstrate a capacity of 3.3 × 104 Bq g-1. In high-salinity media, a salting-out effect was observed and ZJU-X102-SO4 showed a high distribution coefficient of 5.3 × 104 mL g-1. The sequestration of 226Ra2+ was also effective in 3 M HNO3. This work presents a molecular engineering strategy for designing sorbents for the targeted sequestration of specific cations from aqueous media.</w:t>
      </w:r>
    </w:p>
    <w:p>
      <w:pPr>
        <w:spacing w:before="120" w:after="120"/>
      </w:pPr>
      <w:r>
        <w:rPr>
          <w:sz w:val="18"/>
        </w:rPr>
        <w:t>——————————————————————————————————————————————————————————————————————</w:t>
      </w:r>
    </w:p>
    <w:p>
      <w:pPr>
        <w:spacing w:before="160" w:after="40" w:line="240" w:lineRule="auto"/>
      </w:pPr>
      <w:r>
        <w:rPr>
          <w:b/>
        </w:rPr>
        <w:t xml:space="preserve">[390] </w:t>
      </w:r>
      <w:hyperlink r:id="rId911">
        <w:r>
          <w:rPr>
            <w:color w:val="1155CC"/>
            <w:u w:val="single"/>
          </w:rPr>
          <w:t>三星SDI警告棱柱形电池专利侵权</w:t>
        </w:r>
      </w:hyperlink>
    </w:p>
    <w:p>
      <w:pPr>
        <w:spacing w:before="0" w:after="80"/>
      </w:pPr>
      <w:r>
        <w:rPr>
          <w:i/>
          <w:sz w:val="20"/>
        </w:rPr>
        <w:t>EN: Samsung SDI warns against prismatic battery patent infringement</w:t>
      </w:r>
    </w:p>
    <w:p>
      <w:pPr>
        <w:spacing w:before="0" w:after="120"/>
      </w:pPr>
      <w:r>
        <w:rPr>
          <w:b/>
        </w:rPr>
        <w:t xml:space="preserve">Source: </w:t>
      </w:r>
      <w:r>
        <w:t>Batteries News</w:t>
      </w:r>
      <w:r>
        <w:t xml:space="preserve">    </w:t>
      </w:r>
      <w:r>
        <w:rPr>
          <w:b/>
        </w:rPr>
        <w:t xml:space="preserve">Pub date: </w:t>
      </w:r>
      <w:r>
        <w:t>2026-03-11 23:09:20+00:00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[391] </w:t>
      </w:r>
      <w:hyperlink r:id="rId912">
        <w:r>
          <w:rPr>
            <w:color w:val="1155CC"/>
            <w:u w:val="single"/>
          </w:rPr>
          <w:t>ERA5 10米风速在ERA5-land产品中的系统性低估削弱了风能研究</w:t>
        </w:r>
      </w:hyperlink>
    </w:p>
    <w:p>
      <w:pPr>
        <w:spacing w:before="0" w:after="80"/>
      </w:pPr>
      <w:r>
        <w:rPr>
          <w:i/>
          <w:sz w:val="20"/>
        </w:rPr>
        <w:t>EN: Systematic under-representation of ERA5 10 m wind speeds in the ERA5-land product undermines wind energy studies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913">
        <w:r>
          <w:rPr>
            <w:color w:val="1155CC"/>
            <w:u w:val="single"/>
          </w:rPr>
          <w:t>液体燃料在未来低碳能源系统中是否有作用？——全球能源系统建模与地方能源港集群参与的持续互动</w:t>
        </w:r>
      </w:hyperlink>
    </w:p>
    <w:p>
      <w:pPr>
        <w:spacing w:before="0" w:after="80"/>
      </w:pPr>
      <w:r>
        <w:rPr>
          <w:i/>
          <w:sz w:val="20"/>
        </w:rPr>
        <w:t>EN: Is there a role for liquid fuels in future low-carbon energy systems? – A continuous interaction between global energy systems modeling and local energy port cluster participation</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914">
        <w:r>
          <w:rPr>
            <w:color w:val="1155CC"/>
            <w:u w:val="single"/>
          </w:rPr>
          <w:t>自由活塞发动机和线性电机的驾驶控制</w:t>
        </w:r>
      </w:hyperlink>
    </w:p>
    <w:p>
      <w:pPr>
        <w:spacing w:before="0" w:after="80"/>
      </w:pPr>
      <w:r>
        <w:rPr>
          <w:i/>
          <w:sz w:val="20"/>
        </w:rPr>
        <w:t>EN: Motoring control of a free piston engine and linear electric machine</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915">
        <w:r>
          <w:rPr>
            <w:color w:val="1155CC"/>
            <w:u w:val="single"/>
          </w:rPr>
          <w:t>将短期电力需求预测与可解释的人工智能联系起来：建筑能源应用的综述</w:t>
        </w:r>
      </w:hyperlink>
    </w:p>
    <w:p>
      <w:pPr>
        <w:spacing w:before="0" w:after="80"/>
      </w:pPr>
      <w:r>
        <w:rPr>
          <w:i/>
          <w:sz w:val="20"/>
        </w:rPr>
        <w:t>EN: Linking short-term electricity demand forecasting and explainable AI: A review for building energy applications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916">
        <w:r>
          <w:rPr>
            <w:color w:val="1155CC"/>
            <w:u w:val="single"/>
          </w:rPr>
          <w:t>离子压缩机中的功率分布和能量消耗：一种新颖的理论公式</w:t>
        </w:r>
      </w:hyperlink>
    </w:p>
    <w:p>
      <w:pPr>
        <w:spacing w:before="0" w:after="80"/>
      </w:pPr>
      <w:r>
        <w:rPr>
          <w:i/>
          <w:sz w:val="20"/>
        </w:rPr>
        <w:t>EN: Power distribution and energy consumption in ionic compressors: A novel theoretical formulation</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[396] </w:t>
      </w:r>
      <w:hyperlink r:id="rId917">
        <w:r>
          <w:rPr>
            <w:color w:val="1155CC"/>
            <w:u w:val="single"/>
          </w:rPr>
          <w:t>时间分辨率很重要：评估商业建筑中碳排放因子的准确核算</w:t>
        </w:r>
      </w:hyperlink>
    </w:p>
    <w:p>
      <w:pPr>
        <w:spacing w:before="0" w:after="80"/>
      </w:pPr>
      <w:r>
        <w:rPr>
          <w:i/>
          <w:sz w:val="20"/>
        </w:rPr>
        <w:t>EN: Temporal resolution matters: Evaluating carbon emission factors for accurate accounting in commercial buildings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918">
        <w:r>
          <w:rPr>
            <w:color w:val="1155CC"/>
            <w:u w:val="single"/>
          </w:rPr>
          <w:t>利用FuXi-Energy改善可再生能源预测</w:t>
        </w:r>
      </w:hyperlink>
    </w:p>
    <w:p>
      <w:pPr>
        <w:spacing w:before="0" w:after="80"/>
      </w:pPr>
      <w:r>
        <w:rPr>
          <w:i/>
          <w:sz w:val="20"/>
        </w:rPr>
        <w:t>EN: Improving renewable energy forecasting with FuXi-Energy</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[398] </w:t>
      </w:r>
      <w:hyperlink r:id="rId919">
        <w:r>
          <w:rPr>
            <w:color w:val="1155CC"/>
            <w:u w:val="single"/>
          </w:rPr>
          <w:t>基于专家混合的多评论家深度强化学习用于数据中心微电网的可持续管理</w:t>
        </w:r>
      </w:hyperlink>
    </w:p>
    <w:p>
      <w:pPr>
        <w:spacing w:before="0" w:after="80"/>
      </w:pPr>
      <w:r>
        <w:rPr>
          <w:i/>
          <w:sz w:val="20"/>
        </w:rPr>
        <w:t>EN: Mixture-of-experts based multi-critic deep reinforcement learning for sustainable management of data center microgrids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920">
        <w:r>
          <w:rPr>
            <w:color w:val="1155CC"/>
            <w:u w:val="single"/>
          </w:rPr>
          <w:t>甲烷水合物安全高效生产的流动-压力-饱和耦合系统级见解</w:t>
        </w:r>
      </w:hyperlink>
    </w:p>
    <w:p>
      <w:pPr>
        <w:spacing w:before="0" w:after="80"/>
      </w:pPr>
      <w:r>
        <w:rPr>
          <w:i/>
          <w:sz w:val="20"/>
        </w:rPr>
        <w:t>EN: System-level insights into flow-pressure-saturation coupling for safe and efficient methane hydrate production</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[400] </w:t>
      </w:r>
      <w:hyperlink r:id="rId921">
        <w:r>
          <w:rPr>
            <w:color w:val="1155CC"/>
            <w:u w:val="single"/>
          </w:rPr>
          <w:t>区块链集成的软件定义去中心化点对点能源交易网络，用于可持续智能电网</w:t>
        </w:r>
      </w:hyperlink>
    </w:p>
    <w:p>
      <w:pPr>
        <w:spacing w:before="0" w:after="80"/>
      </w:pPr>
      <w:r>
        <w:rPr>
          <w:i/>
          <w:sz w:val="20"/>
        </w:rPr>
        <w:t>EN: Blockchain-integrated software defined decentralized peer-to-peer energy trading network for sustainable smart power grid</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922">
        <w:r>
          <w:rPr>
            <w:color w:val="1155CC"/>
            <w:u w:val="single"/>
          </w:rPr>
          <w:t>用于水-能源纽带的混合太阳能驱动界面蒸发系统：淡水和能源可持续性的最新进展</w:t>
        </w:r>
      </w:hyperlink>
    </w:p>
    <w:p>
      <w:pPr>
        <w:spacing w:before="0" w:after="80"/>
      </w:pPr>
      <w:r>
        <w:rPr>
          <w:i/>
          <w:sz w:val="20"/>
        </w:rPr>
        <w:t>EN: Hybrid solar-driven interfacial evaporation systems for water-energy nexus: recent advances in freshwater and energy sustainability</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[402] </w:t>
      </w:r>
      <w:hyperlink r:id="rId923">
        <w:r>
          <w:rPr>
            <w:color w:val="1155CC"/>
            <w:u w:val="single"/>
          </w:rPr>
          <w:t>数据基础设施建设能否缓解清洁能源错配？——基于中国省级数据的分析</w:t>
        </w:r>
      </w:hyperlink>
    </w:p>
    <w:p>
      <w:pPr>
        <w:spacing w:before="0" w:after="80"/>
      </w:pPr>
      <w:r>
        <w:rPr>
          <w:i/>
          <w:sz w:val="20"/>
        </w:rPr>
        <w:t>EN: Can data infrastructure construction alleviate clean energy misallocation?—An analysis based on China's provincial data</w:t>
      </w:r>
    </w:p>
    <w:p>
      <w:pPr>
        <w:spacing w:before="0" w:after="120"/>
      </w:pPr>
      <w:r>
        <w:rPr>
          <w:b/>
        </w:rPr>
        <w:t xml:space="preserve">Source: </w:t>
      </w:r>
      <w:r>
        <w:t>ScienceDirect Publication: Energy Policy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[403] </w:t>
      </w:r>
      <w:hyperlink r:id="rId924">
        <w:r>
          <w:rPr>
            <w:color w:val="1155CC"/>
            <w:u w:val="single"/>
          </w:rPr>
          <w:t>MARLEM：用于去中心化本地能源市场中隐式合作的多智能体强化学习模拟框架</w:t>
        </w:r>
      </w:hyperlink>
    </w:p>
    <w:p>
      <w:pPr>
        <w:spacing w:before="0" w:after="80"/>
      </w:pPr>
      <w:r>
        <w:rPr>
          <w:i/>
          <w:sz w:val="20"/>
        </w:rPr>
        <w:t>EN: MARLEM: A multi-agent reinforcement learning simulation framework for implicit cooperation in decentralized local energy markets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[404] </w:t>
      </w:r>
      <w:hyperlink r:id="rId925">
        <w:r>
          <w:rPr>
            <w:color w:val="1155CC"/>
            <w:u w:val="single"/>
          </w:rPr>
          <w:t>基于多智能体深度强化学习的智能产消者管理以参与去中心化点对点市场</w:t>
        </w:r>
      </w:hyperlink>
    </w:p>
    <w:p>
      <w:pPr>
        <w:spacing w:before="0" w:after="80"/>
      </w:pPr>
      <w:r>
        <w:rPr>
          <w:i/>
          <w:sz w:val="20"/>
        </w:rPr>
        <w:t>EN: Smart prosumers management based on multi-agent deep reinforcement learning to participate in decentralized peer-to-peer market</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[405] </w:t>
      </w:r>
      <w:hyperlink r:id="rId926">
        <w:r>
          <w:rPr>
            <w:color w:val="1155CC"/>
            <w:u w:val="single"/>
          </w:rPr>
          <w:t>基于分层优化和集成网络的短期负荷预测混合模型</w:t>
        </w:r>
      </w:hyperlink>
    </w:p>
    <w:p>
      <w:pPr>
        <w:spacing w:before="0" w:after="80"/>
      </w:pPr>
      <w:r>
        <w:rPr>
          <w:i/>
          <w:sz w:val="20"/>
        </w:rPr>
        <w:t>EN: A short-term load forecasting hybrid model based on hierarchical optimization and ensemble networks</w:t>
      </w:r>
    </w:p>
    <w:p>
      <w:pPr>
        <w:spacing w:before="0" w:after="120"/>
      </w:pPr>
      <w:r>
        <w:rPr>
          <w:b/>
        </w:rPr>
        <w:t xml:space="preserve">Source: </w:t>
      </w:r>
      <w:r>
        <w:t>ScienceDirect Publication: Applied Energy</w:t>
      </w:r>
      <w:r>
        <w:t xml:space="preserve">    </w:t>
      </w:r>
      <w:r>
        <w:rPr>
          <w:b/>
        </w:rPr>
        <w:t xml:space="preserve">Pub date: </w:t>
      </w:r>
      <w:r>
        <w:t>2026-03-12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927">
        <w:r>
          <w:rPr>
            <w:color w:val="1155CC"/>
            <w:u w:val="single"/>
          </w:rPr>
          <w:t>没有鲨鱼这种东西？基因组动摇了海洋捕食者的家谱</w:t>
        </w:r>
      </w:hyperlink>
    </w:p>
    <w:p>
      <w:pPr>
        <w:spacing w:before="0" w:after="80"/>
      </w:pPr>
      <w:r>
        <w:rPr>
          <w:i/>
          <w:sz w:val="20"/>
        </w:rPr>
        <w:t>EN: No such thing as a shark? Genomes shake up ocean predator’s family tree</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28">
        <w:r>
          <w:rPr>
            <w:color w:val="1155CC"/>
            <w:u w:val="single"/>
          </w:rPr>
          <w:t>10.1038/d41586-026-00594-w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[407] </w:t>
      </w:r>
      <w:hyperlink r:id="rId929">
        <w:r>
          <w:rPr>
            <w:color w:val="1155CC"/>
            <w:u w:val="single"/>
          </w:rPr>
          <w:t>紧张的社交者还是会议演讲者？声音教练Susie Ashfield说，只需少在意</w:t>
        </w:r>
      </w:hyperlink>
    </w:p>
    <w:p>
      <w:pPr>
        <w:spacing w:before="0" w:after="80"/>
      </w:pPr>
      <w:r>
        <w:rPr>
          <w:i/>
          <w:sz w:val="20"/>
        </w:rPr>
        <w:t>EN: Nervous networker or conference presenter? Just care less, says voice coach Susie Ashfield</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30">
        <w:r>
          <w:rPr>
            <w:color w:val="1155CC"/>
            <w:u w:val="single"/>
          </w:rPr>
          <w:t>10.1038/d41586-026-00547-3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[408] </w:t>
      </w:r>
      <w:hyperlink r:id="rId931">
        <w:r>
          <w:rPr>
            <w:color w:val="1155CC"/>
            <w:u w:val="single"/>
          </w:rPr>
          <w:t>表面引发的活性结晶驱动自组装：从精密纳米制造到功能界面</w:t>
        </w:r>
      </w:hyperlink>
    </w:p>
    <w:p>
      <w:pPr>
        <w:spacing w:before="0" w:after="80"/>
      </w:pPr>
      <w:r>
        <w:rPr>
          <w:i/>
          <w:sz w:val="20"/>
        </w:rPr>
        <w:t>EN: Surface-initiated living crystallization-driven self-assembly: from precision nanofabrication to functional interfaces</w:t>
      </w:r>
    </w:p>
    <w:p>
      <w:pPr>
        <w:spacing w:before="0" w:after="120"/>
      </w:pPr>
      <w:r>
        <w:rPr>
          <w:b/>
        </w:rPr>
        <w:t xml:space="preserve">Source: </w:t>
      </w:r>
      <w:r>
        <w:t>RSC - Chem. Soc. Rev. latest articles</w:t>
      </w:r>
      <w:r>
        <w:t xml:space="preserve">    </w:t>
      </w:r>
      <w:r>
        <w:rPr>
          <w:b/>
        </w:rPr>
        <w:t xml:space="preserve">Pub date: </w:t>
      </w:r>
      <w:r>
        <w:t>2026-03-12 00:00:00+00:00</w:t>
      </w:r>
    </w:p>
    <w:p>
      <w:pPr>
        <w:spacing w:before="0" w:after="120"/>
      </w:pPr>
      <w:r>
        <w:rPr>
          <w:b/>
        </w:rPr>
        <w:t xml:space="preserve">Notes: </w:t>
      </w:r>
      <w:r>
        <w:t>abstract_source=rsc_html</w:t>
      </w:r>
    </w:p>
    <w:p>
      <w:pPr>
        <w:spacing w:before="0" w:after="80" w:lineRule="auto" w:line="276"/>
      </w:pPr>
      <w:r>
        <w:rPr>
          <w:b/>
        </w:rPr>
        <w:t xml:space="preserve">摘要（ZH）: </w:t>
      </w:r>
      <w:r>
        <w:t>在表面上精确制造纳米结构材料对于推进催化、电子、生物医学等下一代技术至关重要。最近，表面引发的活性结晶驱动自组装（SIL-CDSA）实现了对所需基板上固态纳米结构的架构、取向和功能的前所未有的控制。本文综述了SIL-CDSA的关键原理，包括种子固定、受限外延生长和胶束刷形成，以及尺寸控制和空间排序的实用方法。还讨论了内在的核心/冠层化学和外源物种的引入以实现目标功能化，涵盖催化、电子和生物活性特征。案例研究</w:t>
      </w:r>
    </w:p>
    <w:p>
      <w:pPr>
        <w:spacing w:before="0" w:after="200" w:lineRule="auto" w:line="276"/>
      </w:pPr>
      <w:r>
        <w:rPr>
          <w:b/>
        </w:rPr>
        <w:t xml:space="preserve">Abstract (EN): </w:t>
      </w:r>
      <w:r>
        <w:t>The precise fabrication of nanostructured materials on surfaces is paramount for advancing next-generation technologies in catalysis, electronics, biomedicine, etc. Recently, surface-initiated living crystallization-driven self-assembly (SIL-CDSA) has enabled unprecedented control over the architecture, orientation, and functionality of solid-state nanostructures on desired substrates. This review outlines key principles of SIL-CDSA, including seed immobilization, confined epitaxial growth and micellar brush formation, together with practical methods for dimension control and spatial ordering. Intrinsic core/corona chemistry and the incorporation of exogenous species allowing targeted functionalization are also discussed, covering catalytic, electronic and bioactive features. Case studies are introduced to demonstrate SIL-CDSA as a versatile platform for hierarchically ordered nanostructures, delivering exceptional control over size, periodicity, and composition. By directly translating precision self-assembly to surfaces, SIL-CDSA opens powerful routes to multifunctional, high-performance materials for catalysis, energy systems, sensing, and device fabrication, positioning it as a transformative tool for advanced nanomanufacturing.</w:t>
      </w:r>
    </w:p>
    <w:p>
      <w:pPr>
        <w:spacing w:before="120" w:after="120"/>
      </w:pPr>
      <w:r>
        <w:rPr>
          <w:sz w:val="18"/>
        </w:rPr>
        <w:t>——————————————————————————————————————————————————————————————————————</w:t>
      </w:r>
    </w:p>
    <w:p>
      <w:pPr>
        <w:spacing w:before="160" w:after="40" w:line="240" w:lineRule="auto"/>
      </w:pPr>
      <w:r>
        <w:rPr>
          <w:b/>
        </w:rPr>
        <w:t xml:space="preserve">[409] </w:t>
      </w:r>
      <w:hyperlink r:id="rId932">
        <w:r>
          <w:rPr>
            <w:color w:val="1155CC"/>
            <w:u w:val="single"/>
          </w:rPr>
          <w:t>富集膜堆叠成为可能</w:t>
        </w:r>
      </w:hyperlink>
    </w:p>
    <w:p>
      <w:pPr>
        <w:spacing w:before="0" w:after="80"/>
      </w:pPr>
      <w:r>
        <w:rPr>
          <w:i/>
          <w:sz w:val="20"/>
        </w:rPr>
        <w:t>EN: Enriched membrane stackings made possible</w:t>
      </w:r>
    </w:p>
    <w:p>
      <w:pPr>
        <w:spacing w:before="0" w:after="120"/>
      </w:pPr>
      <w:r>
        <w:rPr>
          <w:b/>
        </w:rPr>
        <w:t xml:space="preserve">Source: </w:t>
      </w:r>
      <w:r>
        <w:t>Nature Materials</w:t>
      </w:r>
      <w:r>
        <w:t xml:space="preserve">    </w:t>
      </w:r>
      <w:r>
        <w:rPr>
          <w:b/>
        </w:rPr>
        <w:t xml:space="preserve">Pub date: </w:t>
      </w:r>
      <w:r>
        <w:t>2026-03-12 00:00:00+00:00</w:t>
      </w:r>
      <w:r>
        <w:t xml:space="preserve">    </w:t>
      </w:r>
      <w:r>
        <w:rPr>
          <w:b/>
        </w:rPr>
        <w:t xml:space="preserve">DOI: </w:t>
      </w:r>
      <w:hyperlink r:id="rId933">
        <w:r>
          <w:rPr>
            <w:color w:val="1155CC"/>
            <w:u w:val="single"/>
          </w:rPr>
          <w:t>10.1038/s41563-026-02530-9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[410] </w:t>
      </w:r>
      <w:hyperlink r:id="rId934">
        <w:r>
          <w:rPr>
            <w:color w:val="1155CC"/>
            <w:u w:val="single"/>
          </w:rPr>
          <w:t>机器学习驱动的核酸分子工程</w:t>
        </w:r>
      </w:hyperlink>
    </w:p>
    <w:p>
      <w:pPr>
        <w:spacing w:before="0" w:after="80"/>
      </w:pPr>
      <w:r>
        <w:rPr>
          <w:i/>
          <w:sz w:val="20"/>
        </w:rPr>
        <w:t>EN: Machine learning-driven molecular engineering of nucleic acids</w:t>
      </w:r>
    </w:p>
    <w:p>
      <w:pPr>
        <w:spacing w:before="0" w:after="120"/>
      </w:pPr>
      <w:r>
        <w:rPr>
          <w:b/>
        </w:rPr>
        <w:t xml:space="preserve">Source: </w:t>
      </w:r>
      <w:r>
        <w:t>RSC - Chem. Soc. Rev. latest articles</w:t>
      </w:r>
      <w:r>
        <w:t xml:space="preserve">    </w:t>
      </w:r>
      <w:r>
        <w:rPr>
          <w:b/>
        </w:rPr>
        <w:t xml:space="preserve">Pub date: </w:t>
      </w:r>
      <w:r>
        <w:t>2026-03-12 00:00:00+00:00</w:t>
      </w:r>
    </w:p>
    <w:p>
      <w:pPr>
        <w:spacing w:before="0" w:after="120"/>
      </w:pPr>
      <w:r>
        <w:rPr>
          <w:b/>
        </w:rPr>
        <w:t xml:space="preserve">Notes: </w:t>
      </w:r>
      <w:r>
        <w:t>abstract_source=rsc_html</w:t>
      </w:r>
    </w:p>
    <w:p>
      <w:pPr>
        <w:spacing w:before="0" w:after="80" w:lineRule="auto" w:line="276"/>
      </w:pPr>
      <w:r>
        <w:rPr>
          <w:b/>
        </w:rPr>
        <w:t xml:space="preserve">摘要（ZH）: </w:t>
      </w:r>
      <w:r>
        <w:t>分子工程在生物医学领域发挥了关键作用，推动了基因治疗、疾病诊断和生物传感的重大进展。然而，核酸分子工程面临各种挑战，包括广泛的设计空间、复杂的结构-功能关系、冗长的应用验证周期和低效的优化过程。机器学习（ML）凭借其卓越的模式识别、多维数据集成和自动化优化能力，提供了构建序列-结构-功能关系预测模型的独特机会，从而实现从经验驱动到数据驱动方法的范式转变。本文系统地调查了ML在三个主要领域的应用的最新进展：</w:t>
      </w:r>
    </w:p>
    <w:p>
      <w:pPr>
        <w:spacing w:before="0" w:after="200" w:lineRule="auto" w:line="276"/>
      </w:pPr>
      <w:r>
        <w:rPr>
          <w:b/>
        </w:rPr>
        <w:t xml:space="preserve">Abstract (EN): </w:t>
      </w:r>
      <w:r>
        <w:t>Molecular engineering has played a pivotal role in biomedical fields, driving significant advancements in gene therapy, disease diagnosis, and biosensing. However, nucleic acid molecular engineering faces various challenges including vast design spaces, complex structure–function relationships, lengthy application validation cycles, and inefficient optimization processes. Machine learning (ML), with its superior pattern recognition, multidimensional data integration, and automated optimization capabilities, offers a unique opportunity to construct predictive models of sequence-structure–function relationships, thereby enabling a paradigm shift from empirically driven to data-driven approaches. This review systematically surveys recent progress in ML applications across three major domains: nucleic acid structure construction, performance modulation, and application expansion. It also explores core challenges such as data quality, model interpretability, and experimental validation efficiency, along with potential resolution strategies. These insights are poised to propel nucleic acid molecular engineering from static structure prediction toward dynamic behavior simulation, and from single-molecule design to complex system engineering, guiding future directions in hybrid ML-quantum models and expanded applications to non-canonical nucleic acids for transformative innovation in biomedicine, environmental monitoring, and information technology.</w:t>
      </w:r>
    </w:p>
    <w:p>
      <w:pPr>
        <w:spacing w:before="120" w:after="120"/>
      </w:pPr>
      <w:r>
        <w:rPr>
          <w:sz w:val="18"/>
        </w:rPr>
        <w:t>——————————————————————————————————————————————————————————————————————</w:t>
      </w:r>
    </w:p>
    <w:p>
      <w:pPr>
        <w:spacing w:before="160" w:after="40" w:line="240" w:lineRule="auto"/>
      </w:pPr>
      <w:r>
        <w:rPr>
          <w:b/>
        </w:rPr>
        <w:t xml:space="preserve">[411] </w:t>
      </w:r>
      <w:hyperlink r:id="rId935">
        <w:r>
          <w:rPr>
            <w:color w:val="1155CC"/>
            <w:u w:val="single"/>
          </w:rPr>
          <w:t>通过协同水/油界面相互作用的混合Pickering乳化剂（HYPIEs）：增强的性能和应用</w:t>
        </w:r>
      </w:hyperlink>
    </w:p>
    <w:p>
      <w:pPr>
        <w:spacing w:before="0" w:after="80"/>
      </w:pPr>
      <w:r>
        <w:rPr>
          <w:i/>
          <w:sz w:val="20"/>
        </w:rPr>
        <w:t>EN: Hybrid Pickering emulsifiers (HYPIEs) via synergistic water/oil interfacial interactions: enhanced properties and applications</w:t>
      </w:r>
    </w:p>
    <w:p>
      <w:pPr>
        <w:spacing w:before="0" w:after="120"/>
      </w:pPr>
      <w:r>
        <w:rPr>
          <w:b/>
        </w:rPr>
        <w:t xml:space="preserve">Source: </w:t>
      </w:r>
      <w:r>
        <w:t>National Science Review Advance Access</w:t>
      </w:r>
      <w:r>
        <w:t xml:space="preserve">    </w:t>
      </w:r>
      <w:r>
        <w:rPr>
          <w:b/>
        </w:rPr>
        <w:t xml:space="preserve">Pub date: </w:t>
      </w:r>
      <w:r>
        <w:t>2026-03-12 00:00:00+00:00</w:t>
      </w:r>
      <w:r>
        <w:t xml:space="preserve">    </w:t>
      </w:r>
      <w:r>
        <w:rPr>
          <w:b/>
        </w:rPr>
        <w:t xml:space="preserve">DOI: </w:t>
      </w:r>
      <w:hyperlink r:id="rId936">
        <w:r>
          <w:rPr>
            <w:color w:val="1155CC"/>
            <w:u w:val="single"/>
          </w:rPr>
          <w:t>10.1093/nsr/nwag149</w:t>
        </w:r>
      </w:hyperlink>
    </w:p>
    <w:p>
      <w:pPr>
        <w:spacing w:before="0" w:after="120"/>
      </w:pPr>
      <w:r>
        <w:rPr>
          <w:b/>
        </w:rPr>
        <w:t xml:space="preserve">Notes: </w:t>
      </w:r>
      <w:r>
        <w:t>abstract_source=rss_oup</w:t>
      </w:r>
    </w:p>
    <w:p>
      <w:pPr>
        <w:spacing w:before="0" w:after="80" w:lineRule="auto" w:line="276"/>
      </w:pPr>
      <w:r>
        <w:rPr>
          <w:b/>
        </w:rPr>
        <w:t xml:space="preserve">摘要（ZH）: </w:t>
      </w:r>
      <w:r>
        <w:t>由表面活性固体颗粒稳定的乳液，称为Pickering乳液，相较于传统乳液具有优势，包括增强的稳定性、生物相容性和颗粒的潜在可回收性。这些特性支持其在化妆品、食品、催化、提高采油率和制药中的日益广泛应用。然而，单颗粒乳化剂通常缺乏精确控制乳液形成、稳定性和形态所需的多功能性。为了解决这些限制，混合Pickering乳化剂</w:t>
      </w:r>
    </w:p>
    <w:p>
      <w:pPr>
        <w:spacing w:before="0" w:after="200" w:lineRule="auto" w:line="276"/>
      </w:pPr>
      <w:r>
        <w:rPr>
          <w:b/>
        </w:rPr>
        <w:t xml:space="preserve">Abstract (EN): </w:t>
      </w:r>
      <w:r>
        <w:t>Emulsions stabilized by surface-active solid particles, known as Pickering emulsions, offer advantages over conventional emulsions, including enhanced stability, biocompatibility, and the potential recyclability of particles. These attributes underpin their growing use in cosmetics, food, catalysis, enhanced oil recovery, and pharmaceuticals. However, single-particle emulsifiers often lack the versatility required to precisely control emulsion formation, stability, and morphology. To address these limitations, hybrid Pickering emulsifiers</w:t>
      </w:r>
    </w:p>
    <w:p>
      <w:pPr>
        <w:spacing w:before="120" w:after="120"/>
      </w:pPr>
      <w:r>
        <w:rPr>
          <w:sz w:val="18"/>
        </w:rPr>
        <w:t>——————————————————————————————————————————————————————————————————————</w:t>
      </w:r>
    </w:p>
    <w:p>
      <w:pPr>
        <w:spacing w:before="160" w:after="40" w:line="240" w:lineRule="auto"/>
      </w:pPr>
      <w:r>
        <w:rPr>
          <w:b/>
        </w:rPr>
        <w:t xml:space="preserve">[412] </w:t>
      </w:r>
      <w:hyperlink r:id="rId937">
        <w:r>
          <w:rPr>
            <w:color w:val="1155CC"/>
            <w:u w:val="single"/>
          </w:rPr>
          <w:t>bioRxiv如何通过数据改变生物学家分享想法的方式</w:t>
        </w:r>
      </w:hyperlink>
    </w:p>
    <w:p>
      <w:pPr>
        <w:spacing w:before="0" w:after="80"/>
      </w:pPr>
      <w:r>
        <w:rPr>
          <w:i/>
          <w:sz w:val="20"/>
        </w:rPr>
        <w:t>EN: How bioRxiv changed the way biologists share ideas – in numbers</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38">
        <w:r>
          <w:rPr>
            <w:color w:val="1155CC"/>
            <w:u w:val="single"/>
          </w:rPr>
          <w:t>10.1038/d41586-026-00709-3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[413] </w:t>
      </w:r>
      <w:hyperlink r:id="rId939">
        <w:r>
          <w:rPr>
            <w:color w:val="1155CC"/>
            <w:u w:val="single"/>
          </w:rPr>
          <w:t>XA-Novo：基于高通量质谱的单克隆抗体和抗体混合物的去新序列技术</w:t>
        </w:r>
      </w:hyperlink>
    </w:p>
    <w:p>
      <w:pPr>
        <w:spacing w:before="0" w:after="80"/>
      </w:pPr>
      <w:r>
        <w:rPr>
          <w:i/>
          <w:sz w:val="20"/>
        </w:rPr>
        <w:t>EN: XA-Novo: high-throughput mass spectrometry-based de novo sequencing technology for monoclonal antibodies and antibody mixtures</w:t>
      </w:r>
    </w:p>
    <w:p>
      <w:pPr>
        <w:spacing w:before="0" w:after="120"/>
      </w:pPr>
      <w:r>
        <w:rPr>
          <w:b/>
        </w:rPr>
        <w:t xml:space="preserve">Source: </w:t>
      </w:r>
      <w:r>
        <w:t>Nature Communications</w:t>
      </w:r>
      <w:r>
        <w:t xml:space="preserve">    </w:t>
      </w:r>
      <w:r>
        <w:rPr>
          <w:b/>
        </w:rPr>
        <w:t xml:space="preserve">Pub date: </w:t>
      </w:r>
      <w:r>
        <w:t>2026-03-12 00:00:00+00:00</w:t>
      </w:r>
      <w:r>
        <w:t xml:space="preserve">    </w:t>
      </w:r>
      <w:r>
        <w:rPr>
          <w:b/>
        </w:rPr>
        <w:t xml:space="preserve">DOI: </w:t>
      </w:r>
      <w:hyperlink r:id="rId940">
        <w:r>
          <w:rPr>
            <w:color w:val="1155CC"/>
            <w:u w:val="single"/>
          </w:rPr>
          <w:t>10.1038/s41467-026-70496-y</w:t>
        </w:r>
      </w:hyperlink>
    </w:p>
    <w:p>
      <w:pPr>
        <w:spacing w:before="0" w:after="120"/>
      </w:pPr>
      <w:r>
        <w:rPr>
          <w:b/>
        </w:rPr>
        <w:t xml:space="preserve">Notes: </w:t>
      </w:r>
      <w:r>
        <w:t>abstract_source=nature_html</w:t>
      </w:r>
    </w:p>
    <w:p>
      <w:pPr>
        <w:spacing w:before="0" w:after="80" w:lineRule="auto" w:line="276"/>
      </w:pPr>
      <w:r>
        <w:rPr>
          <w:b/>
        </w:rPr>
        <w:t xml:space="preserve">摘要（ZH）: </w:t>
      </w:r>
      <w:r>
        <w:t>通过基于质谱的de novo测序阐明抗体序列是必不可少的，但在技术上仍具有挑战性。在此，我们介绍XA-Novo，这是一种准确且高通量的de novo测序解决方案，它结合了单锅多酶梯度消化方法与基于束搜索的组装器（Fusion），直接从自下而上的质谱数据重建全长抗体序列。对来自多个物种的良好表征抗体进行基准测试表明，XA-Novo在识别灵敏度、序列完整性和重建准确性方面优于商业解决方案。此外，XA-Novo成功重建了六种未知序列的免疫治疗抗体，并通过体内/体外试验证实这些生成的抗体</w:t>
      </w:r>
    </w:p>
    <w:p>
      <w:pPr>
        <w:spacing w:before="0" w:after="200" w:lineRule="auto" w:line="276"/>
      </w:pPr>
      <w:r>
        <w:rPr>
          <w:b/>
        </w:rPr>
        <w:t xml:space="preserve">Abstract (EN): </w:t>
      </w:r>
      <w:r>
        <w:t>Elucidating antibody sequences by mass spectrometry-based de novo sequencing is essential but remains technically challenging. Here we present XA-Novo, an accurate and high-throughput de novo sequencing solution that integrates a single-pot multi-enzymatic gradient digestion method with a beam search-based assembler (Fusion) to reconstruct full-length antibody sequences directly from bottom-up mass spectrometry data. Benchmarking across well-characterized antibodies from multiple species demonstrates that XA-Novo outperforms commercial solutions in identification sensitivity, sequence completeness, and reconstruction accuracy. Furthermore, XA-Novo successfully reconstructs six immunotherapeutic antibodies with unknown sequences, and in vitro/vivo assays validate that these generated antibodies exhibit functionality equivalent to their commercial counterparts. Moreover, XA-Novo achieves over 99.54% accurate sequence coverage in distinguishing mixed COVID-19 neutralizing antibodies, exceeding the performance of current assemblers reported for single-antibody sequencing. Overall, XA-Novo establishes a reliable, scalable, and broadly applicable workflow for routine antibody sequencing, thereby accelerating both fundamental antibody research and therapeutic antibody development.</w:t>
      </w:r>
    </w:p>
    <w:p>
      <w:pPr>
        <w:spacing w:before="120" w:after="120"/>
      </w:pPr>
      <w:r>
        <w:rPr>
          <w:sz w:val="18"/>
        </w:rPr>
        <w:t>——————————————————————————————————————————————————————————————————————</w:t>
      </w:r>
    </w:p>
    <w:p>
      <w:pPr>
        <w:spacing w:before="160" w:after="40" w:line="240" w:lineRule="auto"/>
      </w:pPr>
      <w:r>
        <w:rPr>
          <w:b/>
        </w:rPr>
        <w:t xml:space="preserve">[414] </w:t>
      </w:r>
      <w:hyperlink r:id="rId941">
        <w:r>
          <w:rPr>
            <w:color w:val="1155CC"/>
            <w:u w:val="single"/>
          </w:rPr>
          <w:t>‘烤的，不是炸的’：营养研究的五个亮点</w:t>
        </w:r>
      </w:hyperlink>
    </w:p>
    <w:p>
      <w:pPr>
        <w:spacing w:before="0" w:after="80"/>
      </w:pPr>
      <w:r>
        <w:rPr>
          <w:i/>
          <w:sz w:val="20"/>
        </w:rPr>
        <w:t>EN: ‘Baked, not fried’: five highlights from nutrition research</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42">
        <w:r>
          <w:rPr>
            <w:color w:val="1155CC"/>
            <w:u w:val="single"/>
          </w:rPr>
          <w:t>10.1038/d41586-026-00598-6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943">
        <w:r>
          <w:rPr>
            <w:color w:val="1155CC"/>
            <w:u w:val="single"/>
          </w:rPr>
          <w:t>撤回说明：通过上转换纳米粒子免疫装置的近红外光介导的空间选择性触发抗肿瘤免疫</w:t>
        </w:r>
      </w:hyperlink>
    </w:p>
    <w:p>
      <w:pPr>
        <w:spacing w:before="0" w:after="80"/>
      </w:pPr>
      <w:r>
        <w:rPr>
          <w:i/>
          <w:sz w:val="20"/>
        </w:rPr>
        <w:t>EN: Retraction Note: NIR-light-mediated spatially selective triggering of anti-tumor immunity via upconversion nanoparticle-based immunodevices</w:t>
      </w:r>
    </w:p>
    <w:p>
      <w:pPr>
        <w:spacing w:before="0" w:after="120"/>
      </w:pPr>
      <w:r>
        <w:rPr>
          <w:b/>
        </w:rPr>
        <w:t xml:space="preserve">Source: </w:t>
      </w:r>
      <w:r>
        <w:t>Nature Communications</w:t>
      </w:r>
      <w:r>
        <w:t xml:space="preserve">    </w:t>
      </w:r>
      <w:r>
        <w:rPr>
          <w:b/>
        </w:rPr>
        <w:t xml:space="preserve">Pub date: </w:t>
      </w:r>
      <w:r>
        <w:t>2026-03-12 00:00:00+00:00</w:t>
      </w:r>
      <w:r>
        <w:t xml:space="preserve">    </w:t>
      </w:r>
      <w:r>
        <w:rPr>
          <w:b/>
        </w:rPr>
        <w:t xml:space="preserve">DOI: </w:t>
      </w:r>
      <w:hyperlink r:id="rId944">
        <w:r>
          <w:rPr>
            <w:color w:val="1155CC"/>
            <w:u w:val="single"/>
          </w:rPr>
          <w:t>10.1038/s41467-026-70557-2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[416] </w:t>
      </w:r>
      <w:hyperlink r:id="rId945">
        <w:r>
          <w:rPr>
            <w:color w:val="1155CC"/>
            <w:u w:val="single"/>
          </w:rPr>
          <w:t>面对我的‘幽灵年’：为什么高发表率并不总是反映成功</w:t>
        </w:r>
      </w:hyperlink>
    </w:p>
    <w:p>
      <w:pPr>
        <w:spacing w:before="0" w:after="80"/>
      </w:pPr>
      <w:r>
        <w:rPr>
          <w:i/>
          <w:sz w:val="20"/>
        </w:rPr>
        <w:t>EN: Reckoning with my ‘ghost years’: why a high publication rate doesn’t always reflect success</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46">
        <w:r>
          <w:rPr>
            <w:color w:val="1155CC"/>
            <w:u w:val="single"/>
          </w:rPr>
          <w:t>10.1038/d41586-025-04062-9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[417] </w:t>
      </w:r>
      <w:hyperlink r:id="rId947">
        <w:r>
          <w:rPr>
            <w:color w:val="1155CC"/>
            <w:u w:val="single"/>
          </w:rPr>
          <w:t>了解英国公众对脱碳供暖系统的偏好和态度</w:t>
        </w:r>
      </w:hyperlink>
    </w:p>
    <w:p>
      <w:pPr>
        <w:spacing w:before="0" w:after="80"/>
      </w:pPr>
      <w:r>
        <w:rPr>
          <w:i/>
          <w:sz w:val="20"/>
        </w:rPr>
        <w:t>EN: Understanding UK public preferences and attitudes to a decarbonized heating system</w:t>
      </w:r>
    </w:p>
    <w:p>
      <w:pPr>
        <w:spacing w:before="0" w:after="120"/>
      </w:pPr>
      <w:r>
        <w:rPr>
          <w:b/>
        </w:rPr>
        <w:t xml:space="preserve">Source: </w:t>
      </w:r>
      <w:r>
        <w:t>Nature Energy</w:t>
      </w:r>
      <w:r>
        <w:t xml:space="preserve">    </w:t>
      </w:r>
      <w:r>
        <w:rPr>
          <w:b/>
        </w:rPr>
        <w:t xml:space="preserve">Pub date: </w:t>
      </w:r>
      <w:r>
        <w:t>2026-03-12 00:00:00+00:00</w:t>
      </w:r>
      <w:r>
        <w:t xml:space="preserve">    </w:t>
      </w:r>
      <w:r>
        <w:rPr>
          <w:b/>
        </w:rPr>
        <w:t xml:space="preserve">DOI: </w:t>
      </w:r>
      <w:hyperlink r:id="rId948">
        <w:r>
          <w:rPr>
            <w:color w:val="1155CC"/>
            <w:u w:val="single"/>
          </w:rPr>
          <w:t>10.1038/s41560-026-01978-y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949">
        <w:r>
          <w:rPr>
            <w:color w:val="1155CC"/>
            <w:u w:val="single"/>
          </w:rPr>
          <w:t>‘爱因斯坦’机器人加剧了课堂上关于AI的辩论</w:t>
        </w:r>
      </w:hyperlink>
    </w:p>
    <w:p>
      <w:pPr>
        <w:spacing w:before="0" w:after="80"/>
      </w:pPr>
      <w:r>
        <w:rPr>
          <w:i/>
          <w:sz w:val="20"/>
        </w:rPr>
        <w:t>EN: ‘Einstein‘ bot sharpens debate over AI in the classroom</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50">
        <w:r>
          <w:rPr>
            <w:color w:val="1155CC"/>
            <w:u w:val="single"/>
          </w:rPr>
          <w:t>10.1038/d41586-026-00764-w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[419] </w:t>
      </w:r>
      <w:hyperlink r:id="rId951">
        <w:r>
          <w:rPr>
            <w:color w:val="1155CC"/>
            <w:u w:val="single"/>
          </w:rPr>
          <w:t>垂直表面和相邻地面的非互惠辐射冷却</w:t>
        </w:r>
      </w:hyperlink>
    </w:p>
    <w:p>
      <w:pPr>
        <w:spacing w:before="0" w:after="80"/>
      </w:pPr>
      <w:r>
        <w:rPr>
          <w:i/>
          <w:sz w:val="20"/>
        </w:rPr>
        <w:t>EN: Nonreciprocal radiative cooling of vertical surface and adjacent ground</w:t>
      </w:r>
    </w:p>
    <w:p>
      <w:pPr>
        <w:spacing w:before="0" w:after="120"/>
      </w:pPr>
      <w:r>
        <w:rPr>
          <w:b/>
        </w:rPr>
        <w:t xml:space="preserve">Source: </w:t>
      </w:r>
      <w:r>
        <w:t>Joule</w:t>
      </w:r>
      <w:r>
        <w:t xml:space="preserve">    </w:t>
      </w:r>
      <w:r>
        <w:rPr>
          <w:b/>
        </w:rPr>
        <w:t xml:space="preserve">Pub date: </w:t>
      </w:r>
      <w:r>
        <w:t>2026-03-12 00:00:00+00:00</w:t>
      </w:r>
      <w:r>
        <w:t xml:space="preserve">    </w:t>
      </w:r>
      <w:r>
        <w:rPr>
          <w:b/>
        </w:rPr>
        <w:t xml:space="preserve">DOI: </w:t>
      </w:r>
      <w:hyperlink r:id="rId952">
        <w:r>
          <w:rPr>
            <w:color w:val="1155CC"/>
            <w:u w:val="single"/>
          </w:rPr>
          <w:t>10.1016/j.joule.2026.102348</w:t>
        </w:r>
      </w:hyperlink>
    </w:p>
    <w:p>
      <w:pPr>
        <w:spacing w:before="0" w:after="120"/>
      </w:pPr>
      <w:r>
        <w:rPr>
          <w:b/>
        </w:rPr>
        <w:t xml:space="preserve">Notes: </w:t>
      </w:r>
      <w:r>
        <w:t>abstract_source=rss_cell</w:t>
      </w:r>
    </w:p>
    <w:p>
      <w:pPr>
        <w:spacing w:before="0" w:after="80" w:lineRule="auto" w:line="276"/>
      </w:pPr>
      <w:r>
        <w:rPr>
          <w:b/>
        </w:rPr>
        <w:t xml:space="preserve">摘要（ZH）: </w:t>
      </w:r>
      <w:r>
        <w:t>Liu等人将非互易热光子学引入多体系统，实现了同时的垂直表面冷却和地面热缓解。通过解耦辐射路径，该研究展示了路径选择性和独立的热流控制，为复杂、现实的城市环境中的先进热管理奠定了基础。</w:t>
      </w:r>
    </w:p>
    <w:p>
      <w:pPr>
        <w:spacing w:before="0" w:after="200" w:lineRule="auto" w:line="276"/>
      </w:pPr>
      <w:r>
        <w:rPr>
          <w:b/>
        </w:rPr>
        <w:t xml:space="preserve">Abstract (EN): </w:t>
      </w:r>
      <w:r>
        <w:t>Liu et al. introduce nonreciprocal thermal photonics to many-body systems, enabling simultaneous vertical surface cooling and ground-level heat mitigation. By decoupling radiative pathways, the study demonstrates path-selective and independent heat flow control, setting the foundation for advanced thermal management in complex, realistic urban environments.</w:t>
      </w:r>
    </w:p>
    <w:p>
      <w:pPr>
        <w:spacing w:before="120" w:after="120"/>
      </w:pPr>
      <w:r>
        <w:rPr>
          <w:sz w:val="18"/>
        </w:rPr>
        <w:t>——————————————————————————————————————————————————————————————————————</w:t>
      </w:r>
    </w:p>
    <w:p>
      <w:pPr>
        <w:spacing w:before="160" w:after="40" w:line="240" w:lineRule="auto"/>
      </w:pPr>
      <w:r>
        <w:rPr>
          <w:b/>
        </w:rPr>
        <w:t xml:space="preserve">[420] </w:t>
      </w:r>
      <w:hyperlink r:id="rId953">
        <w:r>
          <w:rPr>
            <w:color w:val="1155CC"/>
            <w:u w:val="single"/>
          </w:rPr>
          <w:t>年轻时的嬉戏行为预测寿命——至少对这些鱼类而言</w:t>
        </w:r>
      </w:hyperlink>
    </w:p>
    <w:p>
      <w:pPr>
        <w:spacing w:before="0" w:after="80"/>
      </w:pPr>
      <w:r>
        <w:rPr>
          <w:i/>
          <w:sz w:val="20"/>
        </w:rPr>
        <w:t>EN: Youthful antics predict lifespan — at least for these fish</w:t>
      </w:r>
    </w:p>
    <w:p>
      <w:pPr>
        <w:spacing w:before="0" w:after="120"/>
      </w:pPr>
      <w:r>
        <w:rPr>
          <w:b/>
        </w:rPr>
        <w:t xml:space="preserve">Source: </w:t>
      </w:r>
      <w:r>
        <w:t>Nature</w:t>
      </w:r>
      <w:r>
        <w:t xml:space="preserve">    </w:t>
      </w:r>
      <w:r>
        <w:rPr>
          <w:b/>
        </w:rPr>
        <w:t xml:space="preserve">Pub date: </w:t>
      </w:r>
      <w:r>
        <w:t>2026-03-12 00:00:00+00:00</w:t>
      </w:r>
      <w:r>
        <w:t xml:space="preserve">    </w:t>
      </w:r>
      <w:r>
        <w:rPr>
          <w:b/>
        </w:rPr>
        <w:t xml:space="preserve">DOI: </w:t>
      </w:r>
      <w:hyperlink r:id="rId954">
        <w:r>
          <w:rPr>
            <w:color w:val="1155CC"/>
            <w:u w:val="single"/>
          </w:rPr>
          <w:t>10.1038/d41586-026-00782-8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955">
        <w:r>
          <w:rPr>
            <w:color w:val="1155CC"/>
            <w:u w:val="single"/>
          </w:rPr>
          <w:t>为什么纳米比亚的绿色能源梦想可能对企鹅来说是一个危险信号</w:t>
        </w:r>
      </w:hyperlink>
    </w:p>
    <w:p>
      <w:pPr>
        <w:spacing w:before="0" w:after="80"/>
      </w:pPr>
      <w:r>
        <w:rPr>
          <w:i/>
          <w:sz w:val="20"/>
        </w:rPr>
        <w:t>EN: Why Namibia's green energy dream could be a red flag for penguins</w:t>
      </w:r>
    </w:p>
    <w:p>
      <w:pPr>
        <w:spacing w:before="0" w:after="120"/>
      </w:pPr>
      <w:r>
        <w:rPr>
          <w:b/>
        </w:rPr>
        <w:t xml:space="preserve">Source: </w:t>
      </w:r>
      <w:r>
        <w:t>BBC News</w:t>
      </w:r>
      <w:r>
        <w:t xml:space="preserve">    </w:t>
      </w:r>
      <w:r>
        <w:rPr>
          <w:b/>
        </w:rPr>
        <w:t xml:space="preserve">Pub date: </w:t>
      </w:r>
      <w:r>
        <w:t>2026-03-12 00:04:52+00:00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[422] </w:t>
      </w:r>
      <w:hyperlink r:id="rId956">
        <w:r>
          <w:rPr>
            <w:color w:val="1155CC"/>
            <w:u w:val="single"/>
          </w:rPr>
          <w:t>EverWind获得投资以在新斯科舍省建设可再生能源发电</w:t>
        </w:r>
      </w:hyperlink>
    </w:p>
    <w:p>
      <w:pPr>
        <w:spacing w:before="0" w:after="80"/>
      </w:pPr>
      <w:r>
        <w:rPr>
          <w:i/>
          <w:sz w:val="20"/>
        </w:rPr>
        <w:t>EN: EverWind secures investment for build-out of renewable generation in Nova Scotia</w:t>
      </w:r>
    </w:p>
    <w:p>
      <w:pPr>
        <w:spacing w:before="0" w:after="120"/>
      </w:pPr>
      <w:r>
        <w:rPr>
          <w:b/>
        </w:rPr>
        <w:t xml:space="preserve">Source: </w:t>
      </w:r>
      <w:r>
        <w:t>Articles – Ammonia Energy Association</w:t>
      </w:r>
      <w:r>
        <w:t xml:space="preserve">    </w:t>
      </w:r>
      <w:r>
        <w:rPr>
          <w:b/>
        </w:rPr>
        <w:t xml:space="preserve">Pub date: </w:t>
      </w:r>
      <w:r>
        <w:t>2026-03-12 00:10:03+00:00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[423] </w:t>
      </w:r>
      <w:hyperlink r:id="rId957">
        <w:r>
          <w:rPr>
            <w:color w:val="1155CC"/>
            <w:u w:val="single"/>
          </w:rPr>
          <w:t>消失已久的冰盖遗迹揭示古代气候线索</w:t>
        </w:r>
      </w:hyperlink>
    </w:p>
    <w:p>
      <w:pPr>
        <w:spacing w:before="0" w:after="80"/>
      </w:pPr>
      <w:r>
        <w:rPr>
          <w:i/>
          <w:sz w:val="20"/>
        </w:rPr>
        <w:t>EN: Relic of long-vanished ice sheet holds clues to ancient climate</w:t>
      </w:r>
    </w:p>
    <w:p>
      <w:pPr>
        <w:spacing w:before="0" w:after="120"/>
      </w:pPr>
      <w:r>
        <w:rPr>
          <w:b/>
        </w:rPr>
        <w:t xml:space="preserve">Source: </w:t>
      </w:r>
      <w:r>
        <w:t>Latest News from Science Magazine</w:t>
      </w:r>
      <w:r>
        <w:t xml:space="preserve">    </w:t>
      </w:r>
      <w:r>
        <w:rPr>
          <w:b/>
        </w:rPr>
        <w:t xml:space="preserve">Pub date: </w:t>
      </w:r>
      <w:r>
        <w:t>2026-03-12 02:00:00+00:00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[424] </w:t>
      </w:r>
      <w:hyperlink r:id="rId958">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59">
        <w:r>
          <w:rPr>
            <w:color w:val="1155CC"/>
            <w:u w:val="single"/>
          </w:rPr>
          <w:t>10.1126/science.aeh0792</w:t>
        </w:r>
      </w:hyperlink>
    </w:p>
    <w:p>
      <w:pPr>
        <w:spacing w:before="0" w:after="120"/>
      </w:pPr>
      <w:r>
        <w:rPr>
          <w:b/>
        </w:rPr>
        <w:t xml:space="preserve">Notes: </w:t>
      </w:r>
      <w:r>
        <w:t>abstract_source=crossref</w:t>
      </w:r>
    </w:p>
    <w:p>
      <w:pPr>
        <w:spacing w:before="0" w:after="80" w:lineRule="auto" w:line="276"/>
      </w:pPr>
      <w:r>
        <w:rPr>
          <w:b/>
        </w:rPr>
        <w:t xml:space="preserve">摘要（ZH）: </w:t>
      </w:r>
      <w:r>
        <w:t>《科学》期刊家族的亮点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[425] </w:t>
      </w:r>
      <w:hyperlink r:id="rId960">
        <w:r>
          <w:rPr>
            <w:color w:val="1155CC"/>
            <w:u w:val="single"/>
          </w:rPr>
          <w:t>生物多样性丧失的财政影响及保护金融的路径</w:t>
        </w:r>
      </w:hyperlink>
    </w:p>
    <w:p>
      <w:pPr>
        <w:spacing w:before="0" w:after="80"/>
      </w:pPr>
      <w:r>
        <w:rPr>
          <w:i/>
          <w:sz w:val="20"/>
        </w:rPr>
        <w:t>EN: The fiscal impact of biodiversity loss and a pathway for conservation finance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61">
        <w:r>
          <w:rPr>
            <w:color w:val="1155CC"/>
            <w:u w:val="single"/>
          </w:rPr>
          <w:t>10.1126/science.ady0066</w:t>
        </w:r>
      </w:hyperlink>
    </w:p>
    <w:p>
      <w:pPr>
        <w:spacing w:before="0" w:after="120"/>
      </w:pPr>
      <w:r>
        <w:rPr>
          <w:b/>
        </w:rPr>
        <w:t xml:space="preserve">Notes: </w:t>
      </w:r>
      <w:r>
        <w:t>abstract_source=crossref</w:t>
      </w:r>
    </w:p>
    <w:p>
      <w:pPr>
        <w:spacing w:before="0" w:after="80" w:lineRule="auto" w:line="276"/>
      </w:pPr>
      <w:r>
        <w:rPr>
          <w:b/>
        </w:rPr>
        <w:t xml:space="preserve">摘要（ZH）: </w:t>
      </w:r>
      <w:r>
        <w:t>逐利投资者可以将其市政债券投资与保护行动相结合</w:t>
      </w:r>
    </w:p>
    <w:p>
      <w:pPr>
        <w:spacing w:before="0" w:after="200" w:lineRule="auto" w:line="276"/>
      </w:pPr>
      <w:r>
        <w:rPr>
          <w:b/>
        </w:rPr>
        <w:t xml:space="preserve">Abstract (EN): </w:t>
      </w:r>
      <w:r>
        <w:t>Profit-seeking investors could align their muncipal bond investments with conservation actions</w:t>
      </w:r>
    </w:p>
    <w:p>
      <w:pPr>
        <w:spacing w:before="120" w:after="120"/>
      </w:pPr>
      <w:r>
        <w:rPr>
          <w:sz w:val="18"/>
        </w:rPr>
        <w:t>——————————————————————————————————————————————————————————————————————</w:t>
      </w:r>
    </w:p>
    <w:p>
      <w:pPr>
        <w:spacing w:before="160" w:after="40" w:line="240" w:lineRule="auto"/>
      </w:pPr>
      <w:r>
        <w:rPr>
          <w:b/>
        </w:rPr>
        <w:t xml:space="preserve">[426] </w:t>
      </w:r>
      <w:hyperlink r:id="rId962">
        <w:r>
          <w:rPr>
            <w:color w:val="1155CC"/>
            <w:u w:val="single"/>
          </w:rPr>
          <w:t>分拆标志性美国气候实验室的计划继续推进</w:t>
        </w:r>
      </w:hyperlink>
    </w:p>
    <w:p>
      <w:pPr>
        <w:spacing w:before="0" w:after="80"/>
      </w:pPr>
      <w:r>
        <w:rPr>
          <w:i/>
          <w:sz w:val="20"/>
        </w:rPr>
        <w:t>EN: Plan to break up iconic U.S. climate lab moves ahead</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63">
        <w:r>
          <w:rPr>
            <w:color w:val="1155CC"/>
            <w:u w:val="single"/>
          </w:rPr>
          <w:t>10.1126/science.aeh1090</w:t>
        </w:r>
      </w:hyperlink>
    </w:p>
    <w:p>
      <w:pPr>
        <w:spacing w:before="0" w:after="120"/>
      </w:pPr>
      <w:r>
        <w:rPr>
          <w:b/>
        </w:rPr>
        <w:t xml:space="preserve">Notes: </w:t>
      </w:r>
      <w:r>
        <w:t>abstract_source=crossref</w:t>
      </w:r>
    </w:p>
    <w:p>
      <w:pPr>
        <w:spacing w:before="0" w:after="80" w:lineRule="auto" w:line="276"/>
      </w:pPr>
      <w:r>
        <w:rPr>
          <w:b/>
        </w:rPr>
        <w:t xml:space="preserve">摘要（ZH）: </w:t>
      </w:r>
      <w:r>
        <w:t>竞标者已排队准备接管国家大气研究中心的部分业务</w:t>
      </w:r>
    </w:p>
    <w:p>
      <w:pPr>
        <w:spacing w:before="0" w:after="200" w:lineRule="auto" w:line="276"/>
      </w:pPr>
      <w:r>
        <w:rPr>
          <w:b/>
        </w:rPr>
        <w:t xml:space="preserve">Abstract (EN): </w:t>
      </w:r>
      <w:r>
        <w:t>Bidders have lined up to take over pieces of the National Center for Atmospheric Research</w:t>
      </w:r>
    </w:p>
    <w:p>
      <w:pPr>
        <w:spacing w:before="120" w:after="120"/>
      </w:pPr>
      <w:r>
        <w:rPr>
          <w:sz w:val="18"/>
        </w:rPr>
        <w:t>——————————————————————————————————————————————————————————————————————</w:t>
      </w:r>
    </w:p>
    <w:p>
      <w:pPr>
        <w:spacing w:before="160" w:after="40" w:line="240" w:lineRule="auto"/>
      </w:pPr>
      <w:r>
        <w:rPr>
          <w:b/>
        </w:rPr>
        <w:t xml:space="preserve">[427] </w:t>
      </w:r>
      <w:hyperlink r:id="rId964">
        <w:r>
          <w:rPr>
            <w:color w:val="1155CC"/>
            <w:u w:val="single"/>
          </w:rPr>
          <w:t>冰冻的见证者</w:t>
        </w:r>
      </w:hyperlink>
    </w:p>
    <w:p>
      <w:pPr>
        <w:spacing w:before="0" w:after="80"/>
      </w:pPr>
      <w:r>
        <w:rPr>
          <w:i/>
          <w:sz w:val="20"/>
        </w:rPr>
        <w:t>EN: Frozen witness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65">
        <w:r>
          <w:rPr>
            <w:color w:val="1155CC"/>
            <w:u w:val="single"/>
          </w:rPr>
          <w:t>10.1126/science.aeh0790</w:t>
        </w:r>
      </w:hyperlink>
    </w:p>
    <w:p>
      <w:pPr>
        <w:spacing w:before="0" w:after="120"/>
      </w:pPr>
      <w:r>
        <w:rPr>
          <w:b/>
        </w:rPr>
        <w:t xml:space="preserve">Notes: </w:t>
      </w:r>
      <w:r>
        <w:t>abstract_source=crossref</w:t>
      </w:r>
    </w:p>
    <w:p>
      <w:pPr>
        <w:spacing w:before="0" w:after="80" w:lineRule="auto" w:line="276"/>
      </w:pPr>
      <w:r>
        <w:rPr>
          <w:b/>
        </w:rPr>
        <w:t xml:space="preserve">摘要（ZH）: </w:t>
      </w:r>
      <w:r>
        <w:t>从阿拉斯加侵蚀海岸线中融化出来的古代冰川冰可能为北半球提供一个关键气候篇章的唯一一瞥</w:t>
      </w:r>
    </w:p>
    <w:p>
      <w:pPr>
        <w:spacing w:before="0" w:after="200" w:lineRule="auto" w:line="276"/>
      </w:pPr>
      <w:r>
        <w:rPr>
          <w:b/>
        </w:rPr>
        <w:t xml:space="preserve">Abstract (EN): </w:t>
      </w:r>
      <w:r>
        <w:t>Ancient glacial ice melting out of Alaska’s eroding coastline may offer the Northern Hemisphere’s only glimpse into a pivotal climate chapter</w:t>
      </w:r>
    </w:p>
    <w:p>
      <w:pPr>
        <w:spacing w:before="120" w:after="120"/>
      </w:pPr>
      <w:r>
        <w:rPr>
          <w:sz w:val="18"/>
        </w:rPr>
        <w:t>——————————————————————————————————————————————————————————————————————</w:t>
      </w:r>
    </w:p>
    <w:p>
      <w:pPr>
        <w:spacing w:before="160" w:after="40" w:line="240" w:lineRule="auto"/>
      </w:pPr>
      <w:r>
        <w:rPr>
          <w:b/>
        </w:rPr>
        <w:t xml:space="preserve">[428] </w:t>
      </w:r>
      <w:hyperlink r:id="rId966">
        <w:r>
          <w:rPr>
            <w:color w:val="1155CC"/>
            <w:u w:val="single"/>
          </w:rPr>
          <w:t>大盐湖的即将崩溃</w:t>
        </w:r>
      </w:hyperlink>
    </w:p>
    <w:p>
      <w:pPr>
        <w:spacing w:before="0" w:after="80"/>
      </w:pPr>
      <w:r>
        <w:rPr>
          <w:i/>
          <w:sz w:val="20"/>
        </w:rPr>
        <w:t>EN: The imminent collapse of the Great Salt Lake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67">
        <w:r>
          <w:rPr>
            <w:color w:val="1155CC"/>
            <w:u w:val="single"/>
          </w:rPr>
          <w:t>10.1126/science.aeg4335</w:t>
        </w:r>
      </w:hyperlink>
    </w:p>
    <w:p>
      <w:pPr>
        <w:spacing w:before="0" w:after="120"/>
      </w:pPr>
      <w:r>
        <w:rPr>
          <w:b/>
        </w:rPr>
        <w:t xml:space="preserve">Notes: </w:t>
      </w:r>
      <w:r>
        <w:t>abstract_source=crossref</w:t>
      </w:r>
    </w:p>
    <w:p>
      <w:pPr>
        <w:spacing w:before="0" w:after="80" w:lineRule="auto" w:line="276"/>
      </w:pPr>
      <w:r>
        <w:rPr>
          <w:b/>
        </w:rPr>
        <w:t xml:space="preserve">摘要（ZH）: </w:t>
      </w:r>
      <w:r>
        <w:t>一部新的纪录片直面北美最大终端湖泊的严峻未来</w:t>
      </w:r>
    </w:p>
    <w:p>
      <w:pPr>
        <w:spacing w:before="0" w:after="200" w:lineRule="auto" w:line="276"/>
      </w:pPr>
      <w:r>
        <w:rPr>
          <w:b/>
        </w:rPr>
        <w:t xml:space="preserve">Abstract (EN): </w:t>
      </w:r>
      <w:r>
        <w:t>A new documentary confronts the dire future of North America’s largest terminal lake</w:t>
      </w:r>
    </w:p>
    <w:p>
      <w:pPr>
        <w:spacing w:before="120" w:after="120"/>
      </w:pPr>
      <w:r>
        <w:rPr>
          <w:sz w:val="18"/>
        </w:rPr>
        <w:t>——————————————————————————————————————————————————————————————————————</w:t>
      </w:r>
    </w:p>
    <w:p>
      <w:pPr>
        <w:spacing w:before="160" w:after="40" w:line="240" w:lineRule="auto"/>
      </w:pPr>
      <w:r>
        <w:rPr>
          <w:b/>
        </w:rPr>
        <w:t xml:space="preserve">[429] </w:t>
      </w:r>
      <w:hyperlink r:id="rId968">
        <w:r>
          <w:rPr>
            <w:color w:val="1155CC"/>
            <w:u w:val="single"/>
          </w:rPr>
          <w:t>印度的抗菌素耐药性</w:t>
        </w:r>
      </w:hyperlink>
    </w:p>
    <w:p>
      <w:pPr>
        <w:spacing w:before="0" w:after="80"/>
      </w:pPr>
      <w:r>
        <w:rPr>
          <w:i/>
          <w:sz w:val="20"/>
        </w:rPr>
        <w:t>EN: Antimicrobial resistance in India</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69">
        <w:r>
          <w:rPr>
            <w:color w:val="1155CC"/>
            <w:u w:val="single"/>
          </w:rPr>
          <w:t>10.1126/science.aee7889</w:t>
        </w:r>
      </w:hyperlink>
    </w:p>
    <w:p>
      <w:pPr>
        <w:spacing w:before="0" w:after="120"/>
      </w:pPr>
      <w:r>
        <w:rPr>
          <w:b/>
        </w:rPr>
        <w:t xml:space="preserve">Notes: </w:t>
      </w:r>
      <w:r>
        <w:t>abstract_source=crossref</w:t>
      </w:r>
    </w:p>
    <w:p>
      <w:pPr>
        <w:spacing w:before="0" w:after="80" w:lineRule="auto" w:line="276"/>
      </w:pPr>
      <w:r>
        <w:rPr>
          <w:b/>
        </w:rPr>
        <w:t xml:space="preserve">摘要（ZH）: </w:t>
      </w:r>
      <w:r>
        <w:t>拒绝将无知视为抗生素过度使用的原因，一对社会学家找到了更可能的解释</w:t>
      </w:r>
    </w:p>
    <w:p>
      <w:pPr>
        <w:spacing w:before="0" w:after="200" w:lineRule="auto" w:line="276"/>
      </w:pPr>
      <w:r>
        <w:rPr>
          <w:b/>
        </w:rPr>
        <w:t xml:space="preserve">Abstract (EN): </w:t>
      </w:r>
      <w:r>
        <w:t>Rejecting ignorance as the cause of antibiotic overuse, a pair of sociologists find more likely explanations</w:t>
      </w:r>
    </w:p>
    <w:p>
      <w:pPr>
        <w:spacing w:before="120" w:after="120"/>
      </w:pPr>
      <w:r>
        <w:rPr>
          <w:sz w:val="18"/>
        </w:rPr>
        <w:t>——————————————————————————————————————————————————————————————————————</w:t>
      </w:r>
    </w:p>
    <w:p>
      <w:pPr>
        <w:spacing w:before="160" w:after="40" w:line="240" w:lineRule="auto"/>
      </w:pPr>
      <w:r>
        <w:rPr>
          <w:b/>
        </w:rPr>
        <w:t xml:space="preserve">[430] </w:t>
      </w:r>
      <w:hyperlink r:id="rId970">
        <w:r>
          <w:rPr>
            <w:color w:val="1155CC"/>
            <w:u w:val="single"/>
          </w:rPr>
          <w:t>在胰腺导管腺癌的临床前模型中用KRAS抑制剂进行癌症拦截</w:t>
        </w:r>
      </w:hyperlink>
    </w:p>
    <w:p>
      <w:pPr>
        <w:spacing w:before="0" w:after="80"/>
      </w:pPr>
      <w:r>
        <w:rPr>
          <w:i/>
          <w:sz w:val="20"/>
        </w:rPr>
        <w:t>EN: Cancer interception with KRAS inhibitors in preclinical models of pancreatic ductal adenocarcinoma</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71">
        <w:r>
          <w:rPr>
            <w:color w:val="1155CC"/>
            <w:u w:val="single"/>
          </w:rPr>
          <w:t>10.1126/science.aec7929</w:t>
        </w:r>
      </w:hyperlink>
    </w:p>
    <w:p>
      <w:pPr>
        <w:spacing w:before="0" w:after="120"/>
      </w:pPr>
      <w:r>
        <w:rPr>
          <w:b/>
        </w:rPr>
        <w:t xml:space="preserve">Notes: </w:t>
      </w:r>
      <w:r>
        <w:t>abstract_source=crossref</w:t>
      </w:r>
    </w:p>
    <w:p>
      <w:pPr>
        <w:spacing w:before="0" w:after="80" w:lineRule="auto" w:line="276"/>
      </w:pPr>
      <w:r>
        <w:rPr>
          <w:b/>
        </w:rPr>
        <w:t xml:space="preserve">摘要（ZH）: </w:t>
      </w:r>
      <w:r>
        <w:t>胰腺上皮细胞转变为恶性胰腺导管腺癌（PDAC）通常涉及携带致癌KRAS突变的癌前胰腺上皮内瘤变（PanINs）的进展。在此，我们在PDAC小鼠模型中测试了使用RAS(ON)多选择性或RAS(ON) G12D选择性药理抑制剂[RAS(ON)抑制剂]拦截PDAC的影响。用RAS(ON)抑制剂治疗携带PanIN的小鼠促使癌前病变退化，进而延迟肿瘤发作并增加总体生存期（OS）。在易患肿瘤的小鼠中进行长期拦截，结果显示中位OS超过1年，而未拦截的对照小鼠则不到5个月（</w:t>
      </w:r>
    </w:p>
    <w:p>
      <w:pPr>
        <w:spacing w:before="0" w:after="200" w:lineRule="auto" w:line="276"/>
      </w:pPr>
      <w:r>
        <w:rPr>
          <w:b/>
        </w:rPr>
        <w:t xml:space="preserve">Abstract (EN): </w:t>
      </w:r>
      <w:r>
        <w:t>Transformation of pancreatic epithelial cells to malignant pancreatic ductal adenocarcinoma (PDAC) typically involves the progression of precancerous pancreatic intraepithelial neoplasia (PanINs) bearing oncogenic</w:t>
      </w:r>
      <w:r>
        <w:t xml:space="preserve"> </w:t>
      </w:r>
      <w:r>
        <w:t>KRAS</w:t>
      </w:r>
      <w:r>
        <w:t xml:space="preserve"> </w:t>
      </w:r>
      <w:r>
        <w:t>mutations. Here, we tested the impact of PDAC interception using either RAS(ON) multiselective or RAS(ON) G12D-selective pharmacological inhibitors [RAS(ON) inhibitors] in mouse models of PDAC. Treatment of PanIN-bearing mice with RAS(ON) inhibitors prompted regression of premalignant lesions that translated into a delay in tumor onset and an increase in overall survival (OS). Long-term interception in tumor-prone mice resulted in a median OS of more than 1 year compared with less than 5 months in nonintercepted control mice (</w:t>
      </w:r>
      <w:r>
        <w:t xml:space="preserve"> </w:t>
      </w:r>
      <w:r>
        <w:t>P</w:t>
      </w:r>
      <w:r>
        <w:t xml:space="preserve"> </w:t>
      </w:r>
      <w:r>
        <w:t>&amp;lt; 0.0001). Comparing the survival benefits of RAS(ON) inhibition for cancer interception versus RAS(ON) inhibition for cancer treatment, we found that interception provided a greater survival benefit to mice. These findings suggest that a pharmacological approach may reduce premalignant burden and increase survival in PDAC.</w:t>
      </w:r>
    </w:p>
    <w:p>
      <w:pPr>
        <w:spacing w:before="120" w:after="120"/>
      </w:pPr>
      <w:r>
        <w:rPr>
          <w:sz w:val="18"/>
        </w:rPr>
        <w:t>——————————————————————————————————————————————————————————————————————</w:t>
      </w:r>
    </w:p>
    <w:p>
      <w:pPr>
        <w:spacing w:before="160" w:after="40" w:line="240" w:lineRule="auto"/>
      </w:pPr>
      <w:r>
        <w:rPr>
          <w:b/>
        </w:rPr>
        <w:t xml:space="preserve">[431] </w:t>
      </w:r>
      <w:hyperlink r:id="rId972">
        <w:r>
          <w:rPr>
            <w:color w:val="1155CC"/>
            <w:u w:val="single"/>
          </w:rPr>
          <w:t>海豹和海狮的大脑已经进化到支持对发声行为和学习的自主控制</w:t>
        </w:r>
      </w:hyperlink>
    </w:p>
    <w:p>
      <w:pPr>
        <w:spacing w:before="0" w:after="80"/>
      </w:pPr>
      <w:r>
        <w:rPr>
          <w:i/>
          <w:sz w:val="20"/>
        </w:rPr>
        <w:t>EN: Seal and sea lion brains have evolved to support volitional control of vocal behavior and learning</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73">
        <w:r>
          <w:rPr>
            <w:color w:val="1155CC"/>
            <w:u w:val="single"/>
          </w:rPr>
          <w:t>10.1126/science.adx9367</w:t>
        </w:r>
      </w:hyperlink>
    </w:p>
    <w:p>
      <w:pPr>
        <w:spacing w:before="0" w:after="120"/>
      </w:pPr>
      <w:r>
        <w:rPr>
          <w:b/>
        </w:rPr>
        <w:t xml:space="preserve">Notes: </w:t>
      </w:r>
      <w:r>
        <w:t>abstract_source=crossref</w:t>
      </w:r>
    </w:p>
    <w:p>
      <w:pPr>
        <w:spacing w:before="0" w:after="80" w:lineRule="auto" w:line="276"/>
      </w:pPr>
      <w:r>
        <w:rPr>
          <w:b/>
        </w:rPr>
        <w:t xml:space="preserve">摘要（ZH）: </w:t>
      </w:r>
      <w:r>
        <w:t>海豹和海狮具有高度发达的自主呼吸控制能力，斑海豹还增加了声音产生学习，包括模仿。在这项工作中，我们使用组织学和离体扩散磁共振成像束成像，提供了一个支持鳍足类动物中自主声音控制各个方面的累积神经适应的系统发育谱系证据。海狮和斑海豹，但不是郊狼，具有声带运动皮层和发声脑干核之间的直接连接。港海豹显示出前腹外侧丘脑和声带前运动皮层之间的肥大连接——这是与鸟类声音学习和人类及鹦鹉模仿相关的前脑回路的一部分。我们证明斑海豹具有听觉-前运动通路</w:t>
      </w:r>
    </w:p>
    <w:p>
      <w:pPr>
        <w:spacing w:before="0" w:after="200" w:lineRule="auto" w:line="276"/>
      </w:pPr>
      <w:r>
        <w:rPr>
          <w:b/>
        </w:rPr>
        <w:t xml:space="preserve">Abstract (EN): </w:t>
      </w:r>
      <w:r>
        <w:t>Seals and sea lions have highly developed volitional breathing control, to which the phocid seals add vocal production learning, including mimicry. In this work, using histology and ex vivo diffusion magnetic resonance imaging tractography, we provide evidence for a phylogenetic spectrum of accumulative neural adaptations supporting aspects of volitional vocal control across pinnipeds. Otariids and phocid seals, but not coyotes, have a direct connection between the vocal motor cortex and phonatory brainstem nuclei. Harbor seals showed hypertrophic connectivity between the anterior ventrolateral thalamus and the vocal premotor cortex—part of a forebrain circuit related to vocal learning in birds and mimicry in humans and parrots. We demonstrate that phocid seals have auditory-premotor pathways potentially related to developmental call learning.</w:t>
      </w:r>
    </w:p>
    <w:p>
      <w:pPr>
        <w:spacing w:before="120" w:after="120"/>
      </w:pPr>
      <w:r>
        <w:rPr>
          <w:sz w:val="18"/>
        </w:rPr>
        <w:t>——————————————————————————————————————————————————————————————————————</w:t>
      </w:r>
    </w:p>
    <w:p>
      <w:pPr>
        <w:spacing w:before="160" w:after="40" w:line="240" w:lineRule="auto"/>
      </w:pPr>
      <w:r>
        <w:rPr>
          <w:b/>
        </w:rPr>
        <w:t xml:space="preserve">[432] </w:t>
      </w:r>
      <w:hyperlink r:id="rId974">
        <w:r>
          <w:rPr>
            <w:color w:val="1155CC"/>
            <w:u w:val="single"/>
          </w:rPr>
          <w:t>对全球变化的进化适应减少了可持续渔业产量</w:t>
        </w:r>
      </w:hyperlink>
    </w:p>
    <w:p>
      <w:pPr>
        <w:spacing w:before="0" w:after="80"/>
      </w:pPr>
      <w:r>
        <w:rPr>
          <w:i/>
          <w:sz w:val="20"/>
        </w:rPr>
        <w:t>EN: Evolutionary adaptation to global change reduces sustainable fisheries yields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75">
        <w:r>
          <w:rPr>
            <w:color w:val="1155CC"/>
            <w:u w:val="single"/>
          </w:rPr>
          <w:t>10.1126/science.aea1341</w:t>
        </w:r>
      </w:hyperlink>
    </w:p>
    <w:p>
      <w:pPr>
        <w:spacing w:before="0" w:after="120"/>
      </w:pPr>
      <w:r>
        <w:rPr>
          <w:b/>
        </w:rPr>
        <w:t xml:space="preserve">Notes: </w:t>
      </w:r>
      <w:r>
        <w:t>abstract_source=crossref</w:t>
      </w:r>
    </w:p>
    <w:p>
      <w:pPr>
        <w:spacing w:before="0" w:after="80" w:lineRule="auto" w:line="276"/>
      </w:pPr>
      <w:r>
        <w:rPr>
          <w:b/>
        </w:rPr>
        <w:t xml:space="preserve">摘要（ZH）: </w:t>
      </w:r>
      <w:r>
        <w:t>全球变暖正在改变支撑粮食安全的渔业，但这些影响的预测通常不包括进化过程。我们描述了一个模型，该模型预测鱼类将如何适应未来的气候以及这种进化对渔业产量的影响。我们预测，在温暖水域中的鱼类将生长更快，但会进化出更早的成熟期，从而降低其最大体型。我们预测，进化缓解了气候变化对鱼类适应性的影响，但加剧了其对渔业产量的影响——使损失加重约50%。在所有排放情景下，排除进化会高估未来的产量，但进化的影响在最极端的情景下最大。所有生命史都可能对全球变化作出反应——这种进化应被考虑</w:t>
      </w:r>
    </w:p>
    <w:p>
      <w:pPr>
        <w:spacing w:before="0" w:after="200" w:lineRule="auto" w:line="276"/>
      </w:pPr>
      <w:r>
        <w:rPr>
          <w:b/>
        </w:rPr>
        <w:t xml:space="preserve">Abstract (EN): </w:t>
      </w:r>
      <w:r>
        <w:t>Global warming is altering the fisheries that underpin food security, but projections of these impacts generally exclude evolutionary processes. We describe a model that forecasts how fish will adapt to future climates and the consequences of that evolution for fisheries yields. We predict that fish in warmer waters will grow faster but evolve earlier maturation, decreasing their maximum size. We predict that evolution ameliorates the impacts of climate change on fish fitness but exacerbates its impacts on fisheries yields—worsening losses by ~50%. Excluding evolution overestimates future yields under all emissions scenarios, but evolution’s impacts are greatest under the most extreme scenarios. All life histories may evolve in response to global change—this evolution should be considered in projections of ecosystems and their services.</w:t>
      </w:r>
    </w:p>
    <w:p>
      <w:pPr>
        <w:spacing w:before="120" w:after="120"/>
      </w:pPr>
      <w:r>
        <w:rPr>
          <w:sz w:val="18"/>
        </w:rPr>
        <w:t>——————————————————————————————————————————————————————————————————————</w:t>
      </w:r>
    </w:p>
    <w:p>
      <w:pPr>
        <w:spacing w:before="160" w:after="40" w:line="240" w:lineRule="auto"/>
      </w:pPr>
      <w:r>
        <w:rPr>
          <w:b/>
        </w:rPr>
        <w:t xml:space="preserve">[433] </w:t>
      </w:r>
      <w:hyperlink r:id="rId976">
        <w:r>
          <w:rPr>
            <w:color w:val="1155CC"/>
            <w:u w:val="single"/>
          </w:rPr>
          <w:t>快速进化预测极端干旱后的种群恢复</w:t>
        </w:r>
      </w:hyperlink>
    </w:p>
    <w:p>
      <w:pPr>
        <w:spacing w:before="0" w:after="80"/>
      </w:pPr>
      <w:r>
        <w:rPr>
          <w:i/>
          <w:sz w:val="20"/>
        </w:rPr>
        <w:t>EN: Rapid evolution predicts demographic recovery after extreme drought</w:t>
      </w:r>
    </w:p>
    <w:p>
      <w:pPr>
        <w:spacing w:before="0" w:after="120"/>
      </w:pPr>
      <w:r>
        <w:rPr>
          <w:b/>
        </w:rPr>
        <w:t xml:space="preserve">Source: </w:t>
      </w:r>
      <w:r>
        <w:t>AAAS: Science: Table of Contents</w:t>
      </w:r>
      <w:r>
        <w:t xml:space="preserve">    </w:t>
      </w:r>
      <w:r>
        <w:rPr>
          <w:b/>
        </w:rPr>
        <w:t xml:space="preserve">Pub date: </w:t>
      </w:r>
      <w:r>
        <w:t>2026-03-12 06:00:03+00:00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[434] </w:t>
      </w:r>
      <w:hyperlink r:id="rId977">
        <w:r>
          <w:rPr>
            <w:color w:val="1155CC"/>
            <w:u w:val="single"/>
          </w:rPr>
          <w:t>我的新学徒</w:t>
        </w:r>
      </w:hyperlink>
    </w:p>
    <w:p>
      <w:pPr>
        <w:spacing w:before="0" w:after="80"/>
      </w:pPr>
      <w:r>
        <w:rPr>
          <w:i/>
          <w:sz w:val="20"/>
        </w:rPr>
        <w:t>EN: My new apprentice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78">
        <w:r>
          <w:rPr>
            <w:color w:val="1155CC"/>
            <w:u w:val="single"/>
          </w:rPr>
          <w:t>10.1126/science.aeh0163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[435] </w:t>
      </w:r>
      <w:hyperlink r:id="rId979">
        <w:r>
          <w:rPr>
            <w:color w:val="1155CC"/>
            <w:u w:val="single"/>
          </w:rPr>
          <w:t>将农业从粮食安全任务中解放出来</w:t>
        </w:r>
      </w:hyperlink>
    </w:p>
    <w:p>
      <w:pPr>
        <w:spacing w:before="0" w:after="80"/>
      </w:pPr>
      <w:r>
        <w:rPr>
          <w:i/>
          <w:sz w:val="20"/>
        </w:rPr>
        <w:t>EN: Releasing agriculture from the food security mandate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80">
        <w:r>
          <w:rPr>
            <w:color w:val="1155CC"/>
            <w:u w:val="single"/>
          </w:rPr>
          <w:t>10.1126/science.aeg4691</w:t>
        </w:r>
      </w:hyperlink>
    </w:p>
    <w:p>
      <w:pPr>
        <w:spacing w:before="0" w:after="120"/>
      </w:pPr>
      <w:r>
        <w:rPr>
          <w:b/>
        </w:rPr>
        <w:t xml:space="preserve">Notes: </w:t>
      </w:r>
      <w:r>
        <w:t>abstract_source=crossref</w:t>
      </w:r>
    </w:p>
    <w:p>
      <w:pPr>
        <w:spacing w:before="0" w:after="80" w:lineRule="auto" w:line="276"/>
      </w:pPr>
      <w:r>
        <w:rPr>
          <w:b/>
        </w:rPr>
        <w:t xml:space="preserve">摘要（ZH）: </w:t>
      </w:r>
      <w:r>
        <w:t>如果没有人需要担心是否或如何获得——通常是购买——健康和营养的膳食，那么粮食安全的状态就实现了。理论上，粮食安全可以从两个方面解决：增加家庭的购买力或降低食品价格。然而，实际上，粮食不安全是现行政治和经济体系的副产品。农业生产的卡路里和营养素超过了养活人类所需，因此从根本上来说，这是一个分配正义的问题，其中地理、教育、种族、性别和其他边缘化机制通过财富获取决定了一个人的粮食安全。然而，人类未能消除贫困，并且没有解决粮食不安全的社会经济原因，农业研究和实践正在</w:t>
      </w:r>
    </w:p>
    <w:p>
      <w:pPr>
        <w:spacing w:before="0" w:after="200" w:lineRule="auto" w:line="276"/>
      </w:pPr>
      <w:r>
        <w:rPr>
          <w:b/>
        </w:rPr>
        <w:t xml:space="preserve">Abstract (EN): </w:t>
      </w:r>
      <w:r>
        <w:t>The state of food security is achieved if no one has to worry whether or how they can acquire—typically purchase—healthy and nutritious meals. In theory, food security could be addressed from two sides: increasing households’ purchasing power or lowering food prices. However, in practice, food insecurity is a by-product of prevailing political and economic systems. Agriculture produces more calories and nutrients than needed to feed humanity, so it is fundamentally an issue of distributive justice, where geography, education, ethnicity, gender, and other mechanisms of marginalization determine one’s food security—through access to wealth. Yet humanity has failed to eliminate poverty and instead of addressing socioeconomic causes of food insecurity, agricultural research and practice are called upon to compensate. This is not only unfair but bound to fail. It also diverts muchneeded scientific capacity from the long list of sustainability challenges that agricultural production systems must address.</w:t>
      </w:r>
    </w:p>
    <w:p>
      <w:pPr>
        <w:spacing w:before="120" w:after="120"/>
      </w:pPr>
      <w:r>
        <w:rPr>
          <w:sz w:val="18"/>
        </w:rPr>
        <w:t>——————————————————————————————————————————————————————————————————————</w:t>
      </w:r>
    </w:p>
    <w:p>
      <w:pPr>
        <w:spacing w:before="160" w:after="40" w:line="240" w:lineRule="auto"/>
      </w:pPr>
      <w:r>
        <w:rPr>
          <w:b/>
        </w:rPr>
        <w:t xml:space="preserve">[436] </w:t>
      </w:r>
      <w:hyperlink r:id="rId981">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82">
        <w:r>
          <w:rPr>
            <w:color w:val="1155CC"/>
            <w:u w:val="single"/>
          </w:rPr>
          <w:t>10.1126/science.aeh0793</w:t>
        </w:r>
      </w:hyperlink>
    </w:p>
    <w:p>
      <w:pPr>
        <w:spacing w:before="0" w:after="120"/>
      </w:pPr>
      <w:r>
        <w:rPr>
          <w:b/>
        </w:rPr>
        <w:t xml:space="preserve">Notes: </w:t>
      </w:r>
      <w:r>
        <w:t>abstract_source=crossref</w:t>
      </w:r>
    </w:p>
    <w:p>
      <w:pPr>
        <w:spacing w:before="0" w:after="80" w:lineRule="auto" w:line="276"/>
      </w:pPr>
      <w:r>
        <w:rPr>
          <w:b/>
        </w:rPr>
        <w:t xml:space="preserve">摘要（ZH）: </w:t>
      </w:r>
      <w:r>
        <w:t>当前科学文献的编辑精选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[437] </w:t>
      </w:r>
      <w:hyperlink r:id="rId983">
        <w:r>
          <w:rPr>
            <w:color w:val="1155CC"/>
            <w:u w:val="single"/>
          </w:rPr>
          <w:t>扩展经典癌基因的影响范围</w:t>
        </w:r>
      </w:hyperlink>
    </w:p>
    <w:p>
      <w:pPr>
        <w:spacing w:before="0" w:after="80"/>
      </w:pPr>
      <w:r>
        <w:rPr>
          <w:i/>
          <w:sz w:val="20"/>
        </w:rPr>
        <w:t>EN: Extending the reach of a classic oncogene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84">
        <w:r>
          <w:rPr>
            <w:color w:val="1155CC"/>
            <w:u w:val="single"/>
          </w:rPr>
          <w:t>10.1126/science.aef9956</w:t>
        </w:r>
      </w:hyperlink>
    </w:p>
    <w:p>
      <w:pPr>
        <w:spacing w:before="0" w:after="120"/>
      </w:pPr>
      <w:r>
        <w:rPr>
          <w:b/>
        </w:rPr>
        <w:t xml:space="preserve">Notes: </w:t>
      </w:r>
      <w:r>
        <w:t>abstract_source=crossref</w:t>
      </w:r>
    </w:p>
    <w:p>
      <w:pPr>
        <w:spacing w:before="0" w:after="80" w:lineRule="auto" w:line="276"/>
      </w:pPr>
      <w:r>
        <w:rPr>
          <w:b/>
        </w:rPr>
        <w:t xml:space="preserve">摘要（ZH）: </w:t>
      </w:r>
      <w:r>
        <w:t>胞吐作用使Src暴露在癌细胞的外表面，为治疗靶向做好准备</w:t>
      </w:r>
    </w:p>
    <w:p>
      <w:pPr>
        <w:spacing w:before="0" w:after="200" w:lineRule="auto" w:line="276"/>
      </w:pPr>
      <w:r>
        <w:rPr>
          <w:b/>
        </w:rPr>
        <w:t xml:space="preserve">Abstract (EN): </w:t>
      </w:r>
      <w:r>
        <w:t>Exocytosis exposes Src at the outer surface of cancer cells, poised for therapeutic targeting</w:t>
      </w:r>
    </w:p>
    <w:p>
      <w:pPr>
        <w:spacing w:before="120" w:after="120"/>
      </w:pPr>
      <w:r>
        <w:rPr>
          <w:sz w:val="18"/>
        </w:rPr>
        <w:t>——————————————————————————————————————————————————————————————————————</w:t>
      </w:r>
    </w:p>
    <w:p>
      <w:pPr>
        <w:spacing w:before="160" w:after="40" w:line="240" w:lineRule="auto"/>
      </w:pPr>
      <w:r>
        <w:rPr>
          <w:b/>
        </w:rPr>
        <w:t xml:space="preserve">[438] </w:t>
      </w:r>
      <w:hyperlink r:id="rId985">
        <w:r>
          <w:rPr>
            <w:color w:val="1155CC"/>
            <w:u w:val="single"/>
          </w:rPr>
          <w:t>今天的捕获是什么？</w:t>
        </w:r>
      </w:hyperlink>
    </w:p>
    <w:p>
      <w:pPr>
        <w:spacing w:before="0" w:after="80"/>
      </w:pPr>
      <w:r>
        <w:rPr>
          <w:i/>
          <w:sz w:val="20"/>
        </w:rPr>
        <w:t>EN: What’s the catch of the day?</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86">
        <w:r>
          <w:rPr>
            <w:color w:val="1155CC"/>
            <w:u w:val="single"/>
          </w:rPr>
          <w:t>10.1126/science.aef5605</w:t>
        </w:r>
      </w:hyperlink>
    </w:p>
    <w:p>
      <w:pPr>
        <w:spacing w:before="0" w:after="120"/>
      </w:pPr>
      <w:r>
        <w:rPr>
          <w:b/>
        </w:rPr>
        <w:t xml:space="preserve">Notes: </w:t>
      </w:r>
      <w:r>
        <w:t>abstract_source=crossref</w:t>
      </w:r>
    </w:p>
    <w:p>
      <w:pPr>
        <w:spacing w:before="0" w:after="80" w:lineRule="auto" w:line="276"/>
      </w:pPr>
      <w:r>
        <w:rPr>
          <w:b/>
        </w:rPr>
        <w:t xml:space="preserve">摘要（ZH）: </w:t>
      </w:r>
      <w:r>
        <w:t>海洋变暖和进化使鱼类不太可能成为菜单上的选择</w:t>
      </w:r>
    </w:p>
    <w:p>
      <w:pPr>
        <w:spacing w:before="0" w:after="200" w:lineRule="auto" w:line="276"/>
      </w:pPr>
      <w:r>
        <w:rPr>
          <w:b/>
        </w:rPr>
        <w:t xml:space="preserve">Abstract (EN): </w:t>
      </w:r>
      <w:r>
        <w:t>Warming oceans and evolution make fish less likely to be on the menu</w:t>
      </w:r>
    </w:p>
    <w:p>
      <w:pPr>
        <w:spacing w:before="120" w:after="120"/>
      </w:pPr>
      <w:r>
        <w:rPr>
          <w:sz w:val="18"/>
        </w:rPr>
        <w:t>——————————————————————————————————————————————————————————————————————</w:t>
      </w:r>
    </w:p>
    <w:p>
      <w:pPr>
        <w:spacing w:before="160" w:after="40" w:line="240" w:lineRule="auto"/>
      </w:pPr>
      <w:r>
        <w:rPr>
          <w:b/>
        </w:rPr>
        <w:t xml:space="preserve">[439] </w:t>
      </w:r>
      <w:hyperlink r:id="rId987">
        <w:r>
          <w:rPr>
            <w:color w:val="1155CC"/>
            <w:u w:val="single"/>
          </w:rPr>
          <w:t>进化来拯救</w:t>
        </w:r>
      </w:hyperlink>
    </w:p>
    <w:p>
      <w:pPr>
        <w:spacing w:before="0" w:after="80"/>
      </w:pPr>
      <w:r>
        <w:rPr>
          <w:i/>
          <w:sz w:val="20"/>
        </w:rPr>
        <w:t>EN: Evolution to the rescue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88">
        <w:r>
          <w:rPr>
            <w:color w:val="1155CC"/>
            <w:u w:val="single"/>
          </w:rPr>
          <w:t>10.1126/science.aef8427</w:t>
        </w:r>
      </w:hyperlink>
    </w:p>
    <w:p>
      <w:pPr>
        <w:spacing w:before="0" w:after="120"/>
      </w:pPr>
      <w:r>
        <w:rPr>
          <w:b/>
        </w:rPr>
        <w:t xml:space="preserve">Notes: </w:t>
      </w:r>
      <w:r>
        <w:t>abstract_source=crossref</w:t>
      </w:r>
    </w:p>
    <w:p>
      <w:pPr>
        <w:spacing w:before="0" w:after="80" w:lineRule="auto" w:line="276"/>
      </w:pPr>
      <w:r>
        <w:rPr>
          <w:b/>
        </w:rPr>
        <w:t xml:space="preserve">摘要（ZH）: </w:t>
      </w:r>
      <w:r>
        <w:t>野花种群从极端干旱中恢复揭示了隐藏的进化韧性</w:t>
      </w:r>
    </w:p>
    <w:p>
      <w:pPr>
        <w:spacing w:before="0" w:after="200" w:lineRule="auto" w:line="276"/>
      </w:pPr>
      <w:r>
        <w:rPr>
          <w:b/>
        </w:rPr>
        <w:t xml:space="preserve">Abstract (EN): </w:t>
      </w:r>
      <w:r>
        <w:t>Recovery of wildflower populations from extreme drought reveals hidden evolutionary resilience</w:t>
      </w:r>
    </w:p>
    <w:p>
      <w:pPr>
        <w:spacing w:before="120" w:after="120"/>
      </w:pPr>
      <w:r>
        <w:rPr>
          <w:sz w:val="18"/>
        </w:rPr>
        <w:t>——————————————————————————————————————————————————————————————————————</w:t>
      </w:r>
    </w:p>
    <w:p>
      <w:pPr>
        <w:spacing w:before="160" w:after="40" w:line="240" w:lineRule="auto"/>
      </w:pPr>
      <w:r>
        <w:rPr>
          <w:b/>
        </w:rPr>
        <w:t xml:space="preserve">[440] </w:t>
      </w:r>
      <w:hyperlink r:id="rId989">
        <w:r>
          <w:rPr>
            <w:color w:val="1155CC"/>
            <w:u w:val="single"/>
          </w:rPr>
          <w:t>期刊可以帮助保护动物福利</w:t>
        </w:r>
      </w:hyperlink>
    </w:p>
    <w:p>
      <w:pPr>
        <w:spacing w:before="0" w:after="80"/>
      </w:pPr>
      <w:r>
        <w:rPr>
          <w:i/>
          <w:sz w:val="20"/>
        </w:rPr>
        <w:t>EN: Journals can help protect animal welfare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90">
        <w:r>
          <w:rPr>
            <w:color w:val="1155CC"/>
            <w:u w:val="single"/>
          </w:rPr>
          <w:t>10.1126/science.aee6178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[441] </w:t>
      </w:r>
      <w:hyperlink r:id="rId991">
        <w:r>
          <w:rPr>
            <w:color w:val="1155CC"/>
            <w:u w:val="single"/>
          </w:rPr>
          <w:t>期刊可以帮助保护动物福利——回应</w:t>
        </w:r>
      </w:hyperlink>
    </w:p>
    <w:p>
      <w:pPr>
        <w:spacing w:before="0" w:after="80"/>
      </w:pPr>
      <w:r>
        <w:rPr>
          <w:i/>
          <w:sz w:val="20"/>
        </w:rPr>
        <w:t>EN: Journals can help protect animal welfare—Response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92">
        <w:r>
          <w:rPr>
            <w:color w:val="1155CC"/>
            <w:u w:val="single"/>
          </w:rPr>
          <w:t>10.1126/science.aef5673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[442] </w:t>
      </w:r>
      <w:hyperlink r:id="rId993">
        <w:r>
          <w:rPr>
            <w:color w:val="1155CC"/>
            <w:u w:val="single"/>
          </w:rPr>
          <w:t>编者按</w:t>
        </w:r>
      </w:hyperlink>
    </w:p>
    <w:p>
      <w:pPr>
        <w:spacing w:before="0" w:after="80"/>
      </w:pPr>
      <w:r>
        <w:rPr>
          <w:i/>
          <w:sz w:val="20"/>
        </w:rPr>
        <w:t>EN: Editor’s Note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94">
        <w:r>
          <w:rPr>
            <w:color w:val="1155CC"/>
            <w:u w:val="single"/>
          </w:rPr>
          <w:t>10.1126/science.aeg6303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995">
        <w:r>
          <w:rPr>
            <w:color w:val="1155CC"/>
            <w:u w:val="single"/>
          </w:rPr>
          <w:t>我们如何知道AI是否足够聪明来进行科学研究？</w:t>
        </w:r>
      </w:hyperlink>
    </w:p>
    <w:p>
      <w:pPr>
        <w:spacing w:before="0" w:after="80"/>
      </w:pPr>
      <w:r>
        <w:rPr>
          <w:i/>
          <w:sz w:val="20"/>
        </w:rPr>
        <w:t>EN: How will we know if AI is smart enough to do science?</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96">
        <w:r>
          <w:rPr>
            <w:color w:val="1155CC"/>
            <w:u w:val="single"/>
          </w:rPr>
          <w:t>10.1126/science.aeh1091</w:t>
        </w:r>
      </w:hyperlink>
    </w:p>
    <w:p>
      <w:pPr>
        <w:spacing w:before="0" w:after="120"/>
      </w:pPr>
      <w:r>
        <w:rPr>
          <w:b/>
        </w:rPr>
        <w:t xml:space="preserve">Notes: </w:t>
      </w:r>
      <w:r>
        <w:t>abstract_source=crossref</w:t>
      </w:r>
    </w:p>
    <w:p>
      <w:pPr>
        <w:spacing w:before="0" w:after="80" w:lineRule="auto" w:line="276"/>
      </w:pPr>
      <w:r>
        <w:rPr>
          <w:b/>
        </w:rPr>
        <w:t xml:space="preserve">摘要（ZH）: </w:t>
      </w:r>
      <w:r>
        <w:t>新的测试评估大型语言模型是否能利用其大量知识实际进行发现</w:t>
      </w:r>
    </w:p>
    <w:p>
      <w:pPr>
        <w:spacing w:before="0" w:after="200" w:lineRule="auto" w:line="276"/>
      </w:pPr>
      <w:r>
        <w:rPr>
          <w:b/>
        </w:rPr>
        <w:t xml:space="preserve">Abstract (EN): </w:t>
      </w:r>
      <w:r>
        <w:t>New tests gauge whether large language models can use their troves of knowledge to actually make discoveries</w:t>
      </w:r>
    </w:p>
    <w:p>
      <w:pPr>
        <w:spacing w:before="120" w:after="120"/>
      </w:pPr>
      <w:r>
        <w:rPr>
          <w:sz w:val="18"/>
        </w:rPr>
        <w:t>——————————————————————————————————————————————————————————————————————</w:t>
      </w:r>
    </w:p>
    <w:p>
      <w:pPr>
        <w:spacing w:before="160" w:after="40" w:line="240" w:lineRule="auto"/>
      </w:pPr>
      <w:r>
        <w:rPr>
          <w:b/>
        </w:rPr>
        <w:t xml:space="preserve">[444] </w:t>
      </w:r>
      <w:hyperlink r:id="rId997">
        <w:r>
          <w:rPr>
            <w:color w:val="1155CC"/>
            <w:u w:val="single"/>
          </w:rPr>
          <w:t>ARPA-H大力投资以促进抗衰老药物的发展</w:t>
        </w:r>
      </w:hyperlink>
    </w:p>
    <w:p>
      <w:pPr>
        <w:spacing w:before="0" w:after="80"/>
      </w:pPr>
      <w:r>
        <w:rPr>
          <w:i/>
          <w:sz w:val="20"/>
        </w:rPr>
        <w:t>EN: ARPA-H bets big to foster drugs that thwart aging</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998">
        <w:r>
          <w:rPr>
            <w:color w:val="1155CC"/>
            <w:u w:val="single"/>
          </w:rPr>
          <w:t>10.1126/science.aeh1092</w:t>
        </w:r>
      </w:hyperlink>
    </w:p>
    <w:p>
      <w:pPr>
        <w:spacing w:before="0" w:after="120"/>
      </w:pPr>
      <w:r>
        <w:rPr>
          <w:b/>
        </w:rPr>
        <w:t xml:space="preserve">Notes: </w:t>
      </w:r>
      <w:r>
        <w:t>abstract_source=crossref</w:t>
      </w:r>
    </w:p>
    <w:p>
      <w:pPr>
        <w:spacing w:before="0" w:after="80" w:lineRule="auto" w:line="276"/>
      </w:pPr>
      <w:r>
        <w:rPr>
          <w:b/>
        </w:rPr>
        <w:t xml:space="preserve">摘要（ZH）: </w:t>
      </w:r>
      <w:r>
        <w:t>旨在“铺设轨道”以批准延长健康寿命疗法的奖项</w:t>
      </w:r>
    </w:p>
    <w:p>
      <w:pPr>
        <w:spacing w:before="0" w:after="200" w:lineRule="auto" w:line="276"/>
      </w:pPr>
      <w:r>
        <w:rPr>
          <w:b/>
        </w:rPr>
        <w:t xml:space="preserve">Abstract (EN): </w:t>
      </w:r>
      <w:r>
        <w:t>Awards intended to “build the train tracks” for approval of therapies to extend healthy life</w:t>
      </w:r>
    </w:p>
    <w:p>
      <w:pPr>
        <w:spacing w:before="120" w:after="120"/>
      </w:pPr>
      <w:r>
        <w:rPr>
          <w:sz w:val="18"/>
        </w:rPr>
        <w:t>——————————————————————————————————————————————————————————————————————</w:t>
      </w:r>
    </w:p>
    <w:p>
      <w:pPr>
        <w:spacing w:before="160" w:after="40" w:line="240" w:lineRule="auto"/>
      </w:pPr>
      <w:r>
        <w:rPr>
          <w:b/>
        </w:rPr>
        <w:t xml:space="preserve">[445] </w:t>
      </w:r>
      <w:hyperlink r:id="rId999">
        <w:r>
          <w:rPr>
            <w:color w:val="1155CC"/>
            <w:u w:val="single"/>
          </w:rPr>
          <w:t>HIV治愈尝试使病毒触发免疫警报</w:t>
        </w:r>
      </w:hyperlink>
    </w:p>
    <w:p>
      <w:pPr>
        <w:spacing w:before="0" w:after="80"/>
      </w:pPr>
      <w:r>
        <w:rPr>
          <w:i/>
          <w:sz w:val="20"/>
        </w:rPr>
        <w:t>EN: HIV cure bid has virus trip immune alarm</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1000">
        <w:r>
          <w:rPr>
            <w:color w:val="1155CC"/>
            <w:u w:val="single"/>
          </w:rPr>
          <w:t>10.1126/science.aeh1093</w:t>
        </w:r>
      </w:hyperlink>
    </w:p>
    <w:p>
      <w:pPr>
        <w:spacing w:before="0" w:after="120"/>
      </w:pPr>
      <w:r>
        <w:rPr>
          <w:b/>
        </w:rPr>
        <w:t xml:space="preserve">Notes: </w:t>
      </w:r>
      <w:r>
        <w:t>abstract_source=crossref</w:t>
      </w:r>
    </w:p>
    <w:p>
      <w:pPr>
        <w:spacing w:before="0" w:after="80" w:lineRule="auto" w:line="276"/>
      </w:pPr>
      <w:r>
        <w:rPr>
          <w:b/>
        </w:rPr>
        <w:t xml:space="preserve">摘要（ZH）: </w:t>
      </w:r>
      <w:r>
        <w:t>策略在细胞研究和感染者中产生了有希望的结果</w:t>
      </w:r>
    </w:p>
    <w:p>
      <w:pPr>
        <w:spacing w:before="0" w:after="200" w:lineRule="auto" w:line="276"/>
      </w:pPr>
      <w:r>
        <w:rPr>
          <w:b/>
        </w:rPr>
        <w:t xml:space="preserve">Abstract (EN): </w:t>
      </w:r>
      <w:r>
        <w:t>Strategy produces promising results in cell studies and infected people</w:t>
      </w:r>
    </w:p>
    <w:p>
      <w:pPr>
        <w:spacing w:before="120" w:after="120"/>
      </w:pPr>
      <w:r>
        <w:rPr>
          <w:sz w:val="18"/>
        </w:rPr>
        <w:t>——————————————————————————————————————————————————————————————————————</w:t>
      </w:r>
    </w:p>
    <w:p>
      <w:pPr>
        <w:spacing w:before="160" w:after="40" w:line="240" w:lineRule="auto"/>
      </w:pPr>
      <w:r>
        <w:rPr>
          <w:b/>
        </w:rPr>
        <w:t xml:space="preserve">[446] </w:t>
      </w:r>
      <w:hyperlink r:id="rId1001">
        <w:r>
          <w:rPr>
            <w:color w:val="1155CC"/>
            <w:u w:val="single"/>
          </w:rPr>
          <w:t>NASA管理员透露新的科学努力</w:t>
        </w:r>
      </w:hyperlink>
    </w:p>
    <w:p>
      <w:pPr>
        <w:spacing w:before="0" w:after="80"/>
      </w:pPr>
      <w:r>
        <w:rPr>
          <w:i/>
          <w:sz w:val="20"/>
        </w:rPr>
        <w:t>EN: NASA administrator teases new science efforts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1002">
        <w:r>
          <w:rPr>
            <w:color w:val="1155CC"/>
            <w:u w:val="single"/>
          </w:rPr>
          <w:t>10.1126/science.aeh1094</w:t>
        </w:r>
      </w:hyperlink>
    </w:p>
    <w:p>
      <w:pPr>
        <w:spacing w:before="0" w:after="120"/>
      </w:pPr>
      <w:r>
        <w:rPr>
          <w:b/>
        </w:rPr>
        <w:t xml:space="preserve">Notes: </w:t>
      </w:r>
      <w:r>
        <w:t>abstract_source=crossref</w:t>
      </w:r>
    </w:p>
    <w:p>
      <w:pPr>
        <w:spacing w:before="0" w:after="80" w:lineRule="auto" w:line="276"/>
      </w:pPr>
      <w:r>
        <w:rPr>
          <w:b/>
        </w:rPr>
        <w:t xml:space="preserve">摘要（ZH）: </w:t>
      </w:r>
      <w:r>
        <w:t>在一次采访中，Jared Isaacman表示，该机构可能会加速机器人月球着陆，并可能在2028年开展新的火星任务</w:t>
      </w:r>
    </w:p>
    <w:p>
      <w:pPr>
        <w:spacing w:before="0" w:after="200" w:lineRule="auto" w:line="276"/>
      </w:pPr>
      <w:r>
        <w:rPr>
          <w:b/>
        </w:rPr>
        <w:t xml:space="preserve">Abstract (EN): </w:t>
      </w:r>
      <w:r>
        <w:t>In an interview, Jared Isaacman says agency may accelerate robotic Moon landings and could tackle a new Mars mission in 2028</w:t>
      </w:r>
    </w:p>
    <w:p>
      <w:pPr>
        <w:spacing w:before="120" w:after="120"/>
      </w:pPr>
      <w:r>
        <w:rPr>
          <w:sz w:val="18"/>
        </w:rPr>
        <w:t>——————————————————————————————————————————————————————————————————————</w:t>
      </w:r>
    </w:p>
    <w:p>
      <w:pPr>
        <w:spacing w:before="160" w:after="40" w:line="240" w:lineRule="auto"/>
      </w:pPr>
      <w:r>
        <w:rPr>
          <w:b/>
        </w:rPr>
        <w:t xml:space="preserve">[447] </w:t>
      </w:r>
      <w:hyperlink r:id="rId1003">
        <w:r>
          <w:rPr>
            <w:color w:val="1155CC"/>
            <w:u w:val="single"/>
          </w:rPr>
          <w:t>在起飞前KRAS攻击胰腺癌</w:t>
        </w:r>
      </w:hyperlink>
    </w:p>
    <w:p>
      <w:pPr>
        <w:spacing w:before="0" w:after="80"/>
      </w:pPr>
      <w:r>
        <w:rPr>
          <w:i/>
          <w:sz w:val="20"/>
        </w:rPr>
        <w:t>EN: KRAShing pancreatic cancer before takeoff</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1004">
        <w:r>
          <w:rPr>
            <w:color w:val="1155CC"/>
            <w:u w:val="single"/>
          </w:rPr>
          <w:t>10.1126/science.aef6665</w:t>
        </w:r>
      </w:hyperlink>
    </w:p>
    <w:p>
      <w:pPr>
        <w:spacing w:before="0" w:after="120"/>
      </w:pPr>
      <w:r>
        <w:rPr>
          <w:b/>
        </w:rPr>
        <w:t xml:space="preserve">Notes: </w:t>
      </w:r>
      <w:r>
        <w:t>abstract_source=crossref</w:t>
      </w:r>
    </w:p>
    <w:p>
      <w:pPr>
        <w:spacing w:before="0" w:after="80" w:lineRule="auto" w:line="276"/>
      </w:pPr>
      <w:r>
        <w:rPr>
          <w:b/>
        </w:rPr>
        <w:t xml:space="preserve">摘要（ZH）: </w:t>
      </w:r>
      <w:r>
        <w:t>抑制KRAS信号的药物延缓了小鼠胰腺癌的发展</w:t>
      </w:r>
    </w:p>
    <w:p>
      <w:pPr>
        <w:spacing w:before="0" w:after="200" w:lineRule="auto" w:line="276"/>
      </w:pPr>
      <w:r>
        <w:rPr>
          <w:b/>
        </w:rPr>
        <w:t xml:space="preserve">Abstract (EN): </w:t>
      </w:r>
      <w:r>
        <w:t>Drugs that inhibit KRAS signaling delay the development of pancreatic cancer in mice</w:t>
      </w:r>
    </w:p>
    <w:p>
      <w:pPr>
        <w:spacing w:before="120" w:after="120"/>
      </w:pPr>
      <w:r>
        <w:rPr>
          <w:sz w:val="18"/>
        </w:rPr>
        <w:t>——————————————————————————————————————————————————————————————————————</w:t>
      </w:r>
    </w:p>
    <w:p>
      <w:pPr>
        <w:spacing w:before="160" w:after="40" w:line="240" w:lineRule="auto"/>
      </w:pPr>
      <w:r>
        <w:rPr>
          <w:b/>
        </w:rPr>
        <w:t xml:space="preserve">[448] </w:t>
      </w:r>
      <w:hyperlink r:id="rId1005">
        <w:r>
          <w:rPr>
            <w:color w:val="1155CC"/>
            <w:u w:val="single"/>
          </w:rPr>
          <w:t>乌鸦在广泛的尺度上预测狼的猎杀地点</w:t>
        </w:r>
      </w:hyperlink>
    </w:p>
    <w:p>
      <w:pPr>
        <w:spacing w:before="0" w:after="80"/>
      </w:pPr>
      <w:r>
        <w:rPr>
          <w:i/>
          <w:sz w:val="20"/>
        </w:rPr>
        <w:t>EN: Ravens anticipate wolf kill sites across broad scales</w:t>
      </w:r>
    </w:p>
    <w:p>
      <w:pPr>
        <w:spacing w:before="0" w:after="120"/>
      </w:pPr>
      <w:r>
        <w:rPr>
          <w:b/>
        </w:rPr>
        <w:t xml:space="preserve">Source: </w:t>
      </w:r>
      <w:r>
        <w:t>AAAS: Science: Table of Contents</w:t>
      </w:r>
      <w:r>
        <w:t xml:space="preserve">    </w:t>
      </w:r>
      <w:r>
        <w:rPr>
          <w:b/>
        </w:rPr>
        <w:t xml:space="preserve">Pub date: </w:t>
      </w:r>
      <w:r>
        <w:t>2026-03-12 06:00:03+00:00</w:t>
      </w:r>
      <w:r>
        <w:t xml:space="preserve">    </w:t>
      </w:r>
      <w:r>
        <w:rPr>
          <w:b/>
        </w:rPr>
        <w:t xml:space="preserve">DOI: </w:t>
      </w:r>
      <w:hyperlink r:id="rId1006">
        <w:r>
          <w:rPr>
            <w:color w:val="1155CC"/>
            <w:u w:val="single"/>
          </w:rPr>
          <w:t>10.1126/science.adz9467</w:t>
        </w:r>
      </w:hyperlink>
    </w:p>
    <w:p>
      <w:pPr>
        <w:spacing w:before="0" w:after="120"/>
      </w:pPr>
      <w:r>
        <w:rPr>
          <w:b/>
        </w:rPr>
        <w:t xml:space="preserve">Notes: </w:t>
      </w:r>
      <w:r>
        <w:t>abstract_source=crossref</w:t>
      </w:r>
    </w:p>
    <w:p>
      <w:pPr>
        <w:spacing w:before="0" w:after="80" w:lineRule="auto" w:line="276"/>
      </w:pPr>
      <w:r>
        <w:rPr>
          <w:b/>
        </w:rPr>
        <w:t xml:space="preserve">摘要（ZH）: </w:t>
      </w:r>
      <w:r>
        <w:t>食腐动物通常依赖于分布不均且不可预测的腐肉。一个长期存在的假设认为，食腐乌鸦通过直接跟随大型食肉动物到其猎物处可靠地找到这种食物。然而，通过卫星跟踪黄石国家公园的69只乌鸦、20只狼和11只美洲狮，我们发现长距离跟随捕食者的情况很少发生。相反，乌鸦经常重访狼猎物常见的地点——从多达155公里的距离返回以寻找腐肉。就像导航到永久性的人为补贴一样，乌鸦似乎记住了由先前与狼或其猎物的遭遇形成的潜在腐肉来源。这些发现表明，空间记忆和导航在其中起着比以前认为的更大的作用</w:t>
      </w:r>
    </w:p>
    <w:p>
      <w:pPr>
        <w:spacing w:before="0" w:after="200" w:lineRule="auto" w:line="276"/>
      </w:pPr>
      <w:r>
        <w:rPr>
          <w:b/>
        </w:rPr>
        <w:t xml:space="preserve">Abstract (EN): </w:t>
      </w:r>
      <w:r>
        <w: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w:t>
      </w:r>
    </w:p>
    <w:p>
      <w:pPr>
        <w:spacing w:before="120" w:after="120"/>
      </w:pPr>
      <w:r>
        <w:rPr>
          <w:sz w:val="18"/>
        </w:rPr>
        <w:t>——————————————————————————————————————————————————————————————————————</w:t>
      </w:r>
    </w:p>
    <w:p>
      <w:pPr>
        <w:spacing w:before="160" w:after="40" w:line="240" w:lineRule="auto"/>
      </w:pPr>
      <w:r>
        <w:rPr>
          <w:b/>
        </w:rPr>
        <w:t xml:space="preserve">[449] </w:t>
      </w:r>
      <w:hyperlink r:id="rId1007">
        <w:r>
          <w:rPr>
            <w:color w:val="1155CC"/>
            <w:u w:val="single"/>
          </w:rPr>
          <w:t>贪婪的海狸两次被监控陷阱捕获</w:t>
        </w:r>
      </w:hyperlink>
    </w:p>
    <w:p>
      <w:pPr>
        <w:spacing w:before="0" w:after="80"/>
      </w:pPr>
      <w:r>
        <w:rPr>
          <w:i/>
          <w:sz w:val="20"/>
        </w:rPr>
        <w:t>EN: Greedy beaver caught twice in monitoring trap</w:t>
      </w:r>
    </w:p>
    <w:p>
      <w:pPr>
        <w:spacing w:before="0" w:after="120"/>
      </w:pPr>
      <w:r>
        <w:rPr>
          <w:b/>
        </w:rPr>
        <w:t xml:space="preserve">Source: </w:t>
      </w:r>
      <w:r>
        <w:t>BBC News</w:t>
      </w:r>
      <w:r>
        <w:t xml:space="preserve">    </w:t>
      </w:r>
      <w:r>
        <w:rPr>
          <w:b/>
        </w:rPr>
        <w:t xml:space="preserve">Pub date: </w:t>
      </w:r>
      <w:r>
        <w:t>2026-03-12 06:11:16+00:00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[450] </w:t>
      </w:r>
      <w:hyperlink r:id="rId1008">
        <w:r>
          <w:rPr>
            <w:color w:val="1155CC"/>
            <w:u w:val="single"/>
          </w:rPr>
          <w:t>宿主ESCRT机制协调番茄斑萎病毒核糖核蛋白的组装</w:t>
        </w:r>
      </w:hyperlink>
    </w:p>
    <w:p>
      <w:pPr>
        <w:spacing w:before="0" w:after="80"/>
      </w:pPr>
      <w:r>
        <w:rPr>
          <w:i/>
          <w:sz w:val="20"/>
        </w:rPr>
        <w:t>EN: Host ESCRT machinery orchestrates the assembly of tomato spotted wilt virus ribonucleoproteins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09">
        <w:r>
          <w:rPr>
            <w:color w:val="1155CC"/>
            <w:u w:val="single"/>
          </w:rPr>
          <w:t>10.1073/pnas.2518109123</w:t>
        </w:r>
      </w:hyperlink>
    </w:p>
    <w:p>
      <w:pPr>
        <w:spacing w:before="0" w:after="120"/>
      </w:pPr>
      <w:r>
        <w:rPr>
          <w:b/>
        </w:rPr>
        <w:t xml:space="preserve">Notes: </w:t>
      </w:r>
      <w:r>
        <w:t>abstract_source=crossref</w:t>
      </w:r>
    </w:p>
    <w:p>
      <w:pPr>
        <w:spacing w:before="0" w:after="80" w:lineRule="auto" w:line="276"/>
      </w:pPr>
      <w:r>
        <w:rPr>
          <w:b/>
        </w:rPr>
        <w:t xml:space="preserve">摘要（ZH）: </w:t>
      </w:r>
      <w:r>
        <w:t>负链RNA病毒的基因组RNA被核衣壳蛋白包裹，并与RNA聚合酶结合形成核糖核蛋白（RNP）复合物。由于缺乏5'帽和3'多聚（A）尾，病毒RNA高度不稳定，容易被细胞核酸酶降解。因此，新合成的基因组和互补链RNA必须通过RNP形成迅速得到保护。然而，控制在细胞质中复制的负链RNA病毒的RNP组装的分子机制仍然很大程度上未知。在这里，我们筛选了酵母敲除文库，并分离出影响番茄斑点枯萎病毒（TSWV）RNA复制的内体分选复合体所需的运输（ESCRT）基因的几个成分的突变体。在野生型（WT）酵母细胞中，TSW</w:t>
      </w:r>
    </w:p>
    <w:p>
      <w:pPr>
        <w:spacing w:before="0" w:after="200" w:lineRule="auto" w:line="276"/>
      </w:pPr>
      <w:r>
        <w:rPr>
          <w:b/>
        </w:rPr>
        <w:t xml:space="preserve">Abstract (EN): </w:t>
      </w:r>
      <w:r>
        <w:t>The genomic RNA of negative-strand RNA viruses is encapsidated by nucleocapsid proteins and associates with RNA polymerase to form a ribonucleoprotein (RNP) complex. Lacking both a 5’ cap and a 3’ poly (A) tail, viral RNAs are highly unstable and prone to degradation by cellular nucleases. Therefore, newly synthesized genomic and complementary-strand RNAs must be rapidly protected through RNP formation. However, the molecular mechanisms governing RNP assembly in cytoplasm-replicating negative-strand RNA viruses remain largely unknown. Here, we screened a yeast knockout library and isolated mutants in several components of the endosomal sorting complexes required for transport (ESCRT) genes that affected RNA replication of tomato spotted wilt virus (TSWV). In wild-type (WT) yeast cells, TSWV nucleocapsid (N) and RNA polymerase (L) proteins colocalize at the trans-Golgi network (TGN) in a replicon-RNA-dependent manner, suggesting that TSWV RNPs accumulate at the TGN. However, in the</w:t>
      </w:r>
      <w:r>
        <w:t xml:space="preserve"> </w:t>
      </w:r>
      <w:r>
        <w:t>snf7</w:t>
      </w:r>
      <w:r>
        <w:t xml:space="preserve"> </w:t>
      </w:r>
      <w:r>
        <w:t>Δ,</w:t>
      </w:r>
      <w:r>
        <w:t xml:space="preserve"> </w:t>
      </w:r>
      <w:r>
        <w:t>bro1</w:t>
      </w:r>
      <w:r>
        <w:t xml:space="preserve"> </w:t>
      </w:r>
      <w:r>
        <w:t>Δ, and</w:t>
      </w:r>
      <w:r>
        <w:t xml:space="preserve"> </w:t>
      </w:r>
      <w:r>
        <w:t>doa4</w:t>
      </w:r>
      <w:r>
        <w:t xml:space="preserve"> </w:t>
      </w:r>
      <w:r>
        <w:t>Δ mutant cells, N localization to TGN and RNP formation were impaired. Another RNA replication-defective mutant,</w:t>
      </w:r>
      <w:r>
        <w:t xml:space="preserve"> </w:t>
      </w:r>
      <w:r>
        <w:t>vps36</w:t>
      </w:r>
      <w:r>
        <w:t xml:space="preserve"> </w:t>
      </w:r>
      <w:r>
        <w:t>Δ, showed normal N localization, and SNF7, BRO1, and DOA4 were recruited to the TGN by TSWV N or L proteins, implying that the ESCRT components have additional roles in TSWV RNA replication beyond facilitating N transport. These findings suggest that ESCRT components play multifaceted roles in TSWV RNA replication, including the intracellular transport of N to the TGN—where RNA replication takes place—thereby ensuring accurate and efficient RNP assembly.</w:t>
      </w:r>
    </w:p>
    <w:p>
      <w:pPr>
        <w:spacing w:before="120" w:after="120"/>
      </w:pPr>
      <w:r>
        <w:rPr>
          <w:sz w:val="18"/>
        </w:rPr>
        <w:t>——————————————————————————————————————————————————————————————————————</w:t>
      </w:r>
    </w:p>
    <w:p>
      <w:pPr>
        <w:spacing w:before="160" w:after="40" w:line="240" w:lineRule="auto"/>
      </w:pPr>
      <w:r>
        <w:rPr>
          <w:b/>
        </w:rPr>
        <w:t xml:space="preserve">[451] </w:t>
      </w:r>
      <w:hyperlink r:id="rId1010">
        <w:r>
          <w:rPr>
            <w:color w:val="1155CC"/>
            <w:u w:val="single"/>
          </w:rPr>
          <w:t>研究多变体动态中选择性扫荡的基因组监测的综合框架</w:t>
        </w:r>
      </w:hyperlink>
    </w:p>
    <w:p>
      <w:pPr>
        <w:spacing w:before="0" w:after="80"/>
      </w:pPr>
      <w:r>
        <w:rPr>
          <w:i/>
          <w:sz w:val="20"/>
        </w:rPr>
        <w:t>EN: Integrated framework to study genomic surveillance of selective sweeps in multivariants dynamics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11">
        <w:r>
          <w:rPr>
            <w:color w:val="1155CC"/>
            <w:u w:val="single"/>
          </w:rPr>
          <w:t>10.1073/pnas.2521031123</w:t>
        </w:r>
      </w:hyperlink>
    </w:p>
    <w:p>
      <w:pPr>
        <w:spacing w:before="0" w:after="120"/>
      </w:pPr>
      <w:r>
        <w:rPr>
          <w:b/>
        </w:rPr>
        <w:t xml:space="preserve">Notes: </w:t>
      </w:r>
      <w:r>
        <w:t>abstract_source=crossref</w:t>
      </w:r>
    </w:p>
    <w:p>
      <w:pPr>
        <w:spacing w:before="0" w:after="80" w:lineRule="auto" w:line="276"/>
      </w:pPr>
      <w:r>
        <w:rPr>
          <w:b/>
        </w:rPr>
        <w:t xml:space="preserve">摘要（ZH）: </w:t>
      </w:r>
      <w:r>
        <w:t>大流行通常涉及复杂的传播动态，其中流行病学监测是必不可少的，但不足以遏制，因为复发可能由新出现或输入的变种驱动。快速进化的病原体产生复杂的疾病动态，这些动态由新出现的变种驱动，这些变种在传播性、免疫逃逸和交叉感染方面往往有所不同。这些过程影响个体的免疫生活史，产生高度动态的免疫景观，从而调节新变种的出现和主导地位。我们开发了一个集成建模框架，将多变种平均场流行病建模与机械基因组主导模型和概率监测模型相结合。本研究考察了变种出现时间、传染性优势和cr</w:t>
      </w:r>
    </w:p>
    <w:p>
      <w:pPr>
        <w:spacing w:before="0" w:after="200" w:lineRule="auto" w:line="276"/>
      </w:pPr>
      <w:r>
        <w:rPr>
          <w:b/>
        </w:rPr>
        <w:t xml:space="preserve">Abstract (EN): </w:t>
      </w:r>
      <w:r>
        <w:t>Pandemics often involve complex transmission dynamics in which epidemiological surveillance is essential but not sufficient for containment, as resurgence may be driven by emerging or imported variants. Rapidly evolving pathogens produce complex disease dynamics driven by emerging variants often differing in their transmissibility, immune escape, and cross-infection. These processes influence individuals’ immune life histories, producing highly dynamic immune landscapes that modulate the emergence and dominance of novel variants. We develop an integrated modeling framework that couples multivariant mean-field epidemic modeling with a mechanistic genomic dominance model and a probabilistic surveillance model. This study examines how variant emergence timing, infectiousness advantage, and cross-infection jointly shape epidemic trajectories, immune landscapes, and genomic composition. Our results demonstrate that the dominance dynamics of cocirculating variants correspond to a selective sweep characterized by a system of multilogistic equations driven by population immunity. Moreover, we show that the detection time of newly introduced variants can be accelerated or delayed depending on their emergence conditions and the prevailing variant landscape. Finally, we demonstrate that the effectiveness of response strategies depends critically on the evolving genomic composition of the outbreak, highlighting trade-offs between surveillance sensitivity and intervention timing. We validate our framework by jointly fitting epidemiological and genomic data from the spread of the Ancestral, Alpha, Gamma, and Delta variants in the United States, Denmark, the United Kingdom, and Canada. The results provide a quantitative foundation for linking epidemic dynamics, genomic surveillance, and immune life histories, advancing the development of genomic epidemiology for multivariant outbreaks.</w:t>
      </w:r>
    </w:p>
    <w:p>
      <w:pPr>
        <w:spacing w:before="120" w:after="120"/>
      </w:pPr>
      <w:r>
        <w:rPr>
          <w:sz w:val="18"/>
        </w:rPr>
        <w:t>——————————————————————————————————————————————————————————————————————</w:t>
      </w:r>
    </w:p>
    <w:p>
      <w:pPr>
        <w:spacing w:before="160" w:after="40" w:line="240" w:lineRule="auto"/>
      </w:pPr>
      <w:r>
        <w:rPr>
          <w:b/>
        </w:rPr>
        <w:t xml:space="preserve">[452] </w:t>
      </w:r>
      <w:hyperlink r:id="rId1012">
        <w:r>
          <w:rPr>
            <w:color w:val="1155CC"/>
            <w:u w:val="single"/>
          </w:rPr>
          <w:t>DeepDegradome：一种针对蛋白质靶标的PROTAC和配体生成的结构感知深度学习框架</w:t>
        </w:r>
      </w:hyperlink>
    </w:p>
    <w:p>
      <w:pPr>
        <w:spacing w:before="0" w:after="80"/>
      </w:pPr>
      <w:r>
        <w:rPr>
          <w:i/>
          <w:sz w:val="20"/>
        </w:rPr>
        <w:t>EN: DeepDegradome: A structure-aware deep learning framework for PROTAC and ligand generation against protein targets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13">
        <w:r>
          <w:rPr>
            <w:color w:val="1155CC"/>
            <w:u w:val="single"/>
          </w:rPr>
          <w:t>10.1073/pnas.2518248123</w:t>
        </w:r>
      </w:hyperlink>
    </w:p>
    <w:p>
      <w:pPr>
        <w:spacing w:before="0" w:after="120"/>
      </w:pPr>
      <w:r>
        <w:rPr>
          <w:b/>
        </w:rPr>
        <w:t xml:space="preserve">Notes: </w:t>
      </w:r>
      <w:r>
        <w:t>abstract_source=crossref</w:t>
      </w:r>
    </w:p>
    <w:p>
      <w:pPr>
        <w:spacing w:before="0" w:after="80" w:lineRule="auto" w:line="276"/>
      </w:pPr>
      <w:r>
        <w:rPr>
          <w:b/>
        </w:rPr>
        <w:t xml:space="preserve">摘要（ZH）: </w:t>
      </w:r>
      <w:r>
        <w:t>靶向蛋白降解是一种有前途的药物发现策略，但设计有效的PROTAC仍然具有挑战性，尤其是对于没有明确结合位点的蛋白质。目前的方法依赖于修改固定配体之间的连接体，这限制了PROTAC整体分子结构的多样性和创新性。在此，我们介绍DeepDegradome，这是一种由AI驱动的方法，可以自动化地进行小分子配体和PROTAC的结构感知设计。它利用从公共数据库构建的大型片段库，并应用内部对接方法（iFitDock）以获得初始结合片段。DeepDegradome通过根据目标蛋白口袋的形状和理化特征组装这些片段来构建配体。它还可以进一步构建</w:t>
      </w:r>
    </w:p>
    <w:p>
      <w:pPr>
        <w:spacing w:before="0" w:after="200" w:lineRule="auto" w:line="276"/>
      </w:pPr>
      <w:r>
        <w:rPr>
          <w:b/>
        </w:rPr>
        <w:t xml:space="preserve">Abstract (EN): </w:t>
      </w:r>
      <w:r>
        <w:t>Targeted protein degradation is a promising strategy for drug discovery, but designing effective PROTACs remains challenging, especially for proteins without well-defined binding sites. Current methods rely on modifying linkers between fixed ligands, which limits the diversity and innovation of the overall molecular architecture of PROTAC. Here, we introduce DeepDegradome, an AI-powered method that automates the structure-aware design of both small-molecule ligands and PROTACs. It employs a large fragment library constructed from public databases and applies an in-house docking method (iFitDock) to obtain initial binding fragments. DeepDegradome builds ligands by assembling these fragments based on the shape and physicochemical features of the target protein pocket. It can further construct PROTACs from these generated ligands, eliminating the dependency on predefined warheads or E3 ligands. Compared to other AI models, DeepDegradome produces more valid, drug-like molecules with higher predicted binding affinity. We demonstrate DeepDegradome’s effectiveness by designing and validating multiple potency inhibitors and PROTACs for two protein targets: WDR5 and CDK9. One synthesized compound showed excellent agreement between predicted and actual binding conformation confirmed by X-ray crystallography. By combining ligand and PROTAC design in one system, DeepDegradome offers a scalable and reliable tool for discovering new drugs against protein targets.</w:t>
      </w:r>
    </w:p>
    <w:p>
      <w:pPr>
        <w:spacing w:before="120" w:after="120"/>
      </w:pPr>
      <w:r>
        <w:rPr>
          <w:sz w:val="18"/>
        </w:rPr>
        <w:t>——————————————————————————————————————————————————————————————————————</w:t>
      </w:r>
    </w:p>
    <w:p>
      <w:pPr>
        <w:spacing w:before="160" w:after="40" w:line="240" w:lineRule="auto"/>
      </w:pPr>
      <w:r>
        <w:rPr>
          <w:b/>
        </w:rPr>
        <w:t xml:space="preserve">[453] </w:t>
      </w:r>
      <w:hyperlink r:id="rId1014">
        <w:r>
          <w:rPr>
            <w:color w:val="1155CC"/>
            <w:u w:val="single"/>
          </w:rPr>
          <w:t>《高效形成单拷贝人造染色体》研究文章的勘误</w:t>
        </w:r>
      </w:hyperlink>
    </w:p>
    <w:p>
      <w:pPr>
        <w:spacing w:before="0" w:after="80"/>
      </w:pPr>
      <w:r>
        <w:rPr>
          <w:i/>
          <w:sz w:val="20"/>
        </w:rPr>
        <w:t>EN: Erratum for the Research Article “Efficient formation of single-copy human artificial chromosomes”</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15">
        <w:r>
          <w:rPr>
            <w:color w:val="1155CC"/>
            <w:u w:val="single"/>
          </w:rPr>
          <w:t>10.1126/science.aeh0738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[454] </w:t>
      </w:r>
      <w:hyperlink r:id="rId1016">
        <w:r>
          <w:rPr>
            <w:color w:val="1155CC"/>
            <w:u w:val="single"/>
          </w:rPr>
          <w:t>下丘脑内质网应激导致雌性啮齿动物因早发性肥胖而青春期提前</w:t>
        </w:r>
      </w:hyperlink>
    </w:p>
    <w:p>
      <w:pPr>
        <w:spacing w:before="0" w:after="80"/>
      </w:pPr>
      <w:r>
        <w:rPr>
          <w:i/>
          <w:sz w:val="20"/>
        </w:rPr>
        <w:t>EN: Hypothalamic endoplasmic reticulum stress drives pubertal precocity due to early-onset obesity in female rodents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17">
        <w:r>
          <w:rPr>
            <w:color w:val="1155CC"/>
            <w:u w:val="single"/>
          </w:rPr>
          <w:t>10.1073/pnas.2510886123</w:t>
        </w:r>
      </w:hyperlink>
    </w:p>
    <w:p>
      <w:pPr>
        <w:spacing w:before="0" w:after="120"/>
      </w:pPr>
      <w:r>
        <w:rPr>
          <w:b/>
        </w:rPr>
        <w:t xml:space="preserve">Notes: </w:t>
      </w:r>
      <w:r>
        <w:t>abstract_source=crossref</w:t>
      </w:r>
    </w:p>
    <w:p>
      <w:pPr>
        <w:spacing w:before="0" w:after="80" w:lineRule="auto" w:line="276"/>
      </w:pPr>
      <w:r>
        <w:rPr>
          <w:b/>
        </w:rPr>
        <w:t xml:space="preserve">摘要（ZH）: </w:t>
      </w:r>
      <w:r>
        <w:t>早发性肥胖，尤其是在女孩中，常常与青春期提前有关；这一现象与长期并发症风险增加有关。下丘脑内质网（ER）应激已被认为与肥胖及其共病的病理生理学有关。然而，其对与肥胖相关的青春期障碍的贡献仍未被探索。我们在此报告，中枢ER应激驱动肥胖诱导的女性性早熟。在正常青春期过渡期间，下丘脑关键ER应激标志物的表达被削弱，而在早发性肥胖和青春期提前的雌性大鼠中则发生改变，这些大鼠表现出p-PERK和p-eIF2α水平增加，ATF6α含量减少。在青春期前瘦雌性大鼠中用他普西加因刺激下丘脑ER应激</w:t>
      </w:r>
    </w:p>
    <w:p>
      <w:pPr>
        <w:spacing w:before="0" w:after="200" w:lineRule="auto" w:line="276"/>
      </w:pPr>
      <w:r>
        <w:rPr>
          <w:b/>
        </w:rPr>
        <w:t xml:space="preserve">Abstract (EN): </w:t>
      </w:r>
      <w:r>
        <w:t>Early-onset obesity, especially in girls, is frequently associated with advanced puberty; a phenomenon bound to increased risk of long-term complications. Hypothalamic endoplasmic reticulum (ER) stress has been implicated in the pathophysiology of obesity and its comorbidities. However, its contribution to pubertal disorders associated with obesity remains unexplored. We report herein that central ER stress drives obesity-induced precocious female puberty. Hypothalamic expression of key ER stress markers was blunted during normal pubertal transition and altered in female rats with early-onset obesity and advanced puberty, which displayed increased levels of p-PERK and p-eIF2α, and reduced ATF6α content. Central stimulation of hypothalamic ER stress with Thapsigargin in prepuberal lean female rats mimicked advanced puberty onset caused by obesity, without changes in body weight. This phenomenon seemingly involves a circuit including the hypothalamic arcuate nucleus (ARC), since obesity-induced precocious puberty was largely prevented by alleviation of ER stress via virogenetic overexpression of the ER chaperone, GRP78, in the ARC, but not in the paraventricular nucleus, in female rats. In addition, expression analyses of ER stress markers in mouse Kiss1 neurons isolated from juvenile and pubertal female mice revealed increased expression of</w:t>
      </w:r>
      <w:r>
        <w:t xml:space="preserve"> </w:t>
      </w:r>
      <w:r>
        <w:t>Perk</w:t>
      </w:r>
      <w:r>
        <w:t xml:space="preserve"> </w:t>
      </w:r>
      <w:r>
        <w:t>and</w:t>
      </w:r>
      <w:r>
        <w:t xml:space="preserve"> </w:t>
      </w:r>
      <w:r>
        <w:t>Ire1α</w:t>
      </w:r>
      <w:r>
        <w:t xml:space="preserve"> </w:t>
      </w:r>
      <w:r>
        <w:t>mRNAs in Kiss1</w:t>
      </w:r>
      <w:r>
        <w:t xml:space="preserve"> </w:t>
      </w:r>
      <w:r>
        <w:t>ARC</w:t>
      </w:r>
      <w:r>
        <w:t xml:space="preserve"> </w:t>
      </w:r>
      <w:r>
        <w:t>neurons in early-overfed mice at the juvenile stage, while</w:t>
      </w:r>
      <w:r>
        <w:t xml:space="preserve"> </w:t>
      </w:r>
      <w:r>
        <w:t>Xbp1s/u</w:t>
      </w:r>
      <w:r>
        <w:t xml:space="preserve"> </w:t>
      </w:r>
      <w:r>
        <w:t>expression ratio was significantly increased during juvenile–pubertal transition in overweighed mice. Collectively, our data uncover a relevant role of hypothalamic ER stress in the control of female puberty and the pathogenesis of obesity-induced pubertal alterations.</w:t>
      </w:r>
    </w:p>
    <w:p>
      <w:pPr>
        <w:spacing w:before="120" w:after="120"/>
      </w:pPr>
      <w:r>
        <w:rPr>
          <w:sz w:val="18"/>
        </w:rPr>
        <w:t>——————————————————————————————————————————————————————————————————————</w:t>
      </w:r>
    </w:p>
    <w:p>
      <w:pPr>
        <w:spacing w:before="160" w:after="40" w:line="240" w:lineRule="auto"/>
      </w:pPr>
      <w:r>
        <w:rPr>
          <w:b/>
        </w:rPr>
        <w:t xml:space="preserve">[455] </w:t>
      </w:r>
      <w:hyperlink r:id="rId1018">
        <w:r>
          <w:rPr>
            <w:color w:val="1155CC"/>
            <w:u w:val="single"/>
          </w:rPr>
          <w:t>c-Myc蛋白降解途径的切换取决于PP2A-B55α复合物水平</w:t>
        </w:r>
      </w:hyperlink>
    </w:p>
    <w:p>
      <w:pPr>
        <w:spacing w:before="0" w:after="80"/>
      </w:pPr>
      <w:r>
        <w:rPr>
          <w:i/>
          <w:sz w:val="20"/>
        </w:rPr>
        <w:t>EN: Switching of the c-Myc protein degradation pathway depending on the PP2A-B55α complex levels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19">
        <w:r>
          <w:rPr>
            <w:color w:val="1155CC"/>
            <w:u w:val="single"/>
          </w:rPr>
          <w:t>10.1073/pnas.2509374123</w:t>
        </w:r>
      </w:hyperlink>
    </w:p>
    <w:p>
      <w:pPr>
        <w:spacing w:before="0" w:after="120"/>
      </w:pPr>
      <w:r>
        <w:rPr>
          <w:b/>
        </w:rPr>
        <w:t xml:space="preserve">Notes: </w:t>
      </w:r>
      <w:r>
        <w:t>abstract_source=crossref</w:t>
      </w:r>
    </w:p>
    <w:p>
      <w:pPr>
        <w:spacing w:before="0" w:after="80" w:lineRule="auto" w:line="276"/>
      </w:pPr>
      <w:r>
        <w:rPr>
          <w:b/>
        </w:rPr>
        <w:t xml:space="preserve">摘要（ZH）: </w:t>
      </w:r>
      <w:r>
        <w:t>转录因子c-Myc是一个主控癌蛋白，调节超过15%的基因。蛋白磷酸酶2A（PP2A）是一个关键的肿瘤抑制因子，能够使c-Myc蛋白不稳定。传统上，PP2A介导的Ser62去磷酸化，随后Thr58磷酸化，被认为促进了E3连接酶F-box和WD重复域包含7（FBXW7）对c-Myc的泛素化。然而，最近的证据表明，FBXW7更倾向于识别同时在Thr58和Ser62磷酸化的c-Myc，使得PP2A诱导的c-Myc降解机制未解。在此，我们证明了PP2A-B55α复合物直接在Thr58去磷酸化c-Myc，以双相方式调节两种不同的降解途径：B55α抑制增加了Thr58磷酸化并增强</w:t>
      </w:r>
    </w:p>
    <w:p>
      <w:pPr>
        <w:spacing w:before="0" w:after="200" w:lineRule="auto" w:line="276"/>
      </w:pPr>
      <w:r>
        <w:rPr>
          <w:b/>
        </w:rPr>
        <w:t xml:space="preserve">Abstract (EN): </w:t>
      </w:r>
      <w:r>
        <w:t>The transcription factor c-Myc is a master oncoprotein that regulates over 15% of all genes. Protein phosphatase 2A (PP2A), a crucial tumor suppressor, destabilizes c-Myc protein. Classically, PP2A-mediated dephosphorylation of Ser62 followed by Thr58 phosphorylation was thought to promote ubiquitination of c-Myc by the E3 ligase F-box and WD repeat domain containing 7 (FBXW7). However, recent evidence indicates that FBXW7 preferentially recognizes c-Myc when both Thr58 and Ser62 are phosphorylated, leaving the mechanism underlying PP2A-induced c-Myc degradation unsolved. Here, we demonstrate that the PP2A-B55α complex, which directly dephosphorylates c-Myc at Thr58, regulates two distinct degradation pathways in a biphasic manner: B55α suppression increases Thr58 phosphorylation and enhances FBXW7-dependent degradation, whereas B55α overexpression promotes Thr58-independent, ubiquitin-protein ligase E3 component N-recognin 5 (UBR5)-mediated degradation. We further show that the PP2A-B55α complex binds and dephosphorylates UBR5. In contrast, B55δ, which belongs to the same B55 family and shares a common core structure, exhibits weaker UBR5 binding affinity and fails to induce c-Myc degradation. Our findings identify PP2A-B55α as a context-dependent molecular switch for c-Myc degradation and provide a unified framework that resolves the paradox linking PP2A activation to c-Myc destabilization.</w:t>
      </w:r>
    </w:p>
    <w:p>
      <w:pPr>
        <w:spacing w:before="120" w:after="120"/>
      </w:pPr>
      <w:r>
        <w:rPr>
          <w:sz w:val="18"/>
        </w:rPr>
        <w:t>——————————————————————————————————————————————————————————————————————</w:t>
      </w:r>
    </w:p>
    <w:p>
      <w:pPr>
        <w:spacing w:before="160" w:after="40" w:line="240" w:lineRule="auto"/>
      </w:pPr>
      <w:r>
        <w:rPr>
          <w:b/>
        </w:rPr>
        <w:t xml:space="preserve">[456] </w:t>
      </w:r>
      <w:hyperlink r:id="rId1020">
        <w:r>
          <w:rPr>
            <w:color w:val="1155CC"/>
            <w:u w:val="single"/>
          </w:rPr>
          <w:t>H5高致病性禽流感病毒生成的聚合酶捕获机制</w:t>
        </w:r>
      </w:hyperlink>
    </w:p>
    <w:p>
      <w:pPr>
        <w:spacing w:before="0" w:after="80"/>
      </w:pPr>
      <w:r>
        <w:rPr>
          <w:i/>
          <w:sz w:val="20"/>
        </w:rPr>
        <w:t>EN: Polymerase trapping as the mechanism of H5 highly pathogenic avian influenza virus genesis</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21">
        <w:r>
          <w:rPr>
            <w:color w:val="1155CC"/>
            <w:u w:val="single"/>
          </w:rPr>
          <w:t>10.1126/science.adr6632</w:t>
        </w:r>
      </w:hyperlink>
    </w:p>
    <w:p>
      <w:pPr>
        <w:spacing w:before="0" w:after="120"/>
      </w:pPr>
      <w:r>
        <w:rPr>
          <w:b/>
        </w:rPr>
        <w:t xml:space="preserve">Notes: </w:t>
      </w:r>
      <w:r>
        <w:t>abstract_source=crossref</w:t>
      </w:r>
    </w:p>
    <w:p>
      <w:pPr>
        <w:spacing w:before="0" w:after="80" w:lineRule="auto" w:line="276"/>
      </w:pPr>
      <w:r>
        <w:rPr>
          <w:b/>
        </w:rPr>
        <w:t xml:space="preserve">摘要（ZH）: </w:t>
      </w:r>
      <w:r>
        <w:t>高致病性禽流感病毒（HPAIVs）来源于H5和H7低致病性禽流感病毒（LPAIVs）。尽管在几十年前就已确定在血凝素基因中插入可被枯草菌素切割的多碱性切割位点（MBCS）是LPAIV向HPAIV转变的遗传基础，但插入发生的机制仍然未知。在此，我们展示了预测的短暂H5 RNA结构会捕获富含嘌呤序列的流感病毒聚合酶，从而驱动核苷酸插入，提供了RNA结构参与MBCS获取的实验证据。将H5样序列和结构引入H6血凝素中导致了MBCS产生的插入。我们的结果表明，导致H5 HPAIV出现的核苷酸插入是由</w:t>
      </w:r>
    </w:p>
    <w:p>
      <w:pPr>
        <w:spacing w:before="0" w:after="200" w:lineRule="auto" w:line="276"/>
      </w:pPr>
      <w:r>
        <w:rPr>
          <w:b/>
        </w:rPr>
        <w:t xml:space="preserve">Abstract (EN): </w:t>
      </w:r>
      <w:r>
        <w:t>Highly pathogenic avian influenza viruses (HPAIVs) derive from H5 and H7 low pathogenic avian influenza viruses (LPAIVs). Although insertion of a furin-cleavable multibasic cleavage site (MBCS) in the hemagglutinin gene was identified decades ago as the genetic basis for the LPAIV-to-HPAIV transition, the mechanisms underlying the occurrence of insertion are unknown. Here, we show that transient H5 RNA structures, predicted to trap the influenza virus polymerase on purine-rich sequences, drive nucleotide insertions, providing empirical evidence of RNA structure involvement in MBCS acquisition. Introduction of H5-like sequences and structures into an H6 hemagglutinin resulted in MBCS-yielding insertions. Our results show that nucleotide insertions that underlie H5 HPAIV emergence result from an RNA structure–driven diversity-generating mechanism, which could also occur in other RNA viruses.</w:t>
      </w:r>
    </w:p>
    <w:p>
      <w:pPr>
        <w:spacing w:before="120" w:after="120"/>
      </w:pPr>
      <w:r>
        <w:rPr>
          <w:sz w:val="18"/>
        </w:rPr>
        <w:t>——————————————————————————————————————————————————————————————————————</w:t>
      </w:r>
    </w:p>
    <w:p>
      <w:pPr>
        <w:spacing w:before="160" w:after="40" w:line="240" w:lineRule="auto"/>
      </w:pPr>
      <w:r>
        <w:rPr>
          <w:b/>
        </w:rPr>
        <w:t xml:space="preserve">[457] </w:t>
      </w:r>
      <w:hyperlink r:id="rId1022">
        <w:r>
          <w:rPr>
            <w:color w:val="1155CC"/>
            <w:u w:val="single"/>
          </w:rPr>
          <w:t>在对流云室中生成类似层积云的云顶</w:t>
        </w:r>
      </w:hyperlink>
    </w:p>
    <w:p>
      <w:pPr>
        <w:spacing w:before="0" w:after="80"/>
      </w:pPr>
      <w:r>
        <w:rPr>
          <w:i/>
          <w:sz w:val="20"/>
        </w:rPr>
        <w:t>EN: Generating a stratocumulus-like cloud top in a convection-cloud chamber</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23">
        <w:r>
          <w:rPr>
            <w:color w:val="1155CC"/>
            <w:u w:val="single"/>
          </w:rPr>
          <w:t>10.1073/pnas.2519791123</w:t>
        </w:r>
      </w:hyperlink>
    </w:p>
    <w:p>
      <w:pPr>
        <w:spacing w:before="0" w:after="120"/>
      </w:pPr>
      <w:r>
        <w:rPr>
          <w:b/>
        </w:rPr>
        <w:t xml:space="preserve">Notes: </w:t>
      </w:r>
      <w:r>
        <w:t>abstract_source=crossref</w:t>
      </w:r>
    </w:p>
    <w:p>
      <w:pPr>
        <w:spacing w:before="0" w:after="80" w:lineRule="auto" w:line="276"/>
      </w:pPr>
      <w:r>
        <w:rPr>
          <w:b/>
        </w:rPr>
        <w:t xml:space="preserve">摘要（ZH）: </w:t>
      </w:r>
      <w:r>
        <w:t>层积云顶边界层在影响日常天气和地球能量平衡中起着关键作用。层积云云顶的卷入影响云的寿命、降水和辐射特性，但由于现场观测和数值模拟的分辨率不足，我们的理解仍然有限。最近提出的具有详细侧壁温度控制的对流-云室为在实验室环境中探索这一机制提供了独特的机会。在这项工作中，我们使用数值模拟证明了这种设计可以产生一个模拟层积云中卷入界面层的云顶。我们的结果表明，通过冷却侧壁的下部可以形成一个稳态云</w:t>
      </w:r>
    </w:p>
    <w:p>
      <w:pPr>
        <w:spacing w:before="0" w:after="200" w:lineRule="auto" w:line="276"/>
      </w:pPr>
      <w:r>
        <w:rPr>
          <w:b/>
        </w:rPr>
        <w:t xml:space="preserve">Abstract (EN): </w:t>
      </w:r>
      <w:r>
        <w:t>Stratocumulus-topped boundary layers play a crucial role in influencing daily weather and earth energy balance. Entrainment at the stratocumulus cloud top affects the cloud’s lifetime, precipitation, and radiative properties, but our understanding remains limited due to the lack of resolution in both field observations and numerical simulations. A recently proposed convection-cloud chamber with detailed control of sidewall temperatures can provide a unique opportunity to explore this mechanism in a laboratory setting. In this work, we use numerical simulations to demonstrate that this design can produce a cloud top that mimics the entrainment interfacial layer in a stratocumulus cloud. Our results show that a steady-state cloud can be formed by cooling the lower portions of the sidewalls and warming the bottom surface, while a temperature inversion at the cloud top can be generated by keeping the upper sidewalls and top surface warmer than the bottom. The turbulent kinetic energy profile and budget are similar to those found in a convective boundary layer, and inhomogeneous mixing near the cloud top can be observed. These findings significantly enhance the scientific value of constructing the tall convection-cloud chamber.</w:t>
      </w:r>
    </w:p>
    <w:p>
      <w:pPr>
        <w:spacing w:before="120" w:after="120"/>
      </w:pPr>
      <w:r>
        <w:rPr>
          <w:sz w:val="18"/>
        </w:rPr>
        <w:t>——————————————————————————————————————————————————————————————————————</w:t>
      </w:r>
    </w:p>
    <w:p>
      <w:pPr>
        <w:spacing w:before="160" w:after="40" w:line="240" w:lineRule="auto"/>
      </w:pPr>
      <w:r>
        <w:rPr>
          <w:b/>
        </w:rPr>
        <w:t xml:space="preserve">[458] </w:t>
      </w:r>
      <w:hyperlink r:id="rId1024">
        <w:r>
          <w:rPr>
            <w:color w:val="1155CC"/>
            <w:u w:val="single"/>
          </w:rPr>
          <w:t>《酸湿化CO2气体输入用于稳定电化学CO2还原反应》研究文章的勘误</w:t>
        </w:r>
      </w:hyperlink>
    </w:p>
    <w:p>
      <w:pPr>
        <w:spacing w:before="0" w:after="80"/>
      </w:pPr>
      <w:r>
        <w:rPr>
          <w:i/>
          <w:sz w:val="20"/>
        </w:rPr>
        <w:t>EN: Erratum for the Research Article “Acid-humidified CO2 gas input for stable electrochemical CO2 reduction reaction”</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25">
        <w:r>
          <w:rPr>
            <w:color w:val="1155CC"/>
            <w:u w:val="single"/>
          </w:rPr>
          <w:t>10.1126/science.aeh0747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[459] </w:t>
      </w:r>
      <w:hyperlink r:id="rId1026">
        <w:r>
          <w:rPr>
            <w:color w:val="1155CC"/>
            <w:u w:val="single"/>
          </w:rPr>
          <w:t>使用可编程桥重组酶进行兆碱基尺度的人类基因组重排</w:t>
        </w:r>
      </w:hyperlink>
    </w:p>
    <w:p>
      <w:pPr>
        <w:spacing w:before="0" w:after="80"/>
      </w:pPr>
      <w:r>
        <w:rPr>
          <w:i/>
          <w:sz w:val="20"/>
        </w:rPr>
        <w:t>EN: Megabase-scale human genome rearrangement with programmable bridge recombinases</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27">
        <w:r>
          <w:rPr>
            <w:color w:val="1155CC"/>
            <w:u w:val="single"/>
          </w:rPr>
          <w:t>10.1126/science.adz0276</w:t>
        </w:r>
      </w:hyperlink>
    </w:p>
    <w:p>
      <w:pPr>
        <w:spacing w:before="0" w:after="120"/>
      </w:pPr>
      <w:r>
        <w:rPr>
          <w:b/>
        </w:rPr>
        <w:t xml:space="preserve">Notes: </w:t>
      </w:r>
      <w:r>
        <w:t>abstract_source=crossref</w:t>
      </w:r>
    </w:p>
    <w:p>
      <w:pPr>
        <w:spacing w:before="0" w:after="80" w:lineRule="auto" w:line="276"/>
      </w:pPr>
      <w:r>
        <w:rPr>
          <w:b/>
        </w:rPr>
        <w:t xml:space="preserve">摘要（ZH）: </w:t>
      </w:r>
      <w:r>
        <w:t>桥重组酶是天然存在的RNA引导的DNA重组酶，我们之前已经证明它可以在体外和大肠杆菌中可编程地插入、切除和反转DNA。在这项研究中，我们报告了桥重组酶同源物ISCro4的发现和工程化，用于人类基因组的通用重排。我们定义了桥系统的最佳应用策略，利用机制见解来提高其靶向特异性。通过对ISCro4桥RNA的理性工程和其重组酶的深度突变扫描，我们实现了高达20%的插入效率和高达82%的全基因组特异性。我们进一步展示了染色体内反转和切除，动员</w:t>
      </w:r>
    </w:p>
    <w:p>
      <w:pPr>
        <w:spacing w:before="0" w:after="200" w:lineRule="auto" w:line="276"/>
      </w:pPr>
      <w:r>
        <w:rPr>
          <w:b/>
        </w:rPr>
        <w:t xml:space="preserve">Abstract (EN): </w:t>
      </w:r>
      <w:r>
        <w:t>Bridge recombinases are naturally occurring RNA-guided DNA recombinases that we previously demonstrated can programmably insert, excise, and invert DNA in vitro and in</w:t>
      </w:r>
      <w:r>
        <w:t xml:space="preserve"> </w:t>
      </w:r>
      <w:r>
        <w:t>Escherichia coli</w:t>
      </w:r>
      <w:r>
        <w:t xml:space="preserve"> </w:t>
      </w:r>
      <w:r>
        <w:t>. In this study, we report the discovery and engineering of the bridge recombinase ortholog ISCro4 for universal rearrangements of the human genome. We defined strategies for the optimal application of bridge systems, leveraging mechanistic insights to improve their targeting specificity. Through rational engineering of the ISCro4 bridge RNA and deep mutational scanning of its recombinase, we achieved up to 20% insertion efficiency into the human genome and genome-wide specificity as high as 82%. We further demonstrated intrachromosomal inversion and excision, mobilizing up to 0.93 megabases of DNA. Lastly, we provided proof of concept for plasmid-based excision of disease-relevant gene regulatory regions or repeat expansions.</w:t>
      </w:r>
    </w:p>
    <w:p>
      <w:pPr>
        <w:spacing w:before="120" w:after="120"/>
      </w:pPr>
      <w:r>
        <w:rPr>
          <w:sz w:val="18"/>
        </w:rPr>
        <w:t>——————————————————————————————————————————————————————————————————————</w:t>
      </w:r>
    </w:p>
    <w:p>
      <w:pPr>
        <w:spacing w:before="160" w:after="40" w:line="240" w:lineRule="auto"/>
      </w:pPr>
      <w:r>
        <w:rPr>
          <w:b/>
        </w:rPr>
        <w:t xml:space="preserve">[460] </w:t>
      </w:r>
      <w:hyperlink r:id="rId1028">
        <w:r>
          <w:rPr>
            <w:color w:val="1155CC"/>
            <w:u w:val="single"/>
          </w:rPr>
          <w:t>自噬溶酶体外排将Src激酶反转至癌细胞表面</w:t>
        </w:r>
      </w:hyperlink>
    </w:p>
    <w:p>
      <w:pPr>
        <w:spacing w:before="0" w:after="80"/>
      </w:pPr>
      <w:r>
        <w:rPr>
          <w:i/>
          <w:sz w:val="20"/>
        </w:rPr>
        <w:t>EN: Autophagolysosomal exocytosis inverts Src kinase onto the cell surface in cancer</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29">
        <w:r>
          <w:rPr>
            <w:color w:val="1155CC"/>
            <w:u w:val="single"/>
          </w:rPr>
          <w:t>10.1126/science.aec1778</w:t>
        </w:r>
      </w:hyperlink>
    </w:p>
    <w:p>
      <w:pPr>
        <w:spacing w:before="0" w:after="120"/>
      </w:pPr>
      <w:r>
        <w:rPr>
          <w:b/>
        </w:rPr>
        <w:t xml:space="preserve">Notes: </w:t>
      </w:r>
      <w:r>
        <w:t>abstract_source=crossref</w:t>
      </w:r>
    </w:p>
    <w:p>
      <w:pPr>
        <w:spacing w:before="0" w:after="80" w:lineRule="auto" w:line="276"/>
      </w:pPr>
      <w:r>
        <w:rPr>
          <w:b/>
        </w:rPr>
        <w:t xml:space="preserve">摘要（ZH）: </w:t>
      </w:r>
      <w:r>
        <w:t>原癌基因Src的过表达在多种癌症中很常见。在这项工作中，我们发现Src在癌症中非典型地转位并反转到细胞表面，无论是在体外还是体内。我们确定了自噬溶酶体外排（ALE）作为癌细胞系中显著的分泌机制。Src代表了一类通过这一过程运输的膜锚定蛋白的原型。此外，这种细胞外膜相关的Src（eSrc）在原发性肿瘤中被发现，并且基于抗Src抗体的疗法在细胞培养系统和小鼠异种移植模型中介导了肿瘤细胞的杀伤。因此，细胞内N-肉豆蔻酰化蛋白，典型地Src，可以在拓扑上反转到</w:t>
      </w:r>
    </w:p>
    <w:p>
      <w:pPr>
        <w:spacing w:before="0" w:after="200" w:lineRule="auto" w:line="276"/>
      </w:pPr>
      <w:r>
        <w:rPr>
          <w:b/>
        </w:rPr>
        <w:t xml:space="preserve">Abstract (EN): </w:t>
      </w:r>
      <w:r>
        <w:t>Overexpression of the proto-oncogene Src is common to a wide variety of cancers. In this work, we found that Src is noncanonically translocated and inverted onto the cell surface in cancer, both in vitro and in vivo. We identified autophagolysosomal exocytosis (ALE) as a secretory mechanism prominent in cancer cell lines. Src represents the prototypical example of a family of membrane-anchored proteins that are transported by this process. Furthermore, this extracellular membrane–associated Src (eSrc) was found in primary tumors, and anti-Src antibody-based therapies mediated tumor cell killing in cell culture systems and in mouse xenograft models. Thus, intracellular</w:t>
      </w:r>
      <w:r>
        <w:t xml:space="preserve"> </w:t>
      </w:r>
      <w:r>
        <w:t>N</w:t>
      </w:r>
      <w:r>
        <w:t xml:space="preserve"> </w:t>
      </w:r>
      <w:r>
        <w:t>-myristoylated proteins, prototypically Src, can be topologically inverted onto the cell surface in cancer and targeted with antibody therapeutics.</w:t>
      </w:r>
    </w:p>
    <w:p>
      <w:pPr>
        <w:spacing w:before="120" w:after="120"/>
      </w:pPr>
      <w:r>
        <w:rPr>
          <w:sz w:val="18"/>
        </w:rPr>
        <w:t>——————————————————————————————————————————————————————————————————————</w:t>
      </w:r>
    </w:p>
    <w:p>
      <w:pPr>
        <w:spacing w:before="160" w:after="40" w:line="240" w:lineRule="auto"/>
      </w:pPr>
      <w:r>
        <w:rPr>
          <w:b/>
        </w:rPr>
        <w:t xml:space="preserve">[461] </w:t>
      </w:r>
      <w:hyperlink r:id="rId1030">
        <w:r>
          <w:rPr>
            <w:color w:val="1155CC"/>
            <w:u w:val="single"/>
          </w:rPr>
          <w:t>在反馈控制下生物神经网络中时间模式的在线监督学习</w:t>
        </w:r>
      </w:hyperlink>
    </w:p>
    <w:p>
      <w:pPr>
        <w:spacing w:before="0" w:after="80"/>
      </w:pPr>
      <w:r>
        <w:rPr>
          <w:i/>
          <w:sz w:val="20"/>
        </w:rPr>
        <w:t>EN: Online supervised learning of temporal patterns in biological neural networks under feedback control</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31">
        <w:r>
          <w:rPr>
            <w:color w:val="1155CC"/>
            <w:u w:val="single"/>
          </w:rPr>
          <w:t>10.1073/pnas.2521560123</w:t>
        </w:r>
      </w:hyperlink>
    </w:p>
    <w:p>
      <w:pPr>
        <w:spacing w:before="0" w:after="120"/>
      </w:pPr>
      <w:r>
        <w:rPr>
          <w:b/>
        </w:rPr>
        <w:t xml:space="preserve">Notes: </w:t>
      </w:r>
      <w:r>
        <w:t>abstract_source=crossref</w:t>
      </w:r>
    </w:p>
    <w:p>
      <w:pPr>
        <w:spacing w:before="0" w:after="80" w:lineRule="auto" w:line="276"/>
      </w:pPr>
      <w:r>
        <w:rPr>
          <w:b/>
        </w:rPr>
        <w:t xml:space="preserve">摘要（ZH）: </w:t>
      </w:r>
      <w:r>
        <w:t>体外生物神经网络（BNNs）提供了良好定义的模型系统，用于建设性地研究活细胞如何与其环境相互作用以形成可用于生成连贯时间输出的高维动态，例如运动控制所需的输出。在这里，我们开发了一个实时闭环BNN系统，通过将培养的皮层神经元与微流体装置和高密度微电极阵列集成，能够生成周期性和混沌时间信号。我们展示了训练一个具有固定反馈权重的简单线性解码器使系统能够学习并自主生成多样的时间模式。当反馈开启时，BNNs中的不规则活动被转化为低维、结构化的动态，p</w:t>
      </w:r>
    </w:p>
    <w:p>
      <w:pPr>
        <w:spacing w:before="0" w:after="200" w:lineRule="auto" w:line="276"/>
      </w:pPr>
      <w:r>
        <w:rPr>
          <w:b/>
        </w:rPr>
        <w:t xml:space="preserve">Abstract (EN): </w:t>
      </w:r>
      <w:r>
        <w:t>In vitro biological neural networks (BNNs) provide well-defined model systems for constructively investigating how living cells interact with their environments to shape high-dimensional dynamics that can be used to generate coherent temporal outputs, such as those required for motor control. Here, we develop a real-time closed-loop BNN system that is capable of generating periodic and chaotic temporal signals by integrating cultured cortical neurons with microfluidic devices and high-density microelectrode arrays. We show that training a simple linear decoder with fixed feedback weights enables the system to learn and autonomously generate diverse temporal patterns. When feedback is switched on, the irregular activity in the BNNs is transformed into low-dimensional, structured dynamics, producing coherent trajectories that are characterized by stable transitions between different neural states. BNNs trained on various target frequencies—ranging from 4 to 30 s—can be trained to sustain oscillations at distinct frequencies, demonstrating their adaptability. Importantly, top–down control of the self-organized network formation with microfluidic devices is the key to suppressing excessive synchronization and increasing dynamic complexity in BNNs, facilitating the training process and the generation of robust outputs. This work offers a biologically inspired platform for understanding the physical basis of cortical computations and for advancing energy-efficient neuromorphic computing paradigms.</w:t>
      </w:r>
    </w:p>
    <w:p>
      <w:pPr>
        <w:spacing w:before="120" w:after="120"/>
      </w:pPr>
      <w:r>
        <w:rPr>
          <w:sz w:val="18"/>
        </w:rPr>
        <w:t>——————————————————————————————————————————————————————————————————————</w:t>
      </w:r>
    </w:p>
    <w:p>
      <w:pPr>
        <w:spacing w:before="160" w:after="40" w:line="240" w:lineRule="auto"/>
      </w:pPr>
      <w:r>
        <w:rPr>
          <w:b/>
        </w:rPr>
        <w:t xml:space="preserve">[462] </w:t>
      </w:r>
      <w:hyperlink r:id="rId1032">
        <w:r>
          <w:rPr>
            <w:color w:val="1155CC"/>
            <w:u w:val="single"/>
          </w:rPr>
          <w:t>使用RNA引导的桥重组酶在人类细胞中进行可编程基因组编辑</w:t>
        </w:r>
      </w:hyperlink>
    </w:p>
    <w:p>
      <w:pPr>
        <w:spacing w:before="0" w:after="80"/>
      </w:pPr>
      <w:r>
        <w:rPr>
          <w:i/>
          <w:sz w:val="20"/>
        </w:rPr>
        <w:t>EN: Programmable genome editing in human cells using RNA-guided bridge recombinases</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33">
        <w:r>
          <w:rPr>
            <w:color w:val="1155CC"/>
            <w:u w:val="single"/>
          </w:rPr>
          <w:t>10.1126/science.adz1884</w:t>
        </w:r>
      </w:hyperlink>
    </w:p>
    <w:p>
      <w:pPr>
        <w:spacing w:before="0" w:after="120"/>
      </w:pPr>
      <w:r>
        <w:rPr>
          <w:b/>
        </w:rPr>
        <w:t xml:space="preserve">Notes: </w:t>
      </w:r>
      <w:r>
        <w:t>abstract_source=crossref</w:t>
      </w:r>
    </w:p>
    <w:p>
      <w:pPr>
        <w:spacing w:before="0" w:after="80" w:lineRule="auto" w:line="276"/>
      </w:pPr>
      <w:r>
        <w:rPr>
          <w:b/>
        </w:rPr>
        <w:t xml:space="preserve">摘要（ZH）: </w:t>
      </w:r>
      <w:r>
        <w:t>基因大小的DNA片段的特定位点插入仍然是基因组编辑领域未解决的需求。最近研究表明，IS110家族丝氨酸重组酶通过使用双特异性RNA引导（桥接RNA）在细菌中介导可编程的DNA重组，该RNA同时识别目标和供体位点。在这项工作中，我们展示了桥接重组酶ISCro4在人类细胞中的高活性，并提供了其增强活性的结构见解。使用质粒或全RNA为基础的递送，ISCro4支持可编程的多千碱基切除和倒位，并以超过6%的效率促进供体DNA在基因组位点的插入。最后，我们评估了ISCro4的特异性和脱靶活性。这些结果为桥接重组酶的发展建立了框架。</w:t>
      </w:r>
    </w:p>
    <w:p>
      <w:pPr>
        <w:spacing w:before="0" w:after="200" w:lineRule="auto" w:line="276"/>
      </w:pPr>
      <w:r>
        <w:rPr>
          <w:b/>
        </w:rPr>
        <w:t xml:space="preserve">Abstract (EN): </w:t>
      </w:r>
      <w:r>
        <w:t>Site-specific insertion of gene-sized DNA fragments remains an unmet need in the field of genome editing. IS110-family serine recombinases have recently been shown to mediate programmable DNA recombination in bacteria by using a bispecific RNA guide (bridge RNA) that simultaneously recognizes target and donor sites. In this work, we have shown that the bridge recombinase ISCro4 is highly active in human cells and provided structural insights into its enhanced activity. Using plasmid- or all-RNA–based delivery, ISCro4 supports programmable multikilobase excisions and inversions and facilitates donor DNA insertion at genomic sites with efficiencies that exceed 6%. Last, we assessed ISCro4 specificity and off-target activity. These results establish a framework for the development of bridge recombinases as next-generation tools for editing modalities that are beyond the capabilities of current technologies.</w:t>
      </w:r>
    </w:p>
    <w:p>
      <w:pPr>
        <w:spacing w:before="120" w:after="120"/>
      </w:pPr>
      <w:r>
        <w:rPr>
          <w:sz w:val="18"/>
        </w:rPr>
        <w:t>——————————————————————————————————————————————————————————————————————</w:t>
      </w:r>
    </w:p>
    <w:p>
      <w:pPr>
        <w:spacing w:before="160" w:after="40" w:line="240" w:lineRule="auto"/>
      </w:pPr>
      <w:r>
        <w:rPr>
          <w:b/>
        </w:rPr>
        <w:t xml:space="preserve">[463] </w:t>
      </w:r>
      <w:hyperlink r:id="rId1034">
        <w:r>
          <w:rPr>
            <w:color w:val="1155CC"/>
            <w:u w:val="single"/>
          </w:rPr>
          <w:t>计算设计构象偏向突变以改变蛋白质功能</w:t>
        </w:r>
      </w:hyperlink>
    </w:p>
    <w:p>
      <w:pPr>
        <w:spacing w:before="0" w:after="80"/>
      </w:pPr>
      <w:r>
        <w:rPr>
          <w:i/>
          <w:sz w:val="20"/>
        </w:rPr>
        <w:t>EN: Computational design of conformation-biasing mutations to alter protein functions</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35">
        <w:r>
          <w:rPr>
            <w:color w:val="1155CC"/>
            <w:u w:val="single"/>
          </w:rPr>
          <w:t>10.1126/science.adv7953</w:t>
        </w:r>
      </w:hyperlink>
    </w:p>
    <w:p>
      <w:pPr>
        <w:spacing w:before="0" w:after="120"/>
      </w:pPr>
      <w:r>
        <w:rPr>
          <w:b/>
        </w:rPr>
        <w:t xml:space="preserve">Notes: </w:t>
      </w:r>
      <w:r>
        <w:t>abstract_source=crossref</w:t>
      </w:r>
    </w:p>
    <w:p>
      <w:pPr>
        <w:spacing w:before="0" w:after="80" w:lineRule="auto" w:line="276"/>
      </w:pPr>
      <w:r>
        <w:rPr>
          <w:b/>
        </w:rPr>
        <w:t xml:space="preserve">摘要（ZH）: </w:t>
      </w:r>
      <w:r>
        <w:t>构象偏向（CB）是一种快速且简化的计算方法，使用反向折叠模型的对比评分来预测偏向于期望构象状态的蛋白质变体。我们成功地在七个不同的数据集中验证了CB，识别出K-Ras、严重急性呼吸综合征冠状病毒2（SARS-CoV-2）刺突蛋白、β2肾上腺素能受体和Src激酶的变体，这些变体在增强结合或酶活性等构象特异性功能上有所改善。将CB应用于酶脂酸连接酶（LplA），我们发现了一种先前未知的机制，控制其多功能活性。偏向于“开放”构象状态的变体变得更加多功能，而“闭合”偏向的变体则更具选择性，增强了LplA的利用。</w:t>
      </w:r>
    </w:p>
    <w:p>
      <w:pPr>
        <w:spacing w:before="0" w:after="200" w:lineRule="auto" w:line="276"/>
      </w:pPr>
      <w:r>
        <w:rPr>
          <w:b/>
        </w:rPr>
        <w:t xml:space="preserve">Abstract (EN): </w:t>
      </w:r>
      <w:r>
        <w:t>Conformational biasing (CB) is a rapid and streamlined computational method that uses contrastive scoring by inverse folding models to predict protein variants biased toward desired conformational states. We successfully validated CB across seven diverse datasets, identifying variants of K-Ras, the severe acute respiratory syndrome coronavirus 2 (SARS-CoV-2) spike protein, the β2 adrenergic receptor, and Src kinase with improved conformation-specific functions such as enhanced binding or enzymatic activity. Applying CB to the enzyme lipoic acid ligase (LplA), we uncovered a previously unknown mechanism controlling its promiscuous activity. Variants biased toward an “open” conformation state became more promiscuous, whereas “closed”-biased variants were more selective, enhancing LplA’s utility for site-specific protein labeling with fluorophores in living cells. The speed and simplicity of CB make it a versatile tool for engineering protein dynamics with broad applications in basic research, biotechnology, and medicine.</w:t>
      </w:r>
    </w:p>
    <w:p>
      <w:pPr>
        <w:spacing w:before="120" w:after="120"/>
      </w:pPr>
      <w:r>
        <w:rPr>
          <w:sz w:val="18"/>
        </w:rPr>
        <w:t>——————————————————————————————————————————————————————————————————————</w:t>
      </w:r>
    </w:p>
    <w:p>
      <w:pPr>
        <w:spacing w:before="160" w:after="40" w:line="240" w:lineRule="auto"/>
      </w:pPr>
      <w:r>
        <w:rPr>
          <w:b/>
        </w:rPr>
        <w:t xml:space="preserve">[464] </w:t>
      </w:r>
      <w:hyperlink r:id="rId1036">
        <w:r>
          <w:rPr>
            <w:color w:val="1155CC"/>
            <w:u w:val="single"/>
          </w:rPr>
          <w:t>从原肠胚形成到器官发生的全胚胎亚细胞分辨率空间转录组学</w:t>
        </w:r>
      </w:hyperlink>
    </w:p>
    <w:p>
      <w:pPr>
        <w:spacing w:before="0" w:after="80"/>
      </w:pPr>
      <w:r>
        <w:rPr>
          <w:i/>
          <w:sz w:val="20"/>
        </w:rPr>
        <w:t>EN: Whole-embryo spatial transcriptomics at subcellular resolution from gastrulation to organogenesis</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37">
        <w:r>
          <w:rPr>
            <w:color w:val="1155CC"/>
            <w:u w:val="single"/>
          </w:rPr>
          <w:t>10.1126/science.adt3439</w:t>
        </w:r>
      </w:hyperlink>
    </w:p>
    <w:p>
      <w:pPr>
        <w:spacing w:before="0" w:after="120"/>
      </w:pPr>
      <w:r>
        <w:rPr>
          <w:b/>
        </w:rPr>
        <w:t xml:space="preserve">Notes: </w:t>
      </w:r>
      <w:r>
        <w:t>abstract_source=crossref</w:t>
      </w:r>
    </w:p>
    <w:p>
      <w:pPr>
        <w:spacing w:before="0" w:after="80" w:lineRule="auto" w:line="276"/>
      </w:pPr>
      <w:r>
        <w:rPr>
          <w:b/>
        </w:rPr>
        <w:t xml:space="preserve">摘要（ZH）: </w:t>
      </w:r>
      <w:r>
        <w:t>基因表达模式是发育的基础，但在整个胚胎中系统检测这些模式仍然难以实现。我们引入了一种使用多重错误稳健荧光原位杂交（weMERFISH）的全胚胎成像平台。我们在斑马鱼胚胎中以亚细胞分辨率量化了495个基因的表达，并生成了一个在线图谱，详细描述了在胚胎发生过程中25872个基因的表达和294954个染色质区域的可及性。表达模式通常对应于组织特异性可及元素的复合体，表达变化与细胞成熟和形态发生一致。与活体成像的整合揭示了相似的表达模式如何通过不同的动态出现，并显示出通过变化形成的明确边界。</w:t>
      </w:r>
    </w:p>
    <w:p>
      <w:pPr>
        <w:spacing w:before="0" w:after="200" w:lineRule="auto" w:line="276"/>
      </w:pPr>
      <w:r>
        <w:rPr>
          <w:b/>
        </w:rPr>
        <w:t xml:space="preserve">Abstract (EN): </w:t>
      </w:r>
      <w:r>
        <w:t>Gene expression patterns underlie development, but their systematic detection in whole embryos has remained elusive. We introduce a whole-embryo imaging platform using multiplexed error-robust fluorescent in situ hybridization (weMERFISH). We quantified the expression of 495 genes in zebrafish embryos at subcellular resolution and generated an online atlas detailing the expression of 25,872 genes and accessibility of 294,954 chromatin regions during embryogenesis. Expression patterns often corresponded to composites of tissue-specific accessible elements, and expression changes aligned with cellular maturation and morphogenesis. Integration with live imaging revealed how similar expression patterns can emerge through different dynamics and showed that sharp boundaries develop through changes in gene expression rather than through cell sorting. These results establish multiplexed whole-embryo spatial transcriptomics and reveal the regulation and dynamics of embryonic gene expression patterns.</w:t>
      </w:r>
    </w:p>
    <w:p>
      <w:pPr>
        <w:spacing w:before="120" w:after="120"/>
      </w:pPr>
      <w:r>
        <w:rPr>
          <w:sz w:val="18"/>
        </w:rPr>
        <w:t>——————————————————————————————————————————————————————————————————————</w:t>
      </w:r>
    </w:p>
    <w:p>
      <w:pPr>
        <w:spacing w:before="160" w:after="40" w:line="240" w:lineRule="auto"/>
      </w:pPr>
      <w:r>
        <w:rPr>
          <w:b/>
        </w:rPr>
        <w:t xml:space="preserve">[465] </w:t>
      </w:r>
      <w:hyperlink r:id="rId1038">
        <w:r>
          <w:rPr>
            <w:color w:val="1155CC"/>
            <w:u w:val="single"/>
          </w:rPr>
          <w:t>文化进化加速了人类活动范围扩展超过两个数量级</w:t>
        </w:r>
      </w:hyperlink>
    </w:p>
    <w:p>
      <w:pPr>
        <w:spacing w:before="0" w:after="80"/>
      </w:pPr>
      <w:r>
        <w:rPr>
          <w:i/>
          <w:sz w:val="20"/>
        </w:rPr>
        <w:t>EN: Cultural evolution accelerated human range expansion by more than two orders of magnitude</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39">
        <w:r>
          <w:rPr>
            <w:color w:val="1155CC"/>
            <w:u w:val="single"/>
          </w:rPr>
          <w:t>10.1073/pnas.2523038123</w:t>
        </w:r>
      </w:hyperlink>
    </w:p>
    <w:p>
      <w:pPr>
        <w:spacing w:before="0" w:after="120"/>
      </w:pPr>
      <w:r>
        <w:rPr>
          <w:b/>
        </w:rPr>
        <w:t xml:space="preserve">Notes: </w:t>
      </w:r>
      <w:r>
        <w:t>abstract_source=crossref</w:t>
      </w:r>
    </w:p>
    <w:p>
      <w:pPr>
        <w:spacing w:before="0" w:after="80" w:lineRule="auto" w:line="276"/>
      </w:pPr>
      <w:r>
        <w:rPr>
          <w:b/>
        </w:rPr>
        <w:t xml:space="preserve">摘要（ZH）: </w:t>
      </w:r>
      <w:r>
        <w:t>人类占据的地理和生态范围比任何其他现存脊椎动物都要广，迅速扩展到地球上的几乎每一个栖息地。这种扩展不仅由生物适应性驱动，更重要的是由文化进化驱动——这一过程使得适应性行为和技术的快速和累积获取成为可能。在此，我通过将全球人类范围与在不同分类等级上聚合的哺乳动物范围进行比较，量化文化进化的独特贡献。我展示了实现人类范围需要大约88百万年的谱系分化，超过2200个物种，以及近四个数量级的体重范围。然而，文化进化也使人类能够在更精细的空间尺度上适应，这可以从民族语言群体中看出。</w:t>
      </w:r>
    </w:p>
    <w:p>
      <w:pPr>
        <w:spacing w:before="0" w:after="200" w:lineRule="auto" w:line="276"/>
      </w:pPr>
      <w:r>
        <w:rPr>
          <w:b/>
        </w:rPr>
        <w:t xml:space="preserve">Abstract (EN): </w:t>
      </w:r>
      <w:r>
        <w:t>Humans occupy a geographic and ecological range wider than that of any other extant vertebrates, having rapidly expanded into nearly every habitat on the planet. This expansion was driven not only by biological adaptations but, crucially, by cultural evolution—a process that enabled the rapid and cumulative acquisition of adaptive behaviors and technologies. Here, I quantify the unique contribution of cultural evolution by comparing the global human range to mammalian ranges aggregated at various taxonomic ranks. I show that achieving the human range would require about 88 My of lineage divergence, over 2,200 species, and a nearly four-order-of-magnitude range in body mass. Yet, cultural evolution also allows humans to adapt at finer spatial scales, as evidenced by ethnolinguistic groups occupying smaller, more ecologically specialized territories than species. These findings highlight the unique role of cultural evolution in accelerating human ecological adaptation.</w:t>
      </w:r>
    </w:p>
    <w:p>
      <w:pPr>
        <w:spacing w:before="120" w:after="120"/>
      </w:pPr>
      <w:r>
        <w:rPr>
          <w:sz w:val="18"/>
        </w:rPr>
        <w:t>——————————————————————————————————————————————————————————————————————</w:t>
      </w:r>
    </w:p>
    <w:p>
      <w:pPr>
        <w:spacing w:before="160" w:after="40" w:line="240" w:lineRule="auto"/>
      </w:pPr>
      <w:r>
        <w:rPr>
          <w:b/>
        </w:rPr>
        <w:t xml:space="preserve">[466] </w:t>
      </w:r>
      <w:hyperlink r:id="rId1040">
        <w:r>
          <w:rPr>
            <w:color w:val="1155CC"/>
            <w:u w:val="single"/>
          </w:rPr>
          <w:t>电荷反转蛋白水解聚合物在类风湿性关节炎中实现组织特异性STING降解</w:t>
        </w:r>
      </w:hyperlink>
    </w:p>
    <w:p>
      <w:pPr>
        <w:spacing w:before="0" w:after="80"/>
      </w:pPr>
      <w:r>
        <w:rPr>
          <w:i/>
          <w:sz w:val="20"/>
        </w:rPr>
        <w:t>EN: Charge-reversal proteolysis polymers enable tissue-specific STING degradation in rheumatoid arthritis</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41">
        <w:r>
          <w:rPr>
            <w:color w:val="1155CC"/>
            <w:u w:val="single"/>
          </w:rPr>
          <w:t>10.1073/pnas.2525897123</w:t>
        </w:r>
      </w:hyperlink>
    </w:p>
    <w:p>
      <w:pPr>
        <w:spacing w:before="0" w:after="120"/>
      </w:pPr>
      <w:r>
        <w:rPr>
          <w:b/>
        </w:rPr>
        <w:t xml:space="preserve">Notes: </w:t>
      </w:r>
      <w:r>
        <w:t>abstract_source=crossref</w:t>
      </w:r>
    </w:p>
    <w:p>
      <w:pPr>
        <w:spacing w:before="0" w:after="80" w:lineRule="auto" w:line="276"/>
      </w:pPr>
      <w:r>
        <w:rPr>
          <w:b/>
        </w:rPr>
        <w:t xml:space="preserve">摘要（ZH）: </w:t>
      </w:r>
      <w:r>
        <w:t>抑制干扰素基因刺激因子（STING）对于治疗类风湿性关节炎（RA）至关重要，但在不同蛋白变体中实现高组织特异性的精确抑制仍然具有挑战性。在此，我们设计了一种多层次、智能的STING降解剂——电荷反转蛋白水解靶向嵌合体（CreTACs），能够有效递送至RA部位并降解人类、小鼠和大鼠中的STING变体。与传统降解剂的系统毒性不同，这种电荷反转平台利用pH编程的电荷反转：在循环中保持电中性（pH 7.4）以最小化毒性，而酸性触发的质子化使关节炎关节的积累增加7.5倍（组织水平），pH门控的细胞内化（pH 6.5时80%摄取率对比pH 7.4时50%；细胞水平）。</w:t>
      </w:r>
    </w:p>
    <w:p>
      <w:pPr>
        <w:spacing w:before="0" w:after="200" w:lineRule="auto" w:line="276"/>
      </w:pPr>
      <w:r>
        <w:rPr>
          <w:b/>
        </w:rPr>
        <w:t xml:space="preserve">Abstract (EN): </w:t>
      </w:r>
      <w:r>
        <w:t>Inhibiting stimulator of interferon genes (STING) is critical for treating rheumatoid arthritis (RA), yet achieving precise suppression with high tissue specificity across protein variants remains challenging. Here, we engineer a multilevel, intelligent STING degrader—charge-reversal proteolysis-targeting chimeras (CreTACs)—that efficiently delivers to RA sites and degrades STING variants in humans, mice, and rats. Unlike traditional degraders with systemic toxicity, this charge reversal platform leverages pH-programmed charge inversion: Electroneutrality in circulation (pH 7.4) minimizes toxicity, while acidic-triggered protonation enables a 7.5-fold increase in arthritic joint accumulation (tissue level), pH-gated cellular internalization (80% uptake at pH 6.5 vs. 50% at pH 7.4; cellular level), and enhanced cytoplasmic STING (proton channel) affinity via charge interactions (protein level). In collagen-induced arthritis models, CreTACs outperformed methotrexate by suppressing synovitis and bone erosion without hematological toxicity. This multilevel charge reversal strategy establishes a blueprint for next-generation proteolysis drug-delivery systems or biomaterials, offering transformative potential for healthcare.</w:t>
      </w:r>
    </w:p>
    <w:p>
      <w:pPr>
        <w:spacing w:before="120" w:after="120"/>
      </w:pPr>
      <w:r>
        <w:rPr>
          <w:sz w:val="18"/>
        </w:rPr>
        <w:t>——————————————————————————————————————————————————————————————————————</w:t>
      </w:r>
    </w:p>
    <w:p>
      <w:pPr>
        <w:spacing w:before="160" w:after="40" w:line="240" w:lineRule="auto"/>
      </w:pPr>
      <w:r>
        <w:rPr>
          <w:b/>
        </w:rPr>
        <w:t xml:space="preserve">[467] </w:t>
      </w:r>
      <w:hyperlink r:id="rId1042">
        <w:r>
          <w:rPr>
            <w:color w:val="1155CC"/>
            <w:u w:val="single"/>
          </w:rPr>
          <w:t>用于结构化声音操控的声学Pancharatnam–Berry几何相位</w:t>
        </w:r>
      </w:hyperlink>
    </w:p>
    <w:p>
      <w:pPr>
        <w:spacing w:before="0" w:after="80"/>
      </w:pPr>
      <w:r>
        <w:rPr>
          <w:i/>
          <w:sz w:val="20"/>
        </w:rPr>
        <w:t>EN: Acoustic Pancharatnam–Berry geometric phase for structured sound manipulation</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43">
        <w:r>
          <w:rPr>
            <w:color w:val="1155CC"/>
            <w:u w:val="single"/>
          </w:rPr>
          <w:t>10.1073/pnas.2527851123</w:t>
        </w:r>
      </w:hyperlink>
    </w:p>
    <w:p>
      <w:pPr>
        <w:spacing w:before="0" w:after="120"/>
      </w:pPr>
      <w:r>
        <w:rPr>
          <w:b/>
        </w:rPr>
        <w:t xml:space="preserve">Notes: </w:t>
      </w:r>
      <w:r>
        <w:t>abstract_source=crossref</w:t>
      </w:r>
    </w:p>
    <w:p>
      <w:pPr>
        <w:spacing w:before="0" w:after="80" w:lineRule="auto" w:line="276"/>
      </w:pPr>
      <w:r>
        <w:rPr>
          <w:b/>
        </w:rPr>
        <w:t xml:space="preserve">摘要（ZH）: </w:t>
      </w:r>
      <w:r>
        <w:t>相位控制是声波操控的基础。传播相位和共振相位已被广泛用于调制声波。然而，实空间几何相位，也称为Pancharatnam–Berry (PB)相位，在声学中一直难以捉摸，因为空气传播的声音是无旋的纵波，缺乏固有的偏振自由度。在此，我们从理论和实验上证明了PB相位可以在具有速度场偏振演化的非均匀声波中出现。以表面声波为例，我们揭示了由自旋-动量锁定引起的PB相位的有趣的Janus特性，并通过实验展示了用于多功能波前操控的声学PB超表面。我们进一步扩展了</w:t>
      </w:r>
    </w:p>
    <w:p>
      <w:pPr>
        <w:spacing w:before="0" w:after="200" w:lineRule="auto" w:line="276"/>
      </w:pPr>
      <w:r>
        <w:rPr>
          <w:b/>
        </w:rPr>
        <w:t xml:space="preserve">Abstract (EN): </w:t>
      </w:r>
      <w:r>
        <w:t>Phase control is fundamental to acoustic wave manipulation. The propagation and resonant phases have been widely used to modulate acoustic waves. However, the real-space geometric phase, also known as the Pancharatnam–Berry (PB) phase, has remained elusive in acoustics, owing to the fact that airborne sounds are curl-free longitudinal waves lacking intrinsic polarization degrees of freedom. Here, we theoretically and experimentally demonstrate that the PB phase can emerge in inhomogeneous sound waves with polarization evolution of velocity field. Using surface sound waves as an example, we uncover the intriguing Janus property of the PB phase arising from spin-momentum locking, and experimentally demonstrate acoustic PB metasurfaces for versatile wavefront manipulation. We further extend the mechanism to free-space structured sound and realize acoustic</w:t>
      </w:r>
      <w:r>
        <w:t xml:space="preserve"> </w:t>
      </w:r>
      <w:r>
        <w:t>q</w:t>
      </w:r>
      <w:r>
        <w:t xml:space="preserve"> </w:t>
      </w:r>
      <w:r>
        <w:t>-plates for converting vortex topological charge through spin–orbit interaction. Our work uncovers a type of acoustic phase and provides a simple yet effective mechanism for structured sound manipulation, with promising applications in acoustic communications, imaging, and on-chip devices.</w:t>
      </w:r>
    </w:p>
    <w:p>
      <w:pPr>
        <w:spacing w:before="120" w:after="120"/>
      </w:pPr>
      <w:r>
        <w:rPr>
          <w:sz w:val="18"/>
        </w:rPr>
        <w:t>——————————————————————————————————————————————————————————————————————</w:t>
      </w:r>
    </w:p>
    <w:p>
      <w:pPr>
        <w:spacing w:before="160" w:after="40" w:line="240" w:lineRule="auto"/>
      </w:pPr>
      <w:r>
        <w:rPr>
          <w:b/>
        </w:rPr>
        <w:t xml:space="preserve">[468] </w:t>
      </w:r>
      <w:hyperlink r:id="rId1044">
        <w:r>
          <w:rPr>
            <w:color w:val="1155CC"/>
            <w:u w:val="single"/>
          </w:rPr>
          <w:t>Arp2/3复合体和与自闭症及精神分裂症相关的蛋白CYFIP1对小胶质细胞动态的控制</w:t>
        </w:r>
      </w:hyperlink>
    </w:p>
    <w:p>
      <w:pPr>
        <w:spacing w:before="0" w:after="80"/>
      </w:pPr>
      <w:r>
        <w:rPr>
          <w:i/>
          <w:sz w:val="20"/>
        </w:rPr>
        <w:t>EN: Control of microglial dynamics by the Arp2/3 complex and the autism- and schizophrenia-associated protein CYFIP1</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45">
        <w:r>
          <w:rPr>
            <w:color w:val="1155CC"/>
            <w:u w:val="single"/>
          </w:rPr>
          <w:t>10.1073/pnas.2532488123</w:t>
        </w:r>
      </w:hyperlink>
    </w:p>
    <w:p>
      <w:pPr>
        <w:spacing w:before="0" w:after="120"/>
      </w:pPr>
      <w:r>
        <w:rPr>
          <w:b/>
        </w:rPr>
        <w:t xml:space="preserve">Notes: </w:t>
      </w:r>
      <w:r>
        <w:t>abstract_source=crossref</w:t>
      </w:r>
    </w:p>
    <w:p>
      <w:pPr>
        <w:spacing w:before="0" w:after="80" w:lineRule="auto" w:line="276"/>
      </w:pPr>
      <w:r>
        <w:rPr>
          <w:b/>
        </w:rPr>
        <w:t xml:space="preserve">摘要（ZH）: </w:t>
      </w:r>
      <w:r>
        <w:t>小胶质细胞利用高度复杂和动态的分支网络来感知和响应其周围环境。尽管有新兴证据表明小胶质细胞的运动性在大脑发育、神经退行性变和神经精神疾病中起着重要作用，但关于协调小胶质细胞过程动态的细胞内机制知之甚少。在此，我们确定了调节肌动蛋白细胞骨架在控制小胶质细胞行为中的作用。我们表明，肌动蛋白分支Arp2/3复合体对于维持小胶质细胞形态至关重要，并且对于监视而非趋化运动是必需的。与神经精神疾病相关的CYFIP1是WAVE调节复合体的核心成分，将上游信号通路与Arp2/3复合体的激活联系起来，其表达水平很高</w:t>
      </w:r>
    </w:p>
    <w:p>
      <w:pPr>
        <w:spacing w:before="0" w:after="200" w:lineRule="auto" w:line="276"/>
      </w:pPr>
      <w:r>
        <w:rPr>
          <w:b/>
        </w:rPr>
        <w:t xml:space="preserve">Abstract (EN): </w:t>
      </w:r>
      <w:r>
        <w:t>Microglia use a highly complex and dynamic network of branched processes to sense and respond to their surroundings. Despite emerging evidence that microglial motility plays important roles in brain development, neurodegeneration, and neuropsychiatric disease, little is known about the intracellular machinery orchestrating microglial process dynamics. Here, we identify roles for regulators of the actin cytoskeleton in controlling microglial behavior. We show that the actin branching Arp2/3 complex is critical for maintaining microglial morphology and is required for surveillance but not chemotactic motility. Neuropsychiatric disease-associated CYFIP1, a core component of the WAVE regulatory complex linking upstream signaling pathways to activation of the Arp2/3 complex, is highly expressed in microglia but has an unknown function. We report that conditional deletion of</w:t>
      </w:r>
      <w:r>
        <w:t xml:space="preserve"> </w:t>
      </w:r>
      <w:r>
        <w:t>Cyfip1</w:t>
      </w:r>
      <w:r>
        <w:t xml:space="preserve"> </w:t>
      </w:r>
      <w:r>
        <w:t>in mouse microglia reduces their morphological complexity and surveillance of the brain parenchyma, with no effect on chemotaxis. Deletion of</w:t>
      </w:r>
      <w:r>
        <w:t xml:space="preserve"> </w:t>
      </w:r>
      <w:r>
        <w:t>Cyfip1</w:t>
      </w:r>
      <w:r>
        <w:t xml:space="preserve"> </w:t>
      </w:r>
      <w:r>
        <w:t>also increased microglial CD68 positive lysosome volume and engulfment of presynapses. Thus, actin remodeling by CYFIP1 and the Arp2/3 complex controls microglial dynamics and shifts microglia away from a homeostatic state with potential implications for neuropsychiatric disease.</w:t>
      </w:r>
    </w:p>
    <w:p>
      <w:pPr>
        <w:spacing w:before="120" w:after="120"/>
      </w:pPr>
      <w:r>
        <w:rPr>
          <w:sz w:val="18"/>
        </w:rPr>
        <w:t>——————————————————————————————————————————————————————————————————————</w:t>
      </w:r>
    </w:p>
    <w:p>
      <w:pPr>
        <w:spacing w:before="160" w:after="40" w:line="240" w:lineRule="auto"/>
      </w:pPr>
      <w:r>
        <w:rPr>
          <w:b/>
        </w:rPr>
        <w:t xml:space="preserve">[469] </w:t>
      </w:r>
      <w:hyperlink r:id="rId1046">
        <w:r>
          <w:rPr>
            <w:color w:val="1155CC"/>
            <w:u w:val="single"/>
          </w:rPr>
          <w:t>镶嵌表型进化是Gerromorpha水面定居适应性成功的基础</w:t>
        </w:r>
      </w:hyperlink>
    </w:p>
    <w:p>
      <w:pPr>
        <w:spacing w:before="0" w:after="80"/>
      </w:pPr>
      <w:r>
        <w:rPr>
          <w:i/>
          <w:sz w:val="20"/>
        </w:rPr>
        <w:t>EN: Mosaic phenotypic evolution underlies the adaptive success of water-surface colonization in Gerromorpha</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47">
        <w:r>
          <w:rPr>
            <w:color w:val="1155CC"/>
            <w:u w:val="single"/>
          </w:rPr>
          <w:t>10.1073/pnas.2534611123</w:t>
        </w:r>
      </w:hyperlink>
    </w:p>
    <w:p>
      <w:pPr>
        <w:spacing w:before="0" w:after="120"/>
      </w:pPr>
      <w:r>
        <w:rPr>
          <w:b/>
        </w:rPr>
        <w:t xml:space="preserve">Notes: </w:t>
      </w:r>
      <w:r>
        <w:t>abstract_source=crossref</w:t>
      </w:r>
    </w:p>
    <w:p>
      <w:pPr>
        <w:spacing w:before="0" w:after="80" w:lineRule="auto" w:line="276"/>
      </w:pPr>
      <w:r>
        <w:rPr>
          <w:b/>
        </w:rPr>
        <w:t xml:space="preserve">摘要（ZH）: </w:t>
      </w:r>
      <w:r>
        <w:t>理解生物体中观察到的显著表型多样性如何通过宏观进化模式和速度的变化而产生，是进化生物学中的一个基本挑战。表型在适应性转变过程中通常以镶嵌模式进化。对于入侵高度专业化栖息地的生物体，例如独特的两相界面栖息地（水面），其表型多样化的宏观进化历史仍然只是肤浅地被理解。半水生昆虫（Insecta: Heteroptera: Gerromorpha）表现出广泛的栖息地多样化和无与伦比的表型创新，代表了在这一界面上最成功的现存适应群体之一，并提供了一个优秀的研究系统。通过分析它们的适应性转变和</w:t>
      </w:r>
    </w:p>
    <w:p>
      <w:pPr>
        <w:spacing w:before="0" w:after="200" w:lineRule="auto" w:line="276"/>
      </w:pPr>
      <w:r>
        <w:rPr>
          <w:b/>
        </w:rPr>
        <w:t xml:space="preserve">Abstract (EN): </w:t>
      </w:r>
      <w:r>
        <w:t>Understanding how the remarkable phenotypic diversity observed in organisms arises through shifts in macroevolutionary patterns and tempos is a fundamental challenge in evolutionary biology. Phenotypes often evolve in a mosaic pattern during adaptive transitions. For organisms that have invaded highly specialized habitats, such as the unique two-phase interface habitats (water surfaces), the macroevolutionary history of their phenotypic diversification remains only superficially understood. Semiaquatic bugs (Insecta: Heteroptera: Gerromorpha), which exhibit extensive habitat diversification and unparalleled phenotypic innovation, represent one of the most successful extant adaptive groups at this interface and provide an excellent system for study. By analyzing their adaptive transitions and phenotypic macroevolutionary history, we demonstrate that Gerromorpha experienced a single major adaptive transition from land to the water surface. Subsequently, semiaquatic bugs successfully colonized a wide range of distinct water-surface habitats. During this process, phenotypic space was explored under strong constraints and along pronounced mosaic trajectories; i.e., different body regions exhibited markedly distinct patterns of phenotypic space occupation and partitioning, as well as markedly different evolutionary rates. Furthermore, we showed that this mosaic pattern of phenotypic space occupation and rates of exploration had complex and critical effects on the invasion and colonization of water-surface habitats. Our study provides a typical case of macroevolutionary dynamics in species adapted to specialized air–water interface habitats, emphasizing the complex and significant roles of environmental context and functional demands in shaping patterns of phenotypic evolution.</w:t>
      </w:r>
    </w:p>
    <w:p>
      <w:pPr>
        <w:spacing w:before="120" w:after="120"/>
      </w:pPr>
      <w:r>
        <w:rPr>
          <w:sz w:val="18"/>
        </w:rPr>
        <w:t>——————————————————————————————————————————————————————————————————————</w:t>
      </w:r>
    </w:p>
    <w:p>
      <w:pPr>
        <w:spacing w:before="160" w:after="40" w:line="240" w:lineRule="auto"/>
      </w:pPr>
      <w:r>
        <w:rPr>
          <w:b/>
        </w:rPr>
        <w:t xml:space="preserve">[470] </w:t>
      </w:r>
      <w:hyperlink r:id="rId1048">
        <w:r>
          <w:rPr>
            <w:color w:val="1155CC"/>
            <w:u w:val="single"/>
          </w:rPr>
          <w:t>与Rett综合征相关的KCNC1变体破坏了Kv3.1通道的ER到高尔基体运输</w:t>
        </w:r>
      </w:hyperlink>
    </w:p>
    <w:p>
      <w:pPr>
        <w:spacing w:before="0" w:after="80"/>
      </w:pPr>
      <w:r>
        <w:rPr>
          <w:i/>
          <w:sz w:val="20"/>
        </w:rPr>
        <w:t>EN: A KCNC1 variant linked to Rett syndrome disrupts ER to Golgi trafficking of Kv3.1 channel</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49">
        <w:r>
          <w:rPr>
            <w:color w:val="1155CC"/>
            <w:u w:val="single"/>
          </w:rPr>
          <w:t>10.1073/pnas.2424514123</w:t>
        </w:r>
      </w:hyperlink>
    </w:p>
    <w:p>
      <w:pPr>
        <w:spacing w:before="0" w:after="120"/>
      </w:pPr>
      <w:r>
        <w:rPr>
          <w:b/>
        </w:rPr>
        <w:t xml:space="preserve">Notes: </w:t>
      </w:r>
      <w:r>
        <w:t>abstract_source=crossref</w:t>
      </w:r>
    </w:p>
    <w:p>
      <w:pPr>
        <w:spacing w:before="0" w:after="80" w:lineRule="auto" w:line="276"/>
      </w:pPr>
      <w:r>
        <w:rPr>
          <w:b/>
        </w:rPr>
        <w:t xml:space="preserve">摘要（ZH）: </w:t>
      </w:r>
      <w:r>
        <w:t>内在神经元兴奋性，由输入和输出信号之间的平衡定义，对神经功能至关重要，其破坏是各种神经疾病的基础。Kv3.1通道，由KCNC1编码，对于高频动作电位的发放是必不可少的。这些通道的变异与几种癫痫亚型有关。我们报告了一名患有发育倒退和癫痫的患者，符合Rett综合征标准，他携带一个KCNC1变异，该变异在Kv3.1中编码S474C替代（Kv3.1 S474C）。电生理和生化测定显示Kv3.1 S474C减少了通道在质膜中的存在</w:t>
      </w:r>
    </w:p>
    <w:p>
      <w:pPr>
        <w:spacing w:before="0" w:after="200" w:lineRule="auto" w:line="276"/>
      </w:pPr>
      <w:r>
        <w:rPr>
          <w:b/>
        </w:rPr>
        <w:t xml:space="preserve">Abstract (EN): </w:t>
      </w:r>
      <w:r>
        <w:t>Intrinsic neuronal excitability, defined by the balance between input and output signals, is crucial to neural function, and its disruption underlies various neurological diseases. Kv3.1 channels, encoded by</w:t>
      </w:r>
      <w:r>
        <w:t xml:space="preserve"> </w:t>
      </w:r>
      <w:r>
        <w:t>KCNC1</w:t>
      </w:r>
      <w:r>
        <w:t xml:space="preserve"> </w:t>
      </w:r>
      <w:r>
        <w:t>, are essential for high-frequency action potential firing. Variants in these channels are associated with several subtypes of epilepsy. We report a patient with developmental regression and epilepsy, meeting Rett syndrome criteria, who carries a</w:t>
      </w:r>
      <w:r>
        <w:t xml:space="preserve"> </w:t>
      </w:r>
      <w:r>
        <w:t>KCNC1</w:t>
      </w:r>
      <w:r>
        <w:t xml:space="preserve"> </w:t>
      </w:r>
      <w:r>
        <w:t>variant encoding the S474C substitution in Kv3.1 (Kv3.1</w:t>
      </w:r>
      <w:r>
        <w:t xml:space="preserve"> </w:t>
      </w:r>
      <w:r>
        <w:t>S474C</w:t>
      </w:r>
      <w:r>
        <w:t xml:space="preserve"> </w:t>
      </w:r>
      <w:r>
        <w:t>). Electrophysiological and biochemical assays reveal that Kv3.1</w:t>
      </w:r>
      <w:r>
        <w:t xml:space="preserve"> </w:t>
      </w:r>
      <w:r>
        <w:t>S474C</w:t>
      </w:r>
      <w:r>
        <w:t xml:space="preserve"> </w:t>
      </w:r>
      <w:r>
        <w:t>reduces channel presence in the plasma membrane and is retained in the endoplasmic reticulum. In murine primary cortical neuron cultures expressing Kv3.1</w:t>
      </w:r>
      <w:r>
        <w:t xml:space="preserve"> </w:t>
      </w:r>
      <w:r>
        <w:t>S474C</w:t>
      </w:r>
      <w:r>
        <w:t xml:space="preserve"> </w:t>
      </w:r>
      <w:r>
        <w:t>, we observed reduced neuronal firing frequency and exclusion of the channel from the axon initial segment. Consistently, we found a decreased firing frequency using a conductance-based computational neuronal model. In summary, this study identifies a link between a</w:t>
      </w:r>
      <w:r>
        <w:t xml:space="preserve"> </w:t>
      </w:r>
      <w:r>
        <w:t>KCNC1</w:t>
      </w:r>
      <w:r>
        <w:t xml:space="preserve"> </w:t>
      </w:r>
      <w:r>
        <w:t>variant and Rett syndrome, highlighting the importance of S474 residue in Kv3.1 channel trafficking and function in neurons.</w:t>
      </w:r>
    </w:p>
    <w:p>
      <w:pPr>
        <w:spacing w:before="120" w:after="120"/>
      </w:pPr>
      <w:r>
        <w:rPr>
          <w:sz w:val="18"/>
        </w:rPr>
        <w:t>——————————————————————————————————————————————————————————————————————</w:t>
      </w:r>
    </w:p>
    <w:p>
      <w:pPr>
        <w:spacing w:before="160" w:after="40" w:line="240" w:lineRule="auto"/>
      </w:pPr>
      <w:r>
        <w:rPr>
          <w:b/>
        </w:rPr>
        <w:t xml:space="preserve">[471] </w:t>
      </w:r>
      <w:hyperlink r:id="rId1050">
        <w:r>
          <w:rPr>
            <w:color w:val="1155CC"/>
            <w:u w:val="single"/>
          </w:rPr>
          <w:t>原子模拟揭示类胡萝卜素结合光受体的光激活机制</w:t>
        </w:r>
      </w:hyperlink>
    </w:p>
    <w:p>
      <w:pPr>
        <w:spacing w:before="0" w:after="80"/>
      </w:pPr>
      <w:r>
        <w:rPr>
          <w:i/>
          <w:sz w:val="20"/>
        </w:rPr>
        <w:t>EN: Atomistic simulations reveal the photoactivation mechanism of a carotenoid-binding photoreceptor</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51">
        <w:r>
          <w:rPr>
            <w:color w:val="1155CC"/>
            <w:u w:val="single"/>
          </w:rPr>
          <w:t>10.1073/pnas.2515214123</w:t>
        </w:r>
      </w:hyperlink>
    </w:p>
    <w:p>
      <w:pPr>
        <w:spacing w:before="0" w:after="120"/>
      </w:pPr>
      <w:r>
        <w:rPr>
          <w:b/>
        </w:rPr>
        <w:t xml:space="preserve">Notes: </w:t>
      </w:r>
      <w:r>
        <w:t>abstract_source=crossref</w:t>
      </w:r>
    </w:p>
    <w:p>
      <w:pPr>
        <w:spacing w:before="0" w:after="80" w:lineRule="auto" w:line="276"/>
      </w:pPr>
      <w:r>
        <w:rPr>
          <w:b/>
        </w:rPr>
        <w:t xml:space="preserve">摘要（ZH）: </w:t>
      </w:r>
      <w:r>
        <w:t>橙色类胡萝卜素蛋白（OCP）是蓝藻天线复合物光保护中的关键光受体。其特殊的活性由结合的酮类胡萝卜素控制，既作为光传感器又作为能量猝灭剂。在吸收蓝光后，OCP从橙色静止态（OCPO）转变为红色活性态（OCPR），通过类胡萝卜素转移到N端结构域，随后结构域分离。尽管进行了广泛的研究，光激活的分子机制仍未解决。在此，我们结合激发态非绝热动力学与增强采样分子动力学，以原子分辨率揭示整个光激活路径。我们</w:t>
      </w:r>
    </w:p>
    <w:p>
      <w:pPr>
        <w:spacing w:before="0" w:after="200" w:lineRule="auto" w:line="276"/>
      </w:pPr>
      <w:r>
        <w:rPr>
          <w:b/>
        </w:rPr>
        <w:t xml:space="preserve">Abstract (EN): </w:t>
      </w:r>
      <w:r>
        <w:t>The orange carotenoid protein (OCP) is a key photoreceptor in the photoprotection of cyanobacterial antenna complexes. Its peculiar activity is governed by a bound keto-carotenoid that functions both as a light sensor and an energy quencher. Upon blue light absorption, OCP transitions from an orange resting state (OCP</w:t>
      </w:r>
      <w:r>
        <w:t xml:space="preserve"> </w:t>
      </w:r>
      <w:r>
        <w:t>O</w:t>
      </w:r>
      <w:r>
        <w:t xml:space="preserve"> </w:t>
      </w:r>
      <w:r>
        <w:t>) to a red active state (OCP</w:t>
      </w:r>
      <w:r>
        <w:t xml:space="preserve"> </w:t>
      </w:r>
      <w:r>
        <w:t>R</w:t>
      </w:r>
      <w:r>
        <w:t xml:space="preserve"> </w:t>
      </w:r>
      <w:r>
        <w:t>) through carotenoid translocation into the N-terminal domain, followed by domain separation. Despite extensive studies, the molecular mechanism underlying photoactivation has remained unresolved. Here, we integrate excited-state nonadiabatic dynamics with enhanced sampling molecular dynamics, to reveal the entire photoactivation pathway at atomistic resolution. Our simulations identify a</w:t>
      </w:r>
      <w:r>
        <w:t xml:space="preserve"> </w:t>
      </w:r>
      <w:r>
        <w:t>trans</w:t>
      </w:r>
      <w:r>
        <w:t xml:space="preserve"> </w:t>
      </w:r>
      <w:r>
        <w:t>-to-</w:t>
      </w:r>
      <w:r>
        <w:t>cis</w:t>
      </w:r>
      <w:r>
        <w:t xml:space="preserve"> </w:t>
      </w:r>
      <w:r>
        <w:t>photoisomerization of the bound keto-carotenoid as the critical photochemical event that initiates translocation. This cis isomer not only matches transient spectroscopic signatures observed experimentally but also exhibits the specific interactions with the protein required to enable translocation and domain separation. Finally, we uncover a multiphoton mechanism responsible for regenerating the all-</w:t>
      </w:r>
      <w:r>
        <w:t>trans</w:t>
      </w:r>
      <w:r>
        <w:t xml:space="preserve"> </w:t>
      </w:r>
      <w:r>
        <w:t>configuration observed in the OCP</w:t>
      </w:r>
      <w:r>
        <w:t xml:space="preserve"> </w:t>
      </w:r>
      <w:r>
        <w:t>R</w:t>
      </w:r>
      <w:r>
        <w:t xml:space="preserve"> </w:t>
      </w:r>
      <w:r>
        <w:t>–antenna complex. These findings provide a mechanistic framework for OCP photoactivation, linking photochemistry with large-scale conformational changes. Our work highlights the central role of carotenoid photoisomerization and demonstrates the power of advanced atomistic simulations in dissecting the functional dynamics of photoreceptor proteins.</w:t>
      </w:r>
    </w:p>
    <w:p>
      <w:pPr>
        <w:spacing w:before="120" w:after="120"/>
      </w:pPr>
      <w:r>
        <w:rPr>
          <w:sz w:val="18"/>
        </w:rPr>
        <w:t>——————————————————————————————————————————————————————————————————————</w:t>
      </w:r>
    </w:p>
    <w:p>
      <w:pPr>
        <w:spacing w:before="160" w:after="40" w:line="240" w:lineRule="auto"/>
      </w:pPr>
      <w:r>
        <w:rPr>
          <w:b/>
        </w:rPr>
        <w:t xml:space="preserve">[472] </w:t>
      </w:r>
      <w:hyperlink r:id="rId1052">
        <w:r>
          <w:rPr>
            <w:color w:val="1155CC"/>
            <w:u w:val="single"/>
          </w:rPr>
          <w:t>植物化学防御进化中的结构创新</w:t>
        </w:r>
      </w:hyperlink>
    </w:p>
    <w:p>
      <w:pPr>
        <w:spacing w:before="0" w:after="80"/>
      </w:pPr>
      <w:r>
        <w:rPr>
          <w:i/>
          <w:sz w:val="20"/>
        </w:rPr>
        <w:t>EN: Structural innovation in the evolution of plant chemical defense</w:t>
      </w:r>
    </w:p>
    <w:p>
      <w:pPr>
        <w:spacing w:before="0" w:after="120"/>
      </w:pPr>
      <w:r>
        <w:rPr>
          <w:b/>
        </w:rPr>
        <w:t xml:space="preserve">Source: </w:t>
      </w:r>
      <w:r>
        <w:t>Proceedings of the National Academy of Sciences: Keyword search for query</w:t>
      </w:r>
      <w:r>
        <w:t xml:space="preserve">    </w:t>
      </w:r>
      <w:r>
        <w:rPr>
          <w:b/>
        </w:rPr>
        <w:t xml:space="preserve">Pub date: </w:t>
      </w:r>
      <w:r>
        <w:t>2026-03-12 07:00:00+00:00</w:t>
      </w:r>
      <w:r>
        <w:t xml:space="preserve">    </w:t>
      </w:r>
      <w:r>
        <w:rPr>
          <w:b/>
        </w:rPr>
        <w:t xml:space="preserve">DOI: </w:t>
      </w:r>
      <w:hyperlink r:id="rId1053">
        <w:r>
          <w:rPr>
            <w:color w:val="1155CC"/>
            <w:u w:val="single"/>
          </w:rPr>
          <w:t>10.1073/pnas.2535853123</w:t>
        </w:r>
      </w:hyperlink>
    </w:p>
    <w:p>
      <w:pPr>
        <w:spacing w:before="0" w:after="120"/>
      </w:pPr>
      <w:r>
        <w:rPr>
          <w:b/>
        </w:rPr>
        <w:t xml:space="preserve">Notes: </w:t>
      </w:r>
      <w:r>
        <w:t>abstract_source=crossref</w:t>
      </w:r>
    </w:p>
    <w:p>
      <w:pPr>
        <w:spacing w:before="0" w:after="80" w:lineRule="auto" w:line="276"/>
      </w:pPr>
      <w:r>
        <w:rPr>
          <w:b/>
        </w:rPr>
        <w:t xml:space="preserve">摘要（ZH）: </w:t>
      </w:r>
      <w:r>
        <w:t>化学防御在生物学中是基础性的，并广泛用于医学和农业。植物防御化学在各种选择压力下进化，特别是食草动物，理论上强调预测毒素的丰度和多样性。在此，我们通过结合分子复杂性指标、代谢组学、分子对接和系统发育分析，使用乳草强心苷（一种抑制动物Na+/K+-ATP酶的甾体糖苷）来测试化学防御结构创新进化的假设。我们确定在高度取代的强心苷中添加氮-硫（N,S）杂环是恢复对共同进化的毒性的一项重大结构创新</w:t>
      </w:r>
    </w:p>
    <w:p>
      <w:pPr>
        <w:spacing w:before="0" w:after="200" w:lineRule="auto" w:line="276"/>
      </w:pPr>
      <w:r>
        <w:rPr>
          <w:b/>
        </w:rPr>
        <w:t xml:space="preserve">Abstract (EN): </w:t>
      </w:r>
      <w:r>
        <w:t>Chemical defenses are fundamental in organismal biology and widely used in medicine and agriculture. Plant defense chemistry evolves in response to various selective pressures, particularly herbivory, and theory has emphasized predicting toxin abundance and diversity. Here we test hypotheses about the evolution of structural innovation in chemical defense by combining molecular complexity metrics, metabolomics, molecular docking, and phylogenetic analyses, using milkweed cardenolides, steroidal glycosides that inhibit animal Na</w:t>
      </w:r>
      <w:r>
        <w:t xml:space="preserve"> </w:t>
      </w:r>
      <w:r>
        <w:t>+</w:t>
      </w:r>
      <w:r>
        <w:t xml:space="preserve"> </w:t>
      </w:r>
      <w:r>
        <w:t>/K</w:t>
      </w:r>
      <w:r>
        <w:t xml:space="preserve"> </w:t>
      </w:r>
      <w:r>
        <w:t>+</w:t>
      </w:r>
      <w:r>
        <w:t xml:space="preserve"> </w:t>
      </w:r>
      <w:r>
        <w:t>-ATPases. We identify the addition of a nitrogen–sulfur (N,S) heterocycle in highly substituted cardenolides as a major structural innovation that restores toxicity against coevolved natural enemies, such as the monarch butterfly. This toxicity is likely achieved by rigidifying the cardenolide scaffold and creating additional nonelectrostatic interactions within the Na</w:t>
      </w:r>
      <w:r>
        <w:t xml:space="preserve"> </w:t>
      </w:r>
      <w:r>
        <w:t>+</w:t>
      </w:r>
      <w:r>
        <w:t xml:space="preserve"> </w:t>
      </w:r>
      <w:r>
        <w:t>/K</w:t>
      </w:r>
      <w:r>
        <w:t xml:space="preserve"> </w:t>
      </w:r>
      <w:r>
        <w:t>+</w:t>
      </w:r>
      <w:r>
        <w:t xml:space="preserve"> </w:t>
      </w:r>
      <w:r>
        <w:t>-ATPase binding pocket, thereby enhancing binding affinity despite target-site resistance. Two biosynthetically distinct N,S-cardenolides, uscharin and labriformin, rank among the most complex structures in this chemical class and show divergent macroevolutionary histories: uscharin represents an ancestral character state with repeated losses, whereas labriformin has independently evolved multiple times in later-diverging lineages. This pattern across Asclepiadoideae indicates that the structural innovation evolved repeatedly, apparently limited by lineage-specific biosynthetic constraints among precursor pathways. N,S-cardenolides occur in over 75% of the 59</w:t>
      </w:r>
      <w:r>
        <w:t xml:space="preserve"> </w:t>
      </w:r>
      <w:r>
        <w:t>Asclepias</w:t>
      </w:r>
      <w:r>
        <w:t xml:space="preserve"> </w:t>
      </w:r>
      <w:r>
        <w:t>species examined here, and species producing N,S-cardenolides exhibit greater cardenolide abundance, richness, metabolomic space, and toxicity against adapted organisms. More generally, structural innovation defines a distinct evolutionary axis in plant chemistry, enabling defense diversification and adaptive recovery of toxicity. Such innovations are predicted to build on existing molecular scaffolds in response to ecological challenges, here driven by coevolving specialist herbivores.</w:t>
      </w:r>
    </w:p>
    <w:p>
      <w:pPr>
        <w:spacing w:before="120" w:after="120"/>
      </w:pPr>
      <w:r>
        <w:rPr>
          <w:sz w:val="18"/>
        </w:rPr>
        <w:t>——————————————————————————————————————————————————————————————————————</w:t>
      </w:r>
    </w:p>
    <w:p>
      <w:pPr>
        <w:spacing w:before="160" w:after="40" w:line="240" w:lineRule="auto"/>
      </w:pPr>
      <w:r>
        <w:rPr>
          <w:b/>
        </w:rPr>
        <w:t xml:space="preserve">[473] </w:t>
      </w:r>
      <w:hyperlink r:id="rId1054">
        <w:r>
          <w:rPr>
            <w:color w:val="1155CC"/>
            <w:u w:val="single"/>
          </w:rPr>
          <w:t>终生行为筛查揭示脊椎动物衰老的结构</w:t>
        </w:r>
      </w:hyperlink>
    </w:p>
    <w:p>
      <w:pPr>
        <w:spacing w:before="0" w:after="80"/>
      </w:pPr>
      <w:r>
        <w:rPr>
          <w:i/>
          <w:sz w:val="20"/>
        </w:rPr>
        <w:t>EN: Lifelong behavioral screen reveals an architecture of vertebrate aging</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55">
        <w:r>
          <w:rPr>
            <w:color w:val="1155CC"/>
            <w:u w:val="single"/>
          </w:rPr>
          <w:t>10.1126/science.aea9795</w:t>
        </w:r>
      </w:hyperlink>
    </w:p>
    <w:p>
      <w:pPr>
        <w:spacing w:before="0" w:after="120"/>
      </w:pPr>
      <w:r>
        <w:rPr>
          <w:b/>
        </w:rPr>
        <w:t xml:space="preserve">Notes: </w:t>
      </w:r>
      <w:r>
        <w:t>abstract_source=crossref</w:t>
      </w:r>
    </w:p>
    <w:p>
      <w:pPr>
        <w:spacing w:before="0" w:after="80" w:lineRule="auto" w:line="276"/>
      </w:pPr>
      <w:r>
        <w:rPr>
          <w:b/>
        </w:rPr>
        <w:t xml:space="preserve">摘要（ZH）: </w:t>
      </w:r>
      <w:r>
        <w:t>跨越生命周期映射个体脊椎动物的行为可能为衰老的终生过程提供前所未有的视角。我们创建了一个平台，用于高分辨率连续行为跟踪非洲鳉鱼，从青春期到死亡的自然生命周期。我们发现动物遵循不同的个体衰老轨迹。长寿动物的行为与短寿动物显著不同，即使在生命的相对早期，并且与器官特异性转录组变化有关。机器学习模型准确推断年龄，甚至预测个体的未来寿命，仅基于年轻时的行为。最后，我们发现动物在成年期经历了一系列稳定和刻板的行为阶段，伴随着突然的变化。</w:t>
      </w:r>
    </w:p>
    <w:p>
      <w:pPr>
        <w:spacing w:before="0" w:after="200" w:lineRule="auto" w:line="276"/>
      </w:pPr>
      <w:r>
        <w:rPr>
          <w:b/>
        </w:rPr>
        <w:t xml:space="preserve">Abstract (EN): </w:t>
      </w:r>
      <w:r>
        <w:t>Mapping behavior of individual vertebrate animals across lifespan could provide an unprecedented view into the lifelong process of aging. We created a platform for high-resolution continuous behavioral tracking of the African killifish across natural lifespan from adolescence to death. We found that animals follow distinct individual aging trajectories. The behaviors of long-lived animals differed markedly from those of short-lived animals, even relatively early in life, and were linked to organ-specific transcriptomic shifts. Machine-learning models accurately inferred age and even forecasted an individual’s future lifespan, given only behavior at a young age. Finally, we found that animals progressed through adulthood in a sequence of stable and stereotyped behavioral stages with abrupt transitions, revealing precise structure for an architecture of aging.</w:t>
      </w:r>
    </w:p>
    <w:p>
      <w:pPr>
        <w:spacing w:before="120" w:after="120"/>
      </w:pPr>
      <w:r>
        <w:rPr>
          <w:sz w:val="18"/>
        </w:rPr>
        <w:t>——————————————————————————————————————————————————————————————————————</w:t>
      </w:r>
    </w:p>
    <w:p>
      <w:pPr>
        <w:spacing w:before="160" w:after="40" w:line="240" w:lineRule="auto"/>
      </w:pPr>
      <w:r>
        <w:rPr>
          <w:b/>
        </w:rPr>
        <w:t xml:space="preserve">[474] </w:t>
      </w:r>
      <w:hyperlink r:id="rId1056">
        <w:r>
          <w:rPr>
            <w:color w:val="1155CC"/>
            <w:u w:val="single"/>
          </w:rPr>
          <w:t>从田间实验到大规模政策干预</w:t>
        </w:r>
      </w:hyperlink>
    </w:p>
    <w:p>
      <w:pPr>
        <w:spacing w:before="0" w:after="80"/>
      </w:pPr>
      <w:r>
        <w:rPr>
          <w:i/>
          <w:sz w:val="20"/>
        </w:rPr>
        <w:t>EN: From field experiments to policy interventions at scale</w:t>
      </w:r>
    </w:p>
    <w:p>
      <w:pPr>
        <w:spacing w:before="0" w:after="120"/>
      </w:pPr>
      <w:r>
        <w:rPr>
          <w:b/>
        </w:rPr>
        <w:t xml:space="preserve">Source: </w:t>
      </w:r>
      <w:r>
        <w:t>AAAS: Science: Table of Contents</w:t>
      </w:r>
      <w:r>
        <w:t xml:space="preserve">    </w:t>
      </w:r>
      <w:r>
        <w:rPr>
          <w:b/>
        </w:rPr>
        <w:t xml:space="preserve">Pub date: </w:t>
      </w:r>
      <w:r>
        <w:t>2026-03-12 07:00:00+00:00</w:t>
      </w:r>
      <w:r>
        <w:t xml:space="preserve">    </w:t>
      </w:r>
      <w:r>
        <w:rPr>
          <w:b/>
        </w:rPr>
        <w:t xml:space="preserve">DOI: </w:t>
      </w:r>
      <w:hyperlink r:id="rId1057">
        <w:r>
          <w:rPr>
            <w:color w:val="1155CC"/>
            <w:u w:val="single"/>
          </w:rPr>
          <w:t>10.1126/science.aef8482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[475] </w:t>
      </w:r>
      <w:hyperlink r:id="rId1058">
        <w:r>
          <w:rPr>
            <w:color w:val="1155CC"/>
            <w:u w:val="single"/>
          </w:rPr>
          <w:t>负债累累的南非市政可能转向太阳能加电池备份解决方案</w:t>
        </w:r>
      </w:hyperlink>
    </w:p>
    <w:p>
      <w:pPr>
        <w:spacing w:before="0" w:after="80"/>
      </w:pPr>
      <w:r>
        <w:rPr>
          <w:i/>
          <w:sz w:val="20"/>
        </w:rPr>
        <w:t>EN: Debt-laden South African municipalities may turn to solar-plus-battery backup solutions</w:t>
      </w:r>
    </w:p>
    <w:p>
      <w:pPr>
        <w:spacing w:before="0" w:after="120"/>
      </w:pPr>
      <w:r>
        <w:rPr>
          <w:b/>
        </w:rPr>
        <w:t xml:space="preserve">Source: </w:t>
      </w:r>
      <w:r>
        <w:t>Commercial &amp; Industrial PV – pv magazine International</w:t>
      </w:r>
      <w:r>
        <w:t xml:space="preserve">    </w:t>
      </w:r>
      <w:r>
        <w:rPr>
          <w:b/>
        </w:rPr>
        <w:t xml:space="preserve">Pub date: </w:t>
      </w:r>
      <w:r>
        <w:t>2026-03-12 09:19:59+00:00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[476] </w:t>
      </w:r>
      <w:hyperlink r:id="rId1059">
        <w:r>
          <w:rPr>
            <w:color w:val="1155CC"/>
            <w:u w:val="single"/>
          </w:rPr>
          <w:t>新的模拟平台让能源运营商在真实的网络攻击中进行训练</w:t>
        </w:r>
      </w:hyperlink>
    </w:p>
    <w:p>
      <w:pPr>
        <w:spacing w:before="0" w:after="80"/>
      </w:pPr>
      <w:r>
        <w:rPr>
          <w:i/>
          <w:sz w:val="20"/>
        </w:rPr>
        <w:t>EN: New simulation platform lets energy operators train against realistic cyberattacks</w:t>
      </w:r>
    </w:p>
    <w:p>
      <w:pPr>
        <w:spacing w:before="0" w:after="120"/>
      </w:pPr>
      <w:r>
        <w:rPr>
          <w:b/>
        </w:rPr>
        <w:t xml:space="preserve">Source: </w:t>
      </w:r>
      <w:r>
        <w:t>Commercial &amp; Industrial PV – pv magazine International</w:t>
      </w:r>
      <w:r>
        <w:t xml:space="preserve">    </w:t>
      </w:r>
      <w:r>
        <w:rPr>
          <w:b/>
        </w:rPr>
        <w:t xml:space="preserve">Pub date: </w:t>
      </w:r>
      <w:r>
        <w:t>2026-03-12 09:59:54+00:00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[477] </w:t>
      </w:r>
      <w:hyperlink r:id="rId1060">
        <w:r>
          <w:rPr>
            <w:color w:val="1155CC"/>
            <w:u w:val="single"/>
          </w:rPr>
          <w:t>美国电池行业的艰难时期</w:t>
        </w:r>
      </w:hyperlink>
    </w:p>
    <w:p>
      <w:pPr>
        <w:spacing w:before="0" w:after="80"/>
      </w:pPr>
      <w:r>
        <w:rPr>
          <w:i/>
          <w:sz w:val="20"/>
        </w:rPr>
        <w:t>EN: Brutal times for the US battery industry</w:t>
      </w:r>
    </w:p>
    <w:p>
      <w:pPr>
        <w:spacing w:before="0" w:after="120"/>
      </w:pPr>
      <w:r>
        <w:rPr>
          <w:b/>
        </w:rPr>
        <w:t xml:space="preserve">Source: </w:t>
      </w:r>
      <w:r>
        <w:t>Climate change and energy – MIT Technology Review</w:t>
      </w:r>
      <w:r>
        <w:t xml:space="preserve">    </w:t>
      </w:r>
      <w:r>
        <w:rPr>
          <w:b/>
        </w:rPr>
        <w:t xml:space="preserve">Pub date: </w:t>
      </w:r>
      <w:r>
        <w:t>2026-03-12 10:00:00+00:00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[478] </w:t>
      </w:r>
      <w:hyperlink r:id="rId1061">
        <w:r>
          <w:rPr>
            <w:color w:val="1155CC"/>
            <w:u w:val="single"/>
          </w:rPr>
          <w:t>[ASAP] 通过卤素原子转移策略的氨基自由基促进的光氧化还原/镍催化C(sp3)–C(sp3)铃木–宫浦交叉偶联</w:t>
        </w:r>
      </w:hyperlink>
    </w:p>
    <w:p>
      <w:pPr>
        <w:spacing w:before="0" w:after="80"/>
      </w:pPr>
      <w:r>
        <w:rPr>
          <w:i/>
          <w:sz w:val="20"/>
        </w:rPr>
        <w:t>EN: [ASAP] Aminyl Radical-Enabled Photoredox/Nickel-Catalyzed C(sp3)–C(sp3) Suzuki–Miyaura Cross-Coupling via Halogen-Atom Transfer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2026-03-12 10:51:09+00:00</w:t>
      </w:r>
      <w:r>
        <w:t xml:space="preserve">    </w:t>
      </w:r>
      <w:r>
        <w:rPr>
          <w:b/>
        </w:rPr>
        <w:t xml:space="preserve">DOI: </w:t>
      </w:r>
      <w:hyperlink r:id="rId1062">
        <w:r>
          <w:rPr>
            <w:color w:val="1155CC"/>
            <w:u w:val="single"/>
          </w:rPr>
          <w:t>10.1021/jacs.6c00526</w:t>
        </w:r>
      </w:hyperlink>
    </w:p>
    <w:p>
      <w:pPr>
        <w:spacing w:before="0" w:after="120"/>
      </w:pPr>
      <w:r>
        <w:rPr>
          <w:b/>
        </w:rPr>
        <w:t xml:space="preserve">Notes: </w:t>
      </w:r>
      <w:r>
        <w:t>abstract_source=pubmed</w:t>
      </w:r>
    </w:p>
    <w:p>
      <w:pPr>
        <w:spacing w:before="0" w:after="80" w:lineRule="auto" w:line="276"/>
      </w:pPr>
      <w:r>
        <w:rPr>
          <w:b/>
        </w:rPr>
        <w:t xml:space="preserve">摘要（ZH）: </w:t>
      </w:r>
      <w:r>
        <w:t>尽管Suzuki-Miyaura偶联已成为构建C(sp2)-C(sp2)键的先进方法，但其C(sp3)-C(sp3)对应物的发展仍然是一个长期挑战。困难可能源于烷基吡咯硼酸酯（APE）产生自由基的倾向性低、烷基电亲和体的反应性低以及竞争性β-氢化物消除。在这项研究中，我们使用氨基自由基激活APE，使其在光氧化还原条件下生成烷基自由基，而镍催化剂则激活烷基电亲和体，以实现C(sp3)-C(sp3)键的挑战性形成。该策略在温和条件下运行，并表现出广泛的底物范围，对烷基溴化物特别具有优良的官能团耐受性。</w:t>
      </w:r>
    </w:p>
    <w:p>
      <w:pPr>
        <w:spacing w:before="0" w:after="200" w:lineRule="auto" w:line="276"/>
      </w:pPr>
      <w:r>
        <w:rPr>
          <w:b/>
        </w:rPr>
        <w:t xml:space="preserve">Abstract (EN): </w:t>
      </w:r>
      <w:r>
        <w:t>Although Suzuki-Miyaura coupling has become a state-of-the-art method for constructing C(sp2)-C(sp2) bonds, the development of its C(sp3)-C(sp3) counterpart remains a long-standing challenge. The difficulty likely arises from the low propensity of alkyl pinacol boronic esters (APEs) to undergo radical generation, the low reactivity of alkyl electrophiles, and competitive β-hydride elimination. In this study, we employ an aminyl radical to activate APEs, enabling the generation of alkyl radicals under photoredox conditions, while a nickel catalyst activates alkyl electrophiles to achieve the challenging formation of C(sp3)-C(sp3) bonds. This strategy operates under mild conditions and exhibits a broad substrate scope with excellent functional group tolerance, particularly toward alkyl bromides bearing free hydroxyl and carboxylic acid groups. Moreover, this method enables site-selective alkylation, alkenylation, alkynylation, and arylation of 1,n-bis(boronic) esters. Mechanistic studies support a pathway in which N-centered radicals generate alkyl radicals, followed by radical capture by an alkylnickel(II) species formed via an intriguing halogen-atom transfer (XAT) between Ni(0)L and alkyl bromides. The robustness and synthetic utility of this methodology are demonstrated through scale-up and continuous-flow experiments, diverse downstream transformations, and the direct synthesis of a bioactive molecule without the need for a hydroxyl protecting group.</w:t>
      </w:r>
    </w:p>
    <w:p>
      <w:pPr>
        <w:spacing w:before="120" w:after="120"/>
      </w:pPr>
      <w:r>
        <w:rPr>
          <w:sz w:val="18"/>
        </w:rPr>
        <w:t>——————————————————————————————————————————————————————————————————————</w:t>
      </w:r>
    </w:p>
    <w:p>
      <w:pPr>
        <w:spacing w:before="160" w:after="40" w:line="240" w:lineRule="auto"/>
      </w:pPr>
      <w:r>
        <w:rPr>
          <w:b/>
        </w:rPr>
        <w:t xml:space="preserve">[479] </w:t>
      </w:r>
      <w:hyperlink r:id="rId1063">
        <w:r>
          <w:rPr>
            <w:color w:val="1155CC"/>
            <w:u w:val="single"/>
          </w:rPr>
          <w:t>重达1,300磅的NASA航天器重返地球大气层</w:t>
        </w:r>
      </w:hyperlink>
    </w:p>
    <w:p>
      <w:pPr>
        <w:spacing w:before="0" w:after="80"/>
      </w:pPr>
      <w:r>
        <w:rPr>
          <w:i/>
          <w:sz w:val="20"/>
        </w:rPr>
        <w:t>EN: Nasa spacecraft weighing 1,300lb re-enters Earth's atmosphere</w:t>
      </w:r>
    </w:p>
    <w:p>
      <w:pPr>
        <w:spacing w:before="0" w:after="120"/>
      </w:pPr>
      <w:r>
        <w:rPr>
          <w:b/>
        </w:rPr>
        <w:t xml:space="preserve">Source: </w:t>
      </w:r>
      <w:r>
        <w:t>BBC News</w:t>
      </w:r>
      <w:r>
        <w:t xml:space="preserve">    </w:t>
      </w:r>
      <w:r>
        <w:rPr>
          <w:b/>
        </w:rPr>
        <w:t xml:space="preserve">Pub date: </w:t>
      </w:r>
      <w:r>
        <w:t>2026-03-12 11:23:36+00:00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[480] </w:t>
      </w:r>
      <w:hyperlink r:id="rId1064">
        <w:r>
          <w:rPr>
            <w:color w:val="1155CC"/>
            <w:u w:val="single"/>
          </w:rPr>
          <w:t>[ASAP] 酚类的邻–间和对–间异构化</w:t>
        </w:r>
      </w:hyperlink>
    </w:p>
    <w:p>
      <w:pPr>
        <w:spacing w:before="0" w:after="80"/>
      </w:pPr>
      <w:r>
        <w:rPr>
          <w:i/>
          <w:sz w:val="20"/>
        </w:rPr>
        <w:t>EN: [ASAP] Ortho–Meta and Para–Meta Isomerization of Phenols</w:t>
      </w:r>
    </w:p>
    <w:p>
      <w:pPr>
        <w:spacing w:before="0" w:after="120"/>
      </w:pPr>
      <w:r>
        <w:rPr>
          <w:b/>
        </w:rPr>
        <w:t xml:space="preserve">Source: </w:t>
      </w:r>
      <w:r>
        <w:t>Journal of the American Chemical Society: Latest Articles (ACS Publications)</w:t>
      </w:r>
      <w:r>
        <w:t xml:space="preserve">    </w:t>
      </w:r>
      <w:r>
        <w:rPr>
          <w:b/>
        </w:rPr>
        <w:t xml:space="preserve">Pub date: </w:t>
      </w:r>
      <w:r>
        <w:t>2026-03-12 11:42:42+00:00</w:t>
      </w:r>
      <w:r>
        <w:t xml:space="preserve">    </w:t>
      </w:r>
      <w:r>
        <w:rPr>
          <w:b/>
        </w:rPr>
        <w:t xml:space="preserve">DOI: </w:t>
      </w:r>
      <w:hyperlink r:id="rId1065">
        <w:r>
          <w:rPr>
            <w:color w:val="1155CC"/>
            <w:u w:val="single"/>
          </w:rPr>
          <w:t>10.1021/jacs.6c00742</w:t>
        </w:r>
      </w:hyperlink>
    </w:p>
    <w:p>
      <w:pPr>
        <w:spacing w:before="0" w:after="120"/>
      </w:pPr>
      <w:r>
        <w:rPr>
          <w:b/>
        </w:rPr>
        <w:t xml:space="preserve">Notes: </w:t>
      </w:r>
      <w:r>
        <w:t>abstract_source=pubmed</w:t>
      </w:r>
    </w:p>
    <w:p>
      <w:pPr>
        <w:spacing w:before="0" w:after="80" w:lineRule="auto" w:line="276"/>
      </w:pPr>
      <w:r>
        <w:rPr>
          <w:b/>
        </w:rPr>
        <w:t xml:space="preserve">摘要（ZH）: </w:t>
      </w:r>
      <w:r>
        <w:t>苯酚是药物、天然产物和农用化学品中无处不在的结构基序。给定苯酚的取代模式对其物理和生物特性有明显影响。因此，苯酚位置异构化的合成方法非常理想，提供了一种在后期编辑分子形状的方法。我们提出了一种对苯酚进行对位-间位和邻位-间位异构化的方法，结合氧化去芳构化、光化学重排和还原芳构化。该方法允许在芳香核心内转移相邻碳原子。我们能够从易得的对位和邻位异构体中获得具有挑战性的间位功能化苯酚。在这样做的过程中，我们编辑了药物相关结构的形状。</w:t>
      </w:r>
    </w:p>
    <w:p>
      <w:pPr>
        <w:spacing w:before="0" w:after="200" w:lineRule="auto" w:line="276"/>
      </w:pPr>
      <w:r>
        <w:rPr>
          <w:b/>
        </w:rPr>
        <w:t xml:space="preserve">Abstract (EN): </w:t>
      </w:r>
      <w:r>
        <w:t>Phenols are ubiquitous structural motifs in pharmaceuticals, natural products, and agrochemicals. The substitution pattern of a given phenol has an obvious impact on its physical and biological properties. As such, synthetic approaches to positional isomerization of phenols are highly desirable, offering a way to edit molecular shape at a late stage. We present an approach to the para-meta and ortho-meta isomerization of phenols, combining oxidative dearomatization with photochemical rearrangement and reductive aromatization. This method allows the transposition of neighboring carbon atoms within the aromatic core. We enable access to challenging meta-functionalized phenols from readily available para and ortho isomers. In doing so, we edit the shape of medicinally relevant structures without altering the functionality.</w:t>
      </w:r>
    </w:p>
    <w:p>
      <w:pPr>
        <w:spacing w:before="120" w:after="120"/>
      </w:pPr>
      <w:r>
        <w:rPr>
          <w:sz w:val="18"/>
        </w:rPr>
        <w:t>——————————————————————————————————————————————————————————————————————</w:t>
      </w:r>
    </w:p>
    <w:p>
      <w:pPr>
        <w:spacing w:before="160" w:after="40" w:line="240" w:lineRule="auto"/>
      </w:pPr>
      <w:r>
        <w:rPr>
          <w:b/>
        </w:rPr>
        <w:t xml:space="preserve">[481] </w:t>
      </w:r>
      <w:hyperlink r:id="rId1066">
        <w:r>
          <w:rPr>
            <w:color w:val="1155CC"/>
            <w:u w:val="single"/>
          </w:rPr>
          <w:t>[ASAP] 对“在活细胞中使用丙烯酰胺或乙烯磺酰胺弹头激活共价抑制剂的串联生物正交逆Cope和Cope消除”的更正</w:t>
        </w:r>
      </w:hyperlink>
    </w:p>
    <w:p>
      <w:pPr>
        <w:spacing w:before="0" w:after="80"/>
      </w:pPr>
      <w:r>
        <w:rPr>
          <w:i/>
          <w:sz w:val="20"/>
        </w:rPr>
        <w:t>EN: [ASAP] Correction to “A Tandem Bioorthogonal Retro-Cope and Cope Elimination for the Activation of Covalent Inhibitors with an Acrylamide or Vinylsulfonamide Warhead in Live Cells”</w:t>
      </w:r>
    </w:p>
    <w:p>
      <w:pPr>
        <w:spacing w:before="0" w:after="120"/>
      </w:pPr>
      <w:r>
        <w:rPr>
          <w:b/>
        </w:rPr>
        <w:t xml:space="preserve">Source: </w:t>
      </w:r>
      <w:r>
        <w:t>Journal of the American Chemical Society: Latest Articles (ACS Publications)</w:t>
      </w:r>
      <w:r>
        <w:t xml:space="preserve">    </w:t>
      </w:r>
      <w:r>
        <w:rPr>
          <w:b/>
        </w:rPr>
        <w:t xml:space="preserve">Pub date: </w:t>
      </w:r>
      <w:r>
        <w:t>2026-03-12 12:27:00+00:00</w:t>
      </w:r>
      <w:r>
        <w:t xml:space="preserve">    </w:t>
      </w:r>
      <w:r>
        <w:rPr>
          <w:b/>
        </w:rPr>
        <w:t xml:space="preserve">DOI: </w:t>
      </w:r>
      <w:hyperlink r:id="rId1067">
        <w:r>
          <w:rPr>
            <w:color w:val="1155CC"/>
            <w:u w:val="single"/>
          </w:rPr>
          <w:t>10.1021/jacs.6c03837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[482] </w:t>
      </w:r>
      <w:hyperlink r:id="rId1068">
        <w:r>
          <w:rPr>
            <w:color w:val="1155CC"/>
            <w:u w:val="single"/>
          </w:rPr>
          <w:t>雨林建设者获得A轮融资支持西非生态系统恢复</w:t>
        </w:r>
      </w:hyperlink>
    </w:p>
    <w:p>
      <w:pPr>
        <w:spacing w:before="0" w:after="80"/>
      </w:pPr>
      <w:r>
        <w:rPr>
          <w:i/>
          <w:sz w:val="20"/>
        </w:rPr>
        <w:t>EN: Rainforest Builder Secures Series A Support For Ecosystem Restoration In West Africa</w:t>
      </w:r>
    </w:p>
    <w:p>
      <w:pPr>
        <w:spacing w:before="0" w:after="120"/>
      </w:pPr>
      <w:r>
        <w:rPr>
          <w:b/>
        </w:rPr>
        <w:t xml:space="preserve">Source: </w:t>
      </w:r>
      <w:r>
        <w:t>Carbon Herald</w:t>
      </w:r>
      <w:r>
        <w:t xml:space="preserve">    </w:t>
      </w:r>
      <w:r>
        <w:rPr>
          <w:b/>
        </w:rPr>
        <w:t xml:space="preserve">Pub date: </w:t>
      </w:r>
      <w:r>
        <w:t>2026-03-12 13:33:49+00:00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[483] </w:t>
      </w:r>
      <w:hyperlink r:id="rId1069">
        <w:r>
          <w:rPr>
            <w:color w:val="1155CC"/>
            <w:u w:val="single"/>
          </w:rPr>
          <w:t>BATTL3：明斯特将接收下一个电池实验室</w:t>
        </w:r>
      </w:hyperlink>
    </w:p>
    <w:p>
      <w:pPr>
        <w:spacing w:before="0" w:after="80"/>
      </w:pPr>
      <w:r>
        <w:rPr>
          <w:i/>
          <w:sz w:val="20"/>
        </w:rPr>
        <w:t>EN: BATTL3: Münster to receive next battery laboratory</w:t>
      </w:r>
    </w:p>
    <w:p>
      <w:pPr>
        <w:spacing w:before="0" w:after="120"/>
      </w:pPr>
      <w:r>
        <w:rPr>
          <w:b/>
        </w:rPr>
        <w:t xml:space="preserve">Source: </w:t>
      </w:r>
      <w:r>
        <w:t>Battery – electrive.com</w:t>
      </w:r>
      <w:r>
        <w:t xml:space="preserve">    </w:t>
      </w:r>
      <w:r>
        <w:rPr>
          <w:b/>
        </w:rPr>
        <w:t xml:space="preserve">Pub date: </w:t>
      </w:r>
      <w:r>
        <w:t>2026-03-12 16:00:00+00:00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[484] </w:t>
      </w:r>
      <w:hyperlink r:id="rId1070">
        <w:r>
          <w:rPr>
            <w:color w:val="1155CC"/>
            <w:u w:val="single"/>
          </w:rPr>
          <w:t>阿拉斯加侵蚀的海岸线对地球未来的启示，以及黄石公园的乌鸦如何聪明地寻找狼的猎物</w:t>
        </w:r>
      </w:hyperlink>
    </w:p>
    <w:p>
      <w:pPr>
        <w:spacing w:before="0" w:after="80"/>
      </w:pPr>
      <w:r>
        <w:rPr>
          <w:i/>
          <w:sz w:val="20"/>
        </w:rPr>
        <w:t>EN: What Alaska’s eroding coastline says about Earth’s future, and how Yellowstone ravens use their smarts to find wolf kills</w:t>
      </w:r>
    </w:p>
    <w:p>
      <w:pPr>
        <w:spacing w:before="0" w:after="120"/>
      </w:pPr>
      <w:r>
        <w:rPr>
          <w:b/>
        </w:rPr>
        <w:t xml:space="preserve">Source: </w:t>
      </w:r>
      <w:r>
        <w:t>Science Magazine Podcast</w:t>
      </w:r>
      <w:r>
        <w:t xml:space="preserve">    </w:t>
      </w:r>
      <w:r>
        <w:rPr>
          <w:b/>
        </w:rPr>
        <w:t xml:space="preserve">Pub date: </w:t>
      </w:r>
      <w:r>
        <w:t>2026-03-12 18:00:00+00:00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[485] </w:t>
      </w:r>
      <w:hyperlink r:id="rId1071">
        <w:r>
          <w:rPr>
            <w:color w:val="1155CC"/>
            <w:u w:val="single"/>
          </w:rPr>
          <w:t>BBC科学内幕</w:t>
        </w:r>
      </w:hyperlink>
    </w:p>
    <w:p>
      <w:pPr>
        <w:spacing w:before="0" w:after="80"/>
      </w:pPr>
      <w:r>
        <w:rPr>
          <w:i/>
          <w:sz w:val="20"/>
        </w:rPr>
        <w:t>EN: BBC Inside Science</w:t>
      </w:r>
    </w:p>
    <w:p>
      <w:pPr>
        <w:spacing w:before="0" w:after="120"/>
      </w:pPr>
      <w:r>
        <w:rPr>
          <w:b/>
        </w:rPr>
        <w:t xml:space="preserve">Source: </w:t>
      </w:r>
      <w:r>
        <w:t>BBC News</w:t>
      </w:r>
      <w:r>
        <w:t xml:space="preserve">    </w:t>
      </w:r>
      <w:r>
        <w:rPr>
          <w:b/>
        </w:rPr>
        <w:t xml:space="preserve">Pub date: </w:t>
      </w:r>
      <w:r>
        <w:t>2026-03-12 21:00:00+00:00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[486] </w:t>
      </w:r>
      <w:hyperlink r:id="rId1072">
        <w:r>
          <w:rPr>
            <w:color w:val="1155CC"/>
            <w:u w:val="single"/>
          </w:rPr>
          <w:t>Artemis II：NASA计划在四月初进行月球任务</w:t>
        </w:r>
      </w:hyperlink>
    </w:p>
    <w:p>
      <w:pPr>
        <w:spacing w:before="0" w:after="80"/>
      </w:pPr>
      <w:r>
        <w:rPr>
          <w:i/>
          <w:sz w:val="20"/>
        </w:rPr>
        <w:t>EN: Artemis II: Nasa targets early April for Moon mission</w:t>
      </w:r>
    </w:p>
    <w:p>
      <w:pPr>
        <w:spacing w:before="0" w:after="120"/>
      </w:pPr>
      <w:r>
        <w:rPr>
          <w:b/>
        </w:rPr>
        <w:t xml:space="preserve">Source: </w:t>
      </w:r>
      <w:r>
        <w:t>BBC News</w:t>
      </w:r>
      <w:r>
        <w:t xml:space="preserve">    </w:t>
      </w:r>
      <w:r>
        <w:rPr>
          <w:b/>
        </w:rPr>
        <w:t xml:space="preserve">Pub date: </w:t>
      </w:r>
      <w:r>
        <w:t>2026-03-12 21:21:11+00:00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2941?dgcid=rss_sd_all" TargetMode="External"/><Relationship Id="rId10" Type="http://schemas.openxmlformats.org/officeDocument/2006/relationships/hyperlink" Target="https://onlinelibrary.wiley.com/doi/10.1002/anie.5549964?af=R" TargetMode="External"/><Relationship Id="rId11" Type="http://schemas.openxmlformats.org/officeDocument/2006/relationships/hyperlink" Target="https://doi.org/10.1002/anie.5549964" TargetMode="External"/><Relationship Id="rId12" Type="http://schemas.openxmlformats.org/officeDocument/2006/relationships/hyperlink" Target="https://advanced.onlinelibrary.wiley.com/doi/10.1002/adma.72692?af=R" TargetMode="External"/><Relationship Id="rId13" Type="http://schemas.openxmlformats.org/officeDocument/2006/relationships/hyperlink" Target="https://doi.org/10.1002/adma.72692" TargetMode="External"/><Relationship Id="rId14" Type="http://schemas.openxmlformats.org/officeDocument/2006/relationships/hyperlink" Target="https://onlinelibrary.wiley.com/doi/10.1002/aenm.202506763?af=R" TargetMode="External"/><Relationship Id="rId15" Type="http://schemas.openxmlformats.org/officeDocument/2006/relationships/hyperlink" Target="https://doi.org/10.1002/aenm.202506763" TargetMode="External"/><Relationship Id="rId16" Type="http://schemas.openxmlformats.org/officeDocument/2006/relationships/hyperlink" Target="https://advanced.onlinelibrary.wiley.com/doi/10.1002/aenm.202506763?af=R" TargetMode="External"/><Relationship Id="rId17" Type="http://schemas.openxmlformats.org/officeDocument/2006/relationships/hyperlink" Target="https://www.sciencedirect.com/science/article/pii/S0306261926002394?dgcid=rss_sd_all" TargetMode="External"/><Relationship Id="rId18" Type="http://schemas.openxmlformats.org/officeDocument/2006/relationships/hyperlink" Target="https://www.nature.com/articles/s41560-026-01969-z" TargetMode="External"/><Relationship Id="rId19" Type="http://schemas.openxmlformats.org/officeDocument/2006/relationships/hyperlink" Target="https://doi.org/10.1038/s41560-026-01969-z" TargetMode="External"/><Relationship Id="rId20" Type="http://schemas.openxmlformats.org/officeDocument/2006/relationships/hyperlink" Target="https://www.sciencedirect.com/science/article/pii/S0306261926002680?dgcid=rss_sd_all" TargetMode="External"/><Relationship Id="rId21" Type="http://schemas.openxmlformats.org/officeDocument/2006/relationships/hyperlink" Target="https://www.nature.com/articles/s41586-026-10351-8" TargetMode="External"/><Relationship Id="rId22" Type="http://schemas.openxmlformats.org/officeDocument/2006/relationships/hyperlink" Target="https://doi.org/10.1038/s41586-026-10351-8" TargetMode="External"/><Relationship Id="rId23" Type="http://schemas.openxmlformats.org/officeDocument/2006/relationships/hyperlink" Target="https://advanced.onlinelibrary.wiley.com/doi/10.1002/adma.72756?af=R" TargetMode="External"/><Relationship Id="rId24" Type="http://schemas.openxmlformats.org/officeDocument/2006/relationships/hyperlink" Target="https://doi.org/10.1002/adma.72756" TargetMode="External"/><Relationship Id="rId25" Type="http://schemas.openxmlformats.org/officeDocument/2006/relationships/hyperlink" Target="http://pubs.rsc.org/en/Content/ArticleLanding/2026/EE/D5EE07787G" TargetMode="External"/><Relationship Id="rId26" Type="http://schemas.openxmlformats.org/officeDocument/2006/relationships/hyperlink" Target="http://pubs.rsc.org/en/Content/ArticleLanding/2026/EE/D5EE07806G" TargetMode="External"/><Relationship Id="rId27" Type="http://schemas.openxmlformats.org/officeDocument/2006/relationships/hyperlink" Target="https://www.science.org/doi/abs/10.1126/sciadv.aed4703?af=R" TargetMode="External"/><Relationship Id="rId28" Type="http://schemas.openxmlformats.org/officeDocument/2006/relationships/hyperlink" Target="https://doi.org/10.1126/sciadv.aed4703" TargetMode="External"/><Relationship Id="rId29" Type="http://schemas.openxmlformats.org/officeDocument/2006/relationships/hyperlink" Target="https://www.pv-magazine.com/2026/03/11/lightweight-pv-modules-could-unlock-more-than-85-gw-of-untapped-rooftop-potential-in-europe/" TargetMode="External"/><Relationship Id="rId30" Type="http://schemas.openxmlformats.org/officeDocument/2006/relationships/hyperlink" Target="https://advanced.onlinelibrary.wiley.com/doi/10.1002/aenm.202506140?af=R" TargetMode="External"/><Relationship Id="rId31" Type="http://schemas.openxmlformats.org/officeDocument/2006/relationships/hyperlink" Target="https://advanced.onlinelibrary.wiley.com/doi/10.1002/aenm.202506649?af=R" TargetMode="External"/><Relationship Id="rId32" Type="http://schemas.openxmlformats.org/officeDocument/2006/relationships/hyperlink" Target="https://advanced.onlinelibrary.wiley.com/doi/10.1002/aenm.202504844?af=R" TargetMode="External"/><Relationship Id="rId33" Type="http://schemas.openxmlformats.org/officeDocument/2006/relationships/hyperlink" Target="https://www.ess-news.com/2026/03/11/home-battery-demand-hits-record-in-australia-as-rooftop-solar-rebounds/" TargetMode="External"/><Relationship Id="rId34" Type="http://schemas.openxmlformats.org/officeDocument/2006/relationships/hyperlink" Target="https://www.pv-magazine.com/2026/03/11/aiko-launches-545-w-back-contact-solar-module-with-25-efficiency/" TargetMode="External"/><Relationship Id="rId35" Type="http://schemas.openxmlformats.org/officeDocument/2006/relationships/hyperlink" Target="http://pubs.rsc.org/en/Content/ArticleLanding/2026/CS/D5CS00777A" TargetMode="External"/><Relationship Id="rId36" Type="http://schemas.openxmlformats.org/officeDocument/2006/relationships/hyperlink" Target="http://pubs.rsc.org/en/Content/ArticleLanding/2026/EE/D5EE07321A" TargetMode="External"/><Relationship Id="rId37" Type="http://schemas.openxmlformats.org/officeDocument/2006/relationships/hyperlink" Target="https://www.pv-magazine.com/2026/03/12/us-solar-installations-reach-43-gw-in-2025-despite-slowdown/" TargetMode="External"/><Relationship Id="rId38" Type="http://schemas.openxmlformats.org/officeDocument/2006/relationships/hyperlink" Target="https://www.ess-news.com/2026/03/12/arkansas-2-5-gw-solar-2-9-gwh-battery-storage-project-changes-hands/" TargetMode="External"/><Relationship Id="rId39" Type="http://schemas.openxmlformats.org/officeDocument/2006/relationships/hyperlink" Target="https://www.pv-magazine.com/2026/03/12/russia-adds-around-100-mw-of-solar-in-2025/" TargetMode="External"/><Relationship Id="rId40" Type="http://schemas.openxmlformats.org/officeDocument/2006/relationships/hyperlink" Target="https://www.pv-magazine.com/2026/03/12/research-shows-conventional-solar-arrays-can-support-livestock-grazing/" TargetMode="External"/><Relationship Id="rId41" Type="http://schemas.openxmlformats.org/officeDocument/2006/relationships/hyperlink" Target="https://www.pv-magazine.com/2026/03/12/japan-establishes-national-benchmarks-for-agrivoltaics-as-sites-expand/" TargetMode="External"/><Relationship Id="rId42" Type="http://schemas.openxmlformats.org/officeDocument/2006/relationships/hyperlink" Target="https://www.nature.com/articles/s41467-026-70405-3" TargetMode="External"/><Relationship Id="rId43" Type="http://schemas.openxmlformats.org/officeDocument/2006/relationships/hyperlink" Target="https://doi.org/10.1038/s41467-026-70405-3" TargetMode="External"/><Relationship Id="rId44" Type="http://schemas.openxmlformats.org/officeDocument/2006/relationships/hyperlink" Target="https://advanced.onlinelibrary.wiley.com/doi/10.1002/aenm.202506712?af=R" TargetMode="External"/><Relationship Id="rId45" Type="http://schemas.openxmlformats.org/officeDocument/2006/relationships/hyperlink" Target="https://doi.org/10.1002/aenm.202506712" TargetMode="External"/><Relationship Id="rId46" Type="http://schemas.openxmlformats.org/officeDocument/2006/relationships/hyperlink" Target="https://onlinelibrary.wiley.com/doi/10.1002/anie.9770638?af=R" TargetMode="External"/><Relationship Id="rId47" Type="http://schemas.openxmlformats.org/officeDocument/2006/relationships/hyperlink" Target="https://doi.org/10.1002/anie.9770638" TargetMode="External"/><Relationship Id="rId48" Type="http://schemas.openxmlformats.org/officeDocument/2006/relationships/hyperlink" Target="https://advanced.onlinelibrary.wiley.com/doi/10.1002/adma.202521756?af=R" TargetMode="External"/><Relationship Id="rId49" Type="http://schemas.openxmlformats.org/officeDocument/2006/relationships/hyperlink" Target="https://doi.org/10.1002/adma.202521756" TargetMode="External"/><Relationship Id="rId50" Type="http://schemas.openxmlformats.org/officeDocument/2006/relationships/hyperlink" Target="https://onlinelibrary.wiley.com/doi/10.1002/anie.2026-m1902093600?af=R" TargetMode="External"/><Relationship Id="rId51" Type="http://schemas.openxmlformats.org/officeDocument/2006/relationships/hyperlink" Target="https://doi.org/10.1002/anie.2026-m1902093600" TargetMode="External"/><Relationship Id="rId52" Type="http://schemas.openxmlformats.org/officeDocument/2006/relationships/hyperlink" Target="https://advanced.onlinelibrary.wiley.com/doi/10.1002/adma.202523158?af=R" TargetMode="External"/><Relationship Id="rId53" Type="http://schemas.openxmlformats.org/officeDocument/2006/relationships/hyperlink" Target="https://doi.org/10.1002/adma.202523158" TargetMode="External"/><Relationship Id="rId54" Type="http://schemas.openxmlformats.org/officeDocument/2006/relationships/hyperlink" Target="https://advanced.onlinelibrary.wiley.com/doi/10.1002/aenm.202505808?af=R" TargetMode="External"/><Relationship Id="rId55" Type="http://schemas.openxmlformats.org/officeDocument/2006/relationships/hyperlink" Target="https://advanced.onlinelibrary.wiley.com/doi/10.1002/aenm.202505848?af=R" TargetMode="External"/><Relationship Id="rId56" Type="http://schemas.openxmlformats.org/officeDocument/2006/relationships/hyperlink" Target="https://advanced.onlinelibrary.wiley.com/doi/10.1002/aenm.202505594?af=R" TargetMode="External"/><Relationship Id="rId57" Type="http://schemas.openxmlformats.org/officeDocument/2006/relationships/hyperlink" Target="https://advanced.onlinelibrary.wiley.com/doi/10.1002/aenm.202506699?af=R" TargetMode="External"/><Relationship Id="rId58" Type="http://schemas.openxmlformats.org/officeDocument/2006/relationships/hyperlink" Target="http://dx.doi.org/10.1021/acsenergylett.5c04336" TargetMode="External"/><Relationship Id="rId59" Type="http://schemas.openxmlformats.org/officeDocument/2006/relationships/hyperlink" Target="https://doi.org/10.1021/acsenergylett.5c04336" TargetMode="External"/><Relationship Id="rId60" Type="http://schemas.openxmlformats.org/officeDocument/2006/relationships/hyperlink" Target="https://www.sciencedirect.com/science/article/pii/S030626192600276X?dgcid=rss_sd_all" TargetMode="External"/><Relationship Id="rId61" Type="http://schemas.openxmlformats.org/officeDocument/2006/relationships/hyperlink" Target="https://onlinelibrary.wiley.com/doi/10.1002/anie.202522001?af=R" TargetMode="External"/><Relationship Id="rId62" Type="http://schemas.openxmlformats.org/officeDocument/2006/relationships/hyperlink" Target="https://doi.org/10.1002/anie.202522001" TargetMode="External"/><Relationship Id="rId63" Type="http://schemas.openxmlformats.org/officeDocument/2006/relationships/hyperlink" Target="http://dx.doi.org/10.1021/acsenergylett.5c03584" TargetMode="External"/><Relationship Id="rId64" Type="http://schemas.openxmlformats.org/officeDocument/2006/relationships/hyperlink" Target="https://doi.org/10.1021/acsenergylett.5c03584" TargetMode="External"/><Relationship Id="rId65" Type="http://schemas.openxmlformats.org/officeDocument/2006/relationships/hyperlink" Target="https://advanced.onlinelibrary.wiley.com/doi/10.1002/aenm.202505674?af=R" TargetMode="External"/><Relationship Id="rId66" Type="http://schemas.openxmlformats.org/officeDocument/2006/relationships/hyperlink" Target="https://advanced.onlinelibrary.wiley.com/doi/10.1002/aenm.202505305?af=R" TargetMode="External"/><Relationship Id="rId67" Type="http://schemas.openxmlformats.org/officeDocument/2006/relationships/hyperlink" Target="https://advanced.onlinelibrary.wiley.com/doi/10.1002/aenm.70732?af=R" TargetMode="External"/><Relationship Id="rId68" Type="http://schemas.openxmlformats.org/officeDocument/2006/relationships/hyperlink" Target="https://doi.org/10.1002/aenm.70732" TargetMode="External"/><Relationship Id="rId69" Type="http://schemas.openxmlformats.org/officeDocument/2006/relationships/hyperlink" Target="https://advanced.onlinelibrary.wiley.com/doi/10.1002/aenm.202505568?af=R" TargetMode="External"/><Relationship Id="rId70" Type="http://schemas.openxmlformats.org/officeDocument/2006/relationships/hyperlink" Target="https://advanced.onlinelibrary.wiley.com/doi/10.1002/aenm.202506260?af=R" TargetMode="External"/><Relationship Id="rId71" Type="http://schemas.openxmlformats.org/officeDocument/2006/relationships/hyperlink" Target="https://advanced.onlinelibrary.wiley.com/doi/10.1002/aenm.202505248?af=R" TargetMode="External"/><Relationship Id="rId72" Type="http://schemas.openxmlformats.org/officeDocument/2006/relationships/hyperlink" Target="https://www.sciencedirect.com/science/article/pii/S0306261926003405?dgcid=rss_sd_all" TargetMode="External"/><Relationship Id="rId73" Type="http://schemas.openxmlformats.org/officeDocument/2006/relationships/hyperlink" Target="https://www.sciencedirect.com/science/article/pii/S0306261926003417?dgcid=rss_sd_all" TargetMode="External"/><Relationship Id="rId74" Type="http://schemas.openxmlformats.org/officeDocument/2006/relationships/hyperlink" Target="https://advanced.onlinelibrary.wiley.com/doi/10.1002/aenm.202506744?af=R" TargetMode="External"/><Relationship Id="rId75" Type="http://schemas.openxmlformats.org/officeDocument/2006/relationships/hyperlink" Target="https://doi.org/10.1002/aenm.202506744" TargetMode="External"/><Relationship Id="rId76" Type="http://schemas.openxmlformats.org/officeDocument/2006/relationships/hyperlink" Target="https://onlinelibrary.wiley.com/doi/10.1002/aenm.202506744?af=R" TargetMode="External"/><Relationship Id="rId77" Type="http://schemas.openxmlformats.org/officeDocument/2006/relationships/hyperlink" Target="https://onlinelibrary.wiley.com/doi/10.1002/adma.72537?af=R" TargetMode="External"/><Relationship Id="rId78" Type="http://schemas.openxmlformats.org/officeDocument/2006/relationships/hyperlink" Target="https://doi.org/10.1002/adma.72537" TargetMode="External"/><Relationship Id="rId79" Type="http://schemas.openxmlformats.org/officeDocument/2006/relationships/hyperlink" Target="https://www.nature.com/articles/s44359-026-00153-6" TargetMode="External"/><Relationship Id="rId80" Type="http://schemas.openxmlformats.org/officeDocument/2006/relationships/hyperlink" Target="https://doi.org/10.1038/s44359-026-00153-6" TargetMode="External"/><Relationship Id="rId81" Type="http://schemas.openxmlformats.org/officeDocument/2006/relationships/hyperlink" Target="https://www.science.org/doi/abs/10.1126/sciadv.adz1014?af=R" TargetMode="External"/><Relationship Id="rId82" Type="http://schemas.openxmlformats.org/officeDocument/2006/relationships/hyperlink" Target="https://doi.org/10.1126/sciadv.adz1014" TargetMode="External"/><Relationship Id="rId83" Type="http://schemas.openxmlformats.org/officeDocument/2006/relationships/hyperlink" Target="https://advanced.onlinelibrary.wiley.com/doi/10.1002/aenm.202506771?af=R" TargetMode="External"/><Relationship Id="rId84" Type="http://schemas.openxmlformats.org/officeDocument/2006/relationships/hyperlink" Target="https://advanced.onlinelibrary.wiley.com/doi/10.1002/aenm.202505223?af=R" TargetMode="External"/><Relationship Id="rId85" Type="http://schemas.openxmlformats.org/officeDocument/2006/relationships/hyperlink" Target="https://advanced.onlinelibrary.wiley.com/doi/10.1002/aenm.202503813?af=R" TargetMode="External"/><Relationship Id="rId86" Type="http://schemas.openxmlformats.org/officeDocument/2006/relationships/hyperlink" Target="http://dx.doi.org/10.1021/jacs.5c23021" TargetMode="External"/><Relationship Id="rId87" Type="http://schemas.openxmlformats.org/officeDocument/2006/relationships/hyperlink" Target="https://doi.org/10.1021/jacs.5c23021" TargetMode="External"/><Relationship Id="rId88" Type="http://schemas.openxmlformats.org/officeDocument/2006/relationships/hyperlink" Target="https://onlinelibrary.wiley.com/doi/10.1002/anie.202521433?af=R" TargetMode="External"/><Relationship Id="rId89" Type="http://schemas.openxmlformats.org/officeDocument/2006/relationships/hyperlink" Target="https://doi.org/10.1002/anie.202521433" TargetMode="External"/><Relationship Id="rId90" Type="http://schemas.openxmlformats.org/officeDocument/2006/relationships/hyperlink" Target="http://dx.doi.org/10.1021/jacs.5c20571" TargetMode="External"/><Relationship Id="rId91" Type="http://schemas.openxmlformats.org/officeDocument/2006/relationships/hyperlink" Target="https://doi.org/10.1021/jacs.5c20571" TargetMode="External"/><Relationship Id="rId92" Type="http://schemas.openxmlformats.org/officeDocument/2006/relationships/hyperlink" Target="http://dx.doi.org/10.1021/jacs.5c23075" TargetMode="External"/><Relationship Id="rId93" Type="http://schemas.openxmlformats.org/officeDocument/2006/relationships/hyperlink" Target="https://doi.org/10.1021/jacs.5c23075" TargetMode="External"/><Relationship Id="rId94" Type="http://schemas.openxmlformats.org/officeDocument/2006/relationships/hyperlink" Target="http://dx.doi.org/10.1021/acsenergylett.6c00051" TargetMode="External"/><Relationship Id="rId95" Type="http://schemas.openxmlformats.org/officeDocument/2006/relationships/hyperlink" Target="https://doi.org/10.1021/acsenergylett.6c00051" TargetMode="External"/><Relationship Id="rId96" Type="http://schemas.openxmlformats.org/officeDocument/2006/relationships/hyperlink" Target="https://www.science.org/doi/abs/10.1126/science.adu9988?af=R" TargetMode="External"/><Relationship Id="rId97" Type="http://schemas.openxmlformats.org/officeDocument/2006/relationships/hyperlink" Target="https://doi.org/10.1126/science.adu9988" TargetMode="External"/><Relationship Id="rId98" Type="http://schemas.openxmlformats.org/officeDocument/2006/relationships/hyperlink" Target="https://www.pnas.org/doi/abs/10.1073/pnas.2524561123?mi=eymic2&amp;af=R&amp;access=on&amp;content=articlesChapters&amp;publication=pnas&amp;sortBy=Earliest&amp;target=default" TargetMode="External"/><Relationship Id="rId99" Type="http://schemas.openxmlformats.org/officeDocument/2006/relationships/hyperlink" Target="https://doi.org/10.1073/pnas.2524561123" TargetMode="External"/><Relationship Id="rId100" Type="http://schemas.openxmlformats.org/officeDocument/2006/relationships/hyperlink" Target="http://pubs.rsc.org/en/Content/ArticleLanding/2026/EE/D5EE06389B" TargetMode="External"/><Relationship Id="rId101" Type="http://schemas.openxmlformats.org/officeDocument/2006/relationships/hyperlink" Target="https://onlinelibrary.wiley.com/doi/10.1002/anie.8828799?af=R" TargetMode="External"/><Relationship Id="rId102" Type="http://schemas.openxmlformats.org/officeDocument/2006/relationships/hyperlink" Target="https://doi.org/10.1002/anie.8828799" TargetMode="External"/><Relationship Id="rId103" Type="http://schemas.openxmlformats.org/officeDocument/2006/relationships/hyperlink" Target="https://www.sciencedirect.com/science/article/pii/S0306261926002722?dgcid=rss_sd_all" TargetMode="External"/><Relationship Id="rId104" Type="http://schemas.openxmlformats.org/officeDocument/2006/relationships/hyperlink" Target="https://www.cell.com/joule/fulltext/S2542-4351(26)00026-7?rss=yes" TargetMode="External"/><Relationship Id="rId105" Type="http://schemas.openxmlformats.org/officeDocument/2006/relationships/hyperlink" Target="https://doi.org/10.1016/j.joule.2026.102342" TargetMode="External"/><Relationship Id="rId106" Type="http://schemas.openxmlformats.org/officeDocument/2006/relationships/hyperlink" Target="https://advanced.onlinelibrary.wiley.com/doi/10.1002/aenm.202505532?af=R" TargetMode="External"/><Relationship Id="rId107" Type="http://schemas.openxmlformats.org/officeDocument/2006/relationships/hyperlink" Target="https://advanced.onlinelibrary.wiley.com/doi/10.1002/aenm.70730?af=R" TargetMode="External"/><Relationship Id="rId108" Type="http://schemas.openxmlformats.org/officeDocument/2006/relationships/hyperlink" Target="https://doi.org/10.1002/aenm.70730" TargetMode="External"/><Relationship Id="rId109" Type="http://schemas.openxmlformats.org/officeDocument/2006/relationships/hyperlink" Target="https://advanced.onlinelibrary.wiley.com/doi/10.1002/aenm.202506171?af=R" TargetMode="External"/><Relationship Id="rId110" Type="http://schemas.openxmlformats.org/officeDocument/2006/relationships/hyperlink" Target="https://advanced.onlinelibrary.wiley.com/doi/10.1002/aenm.202505319?af=R" TargetMode="External"/><Relationship Id="rId111" Type="http://schemas.openxmlformats.org/officeDocument/2006/relationships/hyperlink" Target="https://batteriesnews.com/ait-optimizes-high-performance-battery-packs-for-heavy-duty-transport/" TargetMode="External"/><Relationship Id="rId112" Type="http://schemas.openxmlformats.org/officeDocument/2006/relationships/hyperlink" Target="https://batteriesnews.com/vianode-signs-term-sheet-to-supply-advanced-battery-materials-for-north-american-grid-energy-storage/" TargetMode="External"/><Relationship Id="rId113" Type="http://schemas.openxmlformats.org/officeDocument/2006/relationships/hyperlink" Target="https://batteriesnews.com/u-powers-electric-heavy-trucks-pass-comprehensive-operational-testing-and-full-stack-integration-of-battery-swapping-system-1000-units-set-for-thailand-rollout/" TargetMode="External"/><Relationship Id="rId114" Type="http://schemas.openxmlformats.org/officeDocument/2006/relationships/hyperlink" Target="https://batteriesnews.com/rio-tinto-secures-1175-billion-financing-package-for-rincon-lithium-project-in-argentina-2/" TargetMode="External"/><Relationship Id="rId115" Type="http://schemas.openxmlformats.org/officeDocument/2006/relationships/hyperlink" Target="http://dx.doi.org/10.1021/jacs.5c21905" TargetMode="External"/><Relationship Id="rId116" Type="http://schemas.openxmlformats.org/officeDocument/2006/relationships/hyperlink" Target="https://doi.org/10.1021/jacs.5c21905" TargetMode="External"/><Relationship Id="rId117" Type="http://schemas.openxmlformats.org/officeDocument/2006/relationships/hyperlink" Target="https://advanced.onlinelibrary.wiley.com/doi/10.1002/adma.202521053?af=R" TargetMode="External"/><Relationship Id="rId118" Type="http://schemas.openxmlformats.org/officeDocument/2006/relationships/hyperlink" Target="https://doi.org/10.1002/adma.202521053" TargetMode="External"/><Relationship Id="rId119" Type="http://schemas.openxmlformats.org/officeDocument/2006/relationships/hyperlink" Target="https://www.cell.com/joule/fulltext/S2542-4351(26)00030-9?rss=yes" TargetMode="External"/><Relationship Id="rId120" Type="http://schemas.openxmlformats.org/officeDocument/2006/relationships/hyperlink" Target="https://doi.org/10.1016/j.joule.2026.102346" TargetMode="External"/><Relationship Id="rId121" Type="http://schemas.openxmlformats.org/officeDocument/2006/relationships/hyperlink" Target="https://batteriesnews.com/peak-energy-signs-agreement-to-deploy-misos-first-low-cost-sodium-ion-grid-storage-battery/" TargetMode="External"/><Relationship Id="rId122" Type="http://schemas.openxmlformats.org/officeDocument/2006/relationships/hyperlink" Target="https://www.sciencedirect.com/science/article/pii/S0306261926003119?dgcid=rss_sd_all" TargetMode="External"/><Relationship Id="rId123" Type="http://schemas.openxmlformats.org/officeDocument/2006/relationships/hyperlink" Target="https://academic.oup.com/nsr/advance-article/doi/10.1093/nsr/nwag138/8512288?rss=1" TargetMode="External"/><Relationship Id="rId124" Type="http://schemas.openxmlformats.org/officeDocument/2006/relationships/hyperlink" Target="https://doi.org/10.1093/nsr/nwag138" TargetMode="External"/><Relationship Id="rId125" Type="http://schemas.openxmlformats.org/officeDocument/2006/relationships/hyperlink" Target="https://www.cell.com/joule/fulltext/S2542-4351(26)00004-8?rss=yes" TargetMode="External"/><Relationship Id="rId126" Type="http://schemas.openxmlformats.org/officeDocument/2006/relationships/hyperlink" Target="https://doi.org/10.1016/j.joule.2026.102320" TargetMode="External"/><Relationship Id="rId127" Type="http://schemas.openxmlformats.org/officeDocument/2006/relationships/hyperlink" Target="https://www.cell.com/joule/fulltext/S2542-4351(26)00024-3?rss=yes" TargetMode="External"/><Relationship Id="rId128" Type="http://schemas.openxmlformats.org/officeDocument/2006/relationships/hyperlink" Target="https://doi.org/10.1016/j.joule.2026.102340" TargetMode="External"/><Relationship Id="rId129" Type="http://schemas.openxmlformats.org/officeDocument/2006/relationships/hyperlink" Target="http://dx.doi.org/10.1021/acs.chemrev.5c00705" TargetMode="External"/><Relationship Id="rId130" Type="http://schemas.openxmlformats.org/officeDocument/2006/relationships/hyperlink" Target="https://doi.org/10.1021/acs.chemrev.5c00705" TargetMode="External"/><Relationship Id="rId131" Type="http://schemas.openxmlformats.org/officeDocument/2006/relationships/hyperlink" Target="https://www.nature.com/articles/s41560-026-01992-0" TargetMode="External"/><Relationship Id="rId132" Type="http://schemas.openxmlformats.org/officeDocument/2006/relationships/hyperlink" Target="https://doi.org/10.1038/s41560-026-01992-0" TargetMode="External"/><Relationship Id="rId133" Type="http://schemas.openxmlformats.org/officeDocument/2006/relationships/hyperlink" Target="https://www.sciencedirect.com/science/article/pii/S0306261926002849?dgcid=rss_sd_all" TargetMode="External"/><Relationship Id="rId134" Type="http://schemas.openxmlformats.org/officeDocument/2006/relationships/hyperlink" Target="https://www.nature.com/articles/s41560-026-02034-5" TargetMode="External"/><Relationship Id="rId135" Type="http://schemas.openxmlformats.org/officeDocument/2006/relationships/hyperlink" Target="https://doi.org/10.1038/s41560-026-02034-5" TargetMode="External"/><Relationship Id="rId136" Type="http://schemas.openxmlformats.org/officeDocument/2006/relationships/hyperlink" Target="https://advanced.onlinelibrary.wiley.com/doi/10.1002/adma.202515304?af=R" TargetMode="External"/><Relationship Id="rId137" Type="http://schemas.openxmlformats.org/officeDocument/2006/relationships/hyperlink" Target="https://doi.org/10.1002/adma.202515304" TargetMode="External"/><Relationship Id="rId138" Type="http://schemas.openxmlformats.org/officeDocument/2006/relationships/hyperlink" Target="https://www.sciencedirect.com/science/article/pii/S030626192600303X?dgcid=rss_sd_all" TargetMode="External"/><Relationship Id="rId139" Type="http://schemas.openxmlformats.org/officeDocument/2006/relationships/hyperlink" Target="https://www.sciencedirect.com/science/article/pii/S0306261926002540?dgcid=rss_sd_all" TargetMode="External"/><Relationship Id="rId140" Type="http://schemas.openxmlformats.org/officeDocument/2006/relationships/hyperlink" Target="https://www.sciencedirect.com/science/article/pii/S0306261926002813?dgcid=rss_sd_all" TargetMode="External"/><Relationship Id="rId141" Type="http://schemas.openxmlformats.org/officeDocument/2006/relationships/hyperlink" Target="https://www.sciencedirect.com/science/article/pii/S0306261926003041?dgcid=rss_sd_all" TargetMode="External"/><Relationship Id="rId142" Type="http://schemas.openxmlformats.org/officeDocument/2006/relationships/hyperlink" Target="https://www.sciencedirect.com/science/article/pii/S0306261926002230?dgcid=rss_sd_all" TargetMode="External"/><Relationship Id="rId143" Type="http://schemas.openxmlformats.org/officeDocument/2006/relationships/hyperlink" Target="https://onlinelibrary.wiley.com/doi/10.1002/anie.9761633?af=R" TargetMode="External"/><Relationship Id="rId144" Type="http://schemas.openxmlformats.org/officeDocument/2006/relationships/hyperlink" Target="https://doi.org/10.1002/anie.9761633" TargetMode="External"/><Relationship Id="rId145" Type="http://schemas.openxmlformats.org/officeDocument/2006/relationships/hyperlink" Target="http://dx.doi.org/10.1021/jacs.5c15554" TargetMode="External"/><Relationship Id="rId146" Type="http://schemas.openxmlformats.org/officeDocument/2006/relationships/hyperlink" Target="https://doi.org/10.1021/jacs.5c15554" TargetMode="External"/><Relationship Id="rId147" Type="http://schemas.openxmlformats.org/officeDocument/2006/relationships/hyperlink" Target="https://www.sciencedirect.com/science/article/pii/S0306261926002850?dgcid=rss_sd_all" TargetMode="External"/><Relationship Id="rId148" Type="http://schemas.openxmlformats.org/officeDocument/2006/relationships/hyperlink" Target="https://www.sciencedirect.com/science/article/pii/S0306261926002801?dgcid=rss_sd_all" TargetMode="External"/><Relationship Id="rId149" Type="http://schemas.openxmlformats.org/officeDocument/2006/relationships/hyperlink" Target="https://www.sciencedirect.com/science/article/pii/S0306261926002825?dgcid=rss_sd_all" TargetMode="External"/><Relationship Id="rId150" Type="http://schemas.openxmlformats.org/officeDocument/2006/relationships/hyperlink" Target="https://www.sciencedirect.com/science/article/pii/S0301421526000844?dgcid=rss_sd_all" TargetMode="External"/><Relationship Id="rId151" Type="http://schemas.openxmlformats.org/officeDocument/2006/relationships/hyperlink" Target="https://www.sciencedirect.com/science/article/pii/S0301421526001333?dgcid=rss_sd_all" TargetMode="External"/><Relationship Id="rId152" Type="http://schemas.openxmlformats.org/officeDocument/2006/relationships/hyperlink" Target="https://ammoniaenergy.org/articles/intercontinental-energy-forging-ahead-with-mega-scale-green-hydrogen-and-ammonia/" TargetMode="External"/><Relationship Id="rId153" Type="http://schemas.openxmlformats.org/officeDocument/2006/relationships/hyperlink" Target="https://ammoniaenergy.org/articles/am-green-production-nears-at-indias-first-renewable-ammonia-mega-project/" TargetMode="External"/><Relationship Id="rId154" Type="http://schemas.openxmlformats.org/officeDocument/2006/relationships/hyperlink" Target="https://onlinelibrary.wiley.com/doi/10.1002/anie.2261249?af=R" TargetMode="External"/><Relationship Id="rId155" Type="http://schemas.openxmlformats.org/officeDocument/2006/relationships/hyperlink" Target="https://doi.org/10.1002/anie.2261249" TargetMode="External"/><Relationship Id="rId156" Type="http://schemas.openxmlformats.org/officeDocument/2006/relationships/hyperlink" Target="https://advanced.onlinelibrary.wiley.com/doi/10.1002/aenm.202506017?af=R" TargetMode="External"/><Relationship Id="rId157" Type="http://schemas.openxmlformats.org/officeDocument/2006/relationships/hyperlink" Target="https://hydrogentechworld.com/h2pro-doral-hydrogen-sign-spain-solar-to-hydrogen-agreement" TargetMode="External"/><Relationship Id="rId158" Type="http://schemas.openxmlformats.org/officeDocument/2006/relationships/hyperlink" Target="https://hydrogentechworld.com/morgen-reaches-fid-on-wales-hydrogen-project" TargetMode="External"/><Relationship Id="rId159" Type="http://schemas.openxmlformats.org/officeDocument/2006/relationships/hyperlink" Target="https://onlinelibrary.wiley.com/doi/10.1002/anie.9254860?af=R" TargetMode="External"/><Relationship Id="rId160" Type="http://schemas.openxmlformats.org/officeDocument/2006/relationships/hyperlink" Target="https://doi.org/10.1002/anie.9254860" TargetMode="External"/><Relationship Id="rId161" Type="http://schemas.openxmlformats.org/officeDocument/2006/relationships/hyperlink" Target="https://www.sciencedirect.com/science/article/pii/S0306261926003053?dgcid=rss_sd_all" TargetMode="External"/><Relationship Id="rId162" Type="http://schemas.openxmlformats.org/officeDocument/2006/relationships/hyperlink" Target="https://www.sciencedirect.com/science/article/pii/S0306261926002795?dgcid=rss_sd_all" TargetMode="External"/><Relationship Id="rId163" Type="http://schemas.openxmlformats.org/officeDocument/2006/relationships/hyperlink" Target="https://www.sciencedirect.com/science/article/pii/S030626192600320X?dgcid=rss_sd_all" TargetMode="External"/><Relationship Id="rId164" Type="http://schemas.openxmlformats.org/officeDocument/2006/relationships/hyperlink" Target="https://hydrogentechworld.com/asahi-kasei-installs-1-mw-electrolyzer-in-finland" TargetMode="External"/><Relationship Id="rId165" Type="http://schemas.openxmlformats.org/officeDocument/2006/relationships/hyperlink" Target="https://hydrogentechworld.com/kawasaki-kobe-steel-begin-hydrogen-supply-demonstration-in-kobe" TargetMode="External"/><Relationship Id="rId166" Type="http://schemas.openxmlformats.org/officeDocument/2006/relationships/hyperlink" Target="https://www.sciencedirect.com/science/article/pii/S030626192600293X?dgcid=rss_sd_all" TargetMode="External"/><Relationship Id="rId167" Type="http://schemas.openxmlformats.org/officeDocument/2006/relationships/hyperlink" Target="https://www.sciencedirect.com/science/article/pii/S0306261926002539?dgcid=rss_sd_all" TargetMode="External"/><Relationship Id="rId168" Type="http://schemas.openxmlformats.org/officeDocument/2006/relationships/hyperlink" Target="https://www.sciencedirect.com/science/article/pii/S0306261926003004?dgcid=rss_sd_all" TargetMode="External"/><Relationship Id="rId169" Type="http://schemas.openxmlformats.org/officeDocument/2006/relationships/hyperlink" Target="https://carbonherald.com/dp-world-launches-carbon-inset-trial-to-reduce-ocean-freight-emissions/?utm_source=rss&amp;utm_medium=rss&amp;utm_campaign=dp-world-launches-carbon-inset-trial-to-reduce-ocean-freight-emissions" TargetMode="External"/><Relationship Id="rId170" Type="http://schemas.openxmlformats.org/officeDocument/2006/relationships/hyperlink" Target="https://www.sciencedirect.com/science/article/pii/S0306261926002990?dgcid=rss_sd_all" TargetMode="External"/><Relationship Id="rId171" Type="http://schemas.openxmlformats.org/officeDocument/2006/relationships/hyperlink" Target="https://www.sciencedirect.com/science/article/pii/S0306261926002837?dgcid=rss_sd_all" TargetMode="External"/><Relationship Id="rId172" Type="http://schemas.openxmlformats.org/officeDocument/2006/relationships/hyperlink" Target="http://pubs.rsc.org/en/Content/ArticleLanding/2026/CS/D5CS01088H" TargetMode="External"/><Relationship Id="rId173" Type="http://schemas.openxmlformats.org/officeDocument/2006/relationships/hyperlink" Target="https://onlinelibrary.wiley.com/doi/10.1002/anie.3823676?af=R" TargetMode="External"/><Relationship Id="rId174" Type="http://schemas.openxmlformats.org/officeDocument/2006/relationships/hyperlink" Target="https://doi.org/10.1002/anie.3823676" TargetMode="External"/><Relationship Id="rId175" Type="http://schemas.openxmlformats.org/officeDocument/2006/relationships/hyperlink" Target="https://advanced.onlinelibrary.wiley.com/doi/10.1002/aenm.70796?af=R" TargetMode="External"/><Relationship Id="rId176" Type="http://schemas.openxmlformats.org/officeDocument/2006/relationships/hyperlink" Target="https://doi.org/10.1002/aenm.70796" TargetMode="External"/><Relationship Id="rId177" Type="http://schemas.openxmlformats.org/officeDocument/2006/relationships/hyperlink" Target="https://academic.oup.com/nsr/advance-article/doi/10.1093/nsr/nwag153/8512898?rss=1" TargetMode="External"/><Relationship Id="rId178" Type="http://schemas.openxmlformats.org/officeDocument/2006/relationships/hyperlink" Target="https://doi.org/10.1093/nsr/nwag153" TargetMode="External"/><Relationship Id="rId179" Type="http://schemas.openxmlformats.org/officeDocument/2006/relationships/hyperlink" Target="https://www.sciencedirect.com/science/article/pii/S0306261926003065?dgcid=rss_sd_all" TargetMode="External"/><Relationship Id="rId180" Type="http://schemas.openxmlformats.org/officeDocument/2006/relationships/hyperlink" Target="https://onlinelibrary.wiley.com/doi/10.1002/anie.202525945?af=R" TargetMode="External"/><Relationship Id="rId181" Type="http://schemas.openxmlformats.org/officeDocument/2006/relationships/hyperlink" Target="https://doi.org/10.1002/anie.202525945" TargetMode="External"/><Relationship Id="rId182" Type="http://schemas.openxmlformats.org/officeDocument/2006/relationships/hyperlink" Target="https://carbonherald.com/wirral-council-urges-uk-government-to-scrap-peak-cluster-co2-pipeline/?utm_source=rss&amp;utm_medium=rss&amp;utm_campaign=wirral-council-urges-uk-government-to-scrap-peak-cluster-co2-pipeline" TargetMode="External"/><Relationship Id="rId183" Type="http://schemas.openxmlformats.org/officeDocument/2006/relationships/hyperlink" Target="https://carbonherald.com/svante-advances-new-beccs-project-at-us-paper-mill/?utm_source=rss&amp;utm_medium=rss&amp;utm_campaign=svante-advances-new-beccs-project-at-us-paper-mill" TargetMode="External"/><Relationship Id="rId184" Type="http://schemas.openxmlformats.org/officeDocument/2006/relationships/hyperlink" Target="https://carbonherald.com/climefi-publishes-2026-insights-on-the-durable-carbon-removal-market/?utm_source=rss&amp;utm_medium=rss&amp;utm_campaign=climefi-publishes-2026-insights-on-the-durable-carbon-removal-market" TargetMode="External"/><Relationship Id="rId185" Type="http://schemas.openxmlformats.org/officeDocument/2006/relationships/hyperlink" Target="http://dx.doi.org/10.1021/acsenergylett.5c04139" TargetMode="External"/><Relationship Id="rId186" Type="http://schemas.openxmlformats.org/officeDocument/2006/relationships/hyperlink" Target="https://doi.org/10.1021/acsenergylett.5c04139" TargetMode="External"/><Relationship Id="rId187" Type="http://schemas.openxmlformats.org/officeDocument/2006/relationships/hyperlink" Target="https://carbonherald.com/burn-secures-nigerias-authorization-to-sell-carbon-credits-to-corsia/?utm_source=rss&amp;utm_medium=rss&amp;utm_campaign=burn-secures-nigerias-authorization-to-sell-carbon-credits-to-corsia" TargetMode="External"/><Relationship Id="rId188" Type="http://schemas.openxmlformats.org/officeDocument/2006/relationships/hyperlink" Target="https://carbonherald.com/carbon-centrics-kirkenaer-beccs-project-successfully-advances-towards-certification/?utm_source=rss&amp;utm_medium=rss&amp;utm_campaign=carbon-centrics-kirkenaer-beccs-project-successfully-advances-towards-certification" TargetMode="External"/><Relationship Id="rId189" Type="http://schemas.openxmlformats.org/officeDocument/2006/relationships/hyperlink" Target="https://academic.oup.com/nsr/advance-article/doi/10.1093/nsr/nwag143/8512303?rss=1" TargetMode="External"/><Relationship Id="rId190" Type="http://schemas.openxmlformats.org/officeDocument/2006/relationships/hyperlink" Target="https://doi.org/10.1093/nsr/nwag143" TargetMode="External"/><Relationship Id="rId191" Type="http://schemas.openxmlformats.org/officeDocument/2006/relationships/hyperlink" Target="https://onlinelibrary.wiley.com/doi/10.1002/anie.202600003?af=R" TargetMode="External"/><Relationship Id="rId192" Type="http://schemas.openxmlformats.org/officeDocument/2006/relationships/hyperlink" Target="https://doi.org/10.1002/anie.202600003" TargetMode="External"/><Relationship Id="rId193" Type="http://schemas.openxmlformats.org/officeDocument/2006/relationships/hyperlink" Target="https://onlinelibrary.wiley.com/doi/10.1002/anie.202524666?af=R" TargetMode="External"/><Relationship Id="rId194" Type="http://schemas.openxmlformats.org/officeDocument/2006/relationships/hyperlink" Target="https://doi.org/10.1002/anie.202524666" TargetMode="External"/><Relationship Id="rId195" Type="http://schemas.openxmlformats.org/officeDocument/2006/relationships/hyperlink" Target="https://www.sciencedirect.com/science/article/pii/S0306261926002588?dgcid=rss_sd_all" TargetMode="External"/><Relationship Id="rId196" Type="http://schemas.openxmlformats.org/officeDocument/2006/relationships/hyperlink" Target="https://www.sciencedirect.com/science/article/pii/S0306261926002552?dgcid=rss_sd_all" TargetMode="External"/><Relationship Id="rId197" Type="http://schemas.openxmlformats.org/officeDocument/2006/relationships/hyperlink" Target="https://www.sciencedirect.com/science/article/pii/S0301421526001552?dgcid=rss_sd_all" TargetMode="External"/><Relationship Id="rId198" Type="http://schemas.openxmlformats.org/officeDocument/2006/relationships/hyperlink" Target="https://www.nature.com/articles/s41467-026-70277-7" TargetMode="External"/><Relationship Id="rId199" Type="http://schemas.openxmlformats.org/officeDocument/2006/relationships/hyperlink" Target="https://doi.org/10.1038/s41467-026-70277-7" TargetMode="External"/><Relationship Id="rId200" Type="http://schemas.openxmlformats.org/officeDocument/2006/relationships/hyperlink" Target="https://www.nature.com/articles/s41467-026-70329-y" TargetMode="External"/><Relationship Id="rId201" Type="http://schemas.openxmlformats.org/officeDocument/2006/relationships/hyperlink" Target="https://doi.org/10.1038/s41467-026-70329-y" TargetMode="External"/><Relationship Id="rId202" Type="http://schemas.openxmlformats.org/officeDocument/2006/relationships/hyperlink" Target="https://www.nature.com/articles/s41467-026-70249-x" TargetMode="External"/><Relationship Id="rId203" Type="http://schemas.openxmlformats.org/officeDocument/2006/relationships/hyperlink" Target="https://doi.org/10.1038/s41467-026-70249-x" TargetMode="External"/><Relationship Id="rId204" Type="http://schemas.openxmlformats.org/officeDocument/2006/relationships/hyperlink" Target="https://www.sciencedirect.com/science/article/pii/S0306261926002473?dgcid=rss_sd_all" TargetMode="External"/><Relationship Id="rId205" Type="http://schemas.openxmlformats.org/officeDocument/2006/relationships/hyperlink" Target="https://www.nature.com/articles/s41467-026-70501-4" TargetMode="External"/><Relationship Id="rId206" Type="http://schemas.openxmlformats.org/officeDocument/2006/relationships/hyperlink" Target="https://doi.org/10.1038/s41467-026-70501-4" TargetMode="External"/><Relationship Id="rId207" Type="http://schemas.openxmlformats.org/officeDocument/2006/relationships/hyperlink" Target="https://www.sciencedirect.com/science/article/pii/S0301421525005300?dgcid=rss_sd_all" TargetMode="External"/><Relationship Id="rId208" Type="http://schemas.openxmlformats.org/officeDocument/2006/relationships/hyperlink" Target="https://www.sciencedirect.com/science/article/pii/S0301421526001655?dgcid=rss_sd_all" TargetMode="External"/><Relationship Id="rId209" Type="http://schemas.openxmlformats.org/officeDocument/2006/relationships/hyperlink" Target="https://www.sciencedirect.com/science/article/pii/S0301421526001588?dgcid=rss_sd_all" TargetMode="External"/><Relationship Id="rId210" Type="http://schemas.openxmlformats.org/officeDocument/2006/relationships/hyperlink" Target="https://www.sciencedirect.com/science/article/pii/S0306261926002692?dgcid=rss_sd_all" TargetMode="External"/><Relationship Id="rId211" Type="http://schemas.openxmlformats.org/officeDocument/2006/relationships/hyperlink" Target="https://www.sciencedirect.com/science/article/pii/S0301421526001643?dgcid=rss_sd_all" TargetMode="External"/><Relationship Id="rId212" Type="http://schemas.openxmlformats.org/officeDocument/2006/relationships/hyperlink" Target="https://www.nature.com/articles/s41467-026-70430-2" TargetMode="External"/><Relationship Id="rId213" Type="http://schemas.openxmlformats.org/officeDocument/2006/relationships/hyperlink" Target="https://doi.org/10.1038/s41467-026-70430-2" TargetMode="External"/><Relationship Id="rId214" Type="http://schemas.openxmlformats.org/officeDocument/2006/relationships/hyperlink" Target="https://www.sciencedirect.com/science/article/pii/S0306261926002771?dgcid=rss_sd_all" TargetMode="External"/><Relationship Id="rId215" Type="http://schemas.openxmlformats.org/officeDocument/2006/relationships/hyperlink" Target="https://www.sciencedirect.com/science/article/pii/S0306261926002874?dgcid=rss_sd_all" TargetMode="External"/><Relationship Id="rId216" Type="http://schemas.openxmlformats.org/officeDocument/2006/relationships/hyperlink" Target="https://www.sciencedirect.com/science/article/pii/S0306261926002977?dgcid=rss_sd_all" TargetMode="External"/><Relationship Id="rId217" Type="http://schemas.openxmlformats.org/officeDocument/2006/relationships/hyperlink" Target="https://www.sciencedirect.com/science/article/pii/S0306261926002291?dgcid=rss_sd_all" TargetMode="External"/><Relationship Id="rId218" Type="http://schemas.openxmlformats.org/officeDocument/2006/relationships/hyperlink" Target="https://advanced.onlinelibrary.wiley.com/doi/10.1002/adma.202516579?af=R" TargetMode="External"/><Relationship Id="rId219" Type="http://schemas.openxmlformats.org/officeDocument/2006/relationships/hyperlink" Target="https://doi.org/10.1002/adma.202516579" TargetMode="External"/><Relationship Id="rId220" Type="http://schemas.openxmlformats.org/officeDocument/2006/relationships/hyperlink" Target="https://onlinelibrary.wiley.com/doi/10.1002/anie.202523441?af=R" TargetMode="External"/><Relationship Id="rId221" Type="http://schemas.openxmlformats.org/officeDocument/2006/relationships/hyperlink" Target="https://doi.org/10.1002/anie.202523441" TargetMode="External"/><Relationship Id="rId222" Type="http://schemas.openxmlformats.org/officeDocument/2006/relationships/hyperlink" Target="https://onlinelibrary.wiley.com/doi/10.1002/anie.202520159?af=R" TargetMode="External"/><Relationship Id="rId223" Type="http://schemas.openxmlformats.org/officeDocument/2006/relationships/hyperlink" Target="https://doi.org/10.1002/anie.202520159" TargetMode="External"/><Relationship Id="rId224" Type="http://schemas.openxmlformats.org/officeDocument/2006/relationships/hyperlink" Target="https://onlinelibrary.wiley.com/doi/10.1002/anie.202525747?af=R" TargetMode="External"/><Relationship Id="rId225" Type="http://schemas.openxmlformats.org/officeDocument/2006/relationships/hyperlink" Target="https://doi.org/10.1002/anie.202525747" TargetMode="External"/><Relationship Id="rId226" Type="http://schemas.openxmlformats.org/officeDocument/2006/relationships/hyperlink" Target="https://onlinelibrary.wiley.com/doi/10.1002/anie.8746575?af=R" TargetMode="External"/><Relationship Id="rId227" Type="http://schemas.openxmlformats.org/officeDocument/2006/relationships/hyperlink" Target="https://doi.org/10.1002/anie.8746575" TargetMode="External"/><Relationship Id="rId228" Type="http://schemas.openxmlformats.org/officeDocument/2006/relationships/hyperlink" Target="https://onlinelibrary.wiley.com/doi/10.1002/anie.8843693?af=R" TargetMode="External"/><Relationship Id="rId229" Type="http://schemas.openxmlformats.org/officeDocument/2006/relationships/hyperlink" Target="https://doi.org/10.1002/anie.8843693" TargetMode="External"/><Relationship Id="rId230" Type="http://schemas.openxmlformats.org/officeDocument/2006/relationships/hyperlink" Target="https://onlinelibrary.wiley.com/doi/10.1002/anie.202523427?af=R" TargetMode="External"/><Relationship Id="rId231" Type="http://schemas.openxmlformats.org/officeDocument/2006/relationships/hyperlink" Target="https://doi.org/10.1002/anie.202523427" TargetMode="External"/><Relationship Id="rId232" Type="http://schemas.openxmlformats.org/officeDocument/2006/relationships/hyperlink" Target="https://onlinelibrary.wiley.com/doi/10.1002/anie.202526126?af=R" TargetMode="External"/><Relationship Id="rId233" Type="http://schemas.openxmlformats.org/officeDocument/2006/relationships/hyperlink" Target="https://doi.org/10.1002/anie.202526126" TargetMode="External"/><Relationship Id="rId234" Type="http://schemas.openxmlformats.org/officeDocument/2006/relationships/hyperlink" Target="https://advanced.onlinelibrary.wiley.com/doi/10.1002/adma.202522069?af=R" TargetMode="External"/><Relationship Id="rId235" Type="http://schemas.openxmlformats.org/officeDocument/2006/relationships/hyperlink" Target="https://doi.org/10.1002/adma.202522069" TargetMode="External"/><Relationship Id="rId236" Type="http://schemas.openxmlformats.org/officeDocument/2006/relationships/hyperlink" Target="https://advanced.onlinelibrary.wiley.com/doi/10.1002/adma.202513205?af=R" TargetMode="External"/><Relationship Id="rId237" Type="http://schemas.openxmlformats.org/officeDocument/2006/relationships/hyperlink" Target="https://doi.org/10.1002/adma.202513205" TargetMode="External"/><Relationship Id="rId238" Type="http://schemas.openxmlformats.org/officeDocument/2006/relationships/hyperlink" Target="https://advanced.onlinelibrary.wiley.com/doi/10.1002/adma.202520457?af=R" TargetMode="External"/><Relationship Id="rId239" Type="http://schemas.openxmlformats.org/officeDocument/2006/relationships/hyperlink" Target="https://doi.org/10.1002/adma.202520457" TargetMode="External"/><Relationship Id="rId240" Type="http://schemas.openxmlformats.org/officeDocument/2006/relationships/hyperlink" Target="https://onlinelibrary.wiley.com/doi/10.1002/adma.72535?af=R" TargetMode="External"/><Relationship Id="rId241" Type="http://schemas.openxmlformats.org/officeDocument/2006/relationships/hyperlink" Target="https://doi.org/10.1002/adma.72535" TargetMode="External"/><Relationship Id="rId242" Type="http://schemas.openxmlformats.org/officeDocument/2006/relationships/hyperlink" Target="https://onlinelibrary.wiley.com/doi/10.1002/adma.72536?af=R" TargetMode="External"/><Relationship Id="rId243" Type="http://schemas.openxmlformats.org/officeDocument/2006/relationships/hyperlink" Target="https://doi.org/10.1002/adma.72536" TargetMode="External"/><Relationship Id="rId244" Type="http://schemas.openxmlformats.org/officeDocument/2006/relationships/hyperlink" Target="https://onlinelibrary.wiley.com/doi/10.1002/adma.72539?af=R" TargetMode="External"/><Relationship Id="rId245" Type="http://schemas.openxmlformats.org/officeDocument/2006/relationships/hyperlink" Target="https://doi.org/10.1002/adma.72539" TargetMode="External"/><Relationship Id="rId246" Type="http://schemas.openxmlformats.org/officeDocument/2006/relationships/hyperlink" Target="https://onlinelibrary.wiley.com/doi/10.1002/adma.72541?af=R" TargetMode="External"/><Relationship Id="rId247" Type="http://schemas.openxmlformats.org/officeDocument/2006/relationships/hyperlink" Target="https://doi.org/10.1002/adma.72541" TargetMode="External"/><Relationship Id="rId248" Type="http://schemas.openxmlformats.org/officeDocument/2006/relationships/hyperlink" Target="https://onlinelibrary.wiley.com/doi/10.1002/anie.7690506?af=R" TargetMode="External"/><Relationship Id="rId249" Type="http://schemas.openxmlformats.org/officeDocument/2006/relationships/hyperlink" Target="https://doi.org/10.1002/anie.7690506" TargetMode="External"/><Relationship Id="rId250" Type="http://schemas.openxmlformats.org/officeDocument/2006/relationships/hyperlink" Target="http://dx.doi.org/10.1021/jacs.5c17961" TargetMode="External"/><Relationship Id="rId251" Type="http://schemas.openxmlformats.org/officeDocument/2006/relationships/hyperlink" Target="https://doi.org/10.1021/jacs.5c17961" TargetMode="External"/><Relationship Id="rId252" Type="http://schemas.openxmlformats.org/officeDocument/2006/relationships/hyperlink" Target="http://dx.doi.org/10.1021/jacs.5c19435" TargetMode="External"/><Relationship Id="rId253" Type="http://schemas.openxmlformats.org/officeDocument/2006/relationships/hyperlink" Target="https://doi.org/10.1021/jacs.5c19435" TargetMode="External"/><Relationship Id="rId254" Type="http://schemas.openxmlformats.org/officeDocument/2006/relationships/hyperlink" Target="https://www.nature.com/articles/d41586-026-00669-8" TargetMode="External"/><Relationship Id="rId255" Type="http://schemas.openxmlformats.org/officeDocument/2006/relationships/hyperlink" Target="https://doi.org/10.1038/d41586-026-00669-8" TargetMode="External"/><Relationship Id="rId256" Type="http://schemas.openxmlformats.org/officeDocument/2006/relationships/hyperlink" Target="https://www.sciencedirect.com/science/article/pii/S0306261926002527?dgcid=rss_sd_all" TargetMode="External"/><Relationship Id="rId257" Type="http://schemas.openxmlformats.org/officeDocument/2006/relationships/hyperlink" Target="https://www.sciencedirect.com/science/article/pii/S0306261926002886?dgcid=rss_sd_all" TargetMode="External"/><Relationship Id="rId258" Type="http://schemas.openxmlformats.org/officeDocument/2006/relationships/hyperlink" Target="https://www.sciencedirect.com/science/article/pii/S0306261926002114?dgcid=rss_sd_all" TargetMode="External"/><Relationship Id="rId259" Type="http://schemas.openxmlformats.org/officeDocument/2006/relationships/hyperlink" Target="https://www.sciencedirect.com/science/article/pii/S0306261926002631?dgcid=rss_sd_all" TargetMode="External"/><Relationship Id="rId260" Type="http://schemas.openxmlformats.org/officeDocument/2006/relationships/hyperlink" Target="https://www.sciencedirect.com/science/article/pii/S0306261926002965?dgcid=rss_sd_all" TargetMode="External"/><Relationship Id="rId261" Type="http://schemas.openxmlformats.org/officeDocument/2006/relationships/hyperlink" Target="https://www.sciencedirect.com/science/article/pii/S030626192600259X?dgcid=rss_sd_all" TargetMode="External"/><Relationship Id="rId262" Type="http://schemas.openxmlformats.org/officeDocument/2006/relationships/hyperlink" Target="https://www.sciencedirect.com/science/article/pii/S0301421526001631?dgcid=rss_sd_all" TargetMode="External"/><Relationship Id="rId263" Type="http://schemas.openxmlformats.org/officeDocument/2006/relationships/hyperlink" Target="https://www.sciencedirect.com/science/article/pii/S0306261926002618?dgcid=rss_sd_all" TargetMode="External"/><Relationship Id="rId264" Type="http://schemas.openxmlformats.org/officeDocument/2006/relationships/hyperlink" Target="https://www.nature.com/articles/s41467-026-70085-z" TargetMode="External"/><Relationship Id="rId265" Type="http://schemas.openxmlformats.org/officeDocument/2006/relationships/hyperlink" Target="https://doi.org/10.1038/s41467-026-70085-z" TargetMode="External"/><Relationship Id="rId266" Type="http://schemas.openxmlformats.org/officeDocument/2006/relationships/hyperlink" Target="https://www.nature.com/articles/s41467-026-70346-x" TargetMode="External"/><Relationship Id="rId267" Type="http://schemas.openxmlformats.org/officeDocument/2006/relationships/hyperlink" Target="https://doi.org/10.1038/s41467-026-70346-x" TargetMode="External"/><Relationship Id="rId268" Type="http://schemas.openxmlformats.org/officeDocument/2006/relationships/hyperlink" Target="https://www.sciencedirect.com/science/article/pii/S030626192600228X?dgcid=rss_sd_all" TargetMode="External"/><Relationship Id="rId269" Type="http://schemas.openxmlformats.org/officeDocument/2006/relationships/hyperlink" Target="https://onlinelibrary.wiley.com/doi/10.1002/anie.202521985?af=R" TargetMode="External"/><Relationship Id="rId270" Type="http://schemas.openxmlformats.org/officeDocument/2006/relationships/hyperlink" Target="https://doi.org/10.1002/anie.202521985" TargetMode="External"/><Relationship Id="rId271" Type="http://schemas.openxmlformats.org/officeDocument/2006/relationships/hyperlink" Target="http://dx.doi.org/10.1021/jacs.5c20261" TargetMode="External"/><Relationship Id="rId272" Type="http://schemas.openxmlformats.org/officeDocument/2006/relationships/hyperlink" Target="https://doi.org/10.1021/jacs.5c20261" TargetMode="External"/><Relationship Id="rId273" Type="http://schemas.openxmlformats.org/officeDocument/2006/relationships/hyperlink" Target="http://dx.doi.org/10.1021/jacs.5c22963" TargetMode="External"/><Relationship Id="rId274" Type="http://schemas.openxmlformats.org/officeDocument/2006/relationships/hyperlink" Target="https://doi.org/10.1021/jacs.5c22963" TargetMode="External"/><Relationship Id="rId275" Type="http://schemas.openxmlformats.org/officeDocument/2006/relationships/hyperlink" Target="http://dx.doi.org/10.1021/jacs.5c19556" TargetMode="External"/><Relationship Id="rId276" Type="http://schemas.openxmlformats.org/officeDocument/2006/relationships/hyperlink" Target="https://doi.org/10.1021/jacs.5c19556" TargetMode="External"/><Relationship Id="rId277" Type="http://schemas.openxmlformats.org/officeDocument/2006/relationships/hyperlink" Target="http://dx.doi.org/10.1021/jacs.5c20824" TargetMode="External"/><Relationship Id="rId278" Type="http://schemas.openxmlformats.org/officeDocument/2006/relationships/hyperlink" Target="https://doi.org/10.1021/jacs.5c20824" TargetMode="External"/><Relationship Id="rId279" Type="http://schemas.openxmlformats.org/officeDocument/2006/relationships/hyperlink" Target="http://dx.doi.org/10.1021/jacs.6c02485" TargetMode="External"/><Relationship Id="rId280" Type="http://schemas.openxmlformats.org/officeDocument/2006/relationships/hyperlink" Target="https://doi.org/10.1021/jacs.6c02485" TargetMode="External"/><Relationship Id="rId281" Type="http://schemas.openxmlformats.org/officeDocument/2006/relationships/hyperlink" Target="https://www.nature.com/articles/s41563-026-02535-4" TargetMode="External"/><Relationship Id="rId282" Type="http://schemas.openxmlformats.org/officeDocument/2006/relationships/hyperlink" Target="https://doi.org/10.1038/s41563-026-02535-4" TargetMode="External"/><Relationship Id="rId283" Type="http://schemas.openxmlformats.org/officeDocument/2006/relationships/hyperlink" Target="https://academic.oup.com/nsr/advance-article/doi/10.1093/nsr/nwag146/8512294?rss=1" TargetMode="External"/><Relationship Id="rId284" Type="http://schemas.openxmlformats.org/officeDocument/2006/relationships/hyperlink" Target="https://doi.org/10.1093/nsr/nwag146" TargetMode="External"/><Relationship Id="rId285" Type="http://schemas.openxmlformats.org/officeDocument/2006/relationships/hyperlink" Target="https://www.nature.com/articles/s41467-026-70289-3" TargetMode="External"/><Relationship Id="rId286" Type="http://schemas.openxmlformats.org/officeDocument/2006/relationships/hyperlink" Target="https://doi.org/10.1038/s41467-026-70289-3" TargetMode="External"/><Relationship Id="rId287" Type="http://schemas.openxmlformats.org/officeDocument/2006/relationships/hyperlink" Target="https://www.nature.com/articles/s41467-026-70435-x" TargetMode="External"/><Relationship Id="rId288" Type="http://schemas.openxmlformats.org/officeDocument/2006/relationships/hyperlink" Target="https://doi.org/10.1038/s41467-026-70435-x" TargetMode="External"/><Relationship Id="rId289" Type="http://schemas.openxmlformats.org/officeDocument/2006/relationships/hyperlink" Target="https://www.nature.com/articles/s41467-026-70383-6" TargetMode="External"/><Relationship Id="rId290" Type="http://schemas.openxmlformats.org/officeDocument/2006/relationships/hyperlink" Target="https://doi.org/10.1038/s41467-026-70383-6" TargetMode="External"/><Relationship Id="rId291" Type="http://schemas.openxmlformats.org/officeDocument/2006/relationships/hyperlink" Target="https://www.nature.com/articles/s41467-026-70562-5" TargetMode="External"/><Relationship Id="rId292" Type="http://schemas.openxmlformats.org/officeDocument/2006/relationships/hyperlink" Target="https://doi.org/10.1038/s41467-026-70562-5" TargetMode="External"/><Relationship Id="rId293" Type="http://schemas.openxmlformats.org/officeDocument/2006/relationships/hyperlink" Target="https://www.nature.com/articles/s41467-026-70272-y" TargetMode="External"/><Relationship Id="rId294" Type="http://schemas.openxmlformats.org/officeDocument/2006/relationships/hyperlink" Target="https://doi.org/10.1038/s41467-026-70272-y" TargetMode="External"/><Relationship Id="rId295" Type="http://schemas.openxmlformats.org/officeDocument/2006/relationships/hyperlink" Target="https://www.nature.com/articles/s41563-026-02517-6" TargetMode="External"/><Relationship Id="rId296" Type="http://schemas.openxmlformats.org/officeDocument/2006/relationships/hyperlink" Target="https://doi.org/10.1038/s41563-026-02517-6" TargetMode="External"/><Relationship Id="rId297" Type="http://schemas.openxmlformats.org/officeDocument/2006/relationships/hyperlink" Target="https://www.nature.com/articles/s41467-026-70145-4" TargetMode="External"/><Relationship Id="rId298" Type="http://schemas.openxmlformats.org/officeDocument/2006/relationships/hyperlink" Target="https://doi.org/10.1038/s41467-026-70145-4" TargetMode="External"/><Relationship Id="rId299" Type="http://schemas.openxmlformats.org/officeDocument/2006/relationships/hyperlink" Target="https://www.nature.com/articles/s41563-026-02537-2" TargetMode="External"/><Relationship Id="rId300" Type="http://schemas.openxmlformats.org/officeDocument/2006/relationships/hyperlink" Target="https://doi.org/10.1038/s41563-026-02537-2" TargetMode="External"/><Relationship Id="rId301" Type="http://schemas.openxmlformats.org/officeDocument/2006/relationships/hyperlink" Target="https://www.nature.com/articles/s41565-026-02130-3" TargetMode="External"/><Relationship Id="rId302" Type="http://schemas.openxmlformats.org/officeDocument/2006/relationships/hyperlink" Target="https://doi.org/10.1038/s41565-026-02130-3" TargetMode="External"/><Relationship Id="rId303" Type="http://schemas.openxmlformats.org/officeDocument/2006/relationships/hyperlink" Target="https://www.nature.com/articles/s41565-026-02133-0" TargetMode="External"/><Relationship Id="rId304" Type="http://schemas.openxmlformats.org/officeDocument/2006/relationships/hyperlink" Target="https://doi.org/10.1038/s41565-026-02133-0" TargetMode="External"/><Relationship Id="rId305" Type="http://schemas.openxmlformats.org/officeDocument/2006/relationships/hyperlink" Target="https://www.nature.com/articles/s41467-026-69944-6" TargetMode="External"/><Relationship Id="rId306" Type="http://schemas.openxmlformats.org/officeDocument/2006/relationships/hyperlink" Target="https://doi.org/10.1038/s41467-026-69944-6" TargetMode="External"/><Relationship Id="rId307" Type="http://schemas.openxmlformats.org/officeDocument/2006/relationships/hyperlink" Target="https://www.nature.com/articles/s41928-026-01579-3" TargetMode="External"/><Relationship Id="rId308" Type="http://schemas.openxmlformats.org/officeDocument/2006/relationships/hyperlink" Target="https://doi.org/10.1038/s41928-026-01579-3" TargetMode="External"/><Relationship Id="rId309" Type="http://schemas.openxmlformats.org/officeDocument/2006/relationships/hyperlink" Target="https://www.nature.com/articles/d41586-025-04128-8" TargetMode="External"/><Relationship Id="rId310" Type="http://schemas.openxmlformats.org/officeDocument/2006/relationships/hyperlink" Target="https://doi.org/10.1038/d41586-025-04128-8" TargetMode="External"/><Relationship Id="rId311" Type="http://schemas.openxmlformats.org/officeDocument/2006/relationships/hyperlink" Target="https://www.cell.com/matter/fulltext/S2590-2385(26)00070-6?rss=yes" TargetMode="External"/><Relationship Id="rId312" Type="http://schemas.openxmlformats.org/officeDocument/2006/relationships/hyperlink" Target="https://doi.org/10.1016/j.matt.2026.102707" TargetMode="External"/><Relationship Id="rId313" Type="http://schemas.openxmlformats.org/officeDocument/2006/relationships/hyperlink" Target="https://academic.oup.com/nsr/advance-article/doi/10.1093/nsr/nwag145/8512287?rss=1" TargetMode="External"/><Relationship Id="rId314" Type="http://schemas.openxmlformats.org/officeDocument/2006/relationships/hyperlink" Target="https://doi.org/10.1093/nsr/nwag145" TargetMode="External"/><Relationship Id="rId315" Type="http://schemas.openxmlformats.org/officeDocument/2006/relationships/hyperlink" Target="https://www.nature.com/articles/s41565-026-02131-2" TargetMode="External"/><Relationship Id="rId316" Type="http://schemas.openxmlformats.org/officeDocument/2006/relationships/hyperlink" Target="https://doi.org/10.1038/s41565-026-02131-2" TargetMode="External"/><Relationship Id="rId317" Type="http://schemas.openxmlformats.org/officeDocument/2006/relationships/hyperlink" Target="https://www.nature.com/articles/s41563-026-02532-7" TargetMode="External"/><Relationship Id="rId318" Type="http://schemas.openxmlformats.org/officeDocument/2006/relationships/hyperlink" Target="https://doi.org/10.1038/s41563-026-02532-7" TargetMode="External"/><Relationship Id="rId319" Type="http://schemas.openxmlformats.org/officeDocument/2006/relationships/hyperlink" Target="https://academic.oup.com/nsr/advance-article/doi/10.1093/nsr/nwag137/8512295?rss=1" TargetMode="External"/><Relationship Id="rId320" Type="http://schemas.openxmlformats.org/officeDocument/2006/relationships/hyperlink" Target="https://doi.org/10.1093/nsr/nwag137" TargetMode="External"/><Relationship Id="rId321" Type="http://schemas.openxmlformats.org/officeDocument/2006/relationships/hyperlink" Target="https://www.nature.com/articles/d41586-026-00706-6" TargetMode="External"/><Relationship Id="rId322" Type="http://schemas.openxmlformats.org/officeDocument/2006/relationships/hyperlink" Target="https://doi.org/10.1038/d41586-026-00706-6" TargetMode="External"/><Relationship Id="rId323" Type="http://schemas.openxmlformats.org/officeDocument/2006/relationships/hyperlink" Target="https://www.nature.com/articles/d41586-026-00741-3" TargetMode="External"/><Relationship Id="rId324" Type="http://schemas.openxmlformats.org/officeDocument/2006/relationships/hyperlink" Target="https://doi.org/10.1038/d41586-026-00741-3" TargetMode="External"/><Relationship Id="rId325" Type="http://schemas.openxmlformats.org/officeDocument/2006/relationships/hyperlink" Target="https://www.nature.com/articles/d41586-026-00703-9" TargetMode="External"/><Relationship Id="rId326" Type="http://schemas.openxmlformats.org/officeDocument/2006/relationships/hyperlink" Target="https://doi.org/10.1038/d41586-026-00703-9" TargetMode="External"/><Relationship Id="rId327" Type="http://schemas.openxmlformats.org/officeDocument/2006/relationships/hyperlink" Target="https://www.nature.com/articles/d41586-026-00755-x" TargetMode="External"/><Relationship Id="rId328" Type="http://schemas.openxmlformats.org/officeDocument/2006/relationships/hyperlink" Target="https://doi.org/10.1038/d41586-026-00755-x" TargetMode="External"/><Relationship Id="rId329" Type="http://schemas.openxmlformats.org/officeDocument/2006/relationships/hyperlink" Target="https://www.nature.com/articles/d41586-026-00705-7" TargetMode="External"/><Relationship Id="rId330" Type="http://schemas.openxmlformats.org/officeDocument/2006/relationships/hyperlink" Target="https://doi.org/10.1038/d41586-026-00705-7" TargetMode="External"/><Relationship Id="rId331" Type="http://schemas.openxmlformats.org/officeDocument/2006/relationships/hyperlink" Target="https://academic.oup.com/nsr/advance-article/doi/10.1093/nsr/nwag144/8512298?rss=1" TargetMode="External"/><Relationship Id="rId332" Type="http://schemas.openxmlformats.org/officeDocument/2006/relationships/hyperlink" Target="https://doi.org/10.1093/nsr/nwag144" TargetMode="External"/><Relationship Id="rId333" Type="http://schemas.openxmlformats.org/officeDocument/2006/relationships/hyperlink" Target="https://www.nature.com/articles/d41586-026-00702-w" TargetMode="External"/><Relationship Id="rId334" Type="http://schemas.openxmlformats.org/officeDocument/2006/relationships/hyperlink" Target="https://doi.org/10.1038/d41586-026-00702-w" TargetMode="External"/><Relationship Id="rId335" Type="http://schemas.openxmlformats.org/officeDocument/2006/relationships/hyperlink" Target="https://advanced.onlinelibrary.wiley.com/doi/10.1002/aenm.202506548?af=R" TargetMode="External"/><Relationship Id="rId336" Type="http://schemas.openxmlformats.org/officeDocument/2006/relationships/hyperlink" Target="https://doi.org/10.1002/aenm.202506548" TargetMode="External"/><Relationship Id="rId337" Type="http://schemas.openxmlformats.org/officeDocument/2006/relationships/hyperlink" Target="https://advanced.onlinelibrary.wiley.com/doi/10.1002/aenm.70814?af=R" TargetMode="External"/><Relationship Id="rId338" Type="http://schemas.openxmlformats.org/officeDocument/2006/relationships/hyperlink" Target="https://doi.org/10.1002/aenm.70814" TargetMode="External"/><Relationship Id="rId339" Type="http://schemas.openxmlformats.org/officeDocument/2006/relationships/hyperlink" Target="https://www.pnas.org/doi/abs/10.1073/pnas.2526500123?mi=eymic2&amp;af=R&amp;access=on&amp;content=articlesChapters&amp;publication=pnas&amp;sortBy=Earliest&amp;target=default" TargetMode="External"/><Relationship Id="rId340" Type="http://schemas.openxmlformats.org/officeDocument/2006/relationships/hyperlink" Target="https://doi.org/10.1073/pnas.2526500123" TargetMode="External"/><Relationship Id="rId341" Type="http://schemas.openxmlformats.org/officeDocument/2006/relationships/hyperlink" Target="https://www.pnas.org/doi/abs/10.1073/pnas.2521002123?mi=eymic2&amp;af=R&amp;access=on&amp;content=articlesChapters&amp;publication=pnas&amp;sortBy=Earliest&amp;target=default" TargetMode="External"/><Relationship Id="rId342" Type="http://schemas.openxmlformats.org/officeDocument/2006/relationships/hyperlink" Target="https://doi.org/10.1073/pnas.2521002123" TargetMode="External"/><Relationship Id="rId343" Type="http://schemas.openxmlformats.org/officeDocument/2006/relationships/hyperlink" Target="https://www.pnas.org/doi/abs/10.1073/pnas.2519356123?mi=eymic2&amp;af=R&amp;access=on&amp;content=articlesChapters&amp;publication=pnas&amp;sortBy=Earliest&amp;target=default" TargetMode="External"/><Relationship Id="rId344" Type="http://schemas.openxmlformats.org/officeDocument/2006/relationships/hyperlink" Target="https://doi.org/10.1073/pnas.2519356123" TargetMode="External"/><Relationship Id="rId345" Type="http://schemas.openxmlformats.org/officeDocument/2006/relationships/hyperlink" Target="https://www.pnas.org/doi/abs/10.1073/pnas.2524751123?mi=eymic2&amp;af=R&amp;access=on&amp;content=articlesChapters&amp;publication=pnas&amp;sortBy=Earliest&amp;target=default" TargetMode="External"/><Relationship Id="rId346" Type="http://schemas.openxmlformats.org/officeDocument/2006/relationships/hyperlink" Target="https://doi.org/10.1073/pnas.2524751123" TargetMode="External"/><Relationship Id="rId347" Type="http://schemas.openxmlformats.org/officeDocument/2006/relationships/hyperlink" Target="https://www.pnas.org/doi/abs/10.1073/pnas.2536178123?mi=eymic2&amp;af=R&amp;access=on&amp;content=articlesChapters&amp;publication=pnas&amp;sortBy=Earliest&amp;target=default" TargetMode="External"/><Relationship Id="rId348" Type="http://schemas.openxmlformats.org/officeDocument/2006/relationships/hyperlink" Target="https://doi.org/10.1073/pnas.2536178123" TargetMode="External"/><Relationship Id="rId349" Type="http://schemas.openxmlformats.org/officeDocument/2006/relationships/hyperlink" Target="https://www.pnas.org/doi/abs/10.1073/pnas.2532127123?mi=eymic2&amp;af=R&amp;access=on&amp;content=articlesChapters&amp;publication=pnas&amp;sortBy=Earliest&amp;target=default" TargetMode="External"/><Relationship Id="rId350" Type="http://schemas.openxmlformats.org/officeDocument/2006/relationships/hyperlink" Target="https://doi.org/10.1073/pnas.2532127123" TargetMode="External"/><Relationship Id="rId351" Type="http://schemas.openxmlformats.org/officeDocument/2006/relationships/hyperlink" Target="https://www.pnas.org/doi/abs/10.1073/pnas.2531422123?mi=eymic2&amp;af=R&amp;access=on&amp;content=articlesChapters&amp;publication=pnas&amp;sortBy=Earliest&amp;target=default" TargetMode="External"/><Relationship Id="rId352" Type="http://schemas.openxmlformats.org/officeDocument/2006/relationships/hyperlink" Target="https://doi.org/10.1073/pnas.2531422123" TargetMode="External"/><Relationship Id="rId353" Type="http://schemas.openxmlformats.org/officeDocument/2006/relationships/hyperlink" Target="https://www.pnas.org/doi/abs/10.1073/pnas.2530656123?mi=eymic2&amp;af=R&amp;access=on&amp;content=articlesChapters&amp;publication=pnas&amp;sortBy=Earliest&amp;target=default" TargetMode="External"/><Relationship Id="rId354" Type="http://schemas.openxmlformats.org/officeDocument/2006/relationships/hyperlink" Target="https://doi.org/10.1073/pnas.2530656123" TargetMode="External"/><Relationship Id="rId355" Type="http://schemas.openxmlformats.org/officeDocument/2006/relationships/hyperlink" Target="https://www.pnas.org/doi/abs/10.1073/pnas.2530194123?mi=eymic2&amp;af=R&amp;access=on&amp;content=articlesChapters&amp;publication=pnas&amp;sortBy=Earliest&amp;target=default" TargetMode="External"/><Relationship Id="rId356" Type="http://schemas.openxmlformats.org/officeDocument/2006/relationships/hyperlink" Target="https://doi.org/10.1073/pnas.2530194123" TargetMode="External"/><Relationship Id="rId357" Type="http://schemas.openxmlformats.org/officeDocument/2006/relationships/hyperlink" Target="https://www.pnas.org/doi/abs/10.1073/pnas.2524335123?mi=eymic2&amp;af=R&amp;access=on&amp;content=articlesChapters&amp;publication=pnas&amp;sortBy=Earliest&amp;target=default" TargetMode="External"/><Relationship Id="rId358" Type="http://schemas.openxmlformats.org/officeDocument/2006/relationships/hyperlink" Target="https://doi.org/10.1073/pnas.2524335123" TargetMode="External"/><Relationship Id="rId359" Type="http://schemas.openxmlformats.org/officeDocument/2006/relationships/hyperlink" Target="https://www.pnas.org/doi/abs/10.1073/pnas.2529364123?mi=eymic2&amp;af=R&amp;access=on&amp;content=articlesChapters&amp;publication=pnas&amp;sortBy=Earliest&amp;target=default" TargetMode="External"/><Relationship Id="rId360" Type="http://schemas.openxmlformats.org/officeDocument/2006/relationships/hyperlink" Target="https://doi.org/10.1073/pnas.2529364123" TargetMode="External"/><Relationship Id="rId361" Type="http://schemas.openxmlformats.org/officeDocument/2006/relationships/hyperlink" Target="https://www.pnas.org/doi/abs/10.1073/pnas.2526276123?mi=eymic2&amp;af=R&amp;access=on&amp;content=articlesChapters&amp;publication=pnas&amp;sortBy=Earliest&amp;target=default" TargetMode="External"/><Relationship Id="rId362" Type="http://schemas.openxmlformats.org/officeDocument/2006/relationships/hyperlink" Target="https://doi.org/10.1073/pnas.2526276123" TargetMode="External"/><Relationship Id="rId363" Type="http://schemas.openxmlformats.org/officeDocument/2006/relationships/hyperlink" Target="https://www.pnas.org/doi/abs/10.1073/pnas.2525730123?mi=eymic2&amp;af=R&amp;access=on&amp;content=articlesChapters&amp;publication=pnas&amp;sortBy=Earliest&amp;target=default" TargetMode="External"/><Relationship Id="rId364" Type="http://schemas.openxmlformats.org/officeDocument/2006/relationships/hyperlink" Target="https://doi.org/10.1073/pnas.2525730123" TargetMode="External"/><Relationship Id="rId365" Type="http://schemas.openxmlformats.org/officeDocument/2006/relationships/hyperlink" Target="https://www.pnas.org/doi/abs/10.1073/pnas.2525373123?mi=eymic2&amp;af=R&amp;access=on&amp;content=articlesChapters&amp;publication=pnas&amp;sortBy=Earliest&amp;target=default" TargetMode="External"/><Relationship Id="rId366" Type="http://schemas.openxmlformats.org/officeDocument/2006/relationships/hyperlink" Target="https://doi.org/10.1073/pnas.2525373123" TargetMode="External"/><Relationship Id="rId367" Type="http://schemas.openxmlformats.org/officeDocument/2006/relationships/hyperlink" Target="https://www.pnas.org/doi/abs/10.1073/pnas.2520025123?mi=eymic2&amp;af=R&amp;access=on&amp;content=articlesChapters&amp;publication=pnas&amp;sortBy=Earliest&amp;target=default" TargetMode="External"/><Relationship Id="rId368" Type="http://schemas.openxmlformats.org/officeDocument/2006/relationships/hyperlink" Target="https://doi.org/10.1073/pnas.2520025123" TargetMode="External"/><Relationship Id="rId369" Type="http://schemas.openxmlformats.org/officeDocument/2006/relationships/hyperlink" Target="https://www.pnas.org/doi/abs/10.1073/pnas.2530503123?mi=eymic2&amp;af=R&amp;access=on&amp;content=articlesChapters&amp;publication=pnas&amp;sortBy=Earliest&amp;target=default" TargetMode="External"/><Relationship Id="rId370" Type="http://schemas.openxmlformats.org/officeDocument/2006/relationships/hyperlink" Target="https://doi.org/10.1073/pnas.2530503123" TargetMode="External"/><Relationship Id="rId371" Type="http://schemas.openxmlformats.org/officeDocument/2006/relationships/hyperlink" Target="https://www.pnas.org/doi/abs/10.1073/pnas.2537200123?mi=eymic2&amp;af=R&amp;access=on&amp;content=articlesChapters&amp;publication=pnas&amp;sortBy=Earliest&amp;target=default" TargetMode="External"/><Relationship Id="rId372" Type="http://schemas.openxmlformats.org/officeDocument/2006/relationships/hyperlink" Target="https://doi.org/10.1073/pnas.2537200123" TargetMode="External"/><Relationship Id="rId373" Type="http://schemas.openxmlformats.org/officeDocument/2006/relationships/hyperlink" Target="https://www.pnas.org/doi/abs/10.1073/pnas.2516904123?mi=eymic2&amp;af=R&amp;access=on&amp;content=articlesChapters&amp;publication=pnas&amp;sortBy=Earliest&amp;target=default" TargetMode="External"/><Relationship Id="rId374" Type="http://schemas.openxmlformats.org/officeDocument/2006/relationships/hyperlink" Target="https://doi.org/10.1073/pnas.2516904123" TargetMode="External"/><Relationship Id="rId375" Type="http://schemas.openxmlformats.org/officeDocument/2006/relationships/hyperlink" Target="https://www.pnas.org/doi/abs/10.1073/pnas.2600464123?mi=eymic2&amp;af=R&amp;access=on&amp;content=articlesChapters&amp;publication=pnas&amp;sortBy=Earliest&amp;target=default" TargetMode="External"/><Relationship Id="rId376" Type="http://schemas.openxmlformats.org/officeDocument/2006/relationships/hyperlink" Target="https://doi.org/10.1073/pnas.2600464123" TargetMode="External"/><Relationship Id="rId377" Type="http://schemas.openxmlformats.org/officeDocument/2006/relationships/hyperlink" Target="https://www.pnas.org/doi/abs/10.1073/pnas.2600921123?mi=eymic2&amp;af=R&amp;access=on&amp;content=articlesChapters&amp;publication=pnas&amp;sortBy=Earliest&amp;target=default" TargetMode="External"/><Relationship Id="rId378" Type="http://schemas.openxmlformats.org/officeDocument/2006/relationships/hyperlink" Target="https://doi.org/10.1073/pnas.2600921123" TargetMode="External"/><Relationship Id="rId379" Type="http://schemas.openxmlformats.org/officeDocument/2006/relationships/hyperlink" Target="https://www.pnas.org/doi/abs/10.1073/pnas.2537453123?mi=eymic2&amp;af=R&amp;access=on&amp;content=articlesChapters&amp;publication=pnas&amp;sortBy=Earliest&amp;target=default" TargetMode="External"/><Relationship Id="rId380" Type="http://schemas.openxmlformats.org/officeDocument/2006/relationships/hyperlink" Target="https://doi.org/10.1073/pnas.2537453123" TargetMode="External"/><Relationship Id="rId381" Type="http://schemas.openxmlformats.org/officeDocument/2006/relationships/hyperlink" Target="https://www.pnas.org/doi/abs/10.1073/pnas.2520324123?mi=eymic2&amp;af=R&amp;access=on&amp;content=articlesChapters&amp;publication=pnas&amp;sortBy=Earliest&amp;target=default" TargetMode="External"/><Relationship Id="rId382" Type="http://schemas.openxmlformats.org/officeDocument/2006/relationships/hyperlink" Target="https://doi.org/10.1073/pnas.2520324123" TargetMode="External"/><Relationship Id="rId383" Type="http://schemas.openxmlformats.org/officeDocument/2006/relationships/hyperlink" Target="https://www.pnas.org/doi/abs/10.1073/pnas.2536378123?mi=eymic2&amp;af=R&amp;access=on&amp;content=articlesChapters&amp;publication=pnas&amp;sortBy=Earliest&amp;target=default" TargetMode="External"/><Relationship Id="rId384" Type="http://schemas.openxmlformats.org/officeDocument/2006/relationships/hyperlink" Target="https://doi.org/10.1073/pnas.2536378123" TargetMode="External"/><Relationship Id="rId385" Type="http://schemas.openxmlformats.org/officeDocument/2006/relationships/hyperlink" Target="https://www.pnas.org/doi/abs/10.1073/pnas.2424082123?mi=eymic2&amp;af=R&amp;access=on&amp;content=articlesChapters&amp;publication=pnas&amp;sortBy=Earliest&amp;target=default" TargetMode="External"/><Relationship Id="rId386" Type="http://schemas.openxmlformats.org/officeDocument/2006/relationships/hyperlink" Target="https://doi.org/10.1073/pnas.2424082123" TargetMode="External"/><Relationship Id="rId387" Type="http://schemas.openxmlformats.org/officeDocument/2006/relationships/hyperlink" Target="https://www.pnas.org/doi/abs/10.1073/pnas.2517201123?mi=eymic2&amp;af=R&amp;access=on&amp;content=articlesChapters&amp;publication=pnas&amp;sortBy=Earliest&amp;target=default" TargetMode="External"/><Relationship Id="rId388" Type="http://schemas.openxmlformats.org/officeDocument/2006/relationships/hyperlink" Target="https://doi.org/10.1073/pnas.2517201123" TargetMode="External"/><Relationship Id="rId389" Type="http://schemas.openxmlformats.org/officeDocument/2006/relationships/hyperlink" Target="https://www.pnas.org/doi/abs/10.1073/pnas.2505464123?mi=eymic2&amp;af=R&amp;access=on&amp;content=articlesChapters&amp;publication=pnas&amp;sortBy=Earliest&amp;target=default" TargetMode="External"/><Relationship Id="rId390" Type="http://schemas.openxmlformats.org/officeDocument/2006/relationships/hyperlink" Target="https://doi.org/10.1073/pnas.2505464123" TargetMode="External"/><Relationship Id="rId391" Type="http://schemas.openxmlformats.org/officeDocument/2006/relationships/hyperlink" Target="https://www.pnas.org/doi/abs/10.1073/pnas.2508238123?mi=eymic2&amp;af=R&amp;access=on&amp;content=articlesChapters&amp;publication=pnas&amp;sortBy=Earliest&amp;target=default" TargetMode="External"/><Relationship Id="rId392" Type="http://schemas.openxmlformats.org/officeDocument/2006/relationships/hyperlink" Target="https://doi.org/10.1073/pnas.2508238123" TargetMode="External"/><Relationship Id="rId393" Type="http://schemas.openxmlformats.org/officeDocument/2006/relationships/hyperlink" Target="https://www.pnas.org/doi/abs/10.1073/pnas.2510025123?mi=eymic2&amp;af=R&amp;access=on&amp;content=articlesChapters&amp;publication=pnas&amp;sortBy=Earliest&amp;target=default" TargetMode="External"/><Relationship Id="rId394" Type="http://schemas.openxmlformats.org/officeDocument/2006/relationships/hyperlink" Target="https://doi.org/10.1073/pnas.2510025123" TargetMode="External"/><Relationship Id="rId395" Type="http://schemas.openxmlformats.org/officeDocument/2006/relationships/hyperlink" Target="https://www.pnas.org/doi/abs/10.1073/pnas.2513289123?mi=eymic2&amp;af=R&amp;access=on&amp;content=articlesChapters&amp;publication=pnas&amp;sortBy=Earliest&amp;target=default" TargetMode="External"/><Relationship Id="rId396" Type="http://schemas.openxmlformats.org/officeDocument/2006/relationships/hyperlink" Target="https://doi.org/10.1073/pnas.2513289123" TargetMode="External"/><Relationship Id="rId397" Type="http://schemas.openxmlformats.org/officeDocument/2006/relationships/hyperlink" Target="https://www.pnas.org/doi/abs/10.1073/pnas.2514484123?mi=eymic2&amp;af=R&amp;access=on&amp;content=articlesChapters&amp;publication=pnas&amp;sortBy=Earliest&amp;target=default" TargetMode="External"/><Relationship Id="rId398" Type="http://schemas.openxmlformats.org/officeDocument/2006/relationships/hyperlink" Target="https://doi.org/10.1073/pnas.2514484123" TargetMode="External"/><Relationship Id="rId399" Type="http://schemas.openxmlformats.org/officeDocument/2006/relationships/hyperlink" Target="https://www.pnas.org/doi/abs/10.1073/pnas.2515301123?mi=eymic2&amp;af=R&amp;access=on&amp;content=articlesChapters&amp;publication=pnas&amp;sortBy=Earliest&amp;target=default" TargetMode="External"/><Relationship Id="rId400" Type="http://schemas.openxmlformats.org/officeDocument/2006/relationships/hyperlink" Target="https://doi.org/10.1073/pnas.2515301123" TargetMode="External"/><Relationship Id="rId401" Type="http://schemas.openxmlformats.org/officeDocument/2006/relationships/hyperlink" Target="https://www.pnas.org/doi/abs/10.1073/pnas.2516183123?mi=eymic2&amp;af=R&amp;access=on&amp;content=articlesChapters&amp;publication=pnas&amp;sortBy=Earliest&amp;target=default" TargetMode="External"/><Relationship Id="rId402" Type="http://schemas.openxmlformats.org/officeDocument/2006/relationships/hyperlink" Target="https://doi.org/10.1073/pnas.2516183123" TargetMode="External"/><Relationship Id="rId403" Type="http://schemas.openxmlformats.org/officeDocument/2006/relationships/hyperlink" Target="https://onlinelibrary.wiley.com/doi/10.1002/anie.2543286?af=R" TargetMode="External"/><Relationship Id="rId404" Type="http://schemas.openxmlformats.org/officeDocument/2006/relationships/hyperlink" Target="https://doi.org/10.1002/anie.2543286" TargetMode="External"/><Relationship Id="rId405" Type="http://schemas.openxmlformats.org/officeDocument/2006/relationships/hyperlink" Target="https://www.pnas.org/doi/abs/10.1073/pnas.2507008123?mi=eymic2&amp;af=R&amp;access=on&amp;content=articlesChapters&amp;publication=pnas&amp;sortBy=Earliest&amp;target=default" TargetMode="External"/><Relationship Id="rId406" Type="http://schemas.openxmlformats.org/officeDocument/2006/relationships/hyperlink" Target="https://doi.org/10.1073/pnas.2507008123" TargetMode="External"/><Relationship Id="rId407" Type="http://schemas.openxmlformats.org/officeDocument/2006/relationships/hyperlink" Target="https://onlinelibrary.wiley.com/doi/10.1002/anie.5372883?af=R" TargetMode="External"/><Relationship Id="rId408" Type="http://schemas.openxmlformats.org/officeDocument/2006/relationships/hyperlink" Target="https://doi.org/10.1002/anie.5372883" TargetMode="External"/><Relationship Id="rId409" Type="http://schemas.openxmlformats.org/officeDocument/2006/relationships/hyperlink" Target="https://onlinelibrary.wiley.com/doi/10.1002/anie.3111809?af=R" TargetMode="External"/><Relationship Id="rId410" Type="http://schemas.openxmlformats.org/officeDocument/2006/relationships/hyperlink" Target="https://doi.org/10.1002/anie.3111809" TargetMode="External"/><Relationship Id="rId411" Type="http://schemas.openxmlformats.org/officeDocument/2006/relationships/hyperlink" Target="https://onlinelibrary.wiley.com/doi/10.1002/anie.202526105?af=R" TargetMode="External"/><Relationship Id="rId412" Type="http://schemas.openxmlformats.org/officeDocument/2006/relationships/hyperlink" Target="https://doi.org/10.1002/anie.202526105" TargetMode="External"/><Relationship Id="rId413" Type="http://schemas.openxmlformats.org/officeDocument/2006/relationships/hyperlink" Target="https://onlinelibrary.wiley.com/doi/10.1002/anie.8953687?af=R" TargetMode="External"/><Relationship Id="rId414" Type="http://schemas.openxmlformats.org/officeDocument/2006/relationships/hyperlink" Target="https://doi.org/10.1002/anie.8953687" TargetMode="External"/><Relationship Id="rId415" Type="http://schemas.openxmlformats.org/officeDocument/2006/relationships/hyperlink" Target="https://onlinelibrary.wiley.com/doi/10.1002/anie.202524670?af=R" TargetMode="External"/><Relationship Id="rId416" Type="http://schemas.openxmlformats.org/officeDocument/2006/relationships/hyperlink" Target="https://doi.org/10.1002/anie.202524670" TargetMode="External"/><Relationship Id="rId417" Type="http://schemas.openxmlformats.org/officeDocument/2006/relationships/hyperlink" Target="https://onlinelibrary.wiley.com/doi/10.1002/anie.202525240?af=R" TargetMode="External"/><Relationship Id="rId418" Type="http://schemas.openxmlformats.org/officeDocument/2006/relationships/hyperlink" Target="https://doi.org/10.1002/anie.202525240" TargetMode="External"/><Relationship Id="rId419" Type="http://schemas.openxmlformats.org/officeDocument/2006/relationships/hyperlink" Target="http://dx.doi.org/10.1021/acs.chemrev.5c00713" TargetMode="External"/><Relationship Id="rId420" Type="http://schemas.openxmlformats.org/officeDocument/2006/relationships/hyperlink" Target="https://doi.org/10.1021/acs.chemrev.5c00713" TargetMode="External"/><Relationship Id="rId421" Type="http://schemas.openxmlformats.org/officeDocument/2006/relationships/hyperlink" Target="https://onlinelibrary.wiley.com/doi/10.1002/anie.5628405?af=R" TargetMode="External"/><Relationship Id="rId422" Type="http://schemas.openxmlformats.org/officeDocument/2006/relationships/hyperlink" Target="https://doi.org/10.1002/anie.5628405" TargetMode="External"/><Relationship Id="rId423" Type="http://schemas.openxmlformats.org/officeDocument/2006/relationships/hyperlink" Target="http://dx.doi.org/10.1021/jacs.6c01247" TargetMode="External"/><Relationship Id="rId424" Type="http://schemas.openxmlformats.org/officeDocument/2006/relationships/hyperlink" Target="https://doi.org/10.1021/jacs.6c01247" TargetMode="External"/><Relationship Id="rId425" Type="http://schemas.openxmlformats.org/officeDocument/2006/relationships/hyperlink" Target="http://dx.doi.org/10.1021/jacs.5c21545" TargetMode="External"/><Relationship Id="rId426" Type="http://schemas.openxmlformats.org/officeDocument/2006/relationships/hyperlink" Target="https://doi.org/10.1021/jacs.5c21545" TargetMode="External"/><Relationship Id="rId427" Type="http://schemas.openxmlformats.org/officeDocument/2006/relationships/hyperlink" Target="http://dx.doi.org/10.1021/jacs.5c22679" TargetMode="External"/><Relationship Id="rId428" Type="http://schemas.openxmlformats.org/officeDocument/2006/relationships/hyperlink" Target="https://doi.org/10.1021/jacs.5c22679" TargetMode="External"/><Relationship Id="rId429" Type="http://schemas.openxmlformats.org/officeDocument/2006/relationships/hyperlink" Target="https://onlinelibrary.wiley.com/doi/10.1002/anie.202525818?af=R" TargetMode="External"/><Relationship Id="rId430" Type="http://schemas.openxmlformats.org/officeDocument/2006/relationships/hyperlink" Target="https://doi.org/10.1002/anie.202525818" TargetMode="External"/><Relationship Id="rId431" Type="http://schemas.openxmlformats.org/officeDocument/2006/relationships/hyperlink" Target="http://dx.doi.org/10.1021/acsenergylett.6c00171" TargetMode="External"/><Relationship Id="rId432" Type="http://schemas.openxmlformats.org/officeDocument/2006/relationships/hyperlink" Target="https://doi.org/10.1021/acsenergylett.6c00171" TargetMode="External"/><Relationship Id="rId433" Type="http://schemas.openxmlformats.org/officeDocument/2006/relationships/hyperlink" Target="http://dx.doi.org/10.1021/jacs.5c18723" TargetMode="External"/><Relationship Id="rId434" Type="http://schemas.openxmlformats.org/officeDocument/2006/relationships/hyperlink" Target="https://doi.org/10.1021/jacs.5c18723" TargetMode="External"/><Relationship Id="rId435" Type="http://schemas.openxmlformats.org/officeDocument/2006/relationships/hyperlink" Target="http://dx.doi.org/10.1021/jacs.5c21383" TargetMode="External"/><Relationship Id="rId436" Type="http://schemas.openxmlformats.org/officeDocument/2006/relationships/hyperlink" Target="https://doi.org/10.1021/jacs.5c21383" TargetMode="External"/><Relationship Id="rId437" Type="http://schemas.openxmlformats.org/officeDocument/2006/relationships/hyperlink" Target="http://dx.doi.org/10.1021/jacs.6c01373" TargetMode="External"/><Relationship Id="rId438" Type="http://schemas.openxmlformats.org/officeDocument/2006/relationships/hyperlink" Target="https://doi.org/10.1021/jacs.6c01373" TargetMode="External"/><Relationship Id="rId439" Type="http://schemas.openxmlformats.org/officeDocument/2006/relationships/hyperlink" Target="http://dx.doi.org/10.1021/acsenergylett.5c04242" TargetMode="External"/><Relationship Id="rId440" Type="http://schemas.openxmlformats.org/officeDocument/2006/relationships/hyperlink" Target="https://doi.org/10.1021/acsenergylett.5c04242" TargetMode="External"/><Relationship Id="rId441" Type="http://schemas.openxmlformats.org/officeDocument/2006/relationships/hyperlink" Target="http://dx.doi.org/10.1021/jacs.5c16597" TargetMode="External"/><Relationship Id="rId442" Type="http://schemas.openxmlformats.org/officeDocument/2006/relationships/hyperlink" Target="https://doi.org/10.1021/jacs.5c16597" TargetMode="External"/><Relationship Id="rId443" Type="http://schemas.openxmlformats.org/officeDocument/2006/relationships/hyperlink" Target="http://dx.doi.org/10.1021/acs.chemrev.5c00992" TargetMode="External"/><Relationship Id="rId444" Type="http://schemas.openxmlformats.org/officeDocument/2006/relationships/hyperlink" Target="https://doi.org/10.1021/acs.chemrev.5c00992" TargetMode="External"/><Relationship Id="rId445" Type="http://schemas.openxmlformats.org/officeDocument/2006/relationships/hyperlink" Target="http://dx.doi.org/10.1021/jacs.6c00274" TargetMode="External"/><Relationship Id="rId446" Type="http://schemas.openxmlformats.org/officeDocument/2006/relationships/hyperlink" Target="https://doi.org/10.1021/jacs.6c00274" TargetMode="External"/><Relationship Id="rId447" Type="http://schemas.openxmlformats.org/officeDocument/2006/relationships/hyperlink" Target="http://dx.doi.org/10.1021/jacs.5c21638" TargetMode="External"/><Relationship Id="rId448" Type="http://schemas.openxmlformats.org/officeDocument/2006/relationships/hyperlink" Target="https://doi.org/10.1021/jacs.5c21638" TargetMode="External"/><Relationship Id="rId449" Type="http://schemas.openxmlformats.org/officeDocument/2006/relationships/hyperlink" Target="http://pubs.rsc.org/en/Content/ArticleLanding/2026/EE/D6EE00740F" TargetMode="External"/><Relationship Id="rId450" Type="http://schemas.openxmlformats.org/officeDocument/2006/relationships/hyperlink" Target="https://www.cell.com/matter/fulltext/S2590-2385(26)00031-7?rss=yes" TargetMode="External"/><Relationship Id="rId451" Type="http://schemas.openxmlformats.org/officeDocument/2006/relationships/hyperlink" Target="https://doi.org/10.1016/j.matt.2026.102668" TargetMode="External"/><Relationship Id="rId452" Type="http://schemas.openxmlformats.org/officeDocument/2006/relationships/hyperlink" Target="https://www.nature.com/articles/s41467-026-70508-x" TargetMode="External"/><Relationship Id="rId453" Type="http://schemas.openxmlformats.org/officeDocument/2006/relationships/hyperlink" Target="https://doi.org/10.1038/s41467-026-70508-x" TargetMode="External"/><Relationship Id="rId454" Type="http://schemas.openxmlformats.org/officeDocument/2006/relationships/hyperlink" Target="https://www.cell.com/chem/fulltext/S2451-9294(26)00002-1?rss=yes" TargetMode="External"/><Relationship Id="rId455" Type="http://schemas.openxmlformats.org/officeDocument/2006/relationships/hyperlink" Target="https://doi.org/10.1016/j.chempr.2026.102936" TargetMode="External"/><Relationship Id="rId456" Type="http://schemas.openxmlformats.org/officeDocument/2006/relationships/hyperlink" Target="https://academic.oup.com/nsr/advance-article/doi/10.1093/nsr/nwag141/8512899?rss=1" TargetMode="External"/><Relationship Id="rId457" Type="http://schemas.openxmlformats.org/officeDocument/2006/relationships/hyperlink" Target="https://doi.org/10.1093/nsr/nwag141" TargetMode="External"/><Relationship Id="rId458" Type="http://schemas.openxmlformats.org/officeDocument/2006/relationships/hyperlink" Target="https://academic.oup.com/nsr/advance-article/doi/10.1093/nsr/nwag151/8512895?rss=1" TargetMode="External"/><Relationship Id="rId459" Type="http://schemas.openxmlformats.org/officeDocument/2006/relationships/hyperlink" Target="https://doi.org/10.1093/nsr/nwag151" TargetMode="External"/><Relationship Id="rId460" Type="http://schemas.openxmlformats.org/officeDocument/2006/relationships/hyperlink" Target="https://www.nature.com/articles/s41560-026-01966-2" TargetMode="External"/><Relationship Id="rId461" Type="http://schemas.openxmlformats.org/officeDocument/2006/relationships/hyperlink" Target="https://doi.org/10.1038/s41560-026-01966-2" TargetMode="External"/><Relationship Id="rId462" Type="http://schemas.openxmlformats.org/officeDocument/2006/relationships/hyperlink" Target="https://www.nature.com/articles/s41467-026-70715-6" TargetMode="External"/><Relationship Id="rId463" Type="http://schemas.openxmlformats.org/officeDocument/2006/relationships/hyperlink" Target="https://doi.org/10.1038/s41467-026-70715-6" TargetMode="External"/><Relationship Id="rId464" Type="http://schemas.openxmlformats.org/officeDocument/2006/relationships/hyperlink" Target="https://www.nature.com/articles/s41467-026-70305-6" TargetMode="External"/><Relationship Id="rId465" Type="http://schemas.openxmlformats.org/officeDocument/2006/relationships/hyperlink" Target="https://doi.org/10.1038/s41467-026-70305-6" TargetMode="External"/><Relationship Id="rId466" Type="http://schemas.openxmlformats.org/officeDocument/2006/relationships/hyperlink" Target="https://www.sciencedirect.com/science/article/pii/S0301421526001679?dgcid=rss_sd_all" TargetMode="External"/><Relationship Id="rId467" Type="http://schemas.openxmlformats.org/officeDocument/2006/relationships/hyperlink" Target="https://www.sciencedirect.com/science/article/pii/S0301421526001667?dgcid=rss_sd_all" TargetMode="External"/><Relationship Id="rId468" Type="http://schemas.openxmlformats.org/officeDocument/2006/relationships/hyperlink" Target="https://www.sciencedirect.com/science/article/pii/S0301421526001473?dgcid=rss_sd_all" TargetMode="External"/><Relationship Id="rId469" Type="http://schemas.openxmlformats.org/officeDocument/2006/relationships/hyperlink" Target="https://www.nature.com/articles/s41928-026-01576-6" TargetMode="External"/><Relationship Id="rId470" Type="http://schemas.openxmlformats.org/officeDocument/2006/relationships/hyperlink" Target="https://doi.org/10.1038/s41928-026-01576-6" TargetMode="External"/><Relationship Id="rId471" Type="http://schemas.openxmlformats.org/officeDocument/2006/relationships/hyperlink" Target="https://academic.oup.com/nsr/advance-article/doi/10.1093/nsr/nwag147/8512892?rss=1" TargetMode="External"/><Relationship Id="rId472" Type="http://schemas.openxmlformats.org/officeDocument/2006/relationships/hyperlink" Target="https://doi.org/10.1093/nsr/nwag147" TargetMode="External"/><Relationship Id="rId473" Type="http://schemas.openxmlformats.org/officeDocument/2006/relationships/hyperlink" Target="https://academic.oup.com/nsr/advance-article/doi/10.1093/nsr/nwag148/8512890?rss=1" TargetMode="External"/><Relationship Id="rId474" Type="http://schemas.openxmlformats.org/officeDocument/2006/relationships/hyperlink" Target="https://doi.org/10.1093/nsr/nwag148" TargetMode="External"/><Relationship Id="rId475" Type="http://schemas.openxmlformats.org/officeDocument/2006/relationships/hyperlink" Target="https://www.nature.com/articles/s41557-026-02095-9" TargetMode="External"/><Relationship Id="rId476" Type="http://schemas.openxmlformats.org/officeDocument/2006/relationships/hyperlink" Target="https://doi.org/10.1038/s41557-026-02095-9" TargetMode="External"/><Relationship Id="rId477" Type="http://schemas.openxmlformats.org/officeDocument/2006/relationships/hyperlink" Target="http://pubs.rsc.org/en/Content/ArticleLanding/2026/EE/D5EE07465G" TargetMode="External"/><Relationship Id="rId478" Type="http://schemas.openxmlformats.org/officeDocument/2006/relationships/hyperlink" Target="http://pubs.rsc.org/en/Content/ArticleLanding/2026/EE/D5EE07649H" TargetMode="External"/><Relationship Id="rId479" Type="http://schemas.openxmlformats.org/officeDocument/2006/relationships/hyperlink" Target="https://academic.oup.com/nsr/advance-article/doi/10.1093/nsr/nwag150/8512882?rss=1" TargetMode="External"/><Relationship Id="rId480" Type="http://schemas.openxmlformats.org/officeDocument/2006/relationships/hyperlink" Target="https://doi.org/10.1093/nsr/nwag150" TargetMode="External"/><Relationship Id="rId481" Type="http://schemas.openxmlformats.org/officeDocument/2006/relationships/hyperlink" Target="https://www.nature.com/articles/s41893-026-01787-x" TargetMode="External"/><Relationship Id="rId482" Type="http://schemas.openxmlformats.org/officeDocument/2006/relationships/hyperlink" Target="https://doi.org/10.1038/s41893-026-01787-x" TargetMode="External"/><Relationship Id="rId483" Type="http://schemas.openxmlformats.org/officeDocument/2006/relationships/hyperlink" Target="https://www.sciencedirect.com/science/article/pii/S0306261926002916?dgcid=rss_sd_all" TargetMode="External"/><Relationship Id="rId484" Type="http://schemas.openxmlformats.org/officeDocument/2006/relationships/hyperlink" Target="https://www.nature.com/articles/s41467-026-70451-x" TargetMode="External"/><Relationship Id="rId485" Type="http://schemas.openxmlformats.org/officeDocument/2006/relationships/hyperlink" Target="https://doi.org/10.1038/s41467-026-70451-x" TargetMode="External"/><Relationship Id="rId486" Type="http://schemas.openxmlformats.org/officeDocument/2006/relationships/hyperlink" Target="https://www.nature.com/articles/s41563-026-02536-3" TargetMode="External"/><Relationship Id="rId487" Type="http://schemas.openxmlformats.org/officeDocument/2006/relationships/hyperlink" Target="https://doi.org/10.1038/s41563-026-02536-3" TargetMode="External"/><Relationship Id="rId488" Type="http://schemas.openxmlformats.org/officeDocument/2006/relationships/hyperlink" Target="https://www.sciencedirect.com/science/article/pii/S0306261926002904?dgcid=rss_sd_all" TargetMode="External"/><Relationship Id="rId489" Type="http://schemas.openxmlformats.org/officeDocument/2006/relationships/hyperlink" Target="https://www.nature.com/articles/s41586-026-10347-4" TargetMode="External"/><Relationship Id="rId490" Type="http://schemas.openxmlformats.org/officeDocument/2006/relationships/hyperlink" Target="https://doi.org/10.1038/s41586-026-10347-4" TargetMode="External"/><Relationship Id="rId491" Type="http://schemas.openxmlformats.org/officeDocument/2006/relationships/hyperlink" Target="https://www.nature.com/articles/d41586-026-00778-4" TargetMode="External"/><Relationship Id="rId492" Type="http://schemas.openxmlformats.org/officeDocument/2006/relationships/hyperlink" Target="https://doi.org/10.1038/d41586-026-00778-4" TargetMode="External"/><Relationship Id="rId493" Type="http://schemas.openxmlformats.org/officeDocument/2006/relationships/hyperlink" Target="https://www.nature.com/articles/d41586-026-00766-8" TargetMode="External"/><Relationship Id="rId494" Type="http://schemas.openxmlformats.org/officeDocument/2006/relationships/hyperlink" Target="https://doi.org/10.1038/d41586-026-00766-8" TargetMode="External"/><Relationship Id="rId495" Type="http://schemas.openxmlformats.org/officeDocument/2006/relationships/hyperlink" Target="https://www.nature.com/articles/d41586-026-00776-6" TargetMode="External"/><Relationship Id="rId496" Type="http://schemas.openxmlformats.org/officeDocument/2006/relationships/hyperlink" Target="https://doi.org/10.1038/d41586-026-00776-6" TargetMode="External"/><Relationship Id="rId497" Type="http://schemas.openxmlformats.org/officeDocument/2006/relationships/hyperlink" Target="https://www.nature.com/articles/d41586-026-00642-5" TargetMode="External"/><Relationship Id="rId498" Type="http://schemas.openxmlformats.org/officeDocument/2006/relationships/hyperlink" Target="https://doi.org/10.1038/d41586-026-00642-5" TargetMode="External"/><Relationship Id="rId499" Type="http://schemas.openxmlformats.org/officeDocument/2006/relationships/hyperlink" Target="https://www.nature.com/articles/d41586-026-00777-5" TargetMode="External"/><Relationship Id="rId500" Type="http://schemas.openxmlformats.org/officeDocument/2006/relationships/hyperlink" Target="https://doi.org/10.1038/d41586-026-00777-5" TargetMode="External"/><Relationship Id="rId501" Type="http://schemas.openxmlformats.org/officeDocument/2006/relationships/hyperlink" Target="https://www.nature.com/articles/d41586-026-00704-8" TargetMode="External"/><Relationship Id="rId502" Type="http://schemas.openxmlformats.org/officeDocument/2006/relationships/hyperlink" Target="https://doi.org/10.1038/d41586-026-00704-8" TargetMode="External"/><Relationship Id="rId503" Type="http://schemas.openxmlformats.org/officeDocument/2006/relationships/hyperlink" Target="https://www.nature.com/articles/d41586-026-00763-x" TargetMode="External"/><Relationship Id="rId504" Type="http://schemas.openxmlformats.org/officeDocument/2006/relationships/hyperlink" Target="https://doi.org/10.1038/d41586-026-00763-x" TargetMode="External"/><Relationship Id="rId505" Type="http://schemas.openxmlformats.org/officeDocument/2006/relationships/hyperlink" Target="https://www.nature.com/articles/d41586-026-00700-y" TargetMode="External"/><Relationship Id="rId506" Type="http://schemas.openxmlformats.org/officeDocument/2006/relationships/hyperlink" Target="https://doi.org/10.1038/d41586-026-00700-y" TargetMode="External"/><Relationship Id="rId507" Type="http://schemas.openxmlformats.org/officeDocument/2006/relationships/hyperlink" Target="https://www.nature.com/articles/d41586-026-00762-y" TargetMode="External"/><Relationship Id="rId508" Type="http://schemas.openxmlformats.org/officeDocument/2006/relationships/hyperlink" Target="https://doi.org/10.1038/d41586-026-00762-y" TargetMode="External"/><Relationship Id="rId509" Type="http://schemas.openxmlformats.org/officeDocument/2006/relationships/hyperlink" Target="https://www.nature.com/articles/d41586-026-00775-7" TargetMode="External"/><Relationship Id="rId510" Type="http://schemas.openxmlformats.org/officeDocument/2006/relationships/hyperlink" Target="https://doi.org/10.1038/d41586-026-00775-7" TargetMode="External"/><Relationship Id="rId511" Type="http://schemas.openxmlformats.org/officeDocument/2006/relationships/hyperlink" Target="https://www.nature.com/articles/d41586-026-00701-x" TargetMode="External"/><Relationship Id="rId512" Type="http://schemas.openxmlformats.org/officeDocument/2006/relationships/hyperlink" Target="https://doi.org/10.1038/d41586-026-00701-x" TargetMode="External"/><Relationship Id="rId513" Type="http://schemas.openxmlformats.org/officeDocument/2006/relationships/hyperlink" Target="https://www.nature.com/articles/d41586-026-00786-4" TargetMode="External"/><Relationship Id="rId514" Type="http://schemas.openxmlformats.org/officeDocument/2006/relationships/hyperlink" Target="https://doi.org/10.1038/d41586-026-00786-4" TargetMode="External"/><Relationship Id="rId515" Type="http://schemas.openxmlformats.org/officeDocument/2006/relationships/hyperlink" Target="https://www.nature.com/articles/s41563-026-02519-4" TargetMode="External"/><Relationship Id="rId516" Type="http://schemas.openxmlformats.org/officeDocument/2006/relationships/hyperlink" Target="https://doi.org/10.1038/s41563-026-02519-4" TargetMode="External"/><Relationship Id="rId517" Type="http://schemas.openxmlformats.org/officeDocument/2006/relationships/hyperlink" Target="https://www.nature.com/articles/s41563-026-02524-7" TargetMode="External"/><Relationship Id="rId518" Type="http://schemas.openxmlformats.org/officeDocument/2006/relationships/hyperlink" Target="https://doi.org/10.1038/s41563-026-02524-7" TargetMode="External"/><Relationship Id="rId519" Type="http://schemas.openxmlformats.org/officeDocument/2006/relationships/hyperlink" Target="https://www.cell.com/joule/fulltext/S2542-4351(26)00020-6?rss=yes" TargetMode="External"/><Relationship Id="rId520" Type="http://schemas.openxmlformats.org/officeDocument/2006/relationships/hyperlink" Target="https://doi.org/10.1016/j.joule.2026.102336" TargetMode="External"/><Relationship Id="rId521" Type="http://schemas.openxmlformats.org/officeDocument/2006/relationships/hyperlink" Target="https://www.cell.com/chem/fulltext/S2451-9294(26)00012-4?rss=yes" TargetMode="External"/><Relationship Id="rId522" Type="http://schemas.openxmlformats.org/officeDocument/2006/relationships/hyperlink" Target="https://doi.org/10.1016/j.chempr.2026.102946" TargetMode="External"/><Relationship Id="rId523" Type="http://schemas.openxmlformats.org/officeDocument/2006/relationships/hyperlink" Target="https://academic.oup.com/nsr/advance-article/doi/10.1093/nsr/nwag130/8512901?rss=1" TargetMode="External"/><Relationship Id="rId524" Type="http://schemas.openxmlformats.org/officeDocument/2006/relationships/hyperlink" Target="https://doi.org/10.1093/nsr/nwag130" TargetMode="External"/><Relationship Id="rId525" Type="http://schemas.openxmlformats.org/officeDocument/2006/relationships/hyperlink" Target="https://www.cell.com/chem/fulltext/S2451-9294(26)00011-2?rss=yes" TargetMode="External"/><Relationship Id="rId526" Type="http://schemas.openxmlformats.org/officeDocument/2006/relationships/hyperlink" Target="https://doi.org/10.1016/j.chempr.2026.102945" TargetMode="External"/><Relationship Id="rId527" Type="http://schemas.openxmlformats.org/officeDocument/2006/relationships/hyperlink" Target="https://www.cell.com/joule/fulltext/S2542-4351(26)00028-0?rss=yes" TargetMode="External"/><Relationship Id="rId528" Type="http://schemas.openxmlformats.org/officeDocument/2006/relationships/hyperlink" Target="https://doi.org/10.1016/j.joule.2026.102344" TargetMode="External"/><Relationship Id="rId529" Type="http://schemas.openxmlformats.org/officeDocument/2006/relationships/hyperlink" Target="https://www.nature.com/articles/d41586-026-00765-9" TargetMode="External"/><Relationship Id="rId530" Type="http://schemas.openxmlformats.org/officeDocument/2006/relationships/hyperlink" Target="https://doi.org/10.1038/d41586-026-00765-9" TargetMode="External"/><Relationship Id="rId531" Type="http://schemas.openxmlformats.org/officeDocument/2006/relationships/hyperlink" Target="https://advanced.onlinelibrary.wiley.com/doi/10.1002/adma.202523630?af=R" TargetMode="External"/><Relationship Id="rId532" Type="http://schemas.openxmlformats.org/officeDocument/2006/relationships/hyperlink" Target="https://doi.org/10.1002/adma.202523630" TargetMode="External"/><Relationship Id="rId533" Type="http://schemas.openxmlformats.org/officeDocument/2006/relationships/hyperlink" Target="https://advanced.onlinelibrary.wiley.com/doi/10.1002/adma.202518557?af=R" TargetMode="External"/><Relationship Id="rId534" Type="http://schemas.openxmlformats.org/officeDocument/2006/relationships/hyperlink" Target="https://doi.org/10.1002/adma.202518557" TargetMode="External"/><Relationship Id="rId535" Type="http://schemas.openxmlformats.org/officeDocument/2006/relationships/hyperlink" Target="https://advanced.onlinelibrary.wiley.com/doi/10.1002/adma.202521688?af=R" TargetMode="External"/><Relationship Id="rId536" Type="http://schemas.openxmlformats.org/officeDocument/2006/relationships/hyperlink" Target="https://doi.org/10.1002/adma.202521688" TargetMode="External"/><Relationship Id="rId537" Type="http://schemas.openxmlformats.org/officeDocument/2006/relationships/hyperlink" Target="https://advanced.onlinelibrary.wiley.com/doi/10.1002/adma.202520546?af=R" TargetMode="External"/><Relationship Id="rId538" Type="http://schemas.openxmlformats.org/officeDocument/2006/relationships/hyperlink" Target="https://doi.org/10.1002/adma.202520546" TargetMode="External"/><Relationship Id="rId539" Type="http://schemas.openxmlformats.org/officeDocument/2006/relationships/hyperlink" Target="https://advanced.onlinelibrary.wiley.com/doi/10.1002/adma.202521677?af=R" TargetMode="External"/><Relationship Id="rId540" Type="http://schemas.openxmlformats.org/officeDocument/2006/relationships/hyperlink" Target="https://doi.org/10.1002/adma.202521677" TargetMode="External"/><Relationship Id="rId541" Type="http://schemas.openxmlformats.org/officeDocument/2006/relationships/hyperlink" Target="https://advanced.onlinelibrary.wiley.com/doi/10.1002/adma.72738?af=R" TargetMode="External"/><Relationship Id="rId542" Type="http://schemas.openxmlformats.org/officeDocument/2006/relationships/hyperlink" Target="https://doi.org/10.1002/adma.72738" TargetMode="External"/><Relationship Id="rId543" Type="http://schemas.openxmlformats.org/officeDocument/2006/relationships/hyperlink" Target="https://advanced.onlinelibrary.wiley.com/doi/10.1002/adma.202520911?af=R" TargetMode="External"/><Relationship Id="rId544" Type="http://schemas.openxmlformats.org/officeDocument/2006/relationships/hyperlink" Target="https://doi.org/10.1002/adma.202520911" TargetMode="External"/><Relationship Id="rId545" Type="http://schemas.openxmlformats.org/officeDocument/2006/relationships/hyperlink" Target="https://advanced.onlinelibrary.wiley.com/doi/10.1002/adma.202520540?af=R" TargetMode="External"/><Relationship Id="rId546" Type="http://schemas.openxmlformats.org/officeDocument/2006/relationships/hyperlink" Target="https://doi.org/10.1002/adma.202520540" TargetMode="External"/><Relationship Id="rId547" Type="http://schemas.openxmlformats.org/officeDocument/2006/relationships/hyperlink" Target="https://onlinelibrary.wiley.com/doi/10.1002/anie.4521405?af=R" TargetMode="External"/><Relationship Id="rId548" Type="http://schemas.openxmlformats.org/officeDocument/2006/relationships/hyperlink" Target="https://doi.org/10.1002/anie.4521405" TargetMode="External"/><Relationship Id="rId549" Type="http://schemas.openxmlformats.org/officeDocument/2006/relationships/hyperlink" Target="https://www.pnas.org/doi/abs/10.1073/pnas.2528913123?mi=eymic2&amp;af=R&amp;access=on&amp;content=articlesChapters&amp;publication=pnas&amp;sortBy=Earliest&amp;target=default" TargetMode="External"/><Relationship Id="rId550" Type="http://schemas.openxmlformats.org/officeDocument/2006/relationships/hyperlink" Target="https://doi.org/10.1073/pnas.2528913123" TargetMode="External"/><Relationship Id="rId551" Type="http://schemas.openxmlformats.org/officeDocument/2006/relationships/hyperlink" Target="https://www.pnas.org/doi/abs/10.1073/pnas.2536412123?mi=eymic2&amp;af=R&amp;access=on&amp;content=articlesChapters&amp;publication=pnas&amp;sortBy=Earliest&amp;target=default" TargetMode="External"/><Relationship Id="rId552" Type="http://schemas.openxmlformats.org/officeDocument/2006/relationships/hyperlink" Target="https://doi.org/10.1073/pnas.2536412123" TargetMode="External"/><Relationship Id="rId553" Type="http://schemas.openxmlformats.org/officeDocument/2006/relationships/hyperlink" Target="https://www.pnas.org/doi/abs/10.1073/pnas.2536038123?mi=eymic2&amp;af=R&amp;access=on&amp;content=articlesChapters&amp;publication=pnas&amp;sortBy=Earliest&amp;target=default" TargetMode="External"/><Relationship Id="rId554" Type="http://schemas.openxmlformats.org/officeDocument/2006/relationships/hyperlink" Target="https://doi.org/10.1073/pnas.2536038123" TargetMode="External"/><Relationship Id="rId555" Type="http://schemas.openxmlformats.org/officeDocument/2006/relationships/hyperlink" Target="https://www.pnas.org/doi/abs/10.1073/pnas.2534280123?mi=eymic2&amp;af=R&amp;access=on&amp;content=articlesChapters&amp;publication=pnas&amp;sortBy=Earliest&amp;target=default" TargetMode="External"/><Relationship Id="rId556" Type="http://schemas.openxmlformats.org/officeDocument/2006/relationships/hyperlink" Target="https://doi.org/10.1073/pnas.2534280123" TargetMode="External"/><Relationship Id="rId557" Type="http://schemas.openxmlformats.org/officeDocument/2006/relationships/hyperlink" Target="https://www.pnas.org/doi/abs/10.1073/pnas.2533687123?mi=eymic2&amp;af=R&amp;access=on&amp;content=articlesChapters&amp;publication=pnas&amp;sortBy=Earliest&amp;target=default" TargetMode="External"/><Relationship Id="rId558" Type="http://schemas.openxmlformats.org/officeDocument/2006/relationships/hyperlink" Target="https://doi.org/10.1073/pnas.2533687123" TargetMode="External"/><Relationship Id="rId559" Type="http://schemas.openxmlformats.org/officeDocument/2006/relationships/hyperlink" Target="https://www.pnas.org/doi/abs/10.1073/pnas.2533676123?mi=eymic2&amp;af=R&amp;access=on&amp;content=articlesChapters&amp;publication=pnas&amp;sortBy=Earliest&amp;target=default" TargetMode="External"/><Relationship Id="rId560" Type="http://schemas.openxmlformats.org/officeDocument/2006/relationships/hyperlink" Target="https://doi.org/10.1073/pnas.2533676123" TargetMode="External"/><Relationship Id="rId561" Type="http://schemas.openxmlformats.org/officeDocument/2006/relationships/hyperlink" Target="https://www.pnas.org/doi/abs/10.1073/pnas.2531921123?mi=eymic2&amp;af=R&amp;access=on&amp;content=articlesChapters&amp;publication=pnas&amp;sortBy=Earliest&amp;target=default" TargetMode="External"/><Relationship Id="rId562" Type="http://schemas.openxmlformats.org/officeDocument/2006/relationships/hyperlink" Target="https://doi.org/10.1073/pnas.2531921123" TargetMode="External"/><Relationship Id="rId563" Type="http://schemas.openxmlformats.org/officeDocument/2006/relationships/hyperlink" Target="https://www.pnas.org/doi/abs/10.1073/pnas.2515400123?mi=eymic2&amp;af=R&amp;access=on&amp;content=articlesChapters&amp;publication=pnas&amp;sortBy=Earliest&amp;target=default" TargetMode="External"/><Relationship Id="rId564" Type="http://schemas.openxmlformats.org/officeDocument/2006/relationships/hyperlink" Target="https://doi.org/10.1073/pnas.2515400123" TargetMode="External"/><Relationship Id="rId565" Type="http://schemas.openxmlformats.org/officeDocument/2006/relationships/hyperlink" Target="https://www.pnas.org/doi/abs/10.1073/pnas.2537058123?mi=eymic2&amp;af=R&amp;access=on&amp;content=articlesChapters&amp;publication=pnas&amp;sortBy=Earliest&amp;target=default" TargetMode="External"/><Relationship Id="rId566" Type="http://schemas.openxmlformats.org/officeDocument/2006/relationships/hyperlink" Target="https://doi.org/10.1073/pnas.2537058123" TargetMode="External"/><Relationship Id="rId567" Type="http://schemas.openxmlformats.org/officeDocument/2006/relationships/hyperlink" Target="https://www.pnas.org/doi/abs/10.1073/pnas.2524995123?mi=eymic2&amp;af=R&amp;access=on&amp;content=articlesChapters&amp;publication=pnas&amp;sortBy=Earliest&amp;target=default" TargetMode="External"/><Relationship Id="rId568" Type="http://schemas.openxmlformats.org/officeDocument/2006/relationships/hyperlink" Target="https://doi.org/10.1073/pnas.2524995123" TargetMode="External"/><Relationship Id="rId569" Type="http://schemas.openxmlformats.org/officeDocument/2006/relationships/hyperlink" Target="https://www.pnas.org/doi/abs/10.1073/pnas.2524358123?mi=eymic2&amp;af=R&amp;access=on&amp;content=articlesChapters&amp;publication=pnas&amp;sortBy=Earliest&amp;target=default" TargetMode="External"/><Relationship Id="rId570" Type="http://schemas.openxmlformats.org/officeDocument/2006/relationships/hyperlink" Target="https://doi.org/10.1073/pnas.2524358123" TargetMode="External"/><Relationship Id="rId571" Type="http://schemas.openxmlformats.org/officeDocument/2006/relationships/hyperlink" Target="https://www.pnas.org/doi/abs/10.1073/pnas.2521539123?mi=eymic2&amp;af=R&amp;access=on&amp;content=articlesChapters&amp;publication=pnas&amp;sortBy=Earliest&amp;target=default" TargetMode="External"/><Relationship Id="rId572" Type="http://schemas.openxmlformats.org/officeDocument/2006/relationships/hyperlink" Target="https://doi.org/10.1073/pnas.2521539123" TargetMode="External"/><Relationship Id="rId573" Type="http://schemas.openxmlformats.org/officeDocument/2006/relationships/hyperlink" Target="https://www.pnas.org/doi/abs/10.1073/pnas.2521343123?mi=eymic2&amp;af=R&amp;access=on&amp;content=articlesChapters&amp;publication=pnas&amp;sortBy=Earliest&amp;target=default" TargetMode="External"/><Relationship Id="rId574" Type="http://schemas.openxmlformats.org/officeDocument/2006/relationships/hyperlink" Target="https://doi.org/10.1073/pnas.2521343123" TargetMode="External"/><Relationship Id="rId575" Type="http://schemas.openxmlformats.org/officeDocument/2006/relationships/hyperlink" Target="https://www.pnas.org/doi/abs/10.1073/pnas.2519476123?mi=eymic2&amp;af=R&amp;access=on&amp;content=articlesChapters&amp;publication=pnas&amp;sortBy=Earliest&amp;target=default" TargetMode="External"/><Relationship Id="rId576" Type="http://schemas.openxmlformats.org/officeDocument/2006/relationships/hyperlink" Target="https://doi.org/10.1073/pnas.2519476123" TargetMode="External"/><Relationship Id="rId577" Type="http://schemas.openxmlformats.org/officeDocument/2006/relationships/hyperlink" Target="https://www.pnas.org/doi/abs/10.1073/pnas.2515348123?mi=eymic2&amp;af=R&amp;access=on&amp;content=articlesChapters&amp;publication=pnas&amp;sortBy=Earliest&amp;target=default" TargetMode="External"/><Relationship Id="rId578" Type="http://schemas.openxmlformats.org/officeDocument/2006/relationships/hyperlink" Target="https://doi.org/10.1073/pnas.2515348123" TargetMode="External"/><Relationship Id="rId579" Type="http://schemas.openxmlformats.org/officeDocument/2006/relationships/hyperlink" Target="https://www.pnas.org/doi/abs/10.1073/pnas.2514355123?mi=eymic2&amp;af=R&amp;access=on&amp;content=articlesChapters&amp;publication=pnas&amp;sortBy=Earliest&amp;target=default" TargetMode="External"/><Relationship Id="rId580" Type="http://schemas.openxmlformats.org/officeDocument/2006/relationships/hyperlink" Target="https://doi.org/10.1073/pnas.2514355123" TargetMode="External"/><Relationship Id="rId581" Type="http://schemas.openxmlformats.org/officeDocument/2006/relationships/hyperlink" Target="https://www.pnas.org/doi/abs/10.1073/pnas.2508402123?mi=eymic2&amp;af=R&amp;access=on&amp;content=articlesChapters&amp;publication=pnas&amp;sortBy=Earliest&amp;target=default" TargetMode="External"/><Relationship Id="rId582" Type="http://schemas.openxmlformats.org/officeDocument/2006/relationships/hyperlink" Target="https://doi.org/10.1073/pnas.2508402123" TargetMode="External"/><Relationship Id="rId583" Type="http://schemas.openxmlformats.org/officeDocument/2006/relationships/hyperlink" Target="https://www.pnas.org/doi/abs/10.1073/iti1026123?mi=eymic2&amp;af=R&amp;access=on&amp;content=articlesChapters&amp;publication=pnas&amp;sortBy=Earliest&amp;target=default" TargetMode="External"/><Relationship Id="rId584" Type="http://schemas.openxmlformats.org/officeDocument/2006/relationships/hyperlink" Target="https://doi.org/10.1073/iti1026123" TargetMode="External"/><Relationship Id="rId585" Type="http://schemas.openxmlformats.org/officeDocument/2006/relationships/hyperlink" Target="https://www.pnas.org/doi/abs/10.1073/pnas.2529764123?mi=eymic2&amp;af=R&amp;access=on&amp;content=articlesChapters&amp;publication=pnas&amp;sortBy=Earliest&amp;target=default" TargetMode="External"/><Relationship Id="rId586" Type="http://schemas.openxmlformats.org/officeDocument/2006/relationships/hyperlink" Target="https://doi.org/10.1073/pnas.2529764123" TargetMode="External"/><Relationship Id="rId587" Type="http://schemas.openxmlformats.org/officeDocument/2006/relationships/hyperlink" Target="https://www.pnas.org/doi/abs/10.1073/pnas.2524427123?mi=eymic2&amp;af=R&amp;access=on&amp;content=articlesChapters&amp;publication=pnas&amp;sortBy=Earliest&amp;target=default" TargetMode="External"/><Relationship Id="rId588" Type="http://schemas.openxmlformats.org/officeDocument/2006/relationships/hyperlink" Target="https://doi.org/10.1073/pnas.2524427123" TargetMode="External"/><Relationship Id="rId589" Type="http://schemas.openxmlformats.org/officeDocument/2006/relationships/hyperlink" Target="https://onlinelibrary.wiley.com/doi/10.1002/anie.3365679?af=R" TargetMode="External"/><Relationship Id="rId590" Type="http://schemas.openxmlformats.org/officeDocument/2006/relationships/hyperlink" Target="https://doi.org/10.1002/anie.3365679" TargetMode="External"/><Relationship Id="rId591" Type="http://schemas.openxmlformats.org/officeDocument/2006/relationships/hyperlink" Target="https://onlinelibrary.wiley.com/doi/10.1002/anie.202525871?af=R" TargetMode="External"/><Relationship Id="rId592" Type="http://schemas.openxmlformats.org/officeDocument/2006/relationships/hyperlink" Target="https://doi.org/10.1002/anie.202525871" TargetMode="External"/><Relationship Id="rId593" Type="http://schemas.openxmlformats.org/officeDocument/2006/relationships/hyperlink" Target="https://onlinelibrary.wiley.com/doi/10.1002/anie.202523588?af=R" TargetMode="External"/><Relationship Id="rId594" Type="http://schemas.openxmlformats.org/officeDocument/2006/relationships/hyperlink" Target="https://doi.org/10.1002/anie.202523588" TargetMode="External"/><Relationship Id="rId595" Type="http://schemas.openxmlformats.org/officeDocument/2006/relationships/hyperlink" Target="http://dx.doi.org/10.1021/jacs.5c20721" TargetMode="External"/><Relationship Id="rId596" Type="http://schemas.openxmlformats.org/officeDocument/2006/relationships/hyperlink" Target="https://doi.org/10.1021/jacs.5c20721" TargetMode="External"/><Relationship Id="rId597" Type="http://schemas.openxmlformats.org/officeDocument/2006/relationships/hyperlink" Target="http://dx.doi.org/10.1021/jacs.5c19958" TargetMode="External"/><Relationship Id="rId598" Type="http://schemas.openxmlformats.org/officeDocument/2006/relationships/hyperlink" Target="https://doi.org/10.1021/jacs.5c19958" TargetMode="External"/><Relationship Id="rId599" Type="http://schemas.openxmlformats.org/officeDocument/2006/relationships/hyperlink" Target="http://dx.doi.org/10.1021/jacs.5c18903" TargetMode="External"/><Relationship Id="rId600" Type="http://schemas.openxmlformats.org/officeDocument/2006/relationships/hyperlink" Target="https://doi.org/10.1021/jacs.5c18903" TargetMode="External"/><Relationship Id="rId601" Type="http://schemas.openxmlformats.org/officeDocument/2006/relationships/hyperlink" Target="https://www.nature.com/articles/d41586-026-00796-2" TargetMode="External"/><Relationship Id="rId602" Type="http://schemas.openxmlformats.org/officeDocument/2006/relationships/hyperlink" Target="https://doi.org/10.1038/d41586-026-00796-2" TargetMode="External"/><Relationship Id="rId603" Type="http://schemas.openxmlformats.org/officeDocument/2006/relationships/hyperlink" Target="https://www.nature.com/articles/d41586-026-00494-z" TargetMode="External"/><Relationship Id="rId604" Type="http://schemas.openxmlformats.org/officeDocument/2006/relationships/hyperlink" Target="https://doi.org/10.1038/d41586-026-00494-z" TargetMode="External"/><Relationship Id="rId605" Type="http://schemas.openxmlformats.org/officeDocument/2006/relationships/hyperlink" Target="https://www.nature.com/articles/d41586-026-00781-9" TargetMode="External"/><Relationship Id="rId606" Type="http://schemas.openxmlformats.org/officeDocument/2006/relationships/hyperlink" Target="https://doi.org/10.1038/d41586-026-00781-9" TargetMode="External"/><Relationship Id="rId607" Type="http://schemas.openxmlformats.org/officeDocument/2006/relationships/hyperlink" Target="https://www.nature.com/articles/d41586-025-04167-1" TargetMode="External"/><Relationship Id="rId608" Type="http://schemas.openxmlformats.org/officeDocument/2006/relationships/hyperlink" Target="https://doi.org/10.1038/d41586-025-04167-1" TargetMode="External"/><Relationship Id="rId609" Type="http://schemas.openxmlformats.org/officeDocument/2006/relationships/hyperlink" Target="https://www.nature.com/articles/d41586-026-00699-2" TargetMode="External"/><Relationship Id="rId610" Type="http://schemas.openxmlformats.org/officeDocument/2006/relationships/hyperlink" Target="https://doi.org/10.1038/d41586-026-00699-2" TargetMode="External"/><Relationship Id="rId611" Type="http://schemas.openxmlformats.org/officeDocument/2006/relationships/hyperlink" Target="https://www.nature.com/articles/d41586-026-00715-5" TargetMode="External"/><Relationship Id="rId612" Type="http://schemas.openxmlformats.org/officeDocument/2006/relationships/hyperlink" Target="https://doi.org/10.1038/d41586-026-00715-5" TargetMode="External"/><Relationship Id="rId613" Type="http://schemas.openxmlformats.org/officeDocument/2006/relationships/hyperlink" Target="https://www.nature.com/articles/d41586-026-00727-1" TargetMode="External"/><Relationship Id="rId614" Type="http://schemas.openxmlformats.org/officeDocument/2006/relationships/hyperlink" Target="https://doi.org/10.1038/d41586-026-00727-1" TargetMode="External"/><Relationship Id="rId615" Type="http://schemas.openxmlformats.org/officeDocument/2006/relationships/hyperlink" Target="https://www.nature.com/articles/d41586-026-00489-w" TargetMode="External"/><Relationship Id="rId616" Type="http://schemas.openxmlformats.org/officeDocument/2006/relationships/hyperlink" Target="https://doi.org/10.1038/d41586-026-00489-w" TargetMode="External"/><Relationship Id="rId617" Type="http://schemas.openxmlformats.org/officeDocument/2006/relationships/hyperlink" Target="https://www.nature.com/articles/d41586-026-00492-1" TargetMode="External"/><Relationship Id="rId618" Type="http://schemas.openxmlformats.org/officeDocument/2006/relationships/hyperlink" Target="https://doi.org/10.1038/d41586-026-00492-1" TargetMode="External"/><Relationship Id="rId619" Type="http://schemas.openxmlformats.org/officeDocument/2006/relationships/hyperlink" Target="https://www.nature.com/articles/d41586-026-00795-3" TargetMode="External"/><Relationship Id="rId620" Type="http://schemas.openxmlformats.org/officeDocument/2006/relationships/hyperlink" Target="https://doi.org/10.1038/d41586-026-00795-3" TargetMode="External"/><Relationship Id="rId621" Type="http://schemas.openxmlformats.org/officeDocument/2006/relationships/hyperlink" Target="https://www.nature.com/articles/d41586-026-00757-9" TargetMode="External"/><Relationship Id="rId622" Type="http://schemas.openxmlformats.org/officeDocument/2006/relationships/hyperlink" Target="https://doi.org/10.1038/d41586-026-00757-9" TargetMode="External"/><Relationship Id="rId623" Type="http://schemas.openxmlformats.org/officeDocument/2006/relationships/hyperlink" Target="https://www.nature.com/articles/d41586-026-00724-4" TargetMode="External"/><Relationship Id="rId624" Type="http://schemas.openxmlformats.org/officeDocument/2006/relationships/hyperlink" Target="https://doi.org/10.1038/d41586-026-00724-4" TargetMode="External"/><Relationship Id="rId625" Type="http://schemas.openxmlformats.org/officeDocument/2006/relationships/hyperlink" Target="https://www.nature.com/articles/d41586-026-00493-0" TargetMode="External"/><Relationship Id="rId626" Type="http://schemas.openxmlformats.org/officeDocument/2006/relationships/hyperlink" Target="https://doi.org/10.1038/d41586-026-00493-0" TargetMode="External"/><Relationship Id="rId627" Type="http://schemas.openxmlformats.org/officeDocument/2006/relationships/hyperlink" Target="https://www.nature.com/articles/d41586-026-00610-z" TargetMode="External"/><Relationship Id="rId628" Type="http://schemas.openxmlformats.org/officeDocument/2006/relationships/hyperlink" Target="https://doi.org/10.1038/d41586-026-00610-z" TargetMode="External"/><Relationship Id="rId629" Type="http://schemas.openxmlformats.org/officeDocument/2006/relationships/hyperlink" Target="https://www.nature.com/articles/d41586-026-00801-8" TargetMode="External"/><Relationship Id="rId630" Type="http://schemas.openxmlformats.org/officeDocument/2006/relationships/hyperlink" Target="https://doi.org/10.1038/d41586-026-00801-8" TargetMode="External"/><Relationship Id="rId631" Type="http://schemas.openxmlformats.org/officeDocument/2006/relationships/hyperlink" Target="https://www.cell.com/joule/fulltext/S2542-4351(26)00025-5?rss=yes" TargetMode="External"/><Relationship Id="rId632" Type="http://schemas.openxmlformats.org/officeDocument/2006/relationships/hyperlink" Target="https://doi.org/10.1016/j.joule.2026.102341" TargetMode="External"/><Relationship Id="rId633" Type="http://schemas.openxmlformats.org/officeDocument/2006/relationships/hyperlink" Target="https://www.nature.com/articles/s41586-026-10240-0" TargetMode="External"/><Relationship Id="rId634" Type="http://schemas.openxmlformats.org/officeDocument/2006/relationships/hyperlink" Target="https://doi.org/10.1038/s41586-026-10240-0" TargetMode="External"/><Relationship Id="rId635" Type="http://schemas.openxmlformats.org/officeDocument/2006/relationships/hyperlink" Target="https://www.nature.com/articles/d41586-026-00720-8" TargetMode="External"/><Relationship Id="rId636" Type="http://schemas.openxmlformats.org/officeDocument/2006/relationships/hyperlink" Target="https://doi.org/10.1038/d41586-026-00720-8" TargetMode="External"/><Relationship Id="rId637" Type="http://schemas.openxmlformats.org/officeDocument/2006/relationships/hyperlink" Target="https://www.cell.com/matter/fulltext/S2590-2385(26)00034-2?rss=yes" TargetMode="External"/><Relationship Id="rId638" Type="http://schemas.openxmlformats.org/officeDocument/2006/relationships/hyperlink" Target="https://doi.org/10.1016/j.matt.2026.102671" TargetMode="External"/><Relationship Id="rId639" Type="http://schemas.openxmlformats.org/officeDocument/2006/relationships/hyperlink" Target="https://www.cell.com/matter/fulltext/S2590-2385(26)00032-9?rss=yes" TargetMode="External"/><Relationship Id="rId640" Type="http://schemas.openxmlformats.org/officeDocument/2006/relationships/hyperlink" Target="https://doi.org/10.1016/j.matt.2026.102669" TargetMode="External"/><Relationship Id="rId641" Type="http://schemas.openxmlformats.org/officeDocument/2006/relationships/hyperlink" Target="https://www.cell.com/one-earth/fulltext/S2590-3322(26)00025-4?rss=yes" TargetMode="External"/><Relationship Id="rId642" Type="http://schemas.openxmlformats.org/officeDocument/2006/relationships/hyperlink" Target="https://doi.org/10.1016/j.oneear.2026.101624" TargetMode="External"/><Relationship Id="rId643" Type="http://schemas.openxmlformats.org/officeDocument/2006/relationships/hyperlink" Target="https://www.cell.com/one-earth/fulltext/S2590-3322(26)00049-7?rss=yes" TargetMode="External"/><Relationship Id="rId644" Type="http://schemas.openxmlformats.org/officeDocument/2006/relationships/hyperlink" Target="https://doi.org/10.1016/j.oneear.2026.101648" TargetMode="External"/><Relationship Id="rId645" Type="http://schemas.openxmlformats.org/officeDocument/2006/relationships/hyperlink" Target="https://www.nature.com/articles/s41586-026-10302-3" TargetMode="External"/><Relationship Id="rId646" Type="http://schemas.openxmlformats.org/officeDocument/2006/relationships/hyperlink" Target="https://doi.org/10.1038/s41586-026-10302-3" TargetMode="External"/><Relationship Id="rId647" Type="http://schemas.openxmlformats.org/officeDocument/2006/relationships/hyperlink" Target="https://www.nature.com/articles/s41928-026-01583-7" TargetMode="External"/><Relationship Id="rId648" Type="http://schemas.openxmlformats.org/officeDocument/2006/relationships/hyperlink" Target="https://doi.org/10.1038/s41928-026-01583-7" TargetMode="External"/><Relationship Id="rId649" Type="http://schemas.openxmlformats.org/officeDocument/2006/relationships/hyperlink" Target="https://www.cell.com/joule/fulltext/S2542-4351(26)00027-9?rss=yes" TargetMode="External"/><Relationship Id="rId650" Type="http://schemas.openxmlformats.org/officeDocument/2006/relationships/hyperlink" Target="https://doi.org/10.1016/j.joule.2026.102343" TargetMode="External"/><Relationship Id="rId651" Type="http://schemas.openxmlformats.org/officeDocument/2006/relationships/hyperlink" Target="https://www.nature.com/articles/s41563-026-02491-z" TargetMode="External"/><Relationship Id="rId652" Type="http://schemas.openxmlformats.org/officeDocument/2006/relationships/hyperlink" Target="https://doi.org/10.1038/s41563-026-02491-z" TargetMode="External"/><Relationship Id="rId653" Type="http://schemas.openxmlformats.org/officeDocument/2006/relationships/hyperlink" Target="http://pubs.rsc.org/en/Content/ArticleLanding/2026/CS/D5CS00843C" TargetMode="External"/><Relationship Id="rId654" Type="http://schemas.openxmlformats.org/officeDocument/2006/relationships/hyperlink" Target="https://www.nature.com/articles/s41560-026-02007-8" TargetMode="External"/><Relationship Id="rId655" Type="http://schemas.openxmlformats.org/officeDocument/2006/relationships/hyperlink" Target="https://doi.org/10.1038/s41560-026-02007-8" TargetMode="External"/><Relationship Id="rId656" Type="http://schemas.openxmlformats.org/officeDocument/2006/relationships/hyperlink" Target="https://www.cell.com/joule/fulltext/S2542-4351(26)00022-X?rss=yes" TargetMode="External"/><Relationship Id="rId657" Type="http://schemas.openxmlformats.org/officeDocument/2006/relationships/hyperlink" Target="https://doi.org/10.1016/j.joule.2026.102338" TargetMode="External"/><Relationship Id="rId658" Type="http://schemas.openxmlformats.org/officeDocument/2006/relationships/hyperlink" Target="https://www.nature.com/articles/d41586-026-00756-w" TargetMode="External"/><Relationship Id="rId659" Type="http://schemas.openxmlformats.org/officeDocument/2006/relationships/hyperlink" Target="https://doi.org/10.1038/d41586-026-00756-w" TargetMode="External"/><Relationship Id="rId660" Type="http://schemas.openxmlformats.org/officeDocument/2006/relationships/hyperlink" Target="https://www.nature.com/articles/d41586-026-00800-9" TargetMode="External"/><Relationship Id="rId661" Type="http://schemas.openxmlformats.org/officeDocument/2006/relationships/hyperlink" Target="https://doi.org/10.1038/d41586-026-00800-9" TargetMode="External"/><Relationship Id="rId662" Type="http://schemas.openxmlformats.org/officeDocument/2006/relationships/hyperlink" Target="https://academic.oup.com/nsr/advance-article/doi/10.1093/nsr/nwag154/8514310?rss=1" TargetMode="External"/><Relationship Id="rId663" Type="http://schemas.openxmlformats.org/officeDocument/2006/relationships/hyperlink" Target="https://doi.org/10.1093/nsr/nwag154" TargetMode="External"/><Relationship Id="rId664" Type="http://schemas.openxmlformats.org/officeDocument/2006/relationships/hyperlink" Target="https://www.nature.com/articles/s41586-026-10180-9" TargetMode="External"/><Relationship Id="rId665" Type="http://schemas.openxmlformats.org/officeDocument/2006/relationships/hyperlink" Target="https://doi.org/10.1038/s41586-026-10180-9" TargetMode="External"/><Relationship Id="rId666" Type="http://schemas.openxmlformats.org/officeDocument/2006/relationships/hyperlink" Target="https://www.nature.com/articles/s41586-026-10256-6" TargetMode="External"/><Relationship Id="rId667" Type="http://schemas.openxmlformats.org/officeDocument/2006/relationships/hyperlink" Target="https://doi.org/10.1038/s41586-026-10256-6" TargetMode="External"/><Relationship Id="rId668" Type="http://schemas.openxmlformats.org/officeDocument/2006/relationships/hyperlink" Target="https://www.nature.com/articles/d41586-026-00815-2" TargetMode="External"/><Relationship Id="rId669" Type="http://schemas.openxmlformats.org/officeDocument/2006/relationships/hyperlink" Target="https://doi.org/10.1038/d41586-026-00815-2" TargetMode="External"/><Relationship Id="rId670" Type="http://schemas.openxmlformats.org/officeDocument/2006/relationships/hyperlink" Target="https://academic.oup.com/nsr/advance-article/doi/10.1093/nsr/nwag156/8514311?rss=1" TargetMode="External"/><Relationship Id="rId671" Type="http://schemas.openxmlformats.org/officeDocument/2006/relationships/hyperlink" Target="https://doi.org/10.1093/nsr/nwag156" TargetMode="External"/><Relationship Id="rId672" Type="http://schemas.openxmlformats.org/officeDocument/2006/relationships/hyperlink" Target="https://www.nature.com/articles/s41586-026-10244-w" TargetMode="External"/><Relationship Id="rId673" Type="http://schemas.openxmlformats.org/officeDocument/2006/relationships/hyperlink" Target="https://doi.org/10.1038/s41586-026-10244-w" TargetMode="External"/><Relationship Id="rId674" Type="http://schemas.openxmlformats.org/officeDocument/2006/relationships/hyperlink" Target="https://www.nature.com/articles/s41586-026-10225-z" TargetMode="External"/><Relationship Id="rId675" Type="http://schemas.openxmlformats.org/officeDocument/2006/relationships/hyperlink" Target="https://doi.org/10.1038/s41586-026-10225-z" TargetMode="External"/><Relationship Id="rId676" Type="http://schemas.openxmlformats.org/officeDocument/2006/relationships/hyperlink" Target="https://www.nature.com/articles/s41586-026-10241-z" TargetMode="External"/><Relationship Id="rId677" Type="http://schemas.openxmlformats.org/officeDocument/2006/relationships/hyperlink" Target="https://doi.org/10.1038/s41586-026-10241-z" TargetMode="External"/><Relationship Id="rId678" Type="http://schemas.openxmlformats.org/officeDocument/2006/relationships/hyperlink" Target="https://www.nature.com/articles/s41586-026-10206-2" TargetMode="External"/><Relationship Id="rId679" Type="http://schemas.openxmlformats.org/officeDocument/2006/relationships/hyperlink" Target="https://doi.org/10.1038/s41586-026-10206-2" TargetMode="External"/><Relationship Id="rId680" Type="http://schemas.openxmlformats.org/officeDocument/2006/relationships/hyperlink" Target="https://www.nature.com/articles/s41586-025-10038-6" TargetMode="External"/><Relationship Id="rId681" Type="http://schemas.openxmlformats.org/officeDocument/2006/relationships/hyperlink" Target="https://doi.org/10.1038/s41586-025-10038-6" TargetMode="External"/><Relationship Id="rId682" Type="http://schemas.openxmlformats.org/officeDocument/2006/relationships/hyperlink" Target="https://www.nature.com/articles/s41586-026-10248-6" TargetMode="External"/><Relationship Id="rId683" Type="http://schemas.openxmlformats.org/officeDocument/2006/relationships/hyperlink" Target="https://doi.org/10.1038/s41586-026-10248-6" TargetMode="External"/><Relationship Id="rId684" Type="http://schemas.openxmlformats.org/officeDocument/2006/relationships/hyperlink" Target="https://www.nature.com/articles/d41586-026-00768-6" TargetMode="External"/><Relationship Id="rId685" Type="http://schemas.openxmlformats.org/officeDocument/2006/relationships/hyperlink" Target="https://doi.org/10.1038/d41586-026-00768-6" TargetMode="External"/><Relationship Id="rId686" Type="http://schemas.openxmlformats.org/officeDocument/2006/relationships/hyperlink" Target="https://www.nature.com/articles/s41586-026-10229-9" TargetMode="External"/><Relationship Id="rId687" Type="http://schemas.openxmlformats.org/officeDocument/2006/relationships/hyperlink" Target="https://www.nature.com/articles/s41586-026-10191-6" TargetMode="External"/><Relationship Id="rId688" Type="http://schemas.openxmlformats.org/officeDocument/2006/relationships/hyperlink" Target="https://doi.org/10.1038/s41586-026-10191-6" TargetMode="External"/><Relationship Id="rId689" Type="http://schemas.openxmlformats.org/officeDocument/2006/relationships/hyperlink" Target="https://www.nature.com/articles/s41586-026-10120-7" TargetMode="External"/><Relationship Id="rId690" Type="http://schemas.openxmlformats.org/officeDocument/2006/relationships/hyperlink" Target="https://doi.org/10.1038/s41586-026-10120-7" TargetMode="External"/><Relationship Id="rId691" Type="http://schemas.openxmlformats.org/officeDocument/2006/relationships/hyperlink" Target="https://www.nature.com/articles/s41586-026-10208-0" TargetMode="External"/><Relationship Id="rId692" Type="http://schemas.openxmlformats.org/officeDocument/2006/relationships/hyperlink" Target="https://doi.org/10.1038/s41586-026-10208-0" TargetMode="External"/><Relationship Id="rId693" Type="http://schemas.openxmlformats.org/officeDocument/2006/relationships/hyperlink" Target="https://www.nature.com/articles/s41586-026-10216-0" TargetMode="External"/><Relationship Id="rId694" Type="http://schemas.openxmlformats.org/officeDocument/2006/relationships/hyperlink" Target="https://doi.org/10.1038/s41586-026-10216-0" TargetMode="External"/><Relationship Id="rId695" Type="http://schemas.openxmlformats.org/officeDocument/2006/relationships/hyperlink" Target="https://www.nature.com/articles/s41586-026-10238-8" TargetMode="External"/><Relationship Id="rId696" Type="http://schemas.openxmlformats.org/officeDocument/2006/relationships/hyperlink" Target="https://doi.org/10.1038/s41586-026-10238-8" TargetMode="External"/><Relationship Id="rId697" Type="http://schemas.openxmlformats.org/officeDocument/2006/relationships/hyperlink" Target="https://www.nature.com/articles/s41586-026-10151-0" TargetMode="External"/><Relationship Id="rId698" Type="http://schemas.openxmlformats.org/officeDocument/2006/relationships/hyperlink" Target="https://doi.org/10.1038/s41586-026-10151-0" TargetMode="External"/><Relationship Id="rId699" Type="http://schemas.openxmlformats.org/officeDocument/2006/relationships/hyperlink" Target="http://pubs.rsc.org/en/Content/ArticleLanding/2026/EE/D5EE07078C" TargetMode="External"/><Relationship Id="rId700" Type="http://schemas.openxmlformats.org/officeDocument/2006/relationships/hyperlink" Target="https://academic.oup.com/nsr/advance-article/doi/10.1093/nsr/nwag157/8514300?rss=1" TargetMode="External"/><Relationship Id="rId701" Type="http://schemas.openxmlformats.org/officeDocument/2006/relationships/hyperlink" Target="https://doi.org/10.1093/nsr/nwag157" TargetMode="External"/><Relationship Id="rId702" Type="http://schemas.openxmlformats.org/officeDocument/2006/relationships/hyperlink" Target="https://www.nature.com/articles/d41586-026-00490-3" TargetMode="External"/><Relationship Id="rId703" Type="http://schemas.openxmlformats.org/officeDocument/2006/relationships/hyperlink" Target="https://doi.org/10.1038/d41586-026-00490-3" TargetMode="External"/><Relationship Id="rId704" Type="http://schemas.openxmlformats.org/officeDocument/2006/relationships/hyperlink" Target="https://www.nature.com/articles/d41586-026-00707-5" TargetMode="External"/><Relationship Id="rId705" Type="http://schemas.openxmlformats.org/officeDocument/2006/relationships/hyperlink" Target="https://doi.org/10.1038/d41586-026-00707-5" TargetMode="External"/><Relationship Id="rId706" Type="http://schemas.openxmlformats.org/officeDocument/2006/relationships/hyperlink" Target="https://academic.oup.com/nsr/advance-article/doi/10.1093/nsr/nwag155/8514304?rss=1" TargetMode="External"/><Relationship Id="rId707" Type="http://schemas.openxmlformats.org/officeDocument/2006/relationships/hyperlink" Target="https://doi.org/10.1093/nsr/nwag155" TargetMode="External"/><Relationship Id="rId708" Type="http://schemas.openxmlformats.org/officeDocument/2006/relationships/hyperlink" Target="https://www.nature.com/articles/s41586-026-10215-1" TargetMode="External"/><Relationship Id="rId709" Type="http://schemas.openxmlformats.org/officeDocument/2006/relationships/hyperlink" Target="https://doi.org/10.1038/s41586-026-10215-1" TargetMode="External"/><Relationship Id="rId710" Type="http://schemas.openxmlformats.org/officeDocument/2006/relationships/hyperlink" Target="https://www.nature.com/articles/s41586-026-10136-z" TargetMode="External"/><Relationship Id="rId711" Type="http://schemas.openxmlformats.org/officeDocument/2006/relationships/hyperlink" Target="https://doi.org/10.1038/s41586-026-10136-z" TargetMode="External"/><Relationship Id="rId712" Type="http://schemas.openxmlformats.org/officeDocument/2006/relationships/hyperlink" Target="https://www.nature.com/articles/d41586-026-00770-y" TargetMode="External"/><Relationship Id="rId713" Type="http://schemas.openxmlformats.org/officeDocument/2006/relationships/hyperlink" Target="https://doi.org/10.1038/d41586-026-00770-y" TargetMode="External"/><Relationship Id="rId714" Type="http://schemas.openxmlformats.org/officeDocument/2006/relationships/hyperlink" Target="https://www.nature.com/articles/s41586-026-10183-6" TargetMode="External"/><Relationship Id="rId715" Type="http://schemas.openxmlformats.org/officeDocument/2006/relationships/hyperlink" Target="https://doi.org/10.1038/s41586-026-10183-6" TargetMode="External"/><Relationship Id="rId716" Type="http://schemas.openxmlformats.org/officeDocument/2006/relationships/hyperlink" Target="https://www.nature.com/articles/s41586-026-10228-w" TargetMode="External"/><Relationship Id="rId717" Type="http://schemas.openxmlformats.org/officeDocument/2006/relationships/hyperlink" Target="https://doi.org/10.1038/s41586-026-10228-w" TargetMode="External"/><Relationship Id="rId718" Type="http://schemas.openxmlformats.org/officeDocument/2006/relationships/hyperlink" Target="https://www.nature.com/articles/d41586-026-00798-0" TargetMode="External"/><Relationship Id="rId719" Type="http://schemas.openxmlformats.org/officeDocument/2006/relationships/hyperlink" Target="https://doi.org/10.1038/d41586-026-00798-0" TargetMode="External"/><Relationship Id="rId720" Type="http://schemas.openxmlformats.org/officeDocument/2006/relationships/hyperlink" Target="https://www.nature.com/articles/s41586-026-10214-2" TargetMode="External"/><Relationship Id="rId721" Type="http://schemas.openxmlformats.org/officeDocument/2006/relationships/hyperlink" Target="https://doi.org/10.1038/s41586-026-10214-2" TargetMode="External"/><Relationship Id="rId722" Type="http://schemas.openxmlformats.org/officeDocument/2006/relationships/hyperlink" Target="https://www.bbc.com/news/articles/c9dn2znzez7o?at_medium=RSS&amp;at_campaign=rss" TargetMode="External"/><Relationship Id="rId723" Type="http://schemas.openxmlformats.org/officeDocument/2006/relationships/hyperlink" Target="https://www.bbc.com/news/articles/c8d52n0dnzro?at_medium=RSS&amp;at_campaign=rss" TargetMode="External"/><Relationship Id="rId724" Type="http://schemas.openxmlformats.org/officeDocument/2006/relationships/hyperlink" Target="https://www.science.org/content/article/after-35-years-ig-nobel-ceremony-leave-u-s" TargetMode="External"/><Relationship Id="rId725" Type="http://schemas.openxmlformats.org/officeDocument/2006/relationships/hyperlink" Target="https://onlinelibrary.wiley.com/doi/10.1002/anie.6842784?af=R" TargetMode="External"/><Relationship Id="rId726" Type="http://schemas.openxmlformats.org/officeDocument/2006/relationships/hyperlink" Target="https://doi.org/10.1002/anie.6842784" TargetMode="External"/><Relationship Id="rId727" Type="http://schemas.openxmlformats.org/officeDocument/2006/relationships/hyperlink" Target="https://onlinelibrary.wiley.com/doi/10.1002/anie.2888040?af=R" TargetMode="External"/><Relationship Id="rId728" Type="http://schemas.openxmlformats.org/officeDocument/2006/relationships/hyperlink" Target="https://doi.org/10.1002/anie.2888040" TargetMode="External"/><Relationship Id="rId729" Type="http://schemas.openxmlformats.org/officeDocument/2006/relationships/hyperlink" Target="https://www.bbc.com/news/articles/cze0j2dgkx4o?at_medium=RSS&amp;at_campaign=rss" TargetMode="External"/><Relationship Id="rId730" Type="http://schemas.openxmlformats.org/officeDocument/2006/relationships/hyperlink" Target="https://ammoniaenergy.org/articles/envision-delivers-first-renewable-cargo-to-south-korea/" TargetMode="External"/><Relationship Id="rId731" Type="http://schemas.openxmlformats.org/officeDocument/2006/relationships/hyperlink" Target="https://advanced.onlinelibrary.wiley.com/doi/10.1002/adma.202518687?af=R" TargetMode="External"/><Relationship Id="rId732" Type="http://schemas.openxmlformats.org/officeDocument/2006/relationships/hyperlink" Target="https://doi.org/10.1002/adma.202518687" TargetMode="External"/><Relationship Id="rId733" Type="http://schemas.openxmlformats.org/officeDocument/2006/relationships/hyperlink" Target="https://ammoniaenergy.org/articles/jera-finalizes-billion-dollar-loan-for-blue-point-project/" TargetMode="External"/><Relationship Id="rId734" Type="http://schemas.openxmlformats.org/officeDocument/2006/relationships/hyperlink" Target="https://www.pnas.org/doi/abs/10.1073/pnas.2600783123?mi=eymic2&amp;af=R&amp;access=on&amp;content=articlesChapters&amp;publication=pnas&amp;sortBy=Earliest&amp;target=default" TargetMode="External"/><Relationship Id="rId735" Type="http://schemas.openxmlformats.org/officeDocument/2006/relationships/hyperlink" Target="https://doi.org/10.1073/pnas.2600783123" TargetMode="External"/><Relationship Id="rId736" Type="http://schemas.openxmlformats.org/officeDocument/2006/relationships/hyperlink" Target="https://www.pnas.org/doi/abs/10.1073/pnas.2508586123?mi=eymic2&amp;af=R&amp;access=on&amp;content=articlesChapters&amp;publication=pnas&amp;sortBy=Earliest&amp;target=default" TargetMode="External"/><Relationship Id="rId737" Type="http://schemas.openxmlformats.org/officeDocument/2006/relationships/hyperlink" Target="https://doi.org/10.1073/pnas.2508586123" TargetMode="External"/><Relationship Id="rId738" Type="http://schemas.openxmlformats.org/officeDocument/2006/relationships/hyperlink" Target="https://www.pnas.org/doi/abs/10.1073/pnas.2605957123?mi=eymic2&amp;af=R&amp;access=on&amp;content=articlesChapters&amp;publication=pnas&amp;sortBy=Earliest&amp;target=default" TargetMode="External"/><Relationship Id="rId739" Type="http://schemas.openxmlformats.org/officeDocument/2006/relationships/hyperlink" Target="https://doi.org/10.1073/pnas.2605957123" TargetMode="External"/><Relationship Id="rId740" Type="http://schemas.openxmlformats.org/officeDocument/2006/relationships/hyperlink" Target="https://www.pnas.org/doi/abs/10.1073/pnas.2605869123?mi=eymic2&amp;af=R&amp;access=on&amp;content=articlesChapters&amp;publication=pnas&amp;sortBy=Earliest&amp;target=default" TargetMode="External"/><Relationship Id="rId741" Type="http://schemas.openxmlformats.org/officeDocument/2006/relationships/hyperlink" Target="https://doi.org/10.1073/pnas.2605869123" TargetMode="External"/><Relationship Id="rId742" Type="http://schemas.openxmlformats.org/officeDocument/2006/relationships/hyperlink" Target="https://www.pnas.org/doi/abs/10.1073/pnas.2506313123?mi=eymic2&amp;af=R&amp;access=on&amp;content=articlesChapters&amp;publication=pnas&amp;sortBy=Earliest&amp;target=default" TargetMode="External"/><Relationship Id="rId743" Type="http://schemas.openxmlformats.org/officeDocument/2006/relationships/hyperlink" Target="https://doi.org/10.1073/pnas.2506313123" TargetMode="External"/><Relationship Id="rId744" Type="http://schemas.openxmlformats.org/officeDocument/2006/relationships/hyperlink" Target="https://www.pnas.org/doi/abs/10.1073/pnas.2524648123?mi=eymic2&amp;af=R&amp;access=on&amp;content=articlesChapters&amp;publication=pnas&amp;sortBy=Earliest&amp;target=default" TargetMode="External"/><Relationship Id="rId745" Type="http://schemas.openxmlformats.org/officeDocument/2006/relationships/hyperlink" Target="https://doi.org/10.1073/pnas.2524648123" TargetMode="External"/><Relationship Id="rId746" Type="http://schemas.openxmlformats.org/officeDocument/2006/relationships/hyperlink" Target="https://www.science.org/doi/abs/10.1126/sciadv.adz1686?af=R" TargetMode="External"/><Relationship Id="rId747" Type="http://schemas.openxmlformats.org/officeDocument/2006/relationships/hyperlink" Target="https://doi.org/10.1126/sciadv.adz1686" TargetMode="External"/><Relationship Id="rId748" Type="http://schemas.openxmlformats.org/officeDocument/2006/relationships/hyperlink" Target="https://www.pnas.org/doi/abs/10.1073/pnas.2503019123?mi=eymic2&amp;af=R&amp;access=on&amp;content=articlesChapters&amp;publication=pnas&amp;sortBy=Earliest&amp;target=default" TargetMode="External"/><Relationship Id="rId749" Type="http://schemas.openxmlformats.org/officeDocument/2006/relationships/hyperlink" Target="https://doi.org/10.1073/pnas.2503019123" TargetMode="External"/><Relationship Id="rId750" Type="http://schemas.openxmlformats.org/officeDocument/2006/relationships/hyperlink" Target="https://www.science.org/doi/abs/10.1126/sciadv.aeb1611?af=R" TargetMode="External"/><Relationship Id="rId751" Type="http://schemas.openxmlformats.org/officeDocument/2006/relationships/hyperlink" Target="https://doi.org/10.1126/sciadv.aeb1611" TargetMode="External"/><Relationship Id="rId752" Type="http://schemas.openxmlformats.org/officeDocument/2006/relationships/hyperlink" Target="https://www.science.org/doi/abs/10.1126/sciadv.aeb2066?af=R" TargetMode="External"/><Relationship Id="rId753" Type="http://schemas.openxmlformats.org/officeDocument/2006/relationships/hyperlink" Target="https://doi.org/10.1126/sciadv.aeb2066" TargetMode="External"/><Relationship Id="rId754" Type="http://schemas.openxmlformats.org/officeDocument/2006/relationships/hyperlink" Target="https://www.science.org/doi/abs/10.1126/sciadv.aed1426?af=R" TargetMode="External"/><Relationship Id="rId755" Type="http://schemas.openxmlformats.org/officeDocument/2006/relationships/hyperlink" Target="https://doi.org/10.1126/sciadv.aed1426" TargetMode="External"/><Relationship Id="rId756" Type="http://schemas.openxmlformats.org/officeDocument/2006/relationships/hyperlink" Target="https://www.science.org/doi/abs/10.1126/sciadv.adx6791?af=R" TargetMode="External"/><Relationship Id="rId757" Type="http://schemas.openxmlformats.org/officeDocument/2006/relationships/hyperlink" Target="https://doi.org/10.1126/sciadv.adx6791" TargetMode="External"/><Relationship Id="rId758" Type="http://schemas.openxmlformats.org/officeDocument/2006/relationships/hyperlink" Target="https://www.science.org/doi/abs/10.1126/sciadv.adx1214?af=R" TargetMode="External"/><Relationship Id="rId759" Type="http://schemas.openxmlformats.org/officeDocument/2006/relationships/hyperlink" Target="https://doi.org/10.1126/sciadv.adx1214" TargetMode="External"/><Relationship Id="rId760" Type="http://schemas.openxmlformats.org/officeDocument/2006/relationships/hyperlink" Target="https://www.science.org/doi/abs/10.1126/sciadv.aeb3121?af=R" TargetMode="External"/><Relationship Id="rId761" Type="http://schemas.openxmlformats.org/officeDocument/2006/relationships/hyperlink" Target="https://doi.org/10.1126/sciadv.aeb3121" TargetMode="External"/><Relationship Id="rId762" Type="http://schemas.openxmlformats.org/officeDocument/2006/relationships/hyperlink" Target="https://www.science.org/doi/abs/10.1126/sciadv.adr1776?af=R" TargetMode="External"/><Relationship Id="rId763" Type="http://schemas.openxmlformats.org/officeDocument/2006/relationships/hyperlink" Target="https://doi.org/10.1126/sciadv.adr1776" TargetMode="External"/><Relationship Id="rId764" Type="http://schemas.openxmlformats.org/officeDocument/2006/relationships/hyperlink" Target="https://www.science.org/doi/abs/10.1126/sciadv.aec0269?af=R" TargetMode="External"/><Relationship Id="rId765" Type="http://schemas.openxmlformats.org/officeDocument/2006/relationships/hyperlink" Target="https://doi.org/10.1126/sciadv.aec0269" TargetMode="External"/><Relationship Id="rId766" Type="http://schemas.openxmlformats.org/officeDocument/2006/relationships/hyperlink" Target="https://www.science.org/doi/abs/10.1126/sciadv.aed9652?af=R" TargetMode="External"/><Relationship Id="rId767" Type="http://schemas.openxmlformats.org/officeDocument/2006/relationships/hyperlink" Target="https://doi.org/10.1126/sciadv.aed9652" TargetMode="External"/><Relationship Id="rId768" Type="http://schemas.openxmlformats.org/officeDocument/2006/relationships/hyperlink" Target="https://www.science.org/doi/abs/10.1126/sciadv.adz2240?af=R" TargetMode="External"/><Relationship Id="rId769" Type="http://schemas.openxmlformats.org/officeDocument/2006/relationships/hyperlink" Target="https://doi.org/10.1126/sciadv.adz2240" TargetMode="External"/><Relationship Id="rId770" Type="http://schemas.openxmlformats.org/officeDocument/2006/relationships/hyperlink" Target="https://www.pnas.org/doi/abs/10.1073/pnas.2519586123?mi=eymic2&amp;af=R&amp;access=on&amp;content=articlesChapters&amp;publication=pnas&amp;sortBy=Earliest&amp;target=default" TargetMode="External"/><Relationship Id="rId771" Type="http://schemas.openxmlformats.org/officeDocument/2006/relationships/hyperlink" Target="https://doi.org/10.1073/pnas.2519586123" TargetMode="External"/><Relationship Id="rId772" Type="http://schemas.openxmlformats.org/officeDocument/2006/relationships/hyperlink" Target="https://www.science.org/doi/abs/10.1126/sciadv.aea1492?af=R" TargetMode="External"/><Relationship Id="rId773" Type="http://schemas.openxmlformats.org/officeDocument/2006/relationships/hyperlink" Target="https://www.pnas.org/doi/abs/10.1073/pnas.2520703123?mi=eymic2&amp;af=R&amp;access=on&amp;content=articlesChapters&amp;publication=pnas&amp;sortBy=Earliest&amp;target=default" TargetMode="External"/><Relationship Id="rId774" Type="http://schemas.openxmlformats.org/officeDocument/2006/relationships/hyperlink" Target="https://doi.org/10.1073/pnas.2520703123" TargetMode="External"/><Relationship Id="rId775" Type="http://schemas.openxmlformats.org/officeDocument/2006/relationships/hyperlink" Target="https://www.science.org/doi/abs/10.1126/sciadv.adx9845?af=R" TargetMode="External"/><Relationship Id="rId776" Type="http://schemas.openxmlformats.org/officeDocument/2006/relationships/hyperlink" Target="https://doi.org/10.1126/sciadv.adx9845" TargetMode="External"/><Relationship Id="rId777" Type="http://schemas.openxmlformats.org/officeDocument/2006/relationships/hyperlink" Target="https://www.science.org/doi/abs/10.1126/sciadv.aea4046?af=R" TargetMode="External"/><Relationship Id="rId778" Type="http://schemas.openxmlformats.org/officeDocument/2006/relationships/hyperlink" Target="https://doi.org/10.1126/sciadv.aea4046" TargetMode="External"/><Relationship Id="rId779" Type="http://schemas.openxmlformats.org/officeDocument/2006/relationships/hyperlink" Target="https://www.pnas.org/doi/abs/10.1073/pnas.2606204123?mi=eymic2&amp;af=R&amp;access=on&amp;content=articlesChapters&amp;publication=pnas&amp;sortBy=Earliest&amp;target=default" TargetMode="External"/><Relationship Id="rId780" Type="http://schemas.openxmlformats.org/officeDocument/2006/relationships/hyperlink" Target="https://doi.org/10.1073/pnas.2606204123" TargetMode="External"/><Relationship Id="rId781" Type="http://schemas.openxmlformats.org/officeDocument/2006/relationships/hyperlink" Target="https://www.science.org/doi/abs/10.1126/sciadv.adw5085?af=R" TargetMode="External"/><Relationship Id="rId782" Type="http://schemas.openxmlformats.org/officeDocument/2006/relationships/hyperlink" Target="https://doi.org/10.1126/sciadv.adw5085" TargetMode="External"/><Relationship Id="rId783" Type="http://schemas.openxmlformats.org/officeDocument/2006/relationships/hyperlink" Target="https://www.pnas.org/doi/abs/10.1073/pnas.2534452123?mi=eymic2&amp;af=R&amp;access=on&amp;content=articlesChapters&amp;publication=pnas&amp;sortBy=Earliest&amp;target=default" TargetMode="External"/><Relationship Id="rId784" Type="http://schemas.openxmlformats.org/officeDocument/2006/relationships/hyperlink" Target="https://doi.org/10.1073/pnas.2534452123" TargetMode="External"/><Relationship Id="rId785" Type="http://schemas.openxmlformats.org/officeDocument/2006/relationships/hyperlink" Target="https://www.pnas.org/doi/abs/10.1073/pnas.2520834123?mi=eymic2&amp;af=R&amp;access=on&amp;content=articlesChapters&amp;publication=pnas&amp;sortBy=Earliest&amp;target=default" TargetMode="External"/><Relationship Id="rId786" Type="http://schemas.openxmlformats.org/officeDocument/2006/relationships/hyperlink" Target="https://doi.org/10.1073/pnas.2520834123" TargetMode="External"/><Relationship Id="rId787" Type="http://schemas.openxmlformats.org/officeDocument/2006/relationships/hyperlink" Target="https://www.pnas.org/doi/abs/10.1073/pnas.2533145123?mi=eymic2&amp;af=R&amp;access=on&amp;content=articlesChapters&amp;publication=pnas&amp;sortBy=Earliest&amp;target=default" TargetMode="External"/><Relationship Id="rId788" Type="http://schemas.openxmlformats.org/officeDocument/2006/relationships/hyperlink" Target="https://doi.org/10.1073/pnas.2533145123" TargetMode="External"/><Relationship Id="rId789" Type="http://schemas.openxmlformats.org/officeDocument/2006/relationships/hyperlink" Target="https://www.pnas.org/doi/abs/10.1073/pnas.2531268123?mi=eymic2&amp;af=R&amp;access=on&amp;content=articlesChapters&amp;publication=pnas&amp;sortBy=Earliest&amp;target=default" TargetMode="External"/><Relationship Id="rId790" Type="http://schemas.openxmlformats.org/officeDocument/2006/relationships/hyperlink" Target="https://doi.org/10.1073/pnas.2531268123" TargetMode="External"/><Relationship Id="rId791" Type="http://schemas.openxmlformats.org/officeDocument/2006/relationships/hyperlink" Target="https://www.pnas.org/doi/abs/10.1073/pnas.2531197123?mi=eymic2&amp;af=R&amp;access=on&amp;content=articlesChapters&amp;publication=pnas&amp;sortBy=Earliest&amp;target=default" TargetMode="External"/><Relationship Id="rId792" Type="http://schemas.openxmlformats.org/officeDocument/2006/relationships/hyperlink" Target="https://doi.org/10.1073/pnas.2531197123" TargetMode="External"/><Relationship Id="rId793" Type="http://schemas.openxmlformats.org/officeDocument/2006/relationships/hyperlink" Target="https://www.pnas.org/doi/abs/10.1073/pnas.2530443123?mi=eymic2&amp;af=R&amp;access=on&amp;content=articlesChapters&amp;publication=pnas&amp;sortBy=Earliest&amp;target=default" TargetMode="External"/><Relationship Id="rId794" Type="http://schemas.openxmlformats.org/officeDocument/2006/relationships/hyperlink" Target="https://doi.org/10.1073/pnas.2530443123" TargetMode="External"/><Relationship Id="rId795" Type="http://schemas.openxmlformats.org/officeDocument/2006/relationships/hyperlink" Target="https://www.pnas.org/doi/abs/10.1073/pnas.2530369123?mi=eymic2&amp;af=R&amp;access=on&amp;content=articlesChapters&amp;publication=pnas&amp;sortBy=Earliest&amp;target=default" TargetMode="External"/><Relationship Id="rId796" Type="http://schemas.openxmlformats.org/officeDocument/2006/relationships/hyperlink" Target="https://doi.org/10.1073/pnas.2530369123" TargetMode="External"/><Relationship Id="rId797" Type="http://schemas.openxmlformats.org/officeDocument/2006/relationships/hyperlink" Target="https://www.pnas.org/doi/abs/10.1073/pnas.2529820123?mi=eymic2&amp;af=R&amp;access=on&amp;content=articlesChapters&amp;publication=pnas&amp;sortBy=Earliest&amp;target=default" TargetMode="External"/><Relationship Id="rId798" Type="http://schemas.openxmlformats.org/officeDocument/2006/relationships/hyperlink" Target="https://doi.org/10.1073/pnas.2529820123" TargetMode="External"/><Relationship Id="rId799" Type="http://schemas.openxmlformats.org/officeDocument/2006/relationships/hyperlink" Target="https://www.pnas.org/doi/abs/10.1073/pnas.2528250123?mi=eymic2&amp;af=R&amp;access=on&amp;content=articlesChapters&amp;publication=pnas&amp;sortBy=Earliest&amp;target=default" TargetMode="External"/><Relationship Id="rId800" Type="http://schemas.openxmlformats.org/officeDocument/2006/relationships/hyperlink" Target="https://doi.org/10.1073/pnas.2528250123" TargetMode="External"/><Relationship Id="rId801" Type="http://schemas.openxmlformats.org/officeDocument/2006/relationships/hyperlink" Target="https://www.pnas.org/doi/abs/10.1073/pnas.2527371123?mi=eymic2&amp;af=R&amp;access=on&amp;content=articlesChapters&amp;publication=pnas&amp;sortBy=Earliest&amp;target=default" TargetMode="External"/><Relationship Id="rId802" Type="http://schemas.openxmlformats.org/officeDocument/2006/relationships/hyperlink" Target="https://doi.org/10.1073/pnas.2527371123" TargetMode="External"/><Relationship Id="rId803" Type="http://schemas.openxmlformats.org/officeDocument/2006/relationships/hyperlink" Target="https://www.science.org/doi/abs/10.1126/sciadv.adw5578?af=R" TargetMode="External"/><Relationship Id="rId804" Type="http://schemas.openxmlformats.org/officeDocument/2006/relationships/hyperlink" Target="https://doi.org/10.1126/sciadv.adw5578" TargetMode="External"/><Relationship Id="rId805" Type="http://schemas.openxmlformats.org/officeDocument/2006/relationships/hyperlink" Target="https://www.science.org/doi/abs/10.1126/sciadv.aea6805?af=R" TargetMode="External"/><Relationship Id="rId806" Type="http://schemas.openxmlformats.org/officeDocument/2006/relationships/hyperlink" Target="https://doi.org/10.1126/sciadv.aea6805" TargetMode="External"/><Relationship Id="rId807" Type="http://schemas.openxmlformats.org/officeDocument/2006/relationships/hyperlink" Target="https://www.pnas.org/doi/abs/10.1073/pnas.2523765123?mi=eymic2&amp;af=R&amp;access=on&amp;content=articlesChapters&amp;publication=pnas&amp;sortBy=Earliest&amp;target=default" TargetMode="External"/><Relationship Id="rId808" Type="http://schemas.openxmlformats.org/officeDocument/2006/relationships/hyperlink" Target="https://doi.org/10.1073/pnas.2523765123" TargetMode="External"/><Relationship Id="rId809" Type="http://schemas.openxmlformats.org/officeDocument/2006/relationships/hyperlink" Target="https://www.science.org/doi/abs/10.1126/sciadv.aea9061?af=R" TargetMode="External"/><Relationship Id="rId810" Type="http://schemas.openxmlformats.org/officeDocument/2006/relationships/hyperlink" Target="https://www.science.org/doi/abs/10.1126/sciadv.adz5826?af=R" TargetMode="External"/><Relationship Id="rId811" Type="http://schemas.openxmlformats.org/officeDocument/2006/relationships/hyperlink" Target="https://doi.org/10.1126/sciadv.adz5826" TargetMode="External"/><Relationship Id="rId812" Type="http://schemas.openxmlformats.org/officeDocument/2006/relationships/hyperlink" Target="https://www.science.org/doi/abs/10.1126/sciadv.adz2433?af=R" TargetMode="External"/><Relationship Id="rId813" Type="http://schemas.openxmlformats.org/officeDocument/2006/relationships/hyperlink" Target="https://doi.org/10.1126/sciadv.adz2433" TargetMode="External"/><Relationship Id="rId814" Type="http://schemas.openxmlformats.org/officeDocument/2006/relationships/hyperlink" Target="https://www.science.org/doi/abs/10.1126/sciadv.adz3266?af=R" TargetMode="External"/><Relationship Id="rId815" Type="http://schemas.openxmlformats.org/officeDocument/2006/relationships/hyperlink" Target="https://doi.org/10.1126/sciadv.adz3266" TargetMode="External"/><Relationship Id="rId816" Type="http://schemas.openxmlformats.org/officeDocument/2006/relationships/hyperlink" Target="https://www.science.org/doi/abs/10.1126/sciadv.adx8500?af=R" TargetMode="External"/><Relationship Id="rId817" Type="http://schemas.openxmlformats.org/officeDocument/2006/relationships/hyperlink" Target="https://doi.org/10.1126/sciadv.adx8500" TargetMode="External"/><Relationship Id="rId818" Type="http://schemas.openxmlformats.org/officeDocument/2006/relationships/hyperlink" Target="https://www.science.org/doi/abs/10.1126/sciadv.adz1722?af=R" TargetMode="External"/><Relationship Id="rId819" Type="http://schemas.openxmlformats.org/officeDocument/2006/relationships/hyperlink" Target="https://doi.org/10.1126/sciadv.adz1722" TargetMode="External"/><Relationship Id="rId820" Type="http://schemas.openxmlformats.org/officeDocument/2006/relationships/hyperlink" Target="https://www.science.org/doi/abs/10.1126/sciadv.aea6342?af=R" TargetMode="External"/><Relationship Id="rId821" Type="http://schemas.openxmlformats.org/officeDocument/2006/relationships/hyperlink" Target="https://doi.org/10.1126/sciadv.aea6342" TargetMode="External"/><Relationship Id="rId822" Type="http://schemas.openxmlformats.org/officeDocument/2006/relationships/hyperlink" Target="https://www.science.org/doi/abs/10.1126/sciadv.aea7319?af=R" TargetMode="External"/><Relationship Id="rId823" Type="http://schemas.openxmlformats.org/officeDocument/2006/relationships/hyperlink" Target="https://doi.org/10.1126/sciadv.aea7319" TargetMode="External"/><Relationship Id="rId824" Type="http://schemas.openxmlformats.org/officeDocument/2006/relationships/hyperlink" Target="https://www.pnas.org/doi/abs/10.1073/pnas.2537547123?mi=eymic2&amp;af=R&amp;access=on&amp;content=articlesChapters&amp;publication=pnas&amp;sortBy=Earliest&amp;target=default" TargetMode="External"/><Relationship Id="rId825" Type="http://schemas.openxmlformats.org/officeDocument/2006/relationships/hyperlink" Target="https://doi.org/10.1073/pnas.2537547123" TargetMode="External"/><Relationship Id="rId826" Type="http://schemas.openxmlformats.org/officeDocument/2006/relationships/hyperlink" Target="https://www.science.org/doi/abs/10.1126/sciadv.aec3342?af=R" TargetMode="External"/><Relationship Id="rId827" Type="http://schemas.openxmlformats.org/officeDocument/2006/relationships/hyperlink" Target="https://doi.org/10.1126/sciadv.aec3342" TargetMode="External"/><Relationship Id="rId828" Type="http://schemas.openxmlformats.org/officeDocument/2006/relationships/hyperlink" Target="https://pubs.acs.org/doi/10.1021/crv126i005_2052033?af=R" TargetMode="External"/><Relationship Id="rId829" Type="http://schemas.openxmlformats.org/officeDocument/2006/relationships/hyperlink" Target="https://pubs.acs.org/doi/10.1021/crv126i005_2052032?af=R" TargetMode="External"/><Relationship Id="rId830" Type="http://schemas.openxmlformats.org/officeDocument/2006/relationships/hyperlink" Target="https://advanced.onlinelibrary.wiley.com/doi/10.1002/adma.202521432?af=R" TargetMode="External"/><Relationship Id="rId831" Type="http://schemas.openxmlformats.org/officeDocument/2006/relationships/hyperlink" Target="https://doi.org/10.1002/adma.202521432" TargetMode="External"/><Relationship Id="rId832" Type="http://schemas.openxmlformats.org/officeDocument/2006/relationships/hyperlink" Target="https://www.science.org/content/article/and-winner-science-s-2026-dance-your-ph-d-contest" TargetMode="External"/><Relationship Id="rId833" Type="http://schemas.openxmlformats.org/officeDocument/2006/relationships/hyperlink" Target="https://advanced.onlinelibrary.wiley.com/doi/10.1002/aenm.202504811?af=R" TargetMode="External"/><Relationship Id="rId834" Type="http://schemas.openxmlformats.org/officeDocument/2006/relationships/hyperlink" Target="https://doi.org/10.1002/aenm.202504811" TargetMode="External"/><Relationship Id="rId835" Type="http://schemas.openxmlformats.org/officeDocument/2006/relationships/hyperlink" Target="https://onlinelibrary.wiley.com/doi/10.1002/anie.2391261?af=R" TargetMode="External"/><Relationship Id="rId836" Type="http://schemas.openxmlformats.org/officeDocument/2006/relationships/hyperlink" Target="https://doi.org/10.1002/anie.2391261" TargetMode="External"/><Relationship Id="rId837" Type="http://schemas.openxmlformats.org/officeDocument/2006/relationships/hyperlink" Target="https://ammoniaenergy.org/articles/moeve-takes-fid-on-project-onuba/" TargetMode="External"/><Relationship Id="rId838" Type="http://schemas.openxmlformats.org/officeDocument/2006/relationships/hyperlink" Target="http://dx.doi.org/10.1021/acs.chemrev.5c00499" TargetMode="External"/><Relationship Id="rId839" Type="http://schemas.openxmlformats.org/officeDocument/2006/relationships/hyperlink" Target="https://doi.org/10.1021/acs.chemrev.5c00499" TargetMode="External"/><Relationship Id="rId840" Type="http://schemas.openxmlformats.org/officeDocument/2006/relationships/hyperlink" Target="http://dx.doi.org/10.1021/jacs.5c21181" TargetMode="External"/><Relationship Id="rId841" Type="http://schemas.openxmlformats.org/officeDocument/2006/relationships/hyperlink" Target="https://doi.org/10.1021/jacs.5c21181" TargetMode="External"/><Relationship Id="rId842" Type="http://schemas.openxmlformats.org/officeDocument/2006/relationships/hyperlink" Target="http://dx.doi.org/10.1021/jacs.5c22164" TargetMode="External"/><Relationship Id="rId843" Type="http://schemas.openxmlformats.org/officeDocument/2006/relationships/hyperlink" Target="https://doi.org/10.1021/jacs.5c22164" TargetMode="External"/><Relationship Id="rId844" Type="http://schemas.openxmlformats.org/officeDocument/2006/relationships/hyperlink" Target="https://www.electrive.com/2026/03/11/researchers-develop-improved-nmc-battery-pack-for-electric-buses/" TargetMode="External"/><Relationship Id="rId845" Type="http://schemas.openxmlformats.org/officeDocument/2006/relationships/hyperlink" Target="http://dx.doi.org/10.1021/jacs.6c01742" TargetMode="External"/><Relationship Id="rId846" Type="http://schemas.openxmlformats.org/officeDocument/2006/relationships/hyperlink" Target="https://doi.org/10.1021/jacs.6c01742" TargetMode="External"/><Relationship Id="rId847" Type="http://schemas.openxmlformats.org/officeDocument/2006/relationships/hyperlink" Target="http://dx.doi.org/10.1021/jacs.5c20042" TargetMode="External"/><Relationship Id="rId848" Type="http://schemas.openxmlformats.org/officeDocument/2006/relationships/hyperlink" Target="https://doi.org/10.1021/jacs.5c20042" TargetMode="External"/><Relationship Id="rId849" Type="http://schemas.openxmlformats.org/officeDocument/2006/relationships/hyperlink" Target="https://onlinelibrary.wiley.com/doi/10.1002/anie.5526474?af=R" TargetMode="External"/><Relationship Id="rId850" Type="http://schemas.openxmlformats.org/officeDocument/2006/relationships/hyperlink" Target="https://doi.org/10.1002/anie.5526474" TargetMode="External"/><Relationship Id="rId851" Type="http://schemas.openxmlformats.org/officeDocument/2006/relationships/hyperlink" Target="http://dx.doi.org/10.1021/jacs.5c19580" TargetMode="External"/><Relationship Id="rId852" Type="http://schemas.openxmlformats.org/officeDocument/2006/relationships/hyperlink" Target="https://doi.org/10.1021/jacs.5c19580" TargetMode="External"/><Relationship Id="rId853" Type="http://schemas.openxmlformats.org/officeDocument/2006/relationships/hyperlink" Target="http://dx.doi.org/10.1021/jacs.5c17573" TargetMode="External"/><Relationship Id="rId854" Type="http://schemas.openxmlformats.org/officeDocument/2006/relationships/hyperlink" Target="https://doi.org/10.1021/jacs.5c17573" TargetMode="External"/><Relationship Id="rId855" Type="http://schemas.openxmlformats.org/officeDocument/2006/relationships/hyperlink" Target="https://advanced.onlinelibrary.wiley.com/doi/10.1002/aenm.202505577?af=R" TargetMode="External"/><Relationship Id="rId856" Type="http://schemas.openxmlformats.org/officeDocument/2006/relationships/hyperlink" Target="https://advanced.onlinelibrary.wiley.com/doi/10.1002/aenm.70084?af=R" TargetMode="External"/><Relationship Id="rId857" Type="http://schemas.openxmlformats.org/officeDocument/2006/relationships/hyperlink" Target="https://advanced.onlinelibrary.wiley.com/doi/10.1002/aenm.202505514?af=R" TargetMode="External"/><Relationship Id="rId858" Type="http://schemas.openxmlformats.org/officeDocument/2006/relationships/hyperlink" Target="https://advanced.onlinelibrary.wiley.com/doi/10.1002/aenm.202505253?af=R" TargetMode="External"/><Relationship Id="rId859" Type="http://schemas.openxmlformats.org/officeDocument/2006/relationships/hyperlink" Target="https://advanced.onlinelibrary.wiley.com/doi/10.1002/aenm.202505992?af=R" TargetMode="External"/><Relationship Id="rId860" Type="http://schemas.openxmlformats.org/officeDocument/2006/relationships/hyperlink" Target="https://advanced.onlinelibrary.wiley.com/doi/10.1002/aenm.202504456?af=R" TargetMode="External"/><Relationship Id="rId861" Type="http://schemas.openxmlformats.org/officeDocument/2006/relationships/hyperlink" Target="https://advanced.onlinelibrary.wiley.com/doi/10.1002/aenm.202504607?af=R" TargetMode="External"/><Relationship Id="rId862" Type="http://schemas.openxmlformats.org/officeDocument/2006/relationships/hyperlink" Target="https://advanced.onlinelibrary.wiley.com/doi/10.1002/aenm.202505089?af=R" TargetMode="External"/><Relationship Id="rId863" Type="http://schemas.openxmlformats.org/officeDocument/2006/relationships/hyperlink" Target="https://advanced.onlinelibrary.wiley.com/doi/10.1002/aenm.202505450?af=R" TargetMode="External"/><Relationship Id="rId864" Type="http://schemas.openxmlformats.org/officeDocument/2006/relationships/hyperlink" Target="https://www.science.org/content/article/viagra-compound-may-hold-promise-treating-fatal-genetic-disease" TargetMode="External"/><Relationship Id="rId865" Type="http://schemas.openxmlformats.org/officeDocument/2006/relationships/hyperlink" Target="https://www.science.org/content/article/why-energy-department-s-science-labs-will-spearhead-federal-push-ai" TargetMode="External"/><Relationship Id="rId866" Type="http://schemas.openxmlformats.org/officeDocument/2006/relationships/hyperlink" Target="http://dx.doi.org/10.1021/jacs.5c18450" TargetMode="External"/><Relationship Id="rId867" Type="http://schemas.openxmlformats.org/officeDocument/2006/relationships/hyperlink" Target="https://doi.org/10.1021/jacs.5c18450" TargetMode="External"/><Relationship Id="rId868" Type="http://schemas.openxmlformats.org/officeDocument/2006/relationships/hyperlink" Target="http://dx.doi.org/10.1021/acsenergylett.6c00513" TargetMode="External"/><Relationship Id="rId869" Type="http://schemas.openxmlformats.org/officeDocument/2006/relationships/hyperlink" Target="https://doi.org/10.1021/acsenergylett.6c00513" TargetMode="External"/><Relationship Id="rId870" Type="http://schemas.openxmlformats.org/officeDocument/2006/relationships/hyperlink" Target="https://carbonherald.com/bregal-sphere-to-back-imperative-with-up-to-500m-for-nature-restoration-projects/?utm_source=rss&amp;utm_medium=rss&amp;utm_campaign=bregal-sphere-to-back-imperative-with-up-to-500m-for-nature-restoration-projects" TargetMode="External"/><Relationship Id="rId871" Type="http://schemas.openxmlformats.org/officeDocument/2006/relationships/hyperlink" Target="https://www.science.org/content/article/genetic-trick-helps-all-female-fish-species-escape-evolutionary-doom" TargetMode="External"/><Relationship Id="rId872" Type="http://schemas.openxmlformats.org/officeDocument/2006/relationships/hyperlink" Target="https://www.science.org/content/article/universe-s-brightest-stellar-explosions-may-be-powered-highly-magnetic-neutron-stars" TargetMode="External"/><Relationship Id="rId873" Type="http://schemas.openxmlformats.org/officeDocument/2006/relationships/hyperlink" Target="https://www.science.org/content/article/tour-de-force-mouse-study-shows-gut-microbe-can-promote-memory-loss" TargetMode="External"/><Relationship Id="rId874" Type="http://schemas.openxmlformats.org/officeDocument/2006/relationships/hyperlink" Target="http://dx.doi.org/10.1021/jacs.5c23137" TargetMode="External"/><Relationship Id="rId875" Type="http://schemas.openxmlformats.org/officeDocument/2006/relationships/hyperlink" Target="https://doi.org/10.1021/jacs.5c23137" TargetMode="External"/><Relationship Id="rId876" Type="http://schemas.openxmlformats.org/officeDocument/2006/relationships/hyperlink" Target="http://dx.doi.org/10.1021/jacs.6c00093" TargetMode="External"/><Relationship Id="rId877" Type="http://schemas.openxmlformats.org/officeDocument/2006/relationships/hyperlink" Target="https://doi.org/10.1021/jacs.6c00093" TargetMode="External"/><Relationship Id="rId878" Type="http://schemas.openxmlformats.org/officeDocument/2006/relationships/hyperlink" Target="https://onlinelibrary.wiley.com/doi/10.1002/anie.3805070?af=R" TargetMode="External"/><Relationship Id="rId879" Type="http://schemas.openxmlformats.org/officeDocument/2006/relationships/hyperlink" Target="https://doi.org/10.1002/anie.3805070" TargetMode="External"/><Relationship Id="rId880" Type="http://schemas.openxmlformats.org/officeDocument/2006/relationships/hyperlink" Target="https://advanced.onlinelibrary.wiley.com/doi/10.1002/adma.202521921?af=R" TargetMode="External"/><Relationship Id="rId881" Type="http://schemas.openxmlformats.org/officeDocument/2006/relationships/hyperlink" Target="https://doi.org/10.1002/adma.202521921" TargetMode="External"/><Relationship Id="rId882" Type="http://schemas.openxmlformats.org/officeDocument/2006/relationships/hyperlink" Target="https://advanced.onlinelibrary.wiley.com/doi/10.1002/adma.202523029?af=R" TargetMode="External"/><Relationship Id="rId883" Type="http://schemas.openxmlformats.org/officeDocument/2006/relationships/hyperlink" Target="https://doi.org/10.1002/adma.202523029" TargetMode="External"/><Relationship Id="rId884" Type="http://schemas.openxmlformats.org/officeDocument/2006/relationships/hyperlink" Target="https://advanced.onlinelibrary.wiley.com/doi/10.1002/aenm.202506779?af=R" TargetMode="External"/><Relationship Id="rId885" Type="http://schemas.openxmlformats.org/officeDocument/2006/relationships/hyperlink" Target="https://doi.org/10.1002/aenm.202506779" TargetMode="External"/><Relationship Id="rId886" Type="http://schemas.openxmlformats.org/officeDocument/2006/relationships/hyperlink" Target="https://advanced.onlinelibrary.wiley.com/doi/10.1002/adma.202522172?af=R" TargetMode="External"/><Relationship Id="rId887" Type="http://schemas.openxmlformats.org/officeDocument/2006/relationships/hyperlink" Target="https://doi.org/10.1002/adma.202522172" TargetMode="External"/><Relationship Id="rId888" Type="http://schemas.openxmlformats.org/officeDocument/2006/relationships/hyperlink" Target="https://advanced.onlinelibrary.wiley.com/doi/10.1002/adma.202523695?af=R" TargetMode="External"/><Relationship Id="rId889" Type="http://schemas.openxmlformats.org/officeDocument/2006/relationships/hyperlink" Target="https://doi.org/10.1002/adma.202523695" TargetMode="External"/><Relationship Id="rId890" Type="http://schemas.openxmlformats.org/officeDocument/2006/relationships/hyperlink" Target="https://advanced.onlinelibrary.wiley.com/doi/10.1002/adma.72714?af=R" TargetMode="External"/><Relationship Id="rId891" Type="http://schemas.openxmlformats.org/officeDocument/2006/relationships/hyperlink" Target="https://doi.org/10.1002/adma.72714" TargetMode="External"/><Relationship Id="rId892" Type="http://schemas.openxmlformats.org/officeDocument/2006/relationships/hyperlink" Target="https://advanced.onlinelibrary.wiley.com/doi/10.1002/adma.202519545?af=R" TargetMode="External"/><Relationship Id="rId893" Type="http://schemas.openxmlformats.org/officeDocument/2006/relationships/hyperlink" Target="https://doi.org/10.1002/adma.202519545" TargetMode="External"/><Relationship Id="rId894" Type="http://schemas.openxmlformats.org/officeDocument/2006/relationships/hyperlink" Target="https://www.pv-magazine.com/2026/03/11/eu-auditors-warn-energy-community-targets-outpace-reality/" TargetMode="External"/><Relationship Id="rId895" Type="http://schemas.openxmlformats.org/officeDocument/2006/relationships/hyperlink" Target="http://dx.doi.org/10.1021/jacs.5c23149" TargetMode="External"/><Relationship Id="rId896" Type="http://schemas.openxmlformats.org/officeDocument/2006/relationships/hyperlink" Target="https://doi.org/10.1021/jacs.5c23149" TargetMode="External"/><Relationship Id="rId897" Type="http://schemas.openxmlformats.org/officeDocument/2006/relationships/hyperlink" Target="http://dx.doi.org/10.1021/jacs.5c20047" TargetMode="External"/><Relationship Id="rId898" Type="http://schemas.openxmlformats.org/officeDocument/2006/relationships/hyperlink" Target="https://doi.org/10.1021/jacs.5c20047" TargetMode="External"/><Relationship Id="rId899" Type="http://schemas.openxmlformats.org/officeDocument/2006/relationships/hyperlink" Target="http://dx.doi.org/10.1021/jacs.6c00057" TargetMode="External"/><Relationship Id="rId900" Type="http://schemas.openxmlformats.org/officeDocument/2006/relationships/hyperlink" Target="https://doi.org/10.1021/jacs.6c00057" TargetMode="External"/><Relationship Id="rId901" Type="http://schemas.openxmlformats.org/officeDocument/2006/relationships/hyperlink" Target="http://dx.doi.org/10.1021/jacs.6c00209" TargetMode="External"/><Relationship Id="rId902" Type="http://schemas.openxmlformats.org/officeDocument/2006/relationships/hyperlink" Target="https://doi.org/10.1021/jacs.6c00209" TargetMode="External"/><Relationship Id="rId903" Type="http://schemas.openxmlformats.org/officeDocument/2006/relationships/hyperlink" Target="http://dx.doi.org/10.1021/jacs.5c21600" TargetMode="External"/><Relationship Id="rId904" Type="http://schemas.openxmlformats.org/officeDocument/2006/relationships/hyperlink" Target="https://doi.org/10.1021/jacs.5c21600" TargetMode="External"/><Relationship Id="rId905" Type="http://schemas.openxmlformats.org/officeDocument/2006/relationships/hyperlink" Target="http://dx.doi.org/10.1021/jacs.6c00723" TargetMode="External"/><Relationship Id="rId906" Type="http://schemas.openxmlformats.org/officeDocument/2006/relationships/hyperlink" Target="https://doi.org/10.1021/jacs.6c00723" TargetMode="External"/><Relationship Id="rId907" Type="http://schemas.openxmlformats.org/officeDocument/2006/relationships/hyperlink" Target="http://dx.doi.org/10.1021/jacs.5c21466" TargetMode="External"/><Relationship Id="rId908" Type="http://schemas.openxmlformats.org/officeDocument/2006/relationships/hyperlink" Target="https://doi.org/10.1021/jacs.5c21466" TargetMode="External"/><Relationship Id="rId909" Type="http://schemas.openxmlformats.org/officeDocument/2006/relationships/hyperlink" Target="http://dx.doi.org/10.1021/jacs.6c02736" TargetMode="External"/><Relationship Id="rId910" Type="http://schemas.openxmlformats.org/officeDocument/2006/relationships/hyperlink" Target="https://doi.org/10.1021/jacs.6c02736" TargetMode="External"/><Relationship Id="rId911" Type="http://schemas.openxmlformats.org/officeDocument/2006/relationships/hyperlink" Target="https://batteriesnews.com/samsung-sdi-warns-against-prismatic-battery-patent-infringement/" TargetMode="External"/><Relationship Id="rId912" Type="http://schemas.openxmlformats.org/officeDocument/2006/relationships/hyperlink" Target="https://www.sciencedirect.com/science/article/pii/S0306261926002862?dgcid=rss_sd_all" TargetMode="External"/><Relationship Id="rId913" Type="http://schemas.openxmlformats.org/officeDocument/2006/relationships/hyperlink" Target="https://www.sciencedirect.com/science/article/pii/S0306261926002928?dgcid=rss_sd_all" TargetMode="External"/><Relationship Id="rId914" Type="http://schemas.openxmlformats.org/officeDocument/2006/relationships/hyperlink" Target="https://www.sciencedirect.com/science/article/pii/S0306261926003016?dgcid=rss_sd_all" TargetMode="External"/><Relationship Id="rId915" Type="http://schemas.openxmlformats.org/officeDocument/2006/relationships/hyperlink" Target="https://www.sciencedirect.com/science/article/pii/S0306261926003107?dgcid=rss_sd_all" TargetMode="External"/><Relationship Id="rId916" Type="http://schemas.openxmlformats.org/officeDocument/2006/relationships/hyperlink" Target="https://www.sciencedirect.com/science/article/pii/S0306261926003168?dgcid=rss_sd_all" TargetMode="External"/><Relationship Id="rId917" Type="http://schemas.openxmlformats.org/officeDocument/2006/relationships/hyperlink" Target="https://www.sciencedirect.com/science/article/pii/S0306261926003077?dgcid=rss_sd_all" TargetMode="External"/><Relationship Id="rId918" Type="http://schemas.openxmlformats.org/officeDocument/2006/relationships/hyperlink" Target="https://www.sciencedirect.com/science/article/pii/S0306261926003090?dgcid=rss_sd_all" TargetMode="External"/><Relationship Id="rId919" Type="http://schemas.openxmlformats.org/officeDocument/2006/relationships/hyperlink" Target="https://www.sciencedirect.com/science/article/pii/S0306261926002138?dgcid=rss_sd_all" TargetMode="External"/><Relationship Id="rId920" Type="http://schemas.openxmlformats.org/officeDocument/2006/relationships/hyperlink" Target="https://www.sciencedirect.com/science/article/pii/S0306261926002758?dgcid=rss_sd_all" TargetMode="External"/><Relationship Id="rId921" Type="http://schemas.openxmlformats.org/officeDocument/2006/relationships/hyperlink" Target="https://www.sciencedirect.com/science/article/pii/S0306261926002217?dgcid=rss_sd_all" TargetMode="External"/><Relationship Id="rId922" Type="http://schemas.openxmlformats.org/officeDocument/2006/relationships/hyperlink" Target="https://www.sciencedirect.com/science/article/pii/S0306261926001686?dgcid=rss_sd_all" TargetMode="External"/><Relationship Id="rId923" Type="http://schemas.openxmlformats.org/officeDocument/2006/relationships/hyperlink" Target="https://www.sciencedirect.com/science/article/pii/S0301421526001813?dgcid=rss_sd_all" TargetMode="External"/><Relationship Id="rId924" Type="http://schemas.openxmlformats.org/officeDocument/2006/relationships/hyperlink" Target="https://www.sciencedirect.com/science/article/pii/S0306261926001984?dgcid=rss_sd_all" TargetMode="External"/><Relationship Id="rId925" Type="http://schemas.openxmlformats.org/officeDocument/2006/relationships/hyperlink" Target="https://www.sciencedirect.com/science/article/pii/S0306261926003028?dgcid=rss_sd_all" TargetMode="External"/><Relationship Id="rId926" Type="http://schemas.openxmlformats.org/officeDocument/2006/relationships/hyperlink" Target="https://www.sciencedirect.com/science/article/pii/S0306261926003089?dgcid=rss_sd_all" TargetMode="External"/><Relationship Id="rId927" Type="http://schemas.openxmlformats.org/officeDocument/2006/relationships/hyperlink" Target="https://www.nature.com/articles/d41586-026-00594-w" TargetMode="External"/><Relationship Id="rId928" Type="http://schemas.openxmlformats.org/officeDocument/2006/relationships/hyperlink" Target="https://doi.org/10.1038/d41586-026-00594-w" TargetMode="External"/><Relationship Id="rId929" Type="http://schemas.openxmlformats.org/officeDocument/2006/relationships/hyperlink" Target="https://www.nature.com/articles/d41586-026-00547-3" TargetMode="External"/><Relationship Id="rId930" Type="http://schemas.openxmlformats.org/officeDocument/2006/relationships/hyperlink" Target="https://doi.org/10.1038/d41586-026-00547-3" TargetMode="External"/><Relationship Id="rId931" Type="http://schemas.openxmlformats.org/officeDocument/2006/relationships/hyperlink" Target="http://pubs.rsc.org/en/Content/ArticleLanding/2026/CS/D6CS00030D" TargetMode="External"/><Relationship Id="rId932" Type="http://schemas.openxmlformats.org/officeDocument/2006/relationships/hyperlink" Target="https://www.nature.com/articles/s41563-026-02530-9" TargetMode="External"/><Relationship Id="rId933" Type="http://schemas.openxmlformats.org/officeDocument/2006/relationships/hyperlink" Target="https://doi.org/10.1038/s41563-026-02530-9" TargetMode="External"/><Relationship Id="rId934" Type="http://schemas.openxmlformats.org/officeDocument/2006/relationships/hyperlink" Target="http://pubs.rsc.org/en/Content/ArticleLanding/2026/CS/D5CS01091H" TargetMode="External"/><Relationship Id="rId935" Type="http://schemas.openxmlformats.org/officeDocument/2006/relationships/hyperlink" Target="https://academic.oup.com/nsr/advance-article/doi/10.1093/nsr/nwag149/8516484?rss=1" TargetMode="External"/><Relationship Id="rId936" Type="http://schemas.openxmlformats.org/officeDocument/2006/relationships/hyperlink" Target="https://doi.org/10.1093/nsr/nwag149" TargetMode="External"/><Relationship Id="rId937" Type="http://schemas.openxmlformats.org/officeDocument/2006/relationships/hyperlink" Target="https://www.nature.com/articles/d41586-026-00709-3" TargetMode="External"/><Relationship Id="rId938" Type="http://schemas.openxmlformats.org/officeDocument/2006/relationships/hyperlink" Target="https://doi.org/10.1038/d41586-026-00709-3" TargetMode="External"/><Relationship Id="rId939" Type="http://schemas.openxmlformats.org/officeDocument/2006/relationships/hyperlink" Target="https://www.nature.com/articles/s41467-026-70496-y" TargetMode="External"/><Relationship Id="rId940" Type="http://schemas.openxmlformats.org/officeDocument/2006/relationships/hyperlink" Target="https://doi.org/10.1038/s41467-026-70496-y" TargetMode="External"/><Relationship Id="rId941" Type="http://schemas.openxmlformats.org/officeDocument/2006/relationships/hyperlink" Target="https://www.nature.com/articles/d41586-026-00598-6" TargetMode="External"/><Relationship Id="rId942" Type="http://schemas.openxmlformats.org/officeDocument/2006/relationships/hyperlink" Target="https://doi.org/10.1038/d41586-026-00598-6" TargetMode="External"/><Relationship Id="rId943" Type="http://schemas.openxmlformats.org/officeDocument/2006/relationships/hyperlink" Target="https://www.nature.com/articles/s41467-026-70557-2" TargetMode="External"/><Relationship Id="rId944" Type="http://schemas.openxmlformats.org/officeDocument/2006/relationships/hyperlink" Target="https://doi.org/10.1038/s41467-026-70557-2" TargetMode="External"/><Relationship Id="rId945" Type="http://schemas.openxmlformats.org/officeDocument/2006/relationships/hyperlink" Target="https://www.nature.com/articles/d41586-025-04062-9" TargetMode="External"/><Relationship Id="rId946" Type="http://schemas.openxmlformats.org/officeDocument/2006/relationships/hyperlink" Target="https://doi.org/10.1038/d41586-025-04062-9" TargetMode="External"/><Relationship Id="rId947" Type="http://schemas.openxmlformats.org/officeDocument/2006/relationships/hyperlink" Target="https://www.nature.com/articles/s41560-026-01978-y" TargetMode="External"/><Relationship Id="rId948" Type="http://schemas.openxmlformats.org/officeDocument/2006/relationships/hyperlink" Target="https://doi.org/10.1038/s41560-026-01978-y" TargetMode="External"/><Relationship Id="rId949" Type="http://schemas.openxmlformats.org/officeDocument/2006/relationships/hyperlink" Target="https://www.nature.com/articles/d41586-026-00764-w" TargetMode="External"/><Relationship Id="rId950" Type="http://schemas.openxmlformats.org/officeDocument/2006/relationships/hyperlink" Target="https://doi.org/10.1038/d41586-026-00764-w" TargetMode="External"/><Relationship Id="rId951" Type="http://schemas.openxmlformats.org/officeDocument/2006/relationships/hyperlink" Target="https://www.cell.com/joule/fulltext/S2542-4351(26)00032-2?rss=yes" TargetMode="External"/><Relationship Id="rId952" Type="http://schemas.openxmlformats.org/officeDocument/2006/relationships/hyperlink" Target="https://doi.org/10.1016/j.joule.2026.102348" TargetMode="External"/><Relationship Id="rId953" Type="http://schemas.openxmlformats.org/officeDocument/2006/relationships/hyperlink" Target="https://www.nature.com/articles/d41586-026-00782-8" TargetMode="External"/><Relationship Id="rId954" Type="http://schemas.openxmlformats.org/officeDocument/2006/relationships/hyperlink" Target="https://doi.org/10.1038/d41586-026-00782-8" TargetMode="External"/><Relationship Id="rId955" Type="http://schemas.openxmlformats.org/officeDocument/2006/relationships/hyperlink" Target="https://www.bbc.com/news/articles/czj1lkvpzxyo?at_medium=RSS&amp;at_campaign=rss" TargetMode="External"/><Relationship Id="rId956" Type="http://schemas.openxmlformats.org/officeDocument/2006/relationships/hyperlink" Target="https://ammoniaenergy.org/articles/everwind-secures-investment-for-build-out-of-renewable-generation-in-nova-scotia/" TargetMode="External"/><Relationship Id="rId957" Type="http://schemas.openxmlformats.org/officeDocument/2006/relationships/hyperlink" Target="https://www.science.org/content/article/relic-long-vanished-ice-sheet-holds-clues-ancient-climate" TargetMode="External"/><Relationship Id="rId958" Type="http://schemas.openxmlformats.org/officeDocument/2006/relationships/hyperlink" Target="https://www.science.org/doi/abs/10.1126/science.aeh0792?af=R" TargetMode="External"/><Relationship Id="rId959" Type="http://schemas.openxmlformats.org/officeDocument/2006/relationships/hyperlink" Target="https://doi.org/10.1126/science.aeh0792" TargetMode="External"/><Relationship Id="rId960" Type="http://schemas.openxmlformats.org/officeDocument/2006/relationships/hyperlink" Target="https://www.science.org/doi/abs/10.1126/science.ady0066?af=R" TargetMode="External"/><Relationship Id="rId961" Type="http://schemas.openxmlformats.org/officeDocument/2006/relationships/hyperlink" Target="https://doi.org/10.1126/science.ady0066" TargetMode="External"/><Relationship Id="rId962" Type="http://schemas.openxmlformats.org/officeDocument/2006/relationships/hyperlink" Target="https://www.science.org/doi/abs/10.1126/science.aeh1090?af=R" TargetMode="External"/><Relationship Id="rId963" Type="http://schemas.openxmlformats.org/officeDocument/2006/relationships/hyperlink" Target="https://doi.org/10.1126/science.aeh1090" TargetMode="External"/><Relationship Id="rId964" Type="http://schemas.openxmlformats.org/officeDocument/2006/relationships/hyperlink" Target="https://www.science.org/doi/abs/10.1126/science.aeh0790?af=R" TargetMode="External"/><Relationship Id="rId965" Type="http://schemas.openxmlformats.org/officeDocument/2006/relationships/hyperlink" Target="https://doi.org/10.1126/science.aeh0790" TargetMode="External"/><Relationship Id="rId966" Type="http://schemas.openxmlformats.org/officeDocument/2006/relationships/hyperlink" Target="https://www.science.org/doi/abs/10.1126/science.aeg4335?af=R" TargetMode="External"/><Relationship Id="rId967" Type="http://schemas.openxmlformats.org/officeDocument/2006/relationships/hyperlink" Target="https://doi.org/10.1126/science.aeg4335" TargetMode="External"/><Relationship Id="rId968" Type="http://schemas.openxmlformats.org/officeDocument/2006/relationships/hyperlink" Target="https://www.science.org/doi/abs/10.1126/science.aee7889?af=R" TargetMode="External"/><Relationship Id="rId969" Type="http://schemas.openxmlformats.org/officeDocument/2006/relationships/hyperlink" Target="https://doi.org/10.1126/science.aee7889" TargetMode="External"/><Relationship Id="rId970" Type="http://schemas.openxmlformats.org/officeDocument/2006/relationships/hyperlink" Target="https://www.science.org/doi/abs/10.1126/science.aec7929?af=R" TargetMode="External"/><Relationship Id="rId971" Type="http://schemas.openxmlformats.org/officeDocument/2006/relationships/hyperlink" Target="https://doi.org/10.1126/science.aec7929" TargetMode="External"/><Relationship Id="rId972" Type="http://schemas.openxmlformats.org/officeDocument/2006/relationships/hyperlink" Target="https://www.science.org/doi/abs/10.1126/science.adx9367?af=R" TargetMode="External"/><Relationship Id="rId973" Type="http://schemas.openxmlformats.org/officeDocument/2006/relationships/hyperlink" Target="https://doi.org/10.1126/science.adx9367" TargetMode="External"/><Relationship Id="rId974" Type="http://schemas.openxmlformats.org/officeDocument/2006/relationships/hyperlink" Target="https://www.science.org/doi/abs/10.1126/science.aea1341?af=R" TargetMode="External"/><Relationship Id="rId975" Type="http://schemas.openxmlformats.org/officeDocument/2006/relationships/hyperlink" Target="https://doi.org/10.1126/science.aea1341" TargetMode="External"/><Relationship Id="rId976" Type="http://schemas.openxmlformats.org/officeDocument/2006/relationships/hyperlink" Target="https://www.science.org/doi/abs/10.1126/science.adu0995?af=R" TargetMode="External"/><Relationship Id="rId977" Type="http://schemas.openxmlformats.org/officeDocument/2006/relationships/hyperlink" Target="https://www.science.org/doi/abs/10.1126/science.aeh0163?af=R" TargetMode="External"/><Relationship Id="rId978" Type="http://schemas.openxmlformats.org/officeDocument/2006/relationships/hyperlink" Target="https://doi.org/10.1126/science.aeh0163" TargetMode="External"/><Relationship Id="rId979" Type="http://schemas.openxmlformats.org/officeDocument/2006/relationships/hyperlink" Target="https://www.science.org/doi/abs/10.1126/science.aeg4691?af=R" TargetMode="External"/><Relationship Id="rId980" Type="http://schemas.openxmlformats.org/officeDocument/2006/relationships/hyperlink" Target="https://doi.org/10.1126/science.aeg4691" TargetMode="External"/><Relationship Id="rId981" Type="http://schemas.openxmlformats.org/officeDocument/2006/relationships/hyperlink" Target="https://www.science.org/doi/abs/10.1126/science.aeh0793?af=R" TargetMode="External"/><Relationship Id="rId982" Type="http://schemas.openxmlformats.org/officeDocument/2006/relationships/hyperlink" Target="https://doi.org/10.1126/science.aeh0793" TargetMode="External"/><Relationship Id="rId983" Type="http://schemas.openxmlformats.org/officeDocument/2006/relationships/hyperlink" Target="https://www.science.org/doi/abs/10.1126/science.aef9956?af=R" TargetMode="External"/><Relationship Id="rId984" Type="http://schemas.openxmlformats.org/officeDocument/2006/relationships/hyperlink" Target="https://doi.org/10.1126/science.aef9956" TargetMode="External"/><Relationship Id="rId985" Type="http://schemas.openxmlformats.org/officeDocument/2006/relationships/hyperlink" Target="https://www.science.org/doi/abs/10.1126/science.aef5605?af=R" TargetMode="External"/><Relationship Id="rId986" Type="http://schemas.openxmlformats.org/officeDocument/2006/relationships/hyperlink" Target="https://doi.org/10.1126/science.aef5605" TargetMode="External"/><Relationship Id="rId987" Type="http://schemas.openxmlformats.org/officeDocument/2006/relationships/hyperlink" Target="https://www.science.org/doi/abs/10.1126/science.aef8427?af=R" TargetMode="External"/><Relationship Id="rId988" Type="http://schemas.openxmlformats.org/officeDocument/2006/relationships/hyperlink" Target="https://doi.org/10.1126/science.aef8427" TargetMode="External"/><Relationship Id="rId989" Type="http://schemas.openxmlformats.org/officeDocument/2006/relationships/hyperlink" Target="https://www.science.org/doi/abs/10.1126/science.aee6178?af=R" TargetMode="External"/><Relationship Id="rId990" Type="http://schemas.openxmlformats.org/officeDocument/2006/relationships/hyperlink" Target="https://doi.org/10.1126/science.aee6178" TargetMode="External"/><Relationship Id="rId991" Type="http://schemas.openxmlformats.org/officeDocument/2006/relationships/hyperlink" Target="https://www.science.org/doi/abs/10.1126/science.aef5673?af=R" TargetMode="External"/><Relationship Id="rId992" Type="http://schemas.openxmlformats.org/officeDocument/2006/relationships/hyperlink" Target="https://doi.org/10.1126/science.aef5673" TargetMode="External"/><Relationship Id="rId993" Type="http://schemas.openxmlformats.org/officeDocument/2006/relationships/hyperlink" Target="https://www.science.org/doi/abs/10.1126/science.aeg6303?af=R" TargetMode="External"/><Relationship Id="rId994" Type="http://schemas.openxmlformats.org/officeDocument/2006/relationships/hyperlink" Target="https://doi.org/10.1126/science.aeg6303" TargetMode="External"/><Relationship Id="rId995" Type="http://schemas.openxmlformats.org/officeDocument/2006/relationships/hyperlink" Target="https://www.science.org/doi/abs/10.1126/science.aeh1091?af=R" TargetMode="External"/><Relationship Id="rId996" Type="http://schemas.openxmlformats.org/officeDocument/2006/relationships/hyperlink" Target="https://doi.org/10.1126/science.aeh1091" TargetMode="External"/><Relationship Id="rId997" Type="http://schemas.openxmlformats.org/officeDocument/2006/relationships/hyperlink" Target="https://www.science.org/doi/abs/10.1126/science.aeh1092?af=R" TargetMode="External"/><Relationship Id="rId998" Type="http://schemas.openxmlformats.org/officeDocument/2006/relationships/hyperlink" Target="https://doi.org/10.1126/science.aeh1092" TargetMode="External"/><Relationship Id="rId999" Type="http://schemas.openxmlformats.org/officeDocument/2006/relationships/hyperlink" Target="https://www.science.org/doi/abs/10.1126/science.aeh1093?af=R" TargetMode="External"/><Relationship Id="rId1000" Type="http://schemas.openxmlformats.org/officeDocument/2006/relationships/hyperlink" Target="https://doi.org/10.1126/science.aeh1093" TargetMode="External"/><Relationship Id="rId1001" Type="http://schemas.openxmlformats.org/officeDocument/2006/relationships/hyperlink" Target="https://www.science.org/doi/abs/10.1126/science.aeh1094?af=R" TargetMode="External"/><Relationship Id="rId1002" Type="http://schemas.openxmlformats.org/officeDocument/2006/relationships/hyperlink" Target="https://doi.org/10.1126/science.aeh1094" TargetMode="External"/><Relationship Id="rId1003" Type="http://schemas.openxmlformats.org/officeDocument/2006/relationships/hyperlink" Target="https://www.science.org/doi/abs/10.1126/science.aef6665?af=R" TargetMode="External"/><Relationship Id="rId1004" Type="http://schemas.openxmlformats.org/officeDocument/2006/relationships/hyperlink" Target="https://doi.org/10.1126/science.aef6665" TargetMode="External"/><Relationship Id="rId1005" Type="http://schemas.openxmlformats.org/officeDocument/2006/relationships/hyperlink" Target="https://www.science.org/doi/abs/10.1126/science.adz9467?af=R" TargetMode="External"/><Relationship Id="rId1006" Type="http://schemas.openxmlformats.org/officeDocument/2006/relationships/hyperlink" Target="https://doi.org/10.1126/science.adz9467" TargetMode="External"/><Relationship Id="rId1007" Type="http://schemas.openxmlformats.org/officeDocument/2006/relationships/hyperlink" Target="https://www.bbc.com/news/articles/cvgvj84ggv7o?at_medium=RSS&amp;at_campaign=rss" TargetMode="External"/><Relationship Id="rId1008" Type="http://schemas.openxmlformats.org/officeDocument/2006/relationships/hyperlink" Target="https://www.pnas.org/doi/abs/10.1073/pnas.2518109123?mi=eymic2&amp;af=R&amp;access=on&amp;content=articlesChapters&amp;publication=pnas&amp;sortBy=Earliest&amp;target=default" TargetMode="External"/><Relationship Id="rId1009" Type="http://schemas.openxmlformats.org/officeDocument/2006/relationships/hyperlink" Target="https://doi.org/10.1073/pnas.2518109123" TargetMode="External"/><Relationship Id="rId1010" Type="http://schemas.openxmlformats.org/officeDocument/2006/relationships/hyperlink" Target="https://www.pnas.org/doi/abs/10.1073/pnas.2521031123?mi=eymic2&amp;af=R&amp;access=on&amp;content=articlesChapters&amp;publication=pnas&amp;sortBy=Earliest&amp;target=default" TargetMode="External"/><Relationship Id="rId1011" Type="http://schemas.openxmlformats.org/officeDocument/2006/relationships/hyperlink" Target="https://doi.org/10.1073/pnas.2521031123" TargetMode="External"/><Relationship Id="rId1012" Type="http://schemas.openxmlformats.org/officeDocument/2006/relationships/hyperlink" Target="https://www.pnas.org/doi/abs/10.1073/pnas.2518248123?mi=eymic2&amp;af=R&amp;access=on&amp;content=articlesChapters&amp;publication=pnas&amp;sortBy=Earliest&amp;target=default" TargetMode="External"/><Relationship Id="rId1013" Type="http://schemas.openxmlformats.org/officeDocument/2006/relationships/hyperlink" Target="https://doi.org/10.1073/pnas.2518248123" TargetMode="External"/><Relationship Id="rId1014" Type="http://schemas.openxmlformats.org/officeDocument/2006/relationships/hyperlink" Target="https://www.science.org/doi/abs/10.1126/science.aeh0738?af=R" TargetMode="External"/><Relationship Id="rId1015" Type="http://schemas.openxmlformats.org/officeDocument/2006/relationships/hyperlink" Target="https://doi.org/10.1126/science.aeh0738" TargetMode="External"/><Relationship Id="rId1016" Type="http://schemas.openxmlformats.org/officeDocument/2006/relationships/hyperlink" Target="https://www.pnas.org/doi/abs/10.1073/pnas.2510886123?mi=eymic2&amp;af=R&amp;access=on&amp;content=articlesChapters&amp;publication=pnas&amp;sortBy=Earliest&amp;target=default" TargetMode="External"/><Relationship Id="rId1017" Type="http://schemas.openxmlformats.org/officeDocument/2006/relationships/hyperlink" Target="https://doi.org/10.1073/pnas.2510886123" TargetMode="External"/><Relationship Id="rId1018" Type="http://schemas.openxmlformats.org/officeDocument/2006/relationships/hyperlink" Target="https://www.pnas.org/doi/abs/10.1073/pnas.2509374123?mi=eymic2&amp;af=R&amp;access=on&amp;content=articlesChapters&amp;publication=pnas&amp;sortBy=Earliest&amp;target=default" TargetMode="External"/><Relationship Id="rId1019" Type="http://schemas.openxmlformats.org/officeDocument/2006/relationships/hyperlink" Target="https://doi.org/10.1073/pnas.2509374123" TargetMode="External"/><Relationship Id="rId1020" Type="http://schemas.openxmlformats.org/officeDocument/2006/relationships/hyperlink" Target="https://www.science.org/doi/abs/10.1126/science.adr6632?af=R" TargetMode="External"/><Relationship Id="rId1021" Type="http://schemas.openxmlformats.org/officeDocument/2006/relationships/hyperlink" Target="https://doi.org/10.1126/science.adr6632" TargetMode="External"/><Relationship Id="rId1022" Type="http://schemas.openxmlformats.org/officeDocument/2006/relationships/hyperlink" Target="https://www.pnas.org/doi/abs/10.1073/pnas.2519791123?mi=eymic2&amp;af=R&amp;access=on&amp;content=articlesChapters&amp;publication=pnas&amp;sortBy=Earliest&amp;target=default" TargetMode="External"/><Relationship Id="rId1023" Type="http://schemas.openxmlformats.org/officeDocument/2006/relationships/hyperlink" Target="https://doi.org/10.1073/pnas.2519791123" TargetMode="External"/><Relationship Id="rId1024" Type="http://schemas.openxmlformats.org/officeDocument/2006/relationships/hyperlink" Target="https://www.science.org/doi/abs/10.1126/science.aeh0747?af=R" TargetMode="External"/><Relationship Id="rId1025" Type="http://schemas.openxmlformats.org/officeDocument/2006/relationships/hyperlink" Target="https://doi.org/10.1126/science.aeh0747" TargetMode="External"/><Relationship Id="rId1026" Type="http://schemas.openxmlformats.org/officeDocument/2006/relationships/hyperlink" Target="https://www.science.org/doi/abs/10.1126/science.adz0276?af=R" TargetMode="External"/><Relationship Id="rId1027" Type="http://schemas.openxmlformats.org/officeDocument/2006/relationships/hyperlink" Target="https://doi.org/10.1126/science.adz0276" TargetMode="External"/><Relationship Id="rId1028" Type="http://schemas.openxmlformats.org/officeDocument/2006/relationships/hyperlink" Target="https://www.science.org/doi/abs/10.1126/science.aec1778?af=R" TargetMode="External"/><Relationship Id="rId1029" Type="http://schemas.openxmlformats.org/officeDocument/2006/relationships/hyperlink" Target="https://doi.org/10.1126/science.aec1778" TargetMode="External"/><Relationship Id="rId1030" Type="http://schemas.openxmlformats.org/officeDocument/2006/relationships/hyperlink" Target="https://www.pnas.org/doi/abs/10.1073/pnas.2521560123?mi=eymic2&amp;af=R&amp;access=on&amp;content=articlesChapters&amp;publication=pnas&amp;sortBy=Earliest&amp;target=default" TargetMode="External"/><Relationship Id="rId1031" Type="http://schemas.openxmlformats.org/officeDocument/2006/relationships/hyperlink" Target="https://doi.org/10.1073/pnas.2521560123" TargetMode="External"/><Relationship Id="rId1032" Type="http://schemas.openxmlformats.org/officeDocument/2006/relationships/hyperlink" Target="https://www.science.org/doi/abs/10.1126/science.adz1884?af=R" TargetMode="External"/><Relationship Id="rId1033" Type="http://schemas.openxmlformats.org/officeDocument/2006/relationships/hyperlink" Target="https://doi.org/10.1126/science.adz1884" TargetMode="External"/><Relationship Id="rId1034" Type="http://schemas.openxmlformats.org/officeDocument/2006/relationships/hyperlink" Target="https://www.science.org/doi/abs/10.1126/science.adv7953?af=R" TargetMode="External"/><Relationship Id="rId1035" Type="http://schemas.openxmlformats.org/officeDocument/2006/relationships/hyperlink" Target="https://doi.org/10.1126/science.adv7953" TargetMode="External"/><Relationship Id="rId1036" Type="http://schemas.openxmlformats.org/officeDocument/2006/relationships/hyperlink" Target="https://www.science.org/doi/abs/10.1126/science.adt3439?af=R" TargetMode="External"/><Relationship Id="rId1037" Type="http://schemas.openxmlformats.org/officeDocument/2006/relationships/hyperlink" Target="https://doi.org/10.1126/science.adt3439" TargetMode="External"/><Relationship Id="rId1038" Type="http://schemas.openxmlformats.org/officeDocument/2006/relationships/hyperlink" Target="https://www.pnas.org/doi/abs/10.1073/pnas.2523038123?mi=eymic2&amp;af=R&amp;access=on&amp;content=articlesChapters&amp;publication=pnas&amp;sortBy=Earliest&amp;target=default" TargetMode="External"/><Relationship Id="rId1039" Type="http://schemas.openxmlformats.org/officeDocument/2006/relationships/hyperlink" Target="https://doi.org/10.1073/pnas.2523038123" TargetMode="External"/><Relationship Id="rId1040" Type="http://schemas.openxmlformats.org/officeDocument/2006/relationships/hyperlink" Target="https://www.pnas.org/doi/abs/10.1073/pnas.2525897123?mi=eymic2&amp;af=R&amp;access=on&amp;content=articlesChapters&amp;publication=pnas&amp;sortBy=Earliest&amp;target=default" TargetMode="External"/><Relationship Id="rId1041" Type="http://schemas.openxmlformats.org/officeDocument/2006/relationships/hyperlink" Target="https://doi.org/10.1073/pnas.2525897123" TargetMode="External"/><Relationship Id="rId1042" Type="http://schemas.openxmlformats.org/officeDocument/2006/relationships/hyperlink" Target="https://www.pnas.org/doi/abs/10.1073/pnas.2527851123?mi=eymic2&amp;af=R&amp;access=on&amp;content=articlesChapters&amp;publication=pnas&amp;sortBy=Earliest&amp;target=default" TargetMode="External"/><Relationship Id="rId1043" Type="http://schemas.openxmlformats.org/officeDocument/2006/relationships/hyperlink" Target="https://doi.org/10.1073/pnas.2527851123" TargetMode="External"/><Relationship Id="rId1044" Type="http://schemas.openxmlformats.org/officeDocument/2006/relationships/hyperlink" Target="https://www.pnas.org/doi/abs/10.1073/pnas.2532488123?mi=eymic2&amp;af=R&amp;access=on&amp;content=articlesChapters&amp;publication=pnas&amp;sortBy=Earliest&amp;target=default" TargetMode="External"/><Relationship Id="rId1045" Type="http://schemas.openxmlformats.org/officeDocument/2006/relationships/hyperlink" Target="https://doi.org/10.1073/pnas.2532488123" TargetMode="External"/><Relationship Id="rId1046" Type="http://schemas.openxmlformats.org/officeDocument/2006/relationships/hyperlink" Target="https://www.pnas.org/doi/abs/10.1073/pnas.2534611123?mi=eymic2&amp;af=R&amp;access=on&amp;content=articlesChapters&amp;publication=pnas&amp;sortBy=Earliest&amp;target=default" TargetMode="External"/><Relationship Id="rId1047" Type="http://schemas.openxmlformats.org/officeDocument/2006/relationships/hyperlink" Target="https://doi.org/10.1073/pnas.2534611123" TargetMode="External"/><Relationship Id="rId1048" Type="http://schemas.openxmlformats.org/officeDocument/2006/relationships/hyperlink" Target="https://www.pnas.org/doi/abs/10.1073/pnas.2424514123?mi=eymic2&amp;af=R&amp;access=on&amp;content=articlesChapters&amp;publication=pnas&amp;sortBy=Earliest&amp;target=default" TargetMode="External"/><Relationship Id="rId1049" Type="http://schemas.openxmlformats.org/officeDocument/2006/relationships/hyperlink" Target="https://doi.org/10.1073/pnas.2424514123" TargetMode="External"/><Relationship Id="rId1050" Type="http://schemas.openxmlformats.org/officeDocument/2006/relationships/hyperlink" Target="https://www.pnas.org/doi/abs/10.1073/pnas.2515214123?mi=eymic2&amp;af=R&amp;access=on&amp;content=articlesChapters&amp;publication=pnas&amp;sortBy=Earliest&amp;target=default" TargetMode="External"/><Relationship Id="rId1051" Type="http://schemas.openxmlformats.org/officeDocument/2006/relationships/hyperlink" Target="https://doi.org/10.1073/pnas.2515214123" TargetMode="External"/><Relationship Id="rId1052" Type="http://schemas.openxmlformats.org/officeDocument/2006/relationships/hyperlink" Target="https://www.pnas.org/doi/abs/10.1073/pnas.2535853123?mi=eymic2&amp;af=R&amp;access=on&amp;content=articlesChapters&amp;publication=pnas&amp;sortBy=Earliest&amp;target=default" TargetMode="External"/><Relationship Id="rId1053" Type="http://schemas.openxmlformats.org/officeDocument/2006/relationships/hyperlink" Target="https://doi.org/10.1073/pnas.2535853123" TargetMode="External"/><Relationship Id="rId1054" Type="http://schemas.openxmlformats.org/officeDocument/2006/relationships/hyperlink" Target="https://www.science.org/doi/abs/10.1126/science.aea9795?af=R" TargetMode="External"/><Relationship Id="rId1055" Type="http://schemas.openxmlformats.org/officeDocument/2006/relationships/hyperlink" Target="https://doi.org/10.1126/science.aea9795" TargetMode="External"/><Relationship Id="rId1056" Type="http://schemas.openxmlformats.org/officeDocument/2006/relationships/hyperlink" Target="https://www.science.org/doi/abs/10.1126/science.aef8482?af=R" TargetMode="External"/><Relationship Id="rId1057" Type="http://schemas.openxmlformats.org/officeDocument/2006/relationships/hyperlink" Target="https://doi.org/10.1126/science.aef8482" TargetMode="External"/><Relationship Id="rId1058" Type="http://schemas.openxmlformats.org/officeDocument/2006/relationships/hyperlink" Target="https://www.pv-magazine.com/2026/03/12/debt-laden-south-african-municipalities-may-turn-to-solar-plus-battery-backup-solutions/" TargetMode="External"/><Relationship Id="rId1059" Type="http://schemas.openxmlformats.org/officeDocument/2006/relationships/hyperlink" Target="https://www.pv-magazine.com/2026/03/12/new-simulation-platform-lets-energy-operators-train-against-realistic-cyberattacks/" TargetMode="External"/><Relationship Id="rId1060" Type="http://schemas.openxmlformats.org/officeDocument/2006/relationships/hyperlink" Target="https://www.technologyreview.com/2026/03/12/1134197/us-battery-industry/" TargetMode="External"/><Relationship Id="rId1061" Type="http://schemas.openxmlformats.org/officeDocument/2006/relationships/hyperlink" Target="http://dx.doi.org/10.1021/jacs.6c00526" TargetMode="External"/><Relationship Id="rId1062" Type="http://schemas.openxmlformats.org/officeDocument/2006/relationships/hyperlink" Target="https://doi.org/10.1021/jacs.6c00526" TargetMode="External"/><Relationship Id="rId1063" Type="http://schemas.openxmlformats.org/officeDocument/2006/relationships/hyperlink" Target="https://www.bbc.com/news/articles/cd9gwdgg38vo?at_medium=RSS&amp;at_campaign=rss" TargetMode="External"/><Relationship Id="rId1064" Type="http://schemas.openxmlformats.org/officeDocument/2006/relationships/hyperlink" Target="http://dx.doi.org/10.1021/jacs.6c00742" TargetMode="External"/><Relationship Id="rId1065" Type="http://schemas.openxmlformats.org/officeDocument/2006/relationships/hyperlink" Target="https://doi.org/10.1021/jacs.6c00742" TargetMode="External"/><Relationship Id="rId1066" Type="http://schemas.openxmlformats.org/officeDocument/2006/relationships/hyperlink" Target="http://dx.doi.org/10.1021/jacs.6c03837" TargetMode="External"/><Relationship Id="rId1067" Type="http://schemas.openxmlformats.org/officeDocument/2006/relationships/hyperlink" Target="https://doi.org/10.1021/jacs.6c03837" TargetMode="External"/><Relationship Id="rId1068" Type="http://schemas.openxmlformats.org/officeDocument/2006/relationships/hyperlink" Target="https://carbonherald.com/rainforest-builder-secures-series-a-support-for-ecosystem-restoration-in-west-africa/?utm_source=rss&amp;utm_medium=rss&amp;utm_campaign=rainforest-builder-secures-series-a-support-for-ecosystem-restoration-in-west-africa" TargetMode="External"/><Relationship Id="rId1069" Type="http://schemas.openxmlformats.org/officeDocument/2006/relationships/hyperlink" Target="https://www.electrive.com/2026/03/12/battl3-munster-to-receive-next-battery-laboratory/" TargetMode="External"/><Relationship Id="rId1070" Type="http://schemas.openxmlformats.org/officeDocument/2006/relationships/hyperlink" Target="https://www.science.org/doi/10.1126/science.zqenzyp" TargetMode="External"/><Relationship Id="rId1071" Type="http://schemas.openxmlformats.org/officeDocument/2006/relationships/hyperlink" Target="https://www.bbc.co.uk/sounds/play/w3ct8ty3?at_medium=RSS&amp;at_campaign=rss" TargetMode="External"/><Relationship Id="rId1072" Type="http://schemas.openxmlformats.org/officeDocument/2006/relationships/hyperlink" Target="https://www.bbc.com/news/articles/c4g8qp42rq6o?at_medium=RSS&amp;at_campaign=r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