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2026-03-04</w:t>
      </w:r>
    </w:p>
    <w:p>
      <w:pPr>
        <w:spacing w:before="160" w:after="120"/>
      </w:pPr>
      <w:r>
        <w:rPr>
          <w:b/>
          <w:sz w:val="28"/>
        </w:rPr>
        <w:t>【光伏】</w:t>
      </w:r>
    </w:p>
    <w:p>
      <w:pPr>
        <w:spacing w:before="160" w:after="40" w:line="240" w:lineRule="auto"/>
      </w:pPr>
      <w:r>
        <w:rPr>
          <w:b/>
        </w:rPr>
        <w:t xml:space="preserve">[1] </w:t>
      </w:r>
      <w:hyperlink r:id="rId9">
        <w:r>
          <w:rPr>
            <w:color w:val="1155CC"/>
            <w:u w:val="single"/>
          </w:rPr>
          <w:t>混合海上太阳能-风能农场：将浮动光伏与海上风能结合的潜力</w:t>
        </w:r>
      </w:hyperlink>
    </w:p>
    <w:p>
      <w:pPr>
        <w:spacing w:before="0" w:after="80"/>
      </w:pPr>
      <w:r>
        <w:rPr>
          <w:i/>
          <w:sz w:val="20"/>
        </w:rPr>
        <w:t>EN: Hybrid offshore solar-wind farms: the potential of integrating floating photovoltaics with offshore wind</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考虑季节性气象因素和交通道路拥堵的太阳能路面集成电力系统的可靠性评估</w:t>
        </w:r>
      </w:hyperlink>
    </w:p>
    <w:p>
      <w:pPr>
        <w:spacing w:before="0" w:after="80"/>
      </w:pPr>
      <w:r>
        <w:rPr>
          <w:i/>
          <w:sz w:val="20"/>
        </w:rPr>
        <w:t>EN: Reliability evaluation of solar pavements-integrated power system considering seasonal meteorological factors and traffic road congestion</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双面电气精炼实现高效工业隧道氧化物钝化接触硅太阳能电池</w:t>
        </w:r>
      </w:hyperlink>
    </w:p>
    <w:p>
      <w:pPr>
        <w:spacing w:before="0" w:after="80"/>
      </w:pPr>
      <w:r>
        <w:rPr>
          <w:i/>
          <w:sz w:val="20"/>
        </w:rPr>
        <w:t>EN: Dual-side electrical refinement enables efficient industrial tunnel oxide passivating contact silicon solar cells</w:t>
      </w:r>
    </w:p>
    <w:p>
      <w:pPr>
        <w:spacing w:before="0" w:after="120"/>
      </w:pPr>
      <w:r>
        <w:rPr>
          <w:b/>
        </w:rPr>
        <w:t xml:space="preserve">Source: </w:t>
      </w:r>
      <w:r>
        <w:t>Nature Energy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晶体硅太阳能电池继续主导光伏行业，隧道氧化物钝化接触（TOPCon）技术成为一个突出的候选者。然而，工业规模的TOPCon太阳能电池的效率仍然受到其次优电性能的限制，未达到Auger极限。我们在此提出一种双面协同策略，在M10尺寸晶圆上实现了工业规模TOPCon电池的认证效率为26.66%。前侧高片电阻硼发射极的实施提高了钝化质量，优化的网格设计减少了载流子传输损失。后侧双层隧道氧化硅/多晶硅结构通过防止银从电极扩散来抑制银诱导的降解。</w:t>
      </w:r>
    </w:p>
    <w:p>
      <w:pPr>
        <w:spacing w:before="0" w:after="200" w:lineRule="auto" w:line="276"/>
      </w:pPr>
      <w:r>
        <w:rPr>
          <w:b/>
        </w:rPr>
        <w:t xml:space="preserve">Abstract (EN): </w:t>
      </w:r>
      <w:r>
        <w:t>Crystalline silicon solar cells continue to dominate the photovoltaic industry, with tunnel oxide passivating contact (TOPCon) technology emerging as a prominent candidate. However, the efficiency of industrial-scale TOPCon solar cells remains limited by their suboptimal electrical performance, falling short of the Auger limit. Here we propose a dual-sided synergistic strategy that achieves a certified efficiency of 26.66% for industrial-scale TOPCon cells on M10-size wafers. The implementation of a front-side high-sheet-resistance boron emitter improves the passivation quality, and an optimized grid design reduces carrier transport losses. A rear-side double-layer tunnel oxide silicon/polysilicon structure suppresses silver-induced degradation by preventing silver diffusion from the electrodes into the silicon substrate, thereby maintaining excellent interfacial passivation. Moreover, the high crystallinity of the inner polysilicon layer, along with a lower concentration of inactive phosphorus dopants in the silicon substrate, leads to superior passivation performance. Rear-side localized thinning of the polysilicon layer also improves the bifaciality to 88.3%.</w:t>
      </w:r>
    </w:p>
    <w:p>
      <w:pPr>
        <w:spacing w:before="120" w:after="120"/>
      </w:pPr>
      <w:r>
        <w:rPr>
          <w:sz w:val="18"/>
        </w:rPr>
        <w:t>——————————————————————————————————————————————————————————————————————</w:t>
      </w:r>
    </w:p>
    <w:p>
      <w:pPr>
        <w:spacing w:before="160" w:after="40" w:line="240" w:lineRule="auto"/>
      </w:pPr>
      <w:r>
        <w:rPr>
          <w:b/>
        </w:rPr>
        <w:t xml:space="preserve">[4] </w:t>
      </w:r>
      <w:hyperlink r:id="rId12">
        <w:r>
          <w:rPr>
            <w:color w:val="1155CC"/>
            <w:u w:val="single"/>
          </w:rPr>
          <w:t>界面富集的氟化共价有机框架实现稳定、高性能的n-i-p钙钛矿太阳能电池</w:t>
        </w:r>
      </w:hyperlink>
    </w:p>
    <w:p>
      <w:pPr>
        <w:spacing w:before="0" w:after="80"/>
      </w:pPr>
      <w:r>
        <w:rPr>
          <w:i/>
          <w:sz w:val="20"/>
        </w:rPr>
        <w:t>EN: Interface‐Enriched Fluorinated Covalent Organic Framework Enables Stable, High‐Performance n‐i‐p Perovskite Solar Cells</w:t>
      </w:r>
    </w:p>
    <w:p>
      <w:pPr>
        <w:spacing w:before="0" w:after="120"/>
      </w:pPr>
      <w:r>
        <w:rPr>
          <w:b/>
        </w:rPr>
        <w:t xml:space="preserve">Source: </w:t>
      </w:r>
      <w:r>
        <w:t>Wiley: Advanced Materials: Table of Contents</w:t>
      </w:r>
      <w:r>
        <w:t xml:space="preserve">    </w:t>
      </w:r>
      <w:r>
        <w:rPr>
          <w:b/>
        </w:rPr>
        <w:t xml:space="preserve">Pub date: </w:t>
      </w:r>
      <w:r>
        <w:t>2026-02-24 11:37:59+00:00</w:t>
      </w:r>
      <w:r>
        <w:t xml:space="preserve">    </w:t>
      </w:r>
      <w:r>
        <w:rPr>
          <w:b/>
        </w:rPr>
        <w:t xml:space="preserve">DOI: </w:t>
      </w:r>
      <w:hyperlink r:id="rId13">
        <w:r>
          <w:rPr>
            <w:color w:val="1155CC"/>
            <w:u w:val="single"/>
          </w:rPr>
          <w:t>10.1002/adma.202522994</w:t>
        </w:r>
      </w:hyperlink>
    </w:p>
    <w:p>
      <w:pPr>
        <w:spacing w:before="0" w:after="120"/>
      </w:pPr>
      <w:r>
        <w:rPr>
          <w:b/>
        </w:rPr>
        <w:t xml:space="preserve">Notes: </w:t>
      </w:r>
      <w:r>
        <w:t>abstract_source=pubmed</w:t>
      </w:r>
    </w:p>
    <w:p>
      <w:pPr>
        <w:spacing w:before="0" w:after="80" w:lineRule="auto" w:line="276"/>
      </w:pPr>
      <w:r>
        <w:rPr>
          <w:b/>
        </w:rPr>
        <w:t xml:space="preserve">摘要（ZH）: </w:t>
      </w:r>
      <w:r>
        <w:t>埋藏界面完整性仍然是限制钙钛矿太阳能电池（PSCs）效率和长期稳定性的主要瓶颈。现有的表面改性策略通常会引入额外的界面不连续性，从而加剧而不是缓解埋藏界面的脆弱性。在此，我们报告了一种原位埋藏界面改性策略，通过完全共轭的共价有机框架（COF）与聚氟烷基侧链接枝来增强SnO2/钙钛矿界面。在钙钛矿结晶过程中，聚氟烷基链与SnO2之间的强偶极相互作用驱动COF朝向埋藏的SnO2/钙钛矿界面。COF锚定在SnO2/钙钛矿界面，并形成一个稳固且功能活跃的界面层。</w:t>
      </w:r>
    </w:p>
    <w:p>
      <w:pPr>
        <w:spacing w:before="0" w:after="200" w:lineRule="auto" w:line="276"/>
      </w:pPr>
      <w:r>
        <w:rPr>
          <w:b/>
        </w:rPr>
        <w:t xml:space="preserve">Abstract (EN): </w:t>
      </w:r>
      <w:r>
        <w:t>Buried interfacial integrity remains a major bottleneck limiting both the efficiency and long-term stability of perovskite solar cells (PSCs). Existing surface-modification strategies often introduce additional interfacial discontinuities, thereby exacerbating rather than alleviating buried-interface vulnerabilities. Here, we report an in situ buried-interface modification strategy that reinforces the SnO2/perovskite interface using a fully conjugated covalent organic framework (COF) grafted with polyfluoroalkyl side chains. During perovskite crystallization, strong dipolar interactions between the polyfluoroalkyl chains and the SnO2 drive the COF toward the buried SnO2/perovskite interface. The COF anchors at the SnO2/perovskite interface and forms a robust and functionally active interlayer. This dynamic interfacial assembly simultaneously 1) establishes a continuous, graded energy landscape that enhances electronic coupling and accelerates charge extraction; 2) induces facet-selective SnO2-COF-perovskite interactions that guide the oriented growth of perovskite grains; and 3) suppresses interfacial defects and halide migration, thereby stabilizing carrier transport. Consequently, n-i-p PSCs achieve a power conversion efficiency of 26.24% with a fill factor of 85.4%, and retain 86% of their initial efficiency after 2000 h of continuous operation. By transforming spontaneous molecular self-assembly into a processing advantage, this work establishes a new materials paradigm for achieving high-efficiency, stable, and scalable perovskite photovoltaics.</w:t>
      </w:r>
    </w:p>
    <w:p>
      <w:pPr>
        <w:spacing w:before="120" w:after="120"/>
      </w:pPr>
      <w:r>
        <w:rPr>
          <w:sz w:val="18"/>
        </w:rPr>
        <w:t>——————————————————————————————————————————————————————————————————————</w:t>
      </w:r>
    </w:p>
    <w:p>
      <w:pPr>
        <w:spacing w:before="160" w:after="40" w:line="240" w:lineRule="auto"/>
      </w:pPr>
      <w:r>
        <w:rPr>
          <w:b/>
        </w:rPr>
        <w:t xml:space="preserve">[5] </w:t>
      </w:r>
      <w:hyperlink r:id="rId14">
        <w:r>
          <w:rPr>
            <w:color w:val="1155CC"/>
            <w:u w:val="single"/>
          </w:rPr>
          <w:t>[ASAP] 快速热循环下宽带隙准二维钙钛矿中的卤化物分离</w:t>
        </w:r>
      </w:hyperlink>
    </w:p>
    <w:p>
      <w:pPr>
        <w:spacing w:before="0" w:after="80"/>
      </w:pPr>
      <w:r>
        <w:rPr>
          <w:i/>
          <w:sz w:val="20"/>
        </w:rPr>
        <w:t>EN: [ASAP] Halide Segregation in Wide-Bandgap Quasi-2D Perovskites under Rapid Thermal Cycling</w:t>
      </w:r>
    </w:p>
    <w:p>
      <w:pPr>
        <w:spacing w:before="0" w:after="120"/>
      </w:pPr>
      <w:r>
        <w:rPr>
          <w:b/>
        </w:rPr>
        <w:t xml:space="preserve">Source: </w:t>
      </w:r>
      <w:r>
        <w:t>ACS Energy Letters: Latest Articles (ACS Publications)</w:t>
      </w:r>
      <w:r>
        <w:t xml:space="preserve">    </w:t>
      </w:r>
      <w:r>
        <w:rPr>
          <w:b/>
        </w:rPr>
        <w:t xml:space="preserve">Pub date: </w:t>
      </w:r>
      <w:r>
        <w:t>2026-02-24 16:05:08+00:00</w:t>
      </w:r>
      <w:r>
        <w:t xml:space="preserve">    </w:t>
      </w:r>
      <w:r>
        <w:rPr>
          <w:b/>
        </w:rPr>
        <w:t xml:space="preserve">DOI: </w:t>
      </w:r>
      <w:hyperlink r:id="rId15">
        <w:r>
          <w:rPr>
            <w:color w:val="1155CC"/>
            <w:u w:val="single"/>
          </w:rPr>
          <w:t>10.1021/acsenergylett.6c00094</w:t>
        </w:r>
      </w:hyperlink>
    </w:p>
    <w:p>
      <w:pPr>
        <w:spacing w:before="0" w:after="120"/>
      </w:pPr>
      <w:r>
        <w:rPr>
          <w:b/>
        </w:rPr>
        <w:t xml:space="preserve">Notes: </w:t>
      </w:r>
      <w:r>
        <w:t>abstract_source=openalex</w:t>
      </w:r>
    </w:p>
    <w:p>
      <w:pPr>
        <w:spacing w:before="0" w:after="80" w:lineRule="auto" w:line="276"/>
      </w:pPr>
      <w:r>
        <w:rPr>
          <w:b/>
        </w:rPr>
        <w:t xml:space="preserve">摘要（ZH）: </w:t>
      </w:r>
      <w:r>
        <w:t>宽带隙（WBG）钙钛矿在外部应力下易于发生离子迁移和相分离。降低维度的钙钛矿（RDPs）已成为改善稳定性的3D钙钛矿的替代品。然而，间隔阳离子对WBG RDPs热循环稳定性的影响仍然知之甚少。在此，我们研究了两种代表性有机间隔物，丁胺（BA）和1,4-苯二甲基铵（PDMA），在光照和热循环下对WBG RDPs（n = 4，∼1.75 eV）稳定性的影响，使用原位掠入射X射线广角散射（GIWAXS）和光致发光（PL）。原位GIWAXS和PL揭示了含BA+的RDPs在组合应力下发生相分离和显著的结构退化，特别</w:t>
      </w:r>
    </w:p>
    <w:p>
      <w:pPr>
        <w:spacing w:before="0" w:after="200" w:lineRule="auto" w:line="276"/>
      </w:pPr>
      <w:r>
        <w:rPr>
          <w:b/>
        </w:rPr>
        <w:t xml:space="preserve">Abstract (EN): </w:t>
      </w:r>
      <w:r>
        <w:t>Wide-bandgap (WBG) perovskites are susceptible to ion migration and phase separation under external stressors. Reduced-dimensional perovskites (RDPs) have emerged as alternatives to 3D perovskites for improving stability. However, the influence of spacer cations on the thermal cycling stability of WBG RDPs remains poorly understood. Here, we investigate the effect of two representative organic spacers, butylammonium (BA) and 1,4-phenylenedimethylammonium (PDMA), on the stability of WBG RDPs (n = 4, ∼1.75 eV) under light illumination and thermal cycling using in situ grazing-incidence X-ray wide-angle scattering (GIWAXS) and photoluminescence (PL). In situ GIWAXS and PL reveal that RDPs with BA+ undergo phase separation and pronounced structural degradation under combined stress, particularly along the in-plane direction, whereas RDPs with PDMA2+ demonstrate better stability. These results indicate that bulky organic cations influence the thermal and structural stabilities of WBG RDPs, providing design guidelines for stable perovskite absorbers in tandem solar cells.</w:t>
      </w:r>
    </w:p>
    <w:p>
      <w:pPr>
        <w:spacing w:before="120" w:after="120"/>
      </w:pPr>
      <w:r>
        <w:rPr>
          <w:sz w:val="18"/>
        </w:rPr>
        <w:t>——————————————————————————————————————————————————————————————————————</w:t>
      </w:r>
    </w:p>
    <w:p>
      <w:pPr>
        <w:spacing w:before="160" w:after="40" w:line="240" w:lineRule="auto"/>
      </w:pPr>
      <w:r>
        <w:rPr>
          <w:b/>
        </w:rPr>
        <w:t xml:space="preserve">[6] </w:t>
      </w:r>
      <w:hyperlink r:id="rId16">
        <w:r>
          <w:rPr>
            <w:color w:val="1155CC"/>
            <w:u w:val="single"/>
          </w:rPr>
          <w:t>面向空间兼容钙钛矿太阳能电池：热冲击弹性和近空间气球测试的指导方针</w:t>
        </w:r>
      </w:hyperlink>
    </w:p>
    <w:p>
      <w:pPr>
        <w:spacing w:before="0" w:after="80"/>
      </w:pPr>
      <w:r>
        <w:rPr>
          <w:i/>
          <w:sz w:val="20"/>
        </w:rPr>
        <w:t>EN: Towards space compatible perovskite solar cells: guidelines for thermal shock resilience and near space balloon testing</w:t>
      </w:r>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钙钛矿太阳能电池（PSCs）由于其高效率、耐辐射性和高功率质量比而成为太空应用的有前途的候选者。然而，严酷的太空环境引入了诸如轨道中快速温度变化引起的热冲击（TS）等压力源，这是一种尚未充分研究的降解模式。本研究调查了低地球轨道中太阳能电池实际运行的温度曲线，揭示了快速且极端的温度变化。基于这些发现，我们开发了一种加速的TS测试协议，以16 °C min−1的快速升温速率在−80 °C和+80 °C之间循环100次，旨在复制和放大实际轨道热循环引起的压力。使用FAPbI3作为模型系统</w:t>
      </w:r>
    </w:p>
    <w:p>
      <w:pPr>
        <w:spacing w:before="0" w:after="200" w:lineRule="auto" w:line="276"/>
      </w:pPr>
      <w:r>
        <w:rPr>
          <w:b/>
        </w:rPr>
        <w:t xml:space="preserve">Abstract (EN): </w:t>
      </w:r>
      <w:r>
        <w:t>Perovskite solar cells (PSCs) are promising candidates for space applications due to their high efficiency, radiation tolerance, and high power-to-mass ratio. However, the harsh space environment introduces stressors such as thermal shock (TS) from rapid temperature transitions in orbit, a degradation mode that remains underexplored. This study investigated the real operating temperature profiles experienced by solar cells orbiting in low Earth orbit, revealing rapid and extreme temperature transitions. Based on these findings, we developed an accelerated TS testing protocol, cycling PSC devices between −80 °C and +80 °C at a rapid ramp rate of 16 °C min−1 for 100 cycles, designed to replicate and amplify the stresses induced by actual orbital thermal cycles. Using FAPbI3 as a model system, we explored the impact of varying concentrations of MAPbBr3 (0–7%) on the perovskite film's structural stability under this accelerated TS. Our results indicate that an intermediate MAPbBr3 incorporation level (specifically 5%) most effectively suppresses microstrain and the formation of the detrimental δ-phase after TS exposure. To validate our laboratory findings under near-space conditions, we conducted a comparative high-altitude balloon test at 35 km. These findings establish TS as a critical testing framework for evaluating PSC stability in space applications and highlight the necessity of refining material compositions for space applications.</w:t>
      </w:r>
    </w:p>
    <w:p>
      <w:pPr>
        <w:spacing w:before="120" w:after="120"/>
      </w:pPr>
      <w:r>
        <w:rPr>
          <w:sz w:val="18"/>
        </w:rPr>
        <w:t>——————————————————————————————————————————————————————————————————————</w:t>
      </w:r>
    </w:p>
    <w:p>
      <w:pPr>
        <w:spacing w:before="160" w:after="40" w:line="240" w:lineRule="auto"/>
      </w:pPr>
      <w:r>
        <w:rPr>
          <w:b/>
        </w:rPr>
        <w:t xml:space="preserve">[7] </w:t>
      </w:r>
      <w:hyperlink r:id="rId17">
        <w:r>
          <w:rPr>
            <w:color w:val="1155CC"/>
            <w:u w:val="single"/>
          </w:rPr>
          <w:t>是什么决定了太阳能光伏的采用？——对住宅光伏系统的早期、潜在和不太可能采用者以及社区光伏项目参与者的调查</w:t>
        </w:r>
      </w:hyperlink>
    </w:p>
    <w:p>
      <w:pPr>
        <w:spacing w:before="0" w:after="80"/>
      </w:pPr>
      <w:r>
        <w:rPr>
          <w:i/>
          <w:sz w:val="20"/>
        </w:rPr>
        <w:t>EN: What determines the uptake of solar PV? – A survey of early, potential and unlikely adopters of residential PV systems and participants of community PV projects</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8">
        <w:r>
          <w:rPr>
            <w:color w:val="1155CC"/>
            <w:u w:val="single"/>
          </w:rPr>
          <w:t>基于端点密集gram特征编码和mixup增强域对抗网络的不同配置光伏阵列的跨阵列故障诊断</w:t>
        </w:r>
      </w:hyperlink>
    </w:p>
    <w:p>
      <w:pPr>
        <w:spacing w:before="0" w:after="80"/>
      </w:pPr>
      <w:r>
        <w:rPr>
          <w:i/>
          <w:sz w:val="20"/>
        </w:rPr>
        <w:t>EN: Cross-array fault diagnosis of photovoltaic arrays with different configurations based on endpoint-dense gram feature encoding and mixup-enhanced domain adversarial network</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9">
        <w:r>
          <w:rPr>
            <w:color w:val="1155CC"/>
            <w:u w:val="single"/>
          </w:rPr>
          <w:t>光开关异构体提高晶界弹性和钙钛矿太阳能电池在光循环下的稳定性</w:t>
        </w:r>
      </w:hyperlink>
    </w:p>
    <w:p>
      <w:pPr>
        <w:spacing w:before="0" w:after="80"/>
      </w:pPr>
      <w:r>
        <w:rPr>
          <w:i/>
          <w:sz w:val="20"/>
        </w:rPr>
        <w:t>EN: Photoswitchable isomers to improve grain boundary resilience and perovskite solar cells stability under light cycling</w:t>
      </w:r>
    </w:p>
    <w:p>
      <w:pPr>
        <w:spacing w:before="0" w:after="120"/>
      </w:pPr>
      <w:r>
        <w:rPr>
          <w:b/>
        </w:rPr>
        <w:t xml:space="preserve">Source: </w:t>
      </w:r>
      <w:r>
        <w:t>Nature Energy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在真实的户外条件下实现稳定且可扩展的钙钛矿太阳能电池（PSCs）仍然是部署的挑战。在此，我们报告了一种提高晶界弹性的策略，实现了PSCs在现实光循环和紫外线照射下的功率转换效率和长期操作耐久性的同时改善。通过在晶界整合光开关异构体，我们抑制了在重复光循环过程中晶格键断裂和缺陷积累，通过光触发的动态损伤释放。这种方法稳定了三阳离子铅基钙钛矿晶格，抵抗光诱导的变形和降解途径。结果，PSCs在经过2,000小时的紫外线照射后保持了其初始性能的95%以上</w:t>
      </w:r>
    </w:p>
    <w:p>
      <w:pPr>
        <w:spacing w:before="0" w:after="200" w:lineRule="auto" w:line="276"/>
      </w:pPr>
      <w:r>
        <w:rPr>
          <w:b/>
        </w:rPr>
        <w:t xml:space="preserve">Abstract (EN): </w:t>
      </w:r>
      <w:r>
        <w:t>Realizing stable and scalable perovskite solar cells (PSCs) under real-world outdoor conditions remains a challenge for deployment. Here we report a strategy to improve the resilience of the grain boundary, achieving simultaneous improvement in the power conversion efficiency and long-term operational durability under realistic light cycling and ultraviolet exposure of PSCs. By integrating photoswitchable isomers at grain boundaries, we suppress lattice bond rupture and defect accumulation during repeated light cycling through light-triggered dynamic damage release. This approach stabilizes the triple-cation lead-based perovskite lattice against photoinduced distortions and degradation pathways. As a result, the PSCs retain over 95% of their initial performance after 2,000 h of ultraviolet-containing light cycling at 65 °C and 500 thermal cycles between –40 °C and 85 °C, and deliver a power conversion efficiency of 27.2% (certified as 26.9%). Our strategy improves the operational stability and commercial viability of triple-cation perovskite photovoltaics.</w:t>
      </w:r>
    </w:p>
    <w:p>
      <w:pPr>
        <w:spacing w:before="120" w:after="120"/>
      </w:pPr>
      <w:r>
        <w:rPr>
          <w:sz w:val="18"/>
        </w:rPr>
        <w:t>——————————————————————————————————————————————————————————————————————</w:t>
      </w:r>
    </w:p>
    <w:p>
      <w:pPr>
        <w:spacing w:before="160" w:after="40" w:line="240" w:lineRule="auto"/>
      </w:pPr>
      <w:r>
        <w:rPr>
          <w:b/>
        </w:rPr>
        <w:t xml:space="preserve">[10] </w:t>
      </w:r>
      <w:hyperlink r:id="rId20">
        <w:r>
          <w:rPr>
            <w:color w:val="1155CC"/>
            <w:u w:val="single"/>
          </w:rPr>
          <w:t>光伏退化的气候驱动因素：区域变异性和材料路径</w:t>
        </w:r>
      </w:hyperlink>
    </w:p>
    <w:p>
      <w:pPr>
        <w:spacing w:before="0" w:after="80"/>
      </w:pPr>
      <w:r>
        <w:rPr>
          <w:i/>
          <w:sz w:val="20"/>
        </w:rPr>
        <w:t>EN: Climate drivers of photovoltaic degradation: Regional variability and material pathways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1">
        <w:r>
          <w:rPr>
            <w:color w:val="1155CC"/>
            <w:u w:val="single"/>
          </w:rPr>
          <w:t>通过双重配位稳定富Ni3+的NiOx/钙钛矿界面以实现高效耐久的钙钛矿光伏</w:t>
        </w:r>
      </w:hyperlink>
    </w:p>
    <w:p>
      <w:pPr>
        <w:spacing w:before="0" w:after="80"/>
      </w:pPr>
      <w:r>
        <w:rPr>
          <w:i/>
          <w:sz w:val="20"/>
        </w:rPr>
        <w:t>EN: Stabilizing Ni3+‐Rich NiOx/Perovskite Interface via Dual Coordination for Efficient and Durable Perovskite Photovoltaics</w:t>
      </w:r>
    </w:p>
    <w:p>
      <w:pPr>
        <w:spacing w:before="0" w:after="120"/>
      </w:pPr>
      <w:r>
        <w:rPr>
          <w:b/>
        </w:rPr>
        <w:t xml:space="preserve">Source: </w:t>
      </w:r>
      <w:r>
        <w:t>Wiley: Advanced Materials: Table of Contents</w:t>
      </w:r>
      <w:r>
        <w:t xml:space="preserve">    </w:t>
      </w:r>
      <w:r>
        <w:rPr>
          <w:b/>
        </w:rPr>
        <w:t xml:space="preserve">Pub date: </w:t>
      </w:r>
      <w:r>
        <w:t>2026-02-25 04:05:07+00:00</w:t>
      </w:r>
      <w:r>
        <w:t xml:space="preserve">    </w:t>
      </w:r>
      <w:r>
        <w:rPr>
          <w:b/>
        </w:rPr>
        <w:t xml:space="preserve">DOI: </w:t>
      </w:r>
      <w:hyperlink r:id="rId22">
        <w:r>
          <w:rPr>
            <w:color w:val="1155CC"/>
            <w:u w:val="single"/>
          </w:rPr>
          <w:t>10.1002/adma.202521697</w:t>
        </w:r>
      </w:hyperlink>
    </w:p>
    <w:p>
      <w:pPr>
        <w:spacing w:before="0" w:after="120"/>
      </w:pPr>
      <w:r>
        <w:rPr>
          <w:b/>
        </w:rPr>
        <w:t xml:space="preserve">Notes: </w:t>
      </w:r>
      <w:r>
        <w:t>abstract_source=pubmed</w:t>
      </w:r>
    </w:p>
    <w:p>
      <w:pPr>
        <w:spacing w:before="0" w:after="80" w:lineRule="auto" w:line="276"/>
      </w:pPr>
      <w:r>
        <w:rPr>
          <w:b/>
        </w:rPr>
        <w:t xml:space="preserve">摘要（ZH）: </w:t>
      </w:r>
      <w:r>
        <w:t>虽然氧化镍（NiOx）被广泛用作高效的空穴传输材料，但有效传输所需的表面Ni3+物种不稳定，并可能导致与钙钛矿层的不利界面反应。在此，我们引入了一种四氧吡啶功能化的卟啉分子，通过双重配位稳定富Ni3+的NiOx/钙钛矿界面。卟啉中的两个氧吡啶作为硬路易斯碱与NiOx上的硬酸性Ni3+位点配位，而另两个则与钙钛矿晶格中的Pb2+相互作用。这种情况减少了界面缺陷的形成，减缓了降解，并有助于保持薄膜的完整性，同时共轭的卟啉大环促进了高效的空穴提取。使用改性NiOx的器件达到冠军效率</w:t>
      </w:r>
    </w:p>
    <w:p>
      <w:pPr>
        <w:spacing w:before="0" w:after="200" w:lineRule="auto" w:line="276"/>
      </w:pPr>
      <w:r>
        <w:rPr>
          <w:b/>
        </w:rPr>
        <w:t xml:space="preserve">Abstract (EN): </w:t>
      </w:r>
      <w:r>
        <w:t>While nickel oxide (NiOx) is widely employed as an efficient hole-transport material, the surface Ni3+ species required for effective transport are unstable and can drive unfavorable interfacial reactions with the perovskite layer. Herein, we introduce a tetraoxopyridine-functionalized porphyrin molecule to stabilize a Ni3+-rich NiOx/perovskite interface through dual coordination. Two oxopyridines in porphyrin act as hard Lewis bases that coordinate with hard-acidic Ni3+ sites on NiOx, while the other two interact with Pb2+ in the perovskite lattice. Such a situation reduces interface defect formation, slows degradation, and helps maintain film integrity, while the conjugated porphyrin macrocycle promotes efficient hole extraction. Devices with the modified NiOx reach the champion efficiency of 27.05% (0.062 cm2) and 21.8% (21.54 cm2 aperture area), retaining &gt;95% of the initial efficiency after 2000 h of continuous 1-sun operation at the maximum power point. This work establishes a robust molecular-engineering route to stabilize surface Ni3+ in NiOx and support high-efficiency, long-lived perovskite solar cells.</w:t>
      </w:r>
    </w:p>
    <w:p>
      <w:pPr>
        <w:spacing w:before="120" w:after="120"/>
      </w:pPr>
      <w:r>
        <w:rPr>
          <w:sz w:val="18"/>
        </w:rPr>
        <w:t>——————————————————————————————————————————————————————————————————————</w:t>
      </w:r>
    </w:p>
    <w:p>
      <w:pPr>
        <w:spacing w:before="160" w:after="40" w:line="240" w:lineRule="auto"/>
      </w:pPr>
      <w:r>
        <w:rPr>
          <w:b/>
        </w:rPr>
        <w:t xml:space="preserve">[12] </w:t>
      </w:r>
      <w:hyperlink r:id="rId23">
        <w:r>
          <w:rPr>
            <w:color w:val="1155CC"/>
            <w:u w:val="single"/>
          </w:rPr>
          <w:t>墨水状态预聚集控制实现高效稳定有机光伏的可扩展和自动化制造</w:t>
        </w:r>
      </w:hyperlink>
    </w:p>
    <w:p>
      <w:pPr>
        <w:spacing w:before="0" w:after="80"/>
      </w:pPr>
      <w:r>
        <w:rPr>
          <w:i/>
          <w:sz w:val="20"/>
        </w:rPr>
        <w:t>EN: Ink-state preaggregation control enables scalable and automated fabrication of highly efficient and stable organic photovoltaics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24">
        <w:r>
          <w:rPr>
            <w:color w:val="1155CC"/>
            <w:u w:val="single"/>
          </w:rPr>
          <w:t>10.1126/sciadv.aea6522</w:t>
        </w:r>
      </w:hyperlink>
    </w:p>
    <w:p>
      <w:pPr>
        <w:spacing w:before="0" w:after="120"/>
      </w:pPr>
      <w:r>
        <w:rPr>
          <w:b/>
        </w:rPr>
        <w:t xml:space="preserve">Notes: </w:t>
      </w:r>
      <w:r>
        <w:t>abstract_source=crossref</w:t>
      </w:r>
    </w:p>
    <w:p>
      <w:pPr>
        <w:spacing w:before="0" w:after="80" w:lineRule="auto" w:line="276"/>
      </w:pPr>
      <w:r>
        <w:rPr>
          <w:b/>
        </w:rPr>
        <w:t xml:space="preserve">摘要（ZH）: </w:t>
      </w:r>
      <w:r>
        <w:t>可扩展性和自动化对于推进有机太阳能电池（OSCs）向高通量生产至关重要，但两者仍然是显著的挑战。在这里，我们报告了一种简单而有效的策略，使用Tz6T作为多功能添加剂来调节墨水状态的预聚集，以解决这两个问题。Tz6T与墨水中的供体和受体分子相互作用，能够改善和更有序的预聚集。这促进了均匀的薄膜形成，并显著减少了双分子复合，达到了16.4%效率的大面积绿色溶剂加工的OSC模块（19.3 cm</w:t>
      </w:r>
      <w:r>
        <w:rPr>
          <w:vertAlign w:val="subscript"/>
        </w:rPr>
        <w:t>2</w:t>
      </w:r>
      <w:r>
        <w:t>），使其跻身于迄今为止报告的最佳值之列。此外，预聚集的墨水减轻了预编程机器人中由于时间延迟引起的形态漂移</w:t>
      </w:r>
    </w:p>
    <w:p>
      <w:pPr>
        <w:spacing w:before="0" w:after="200" w:lineRule="auto" w:line="276"/>
      </w:pPr>
      <w:r>
        <w:rPr>
          <w:b/>
        </w:rPr>
        <w:t xml:space="preserve">Abstract (EN): </w:t>
      </w:r>
      <w:r>
        <w:t>Scalability and automation are critical for advancing organic solar cells (OSCs) toward high-throughput production, yet both remain notable challenges. Here, we report a simple yet effective strategy using Tz6T as a multifunctional additive to regulate ink-state preaggregation to address both concerns. Tz6T interacts with both donor and acceptor molecules in ink, enabling improved and more ordered preaggregation. This facilitates uniform film formation and significantly reduces bimolecular recombination, enables 16.4% efficiency large-area green solvent–processed OSC modules (19.3 cm</w:t>
      </w:r>
      <w:r>
        <w:rPr>
          <w:vertAlign w:val="subscript"/>
        </w:rPr>
        <w:t>2</w:t>
      </w:r>
      <w:r>
        <w:t>), ranking it among the best reported values to date. Furthermore, the preagggregated ink mitigates the morphology drift caused by time delays in preprogrammed robotic fabrication, yielding device efficiency exceeding 16%, highlighting strong potential for high-throughput production. Beyond efficiency, Tz6T also enhances long-term stability and exhibits compatibility across diverse material systems, underscoring its broad applicability. This work offers a promising pathway for accelerating the translation toward sustainable, scalable, and automated fabricable high-performance and stable OSCs, paving the way for their industrialization.</w:t>
      </w:r>
    </w:p>
    <w:p>
      <w:pPr>
        <w:spacing w:before="120" w:after="120"/>
      </w:pPr>
      <w:r>
        <w:rPr>
          <w:sz w:val="18"/>
        </w:rPr>
        <w:t>——————————————————————————————————————————————————————————————————————</w:t>
      </w:r>
    </w:p>
    <w:p>
      <w:pPr>
        <w:spacing w:before="160" w:after="40" w:line="240" w:lineRule="auto"/>
      </w:pPr>
      <w:r>
        <w:rPr>
          <w:b/>
        </w:rPr>
        <w:t xml:space="preserve">[13] </w:t>
      </w:r>
      <w:hyperlink r:id="rId25">
        <w:r>
          <w:rPr>
            <w:color w:val="1155CC"/>
            <w:u w:val="single"/>
          </w:rPr>
          <w:t>[ASAP] 将阻抗谱中的双电感与钙钛矿光伏中的离子损失联系起来</w:t>
        </w:r>
      </w:hyperlink>
    </w:p>
    <w:p>
      <w:pPr>
        <w:spacing w:before="0" w:after="80"/>
      </w:pPr>
      <w:r>
        <w:rPr>
          <w:i/>
          <w:sz w:val="20"/>
        </w:rPr>
        <w:t>EN: [ASAP] Linking Double Inductance in Impedance Spectroscopy to Ionic Losses in Perovskite Photovoltaics</w:t>
      </w:r>
    </w:p>
    <w:p>
      <w:pPr>
        <w:spacing w:before="0" w:after="120"/>
      </w:pPr>
      <w:r>
        <w:rPr>
          <w:b/>
        </w:rPr>
        <w:t xml:space="preserve">Source: </w:t>
      </w:r>
      <w:r>
        <w:t>ACS Energy Letters: Latest Articles (ACS Publications)</w:t>
      </w:r>
      <w:r>
        <w:t xml:space="preserve">    </w:t>
      </w:r>
      <w:r>
        <w:rPr>
          <w:b/>
        </w:rPr>
        <w:t xml:space="preserve">Pub date: </w:t>
      </w:r>
      <w:r>
        <w:t>2026-02-25 13:44:12+00:00</w:t>
      </w:r>
      <w:r>
        <w:t xml:space="preserve">    </w:t>
      </w:r>
      <w:r>
        <w:rPr>
          <w:b/>
        </w:rPr>
        <w:t xml:space="preserve">DOI: </w:t>
      </w:r>
      <w:hyperlink r:id="rId26">
        <w:r>
          <w:rPr>
            <w:color w:val="1155CC"/>
            <w:u w:val="single"/>
          </w:rPr>
          <w:t>10.1021/acsenergylett.5c03788</w:t>
        </w:r>
      </w:hyperlink>
    </w:p>
    <w:p>
      <w:pPr>
        <w:spacing w:before="0" w:after="120"/>
      </w:pPr>
      <w:r>
        <w:rPr>
          <w:b/>
        </w:rPr>
        <w:t xml:space="preserve">Notes: </w:t>
      </w:r>
      <w:r>
        <w:t>abstract_source=openalex</w:t>
      </w:r>
    </w:p>
    <w:p>
      <w:pPr>
        <w:spacing w:before="0" w:after="80" w:lineRule="auto" w:line="276"/>
      </w:pPr>
      <w:r>
        <w:rPr>
          <w:b/>
        </w:rPr>
        <w:t xml:space="preserve">摘要（ZH）: </w:t>
      </w:r>
      <w:r>
        <w:t>除了复合过程外，钙钛矿太阳能电池中离子引起的效率损失的主要原因是电荷收集失败，这与短路电流密度的显著降低、电流-电压滞后现象在0 V附近出现陡峭斜率以及阻抗测量中的负电容效应有关。这项工作提出了一个物理模型，区分了由移动离子引起的降解路径，能够统一解释电响应。在多方面的低频阻抗区域中的一个核心特征是双电感响应，作为离子驱动降解的指纹，结合在复合和电荷收集中的作用。提取的时间常数揭示了它们的相互作用如何重塑阻抗响应</w:t>
      </w:r>
    </w:p>
    <w:p>
      <w:pPr>
        <w:spacing w:before="0" w:after="200" w:lineRule="auto" w:line="276"/>
      </w:pPr>
      <w:r>
        <w:rPr>
          <w:b/>
        </w:rPr>
        <w:t xml:space="preserve">Abstract (EN): </w:t>
      </w:r>
      <w:r>
        <w:t>Beyond recombination processes, a major contributor to ion-induced efficiency losses in perovskite solar cells is charge collection failures, associated with a pronounced reduction in short-circuit current density, the appearance of current–voltage hysteresis with steep slope around 0 V, and negative capacitance effects in impedance measurements. This work presents a physical model that differentiates degradation pathways induced by mobile ions, enabling a unified interpretation of electrical responses. A central feature in the multifaceted low-frequency impedance region is the double inductor response, serving as a fingerprint of ion-driven degradation with combined action in recombination and charge collection. Extracted time constants reveal how their interplay reshapes impedance responses and current–voltage curves during aging, which serve as unequivocal markers of the dominant factors affecting operational stability. Our results establish the double-inductor behavior as a key spectroscopic signature of device degradation, adding a new feature to the catalogue of anomalous phenomena in perovskite devices.</w:t>
      </w:r>
    </w:p>
    <w:p>
      <w:pPr>
        <w:spacing w:before="120" w:after="120"/>
      </w:pPr>
      <w:r>
        <w:rPr>
          <w:sz w:val="18"/>
        </w:rPr>
        <w:t>——————————————————————————————————————————————————————————————————————</w:t>
      </w:r>
    </w:p>
    <w:p>
      <w:pPr>
        <w:spacing w:before="160" w:after="40" w:line="240" w:lineRule="auto"/>
      </w:pPr>
      <w:r>
        <w:rPr>
          <w:b/>
        </w:rPr>
        <w:t xml:space="preserve">[14] </w:t>
      </w:r>
      <w:hyperlink r:id="rId27">
        <w:r>
          <w:rPr>
            <w:color w:val="1155CC"/>
            <w:u w:val="single"/>
          </w:rPr>
          <w:t>[ASAP] 进入27%时代：单结钙钛矿太阳能电池的实用设计规则</w:t>
        </w:r>
      </w:hyperlink>
    </w:p>
    <w:p>
      <w:pPr>
        <w:spacing w:before="0" w:after="80"/>
      </w:pPr>
      <w:r>
        <w:rPr>
          <w:i/>
          <w:sz w:val="20"/>
        </w:rPr>
        <w:t>EN: [ASAP] Entering the 27% Era: Practical Design Rules for Single-Junction Perovskite Solar Cells</w:t>
      </w:r>
    </w:p>
    <w:p>
      <w:pPr>
        <w:spacing w:before="0" w:after="120"/>
      </w:pPr>
      <w:r>
        <w:rPr>
          <w:b/>
        </w:rPr>
        <w:t xml:space="preserve">Source: </w:t>
      </w:r>
      <w:r>
        <w:t>ACS Energy Letters: Latest Articles (ACS Publications)</w:t>
      </w:r>
      <w:r>
        <w:t xml:space="preserve">    </w:t>
      </w:r>
      <w:r>
        <w:rPr>
          <w:b/>
        </w:rPr>
        <w:t xml:space="preserve">Pub date: </w:t>
      </w:r>
      <w:r>
        <w:t>2026-02-25 14:16:05+00:00</w:t>
      </w:r>
      <w:r>
        <w:t xml:space="preserve">    </w:t>
      </w:r>
      <w:r>
        <w:rPr>
          <w:b/>
        </w:rPr>
        <w:t xml:space="preserve">DOI: </w:t>
      </w:r>
      <w:hyperlink r:id="rId28">
        <w:r>
          <w:rPr>
            <w:color w:val="1155CC"/>
            <w:u w:val="single"/>
          </w:rPr>
          <w:t>10.1021/acsenergylett.6c00205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9">
        <w:r>
          <w:rPr>
            <w:color w:val="1155CC"/>
            <w:u w:val="single"/>
          </w:rPr>
          <w:t>Cr–O–In互锁用于操作稳定的钙钛矿/硅串联太阳能电池的窗口层剥离电阻</w:t>
        </w:r>
      </w:hyperlink>
    </w:p>
    <w:p>
      <w:pPr>
        <w:spacing w:before="0" w:after="80"/>
      </w:pPr>
      <w:r>
        <w:rPr>
          <w:i/>
          <w:sz w:val="20"/>
        </w:rPr>
        <w:t>EN: Cr–O–In Interlocking for Window Layer Delamination Resistance in Operationally Stable Perovskite/Silicon Tandem Solar Cells</w:t>
      </w:r>
    </w:p>
    <w:p>
      <w:pPr>
        <w:spacing w:before="0" w:after="120"/>
      </w:pPr>
      <w:r>
        <w:rPr>
          <w:b/>
        </w:rPr>
        <w:t xml:space="preserve">Source: </w:t>
      </w:r>
      <w:r>
        <w:t>RSC - Energy Environ. Sci. latest articles</w:t>
      </w:r>
      <w:r>
        <w:t xml:space="preserve">    </w:t>
      </w:r>
      <w:r>
        <w:rPr>
          <w:b/>
        </w:rPr>
        <w:t xml:space="preserve">Pub date: </w:t>
      </w:r>
      <w:r>
        <w:t>2026-02-26 00:00:00+00:00</w:t>
      </w:r>
    </w:p>
    <w:p>
      <w:pPr>
        <w:spacing w:before="0" w:after="120"/>
      </w:pPr>
      <w:r>
        <w:rPr>
          <w:b/>
        </w:rPr>
        <w:t xml:space="preserve">Notes: </w:t>
      </w:r>
      <w:r>
        <w:t>abstract_source=rsc_html</w:t>
      </w:r>
    </w:p>
    <w:p>
      <w:pPr>
        <w:spacing w:before="0" w:after="80" w:lineRule="auto" w:line="276"/>
      </w:pPr>
      <w:r>
        <w:rPr>
          <w:b/>
        </w:rPr>
        <w:t xml:space="preserve">摘要（ZH）: </w:t>
      </w:r>
      <w:r>
        <w:t>钙钛矿/硅串联太阳能电池已实现显著的效率，但由于顶窗层中富勒烯/原子层沉积（ALD）SnOX界面的不稳定性，其操作稳定性仍然有限——这一问题在单结器件中通常可以忽略不计，但在串联电池中变得至关重要。这种不稳定性源于粘附性差、低温ALD过程中前驱体反应不完全以及富勒烯层的氧化暴露。在此，我们引入了一种通过铬（Cr）扩散到透明电极和富勒烯层中形成的Cr–O–In互锁界面，有效缓解了窗层的剥离并建立了稳固的界面接触。值得注意的是，Cr不会扩散穿过富勒烯层</w:t>
      </w:r>
    </w:p>
    <w:p>
      <w:pPr>
        <w:spacing w:before="0" w:after="200" w:lineRule="auto" w:line="276"/>
      </w:pPr>
      <w:r>
        <w:rPr>
          <w:b/>
        </w:rPr>
        <w:t xml:space="preserve">Abstract (EN): </w:t>
      </w:r>
      <w:r>
        <w:t>Perovskite/silicon tandem solar cells have achieved remarkable efficiencies but remain limited by poor operational stability, primarily due to the instability of fullerene/atomic-layer-deposited (ALD) SnOX interfaces in the top window layer–an issue that is often negligible in single-junction devices but becomes critically important in tandems. This instability originates from poor adhesion, incomplete precursor reactions during low-temperature ALD process, and oxidative exposure of the fullerene layer. Here, we introduce a Cr–O–In interlocking interface formed via chromium (Cr) diffusion into the transparent electrode and fullerene layer, which effectively mitigates window layer delamination and establishes robust interfacial contact. Notably, Cr does not diffuse across fullerene layer due to its strong reaction with C60 layer, which effectively immobilizes the metal atoms shortly after deposition and impedes deep diffusion. In addition, this interlocking interface integrates optical transparency, favorable band alignment, and resistance to sputtering, while enabling n-type doping of fullerene layer to enhance electron mobility and suppress across-interface nonradiative recombination. As a result, single-junction 1.67 eV perovskite solar cells achieve a PCE of 23.27% (average PCE of 22.85%), and perovskite/silicon tandems reach 32.77%, with a certified stabilized efficiency of 32.51%, among the highest reported for monolithic perovskite/TOPCon tandems. Moreover, the Cr–O–In ionic interlocking interface enhances long-term operational stability, paving the way toward scalable, industrially applicable tandem photovoltaics.</w:t>
      </w:r>
    </w:p>
    <w:p>
      <w:pPr>
        <w:spacing w:before="120" w:after="120"/>
      </w:pPr>
      <w:r>
        <w:rPr>
          <w:sz w:val="18"/>
        </w:rPr>
        <w:t>——————————————————————————————————————————————————————————————————————</w:t>
      </w:r>
    </w:p>
    <w:p>
      <w:pPr>
        <w:spacing w:before="160" w:after="40" w:line="240" w:lineRule="auto"/>
      </w:pPr>
      <w:r>
        <w:rPr>
          <w:b/>
        </w:rPr>
        <w:t xml:space="preserve">[16] </w:t>
      </w:r>
      <w:hyperlink r:id="rId30">
        <w:r>
          <w:rPr>
            <w:color w:val="1155CC"/>
            <w:u w:val="single"/>
          </w:rPr>
          <w:t>界面钝化用于高效半透明太阳能电池的光稳定宽带隙钙钛矿</w:t>
        </w:r>
      </w:hyperlink>
    </w:p>
    <w:p>
      <w:pPr>
        <w:spacing w:before="0" w:after="80"/>
      </w:pPr>
      <w:r>
        <w:rPr>
          <w:i/>
          <w:sz w:val="20"/>
        </w:rPr>
        <w:t>EN: Interfacial Passivation Toward Photostable Wide‐Bandgap Perovskites for Efficient Semitransparent Solar Cells</w:t>
      </w:r>
    </w:p>
    <w:p>
      <w:pPr>
        <w:spacing w:before="0" w:after="120"/>
      </w:pPr>
      <w:r>
        <w:rPr>
          <w:b/>
        </w:rPr>
        <w:t xml:space="preserve">Source: </w:t>
      </w:r>
      <w:r>
        <w:t>Wiley: Advanced Energy Materials: Table of Contents</w:t>
      </w:r>
      <w:r>
        <w:t xml:space="preserve">    </w:t>
      </w:r>
      <w:r>
        <w:rPr>
          <w:b/>
        </w:rPr>
        <w:t xml:space="preserve">Pub date: </w:t>
      </w:r>
      <w:r>
        <w:t>2026-02-26 06:14:49+00:00</w:t>
      </w:r>
      <w:r>
        <w:t xml:space="preserve">    </w:t>
      </w:r>
      <w:r>
        <w:rPr>
          <w:b/>
        </w:rPr>
        <w:t xml:space="preserve">DOI: </w:t>
      </w:r>
      <w:hyperlink r:id="rId31">
        <w:r>
          <w:rPr>
            <w:color w:val="1155CC"/>
            <w:u w:val="single"/>
          </w:rPr>
          <w:t>10.1002/aenm.202506610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2">
        <w:r>
          <w:rPr>
            <w:color w:val="1155CC"/>
            <w:u w:val="single"/>
          </w:rPr>
          <w:t>多功能界面偶极分子：在高效刚性、柔性和大面积钙钛矿太阳能电池中的通用适用性</w:t>
        </w:r>
      </w:hyperlink>
    </w:p>
    <w:p>
      <w:pPr>
        <w:spacing w:before="0" w:after="80"/>
      </w:pPr>
      <w:r>
        <w:rPr>
          <w:i/>
          <w:sz w:val="20"/>
        </w:rPr>
        <w:t>EN: A Multifunctional Interfacial Dipolar Molecule: Universal Applicability in Efficient Rigid, Flexible, and Large‐Area Perovskite Solar Cells</w:t>
      </w:r>
    </w:p>
    <w:p>
      <w:pPr>
        <w:spacing w:before="0" w:after="120"/>
      </w:pPr>
      <w:r>
        <w:rPr>
          <w:b/>
        </w:rPr>
        <w:t xml:space="preserve">Source: </w:t>
      </w:r>
      <w:r>
        <w:t>Wiley: Advanced Materials: Table of Contents</w:t>
      </w:r>
      <w:r>
        <w:t xml:space="preserve">    </w:t>
      </w:r>
      <w:r>
        <w:rPr>
          <w:b/>
        </w:rPr>
        <w:t xml:space="preserve">Pub date: </w:t>
      </w:r>
      <w:r>
        <w:t>2026-02-26 11:49:36+00:00</w:t>
      </w:r>
      <w:r>
        <w:t xml:space="preserve">    </w:t>
      </w:r>
      <w:r>
        <w:rPr>
          <w:b/>
        </w:rPr>
        <w:t xml:space="preserve">DOI: </w:t>
      </w:r>
      <w:hyperlink r:id="rId33">
        <w:r>
          <w:rPr>
            <w:color w:val="1155CC"/>
            <w:u w:val="single"/>
          </w:rPr>
          <w:t>10.1002/adma.202523520</w:t>
        </w:r>
      </w:hyperlink>
    </w:p>
    <w:p>
      <w:pPr>
        <w:spacing w:before="0" w:after="120"/>
      </w:pPr>
      <w:r>
        <w:rPr>
          <w:b/>
        </w:rPr>
        <w:t xml:space="preserve">Notes: </w:t>
      </w:r>
      <w:r>
        <w:t>abstract_source=pubmed</w:t>
      </w:r>
    </w:p>
    <w:p>
      <w:pPr>
        <w:spacing w:before="0" w:after="80" w:lineRule="auto" w:line="276"/>
      </w:pPr>
      <w:r>
        <w:rPr>
          <w:b/>
        </w:rPr>
        <w:t xml:space="preserve">摘要（ZH）: </w:t>
      </w:r>
      <w:r>
        <w:t>实验室规模的钙钛矿太阳能电池（PSCs）与其理论效率极限之间存在显著的性能差距，主要由电子传输层/钙钛矿埋藏界面的非辐射复合驱动。对该界面的分子工程是一种行之有效的缓解策略；然而，目前修饰剂的主要限制在于缺乏多功能结构设计，无法同时实现双面钝化、能级对齐和界面兼容性，这通常限制了器件效率的进一步提高以及应用扩展到大规模和柔性基板。为应对这一挑战，我们设计了一种多功能偶极分子，2-氰乙基磷酸酯，具有三个特征：用于s的磷酸锚定基团</w:t>
      </w:r>
    </w:p>
    <w:p>
      <w:pPr>
        <w:spacing w:before="0" w:after="200" w:lineRule="auto" w:line="276"/>
      </w:pPr>
      <w:r>
        <w:rPr>
          <w:b/>
        </w:rPr>
        <w:t xml:space="preserve">Abstract (EN): </w:t>
      </w:r>
      <w:r>
        <w:t>A critical performance gap persists between lab-scale perovskite solar cells (PSCs) and their theoretical efficiency limit, primarily driven by non-radiative recombination at the electron transport layer/perovskite buried interface. Molecular engineering of this interface is a proven mitigation strategy; however, a major limitation of current modifiers is the lack of multifunctional structural design to achieve bifacial passivation, energy level alignment, and interfacial compatibility simultaneously, which typically restricts further improvements in device efficiency and the expansion of applications to large-scale and flexible substrates. To address this challenge, we design a multifunctional dipolar molecule, 2-cyanoethyl phosphate, with three features: a phosphate anchoring group for strong covalent bonding to SnO2, a terminal cyano group for effective perovskite defect passivation, and a large intrinsic dipole moment of 5.38 Debye to optimize interfacial energy-level alignment for superior charge dynamics. This integrated strategy delivers a champion power conversion efficiency of 26.45% (certified at 26.31%) for small-area rigid PSCs, 23.51% for mini-modules (30 cm2), and 25.09% for flexible PSCs. Our work establishes a general molecular design principle for universal interfacial modifiers, accelerating the commercialization of PSCs that combine high efficiency, scalability, and flexibility.</w:t>
      </w:r>
    </w:p>
    <w:p>
      <w:pPr>
        <w:spacing w:before="120" w:after="120"/>
      </w:pPr>
      <w:r>
        <w:rPr>
          <w:sz w:val="18"/>
        </w:rPr>
        <w:t>——————————————————————————————————————————————————————————————————————</w:t>
      </w:r>
    </w:p>
    <w:p>
      <w:pPr>
        <w:spacing w:before="160" w:after="40" w:line="240" w:lineRule="auto"/>
      </w:pPr>
      <w:r>
        <w:rPr>
          <w:b/>
        </w:rPr>
        <w:t xml:space="preserve">[18] </w:t>
      </w:r>
      <w:hyperlink r:id="rId34">
        <w:r>
          <w:rPr>
            <w:color w:val="1155CC"/>
            <w:u w:val="single"/>
          </w:rPr>
          <w:t>[ASAP] 原位工程化的梯度Ruddlesden-Popper 2D/3D异质结构在埋藏界面上实现电流匹配的钙钛矿/硅串联</w:t>
        </w:r>
      </w:hyperlink>
    </w:p>
    <w:p>
      <w:pPr>
        <w:spacing w:before="0" w:after="80"/>
      </w:pPr>
      <w:r>
        <w:rPr>
          <w:i/>
          <w:sz w:val="20"/>
        </w:rPr>
        <w:t>EN: [ASAP] In Situ Engineered Gradient Ruddlesden–Popper 2D/3D Heterostructures at the Buried Interface Enable Current-Matched Perovskite/Silicon Tandems</w:t>
      </w:r>
    </w:p>
    <w:p>
      <w:pPr>
        <w:spacing w:before="0" w:after="120"/>
      </w:pPr>
      <w:r>
        <w:rPr>
          <w:b/>
        </w:rPr>
        <w:t xml:space="preserve">Source: </w:t>
      </w:r>
      <w:r>
        <w:t>ACS Energy Letters: Latest Articles (ACS Publications)</w:t>
      </w:r>
      <w:r>
        <w:t xml:space="preserve">    </w:t>
      </w:r>
      <w:r>
        <w:rPr>
          <w:b/>
        </w:rPr>
        <w:t xml:space="preserve">Pub date: </w:t>
      </w:r>
      <w:r>
        <w:t>2026-02-26 19:29:32+00:00</w:t>
      </w:r>
      <w:r>
        <w:t xml:space="preserve">    </w:t>
      </w:r>
      <w:r>
        <w:rPr>
          <w:b/>
        </w:rPr>
        <w:t xml:space="preserve">DOI: </w:t>
      </w:r>
      <w:hyperlink r:id="rId35">
        <w:r>
          <w:rPr>
            <w:color w:val="1155CC"/>
            <w:u w:val="single"/>
          </w:rPr>
          <w:t>10.1021/acsenergylett.5c04127</w:t>
        </w:r>
      </w:hyperlink>
    </w:p>
    <w:p>
      <w:pPr>
        <w:spacing w:before="0" w:after="120"/>
      </w:pPr>
      <w:r>
        <w:rPr>
          <w:b/>
        </w:rPr>
        <w:t xml:space="preserve">Notes: </w:t>
      </w:r>
      <w:r>
        <w:t>abstract_source=openalex</w:t>
      </w:r>
    </w:p>
    <w:p>
      <w:pPr>
        <w:spacing w:before="0" w:after="80" w:lineRule="auto" w:line="276"/>
      </w:pPr>
      <w:r>
        <w:rPr>
          <w:b/>
        </w:rPr>
        <w:t xml:space="preserve">摘要（ZH）: </w:t>
      </w:r>
      <w:r>
        <w:t>原位界面钝化是提高宽带隙（WBG）钙钛矿太阳能电池及其相关串联结构效率和稳定性的关键策略。在此，我们提出了一种一步原位埋藏界面钝化方法，旨在减少三维（3D）WBG钙钛矿薄膜中的界面缺陷。通过在3D WBG钙钛矿的埋藏界面构建梯度Ruddlesden–Popper（RP）二维（2D）钙钛矿层的自组装，实现了梯度RP-2D/3D钙钛矿异质结构的形成。这种异质结构促进了3D钙钛矿晶体沿（100）平面的定向生长，增强了电荷载流子的提取，并有效钝化了WBG钙钛矿中的陷阱态。</w:t>
      </w:r>
    </w:p>
    <w:p>
      <w:pPr>
        <w:spacing w:before="0" w:after="200" w:lineRule="auto" w:line="276"/>
      </w:pPr>
      <w:r>
        <w:rPr>
          <w:b/>
        </w:rPr>
        <w:t xml:space="preserve">Abstract (EN): </w:t>
      </w:r>
      <w:r>
        <w:t>In situ interface passivation serves as a crucial strategy for improving both the efficiency and stability of wide-band gap (WBG) perovskite solar cells and their associated tandem architectures. Here, we present a one-step in situ buried-interface passivation approach designed to reduce interface defects in three-dimensional (3D) WBG perovskite films. This is achieved by constructing self-assembly of a gradient Ruddlesden–Popper (RP) two-dimensional (2D) perovskite layer at the buried interface of the 3D WBG perovskite, leading to the formation of a gradient RP-2D/3D perovskite heterostructure. Such heterostructures facilitate the oriented growth of 3D perovskite crystals along the (100) plane, enhance charge carrier extraction, and effectively passivate trap states within the WBG perovskites. The in situ formation of RP-2D/3D perovskite heterostructures significantly enhances the light, thermal, and moisture stabilities of the WBG 3D perovskites. The resulting perovskite/silicon tandem solar cells exhibit improved current matching (mismatch 0.1% vs 5.5% for 3D), deliver improved efficiency of 32.73% (certified 32.46%), and demonstrate an operational lifetime T90 exceeding 1508 h.</w:t>
      </w:r>
    </w:p>
    <w:p>
      <w:pPr>
        <w:spacing w:before="120" w:after="120"/>
      </w:pPr>
      <w:r>
        <w:rPr>
          <w:sz w:val="18"/>
        </w:rPr>
        <w:t>——————————————————————————————————————————————————————————————————————</w:t>
      </w:r>
    </w:p>
    <w:p>
      <w:pPr>
        <w:spacing w:before="160" w:after="40" w:line="240" w:lineRule="auto"/>
      </w:pPr>
      <w:r>
        <w:rPr>
          <w:b/>
        </w:rPr>
        <w:t xml:space="preserve">[19] </w:t>
      </w:r>
      <w:hyperlink r:id="rId36">
        <w:r>
          <w:rPr>
            <w:color w:val="1155CC"/>
            <w:u w:val="single"/>
          </w:rPr>
          <w:t>原位检测和精确修复印刷柔性钙钛矿光伏中的缺陷</w:t>
        </w:r>
      </w:hyperlink>
    </w:p>
    <w:p>
      <w:pPr>
        <w:spacing w:before="0" w:after="80"/>
      </w:pPr>
      <w:r>
        <w:rPr>
          <w:i/>
          <w:sz w:val="20"/>
        </w:rPr>
        <w:t>EN: In situ detection and accurate repair of defects in printed flexible perovskite photovoltaics</w:t>
      </w:r>
    </w:p>
    <w:p>
      <w:pPr>
        <w:spacing w:before="0" w:after="120"/>
      </w:pPr>
      <w:r>
        <w:rPr>
          <w:b/>
        </w:rPr>
        <w:t xml:space="preserve">Source: </w:t>
      </w:r>
      <w:r>
        <w:t>Joule</w:t>
      </w:r>
      <w:r>
        <w:t xml:space="preserve">    </w:t>
      </w:r>
      <w:r>
        <w:rPr>
          <w:b/>
        </w:rPr>
        <w:t xml:space="preserve">Pub date: </w:t>
      </w:r>
      <w:r>
        <w:t>2026-02-27 00:00:00+00:00</w:t>
      </w:r>
      <w:r>
        <w:t xml:space="preserve">    </w:t>
      </w:r>
      <w:r>
        <w:rPr>
          <w:b/>
        </w:rPr>
        <w:t xml:space="preserve">DOI: </w:t>
      </w:r>
      <w:hyperlink r:id="rId37">
        <w:r>
          <w:rPr>
            <w:color w:val="1155CC"/>
            <w:u w:val="single"/>
          </w:rPr>
          <w:t>10.1016/j.joule.2025.102305</w:t>
        </w:r>
      </w:hyperlink>
    </w:p>
    <w:p>
      <w:pPr>
        <w:spacing w:before="0" w:after="120"/>
      </w:pPr>
      <w:r>
        <w:rPr>
          <w:b/>
        </w:rPr>
        <w:t xml:space="preserve">Notes: </w:t>
      </w:r>
      <w:r>
        <w:t>abstract_source=rss_cell</w:t>
      </w:r>
    </w:p>
    <w:p>
      <w:pPr>
        <w:spacing w:before="0" w:after="80" w:lineRule="auto" w:line="276"/>
      </w:pPr>
      <w:r>
        <w:rPr>
          <w:b/>
        </w:rPr>
        <w:t xml:space="preserve">摘要（ZH）: </w:t>
      </w:r>
      <w:r>
        <w:t>这项工作提出了一种策略，通过原位缺陷检测和激光修复提高大面积钙钛矿太阳能电池的可重复性，在1.01 cm²的柔性钙钛矿太阳能电池上实现了25.21%的功率转换效率，并在相应的柔性组件上实现了17.36%的效率。它为柔性钙钛矿光伏设备的商业化提供了技术和理论参考。</w:t>
      </w:r>
    </w:p>
    <w:p>
      <w:pPr>
        <w:spacing w:before="0" w:after="200" w:lineRule="auto" w:line="276"/>
      </w:pPr>
      <w:r>
        <w:rPr>
          <w:b/>
        </w:rPr>
        <w:t xml:space="preserve">Abstract (EN): </w:t>
      </w:r>
      <w:r>
        <w:t>This work proposes a strategy that enhances the reproducibility of large-area perovskite solar cells through in situ defect detection and laser repair, achieving power conversion efficiencies of 25.21% on a 1.01 cm² flexible perovskite solar cell and 17.36% on the corresponding flexible module. It provides both technical and theoretical reference for the commercialization of flexible perovskite photovoltaic devices.</w:t>
      </w:r>
    </w:p>
    <w:p>
      <w:pPr>
        <w:spacing w:before="120" w:after="120"/>
      </w:pPr>
      <w:r>
        <w:rPr>
          <w:sz w:val="18"/>
        </w:rPr>
        <w:t>——————————————————————————————————————————————————————————————————————</w:t>
      </w:r>
    </w:p>
    <w:p>
      <w:pPr>
        <w:spacing w:before="160" w:after="40" w:line="240" w:lineRule="auto"/>
      </w:pPr>
      <w:r>
        <w:rPr>
          <w:b/>
        </w:rPr>
        <w:t xml:space="preserve">[20] </w:t>
      </w:r>
      <w:hyperlink r:id="rId38">
        <w:r>
          <w:rPr>
            <w:color w:val="1155CC"/>
            <w:u w:val="single"/>
          </w:rPr>
          <w:t>深入了解有机太阳能电池中的电荷光生</w:t>
        </w:r>
      </w:hyperlink>
    </w:p>
    <w:p>
      <w:pPr>
        <w:spacing w:before="0" w:after="80"/>
      </w:pPr>
      <w:r>
        <w:rPr>
          <w:i/>
          <w:sz w:val="20"/>
        </w:rPr>
        <w:t>EN: Deeper insights into charge photogeneration in organic solar cells</w:t>
      </w:r>
    </w:p>
    <w:p>
      <w:pPr>
        <w:spacing w:before="0" w:after="120"/>
      </w:pPr>
      <w:r>
        <w:rPr>
          <w:b/>
        </w:rPr>
        <w:t xml:space="preserve">Source: </w:t>
      </w:r>
      <w:r>
        <w:t>Nature Materials</w:t>
      </w:r>
      <w:r>
        <w:t xml:space="preserve">    </w:t>
      </w:r>
      <w:r>
        <w:rPr>
          <w:b/>
        </w:rPr>
        <w:t xml:space="preserve">Pub date: </w:t>
      </w:r>
      <w:r>
        <w:t>2026-02-27 00:00:00+00:00</w:t>
      </w:r>
      <w:r>
        <w:t xml:space="preserve">    </w:t>
      </w:r>
      <w:r>
        <w:rPr>
          <w:b/>
        </w:rPr>
        <w:t xml:space="preserve">DOI: </w:t>
      </w:r>
      <w:hyperlink r:id="rId39">
        <w:r>
          <w:rPr>
            <w:color w:val="1155CC"/>
            <w:u w:val="single"/>
          </w:rPr>
          <w:t>10.1038/s41563-026-02500-1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40">
        <w:r>
          <w:rPr>
            <w:color w:val="1155CC"/>
            <w:u w:val="single"/>
          </w:rPr>
          <w:t>控制有机光伏材料中电荷对生成的分子因素</w:t>
        </w:r>
      </w:hyperlink>
    </w:p>
    <w:p>
      <w:pPr>
        <w:spacing w:before="0" w:after="80"/>
      </w:pPr>
      <w:r>
        <w:rPr>
          <w:i/>
          <w:sz w:val="20"/>
        </w:rPr>
        <w:t>EN: Molecular factors controlling charge pair generation in organic photovoltaic materials</w:t>
      </w:r>
    </w:p>
    <w:p>
      <w:pPr>
        <w:spacing w:before="0" w:after="120"/>
      </w:pPr>
      <w:r>
        <w:rPr>
          <w:b/>
        </w:rPr>
        <w:t xml:space="preserve">Source: </w:t>
      </w:r>
      <w:r>
        <w:t>Nature Materials</w:t>
      </w:r>
      <w:r>
        <w:t xml:space="preserve">    </w:t>
      </w:r>
      <w:r>
        <w:rPr>
          <w:b/>
        </w:rPr>
        <w:t xml:space="preserve">Pub date: </w:t>
      </w:r>
      <w:r>
        <w:t>2026-02-27 00:00:00+00:00</w:t>
      </w:r>
      <w:r>
        <w:t xml:space="preserve">    </w:t>
      </w:r>
      <w:r>
        <w:rPr>
          <w:b/>
        </w:rPr>
        <w:t xml:space="preserve">DOI: </w:t>
      </w:r>
      <w:hyperlink r:id="rId41">
        <w:r>
          <w:rPr>
            <w:color w:val="1155CC"/>
            <w:u w:val="single"/>
          </w:rPr>
          <w:t>10.1038/s41563-026-02509-6</w:t>
        </w:r>
      </w:hyperlink>
    </w:p>
    <w:p>
      <w:pPr>
        <w:spacing w:before="0" w:after="120"/>
      </w:pPr>
      <w:r>
        <w:rPr>
          <w:b/>
        </w:rPr>
        <w:t xml:space="preserve">Notes: </w:t>
      </w:r>
      <w:r>
        <w:t>abstract_source=nature_html</w:t>
      </w:r>
    </w:p>
    <w:p>
      <w:pPr>
        <w:spacing w:before="0" w:after="80" w:lineRule="auto" w:line="276"/>
      </w:pPr>
      <w:r>
        <w:rPr>
          <w:b/>
        </w:rPr>
        <w:t xml:space="preserve">摘要（ZH）: </w:t>
      </w:r>
      <w:r>
        <w:t>通过材料设计的显著进步，分子材料中光伏能量转换的效率在20年内从1%提高到超过20%。一些最近的报告认为，电荷光生可以直接发生在性能最佳的分子材料的纯膜中，这一过程可能有助于异质结器件中的电流生成。我们通过结合单组分和异质结器件中电荷生成的实验测量与此类系统中离域激发态生成和演化的计算模型来探讨这一论断。我们识别出可能有助于高性能材料中电荷生成的关键分子参数，包括激子结合能、重组能、能量</w:t>
      </w:r>
    </w:p>
    <w:p>
      <w:pPr>
        <w:spacing w:before="0" w:after="200" w:lineRule="auto" w:line="276"/>
      </w:pPr>
      <w:r>
        <w:rPr>
          <w:b/>
        </w:rPr>
        <w:t xml:space="preserve">Abstract (EN): </w:t>
      </w:r>
      <w:r>
        <w:t>Through remarkable advances in materials design, the efficiency of photovoltaic energy conversion in molecular materials has risen from 1% to over 20% within 2 decades. Some recent reports argue that charge photogeneration can occur directly in neat films of the best-performing molecular materials, and that this process may assist current generation in heterojunction devices. Here we address this assertion by combining experimental measurements of charge generation in single-component and heterojunction devices with a computational model of the generation and evolution of delocalized excited states in such systems. We identify key molecular parameters that are likely to assist charge generation in high-performance materials, including the exciton binding energy, reorganization energy, energetic disorder, electronic coupling and the molecular packing motif. We show that including state delocalization is critical to the results. While we find that charge generation in single domains is unlikely to drive photocurrent generation in low-offset heterojunctions, the same molecular parameters favour charge generation in both device architectures.</w:t>
      </w:r>
    </w:p>
    <w:p>
      <w:pPr>
        <w:spacing w:before="120" w:after="120"/>
      </w:pPr>
      <w:r>
        <w:rPr>
          <w:sz w:val="18"/>
        </w:rPr>
        <w:t>——————————————————————————————————————————————————————————————————————</w:t>
      </w:r>
    </w:p>
    <w:p>
      <w:pPr>
        <w:spacing w:before="160" w:after="40" w:line="240" w:lineRule="auto"/>
      </w:pPr>
      <w:r>
        <w:rPr>
          <w:b/>
        </w:rPr>
        <w:t xml:space="preserve">[22] </w:t>
      </w:r>
      <w:hyperlink r:id="rId42">
        <w:r>
          <w:rPr>
            <w:color w:val="1155CC"/>
            <w:u w:val="single"/>
          </w:rPr>
          <w:t>TinyML驱动的无人机检查用于太阳能电池板监测的优化路径规划</w:t>
        </w:r>
      </w:hyperlink>
    </w:p>
    <w:p>
      <w:pPr>
        <w:spacing w:before="0" w:after="80"/>
      </w:pPr>
      <w:r>
        <w:rPr>
          <w:i/>
          <w:sz w:val="20"/>
        </w:rPr>
        <w:t>EN: TinyML powered UAV inspection for solar panel monitoring with optimized path planning</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3">
        <w:r>
          <w:rPr>
            <w:color w:val="1155CC"/>
            <w:u w:val="single"/>
          </w:rPr>
          <w:t>通过结构缺陷修复和界面构建实现废旧LiFePO4正极的高效直接回收策略</w:t>
        </w:r>
      </w:hyperlink>
    </w:p>
    <w:p>
      <w:pPr>
        <w:spacing w:before="0" w:after="80"/>
      </w:pPr>
      <w:r>
        <w:rPr>
          <w:i/>
          <w:sz w:val="20"/>
        </w:rPr>
        <w:t>EN: Efficient Direct Recycling Strategy of Spent LiFePO4 Cathodes by Structural Defect Repair and Interface Construction</w:t>
      </w:r>
    </w:p>
    <w:p>
      <w:pPr>
        <w:spacing w:before="0" w:after="120"/>
      </w:pPr>
      <w:r>
        <w:rPr>
          <w:b/>
        </w:rPr>
        <w:t xml:space="preserve">Source: </w:t>
      </w:r>
      <w:r>
        <w:t>Wiley: Advanced Materials: Table of Contents</w:t>
      </w:r>
      <w:r>
        <w:t xml:space="preserve">    </w:t>
      </w:r>
      <w:r>
        <w:rPr>
          <w:b/>
        </w:rPr>
        <w:t xml:space="preserve">Pub date: </w:t>
      </w:r>
      <w:r>
        <w:t>2026-02-24 12:45:48+00:00</w:t>
      </w:r>
      <w:r>
        <w:t xml:space="preserve">    </w:t>
      </w:r>
      <w:r>
        <w:rPr>
          <w:b/>
        </w:rPr>
        <w:t xml:space="preserve">DOI: </w:t>
      </w:r>
      <w:hyperlink r:id="rId44">
        <w:r>
          <w:rPr>
            <w:color w:val="1155CC"/>
            <w:u w:val="single"/>
          </w:rPr>
          <w:t>10.1002/adma.202521012</w:t>
        </w:r>
      </w:hyperlink>
    </w:p>
    <w:p>
      <w:pPr>
        <w:spacing w:before="0" w:after="120"/>
      </w:pPr>
      <w:r>
        <w:rPr>
          <w:b/>
        </w:rPr>
        <w:t xml:space="preserve">Notes: </w:t>
      </w:r>
      <w:r>
        <w:t>abstract_source=pubmed</w:t>
      </w:r>
    </w:p>
    <w:p>
      <w:pPr>
        <w:spacing w:before="0" w:after="80" w:lineRule="auto" w:line="276"/>
      </w:pPr>
      <w:r>
        <w:rPr>
          <w:b/>
        </w:rPr>
        <w:t xml:space="preserve">摘要（ZH）: </w:t>
      </w:r>
      <w:r>
        <w:t>退役的LiFePO4电池数量不断增加，迫切需要高效且环保的回收方法。LiFePO4电池失效的主要原因可归因于锂损失和Fe(III)相的形成。因此，绿色试剂柠檬酸（CA）和尿素（UR）之间的协同作用实现了低温自发缺陷修复和N掺杂碳层的构建。具体而言，CA创造了还原性环境，将Fe(III)还原为Fe(II)相，从而消除了Li-Fe反位缺陷。同时，UR中的氨基（─NH2）作为氮源，使LiFePO4颗粒表面的碳层进行N掺杂改性。形成的N掺杂碳层有效改善了电子共</w:t>
      </w:r>
    </w:p>
    <w:p>
      <w:pPr>
        <w:spacing w:before="0" w:after="200" w:lineRule="auto" w:line="276"/>
      </w:pPr>
      <w:r>
        <w:rPr>
          <w:b/>
        </w:rPr>
        <w:t xml:space="preserve">Abstract (EN): </w:t>
      </w:r>
      <w:r>
        <w:t>The increasing number of retired LiFePO4 batteries urgently requires efficient and environmentally friendly recycling methods. The primary causes of LiFePO4 battery failure can be attributed to lithium loss and the formation of Fe(III) phases. Therefore, the synergistic interaction between the green reagent citric acid (CA) and urea (UR) achieves low-temperature spontaneous defect repair and the construction of an N-doped carbon layer. Specifically, CA creates a reductive atmosphere that reduces Fe(III) to the Fe(II) phase, thereby eliminating Li-Fe anti-site defects. Meanwhile, the amino group (─NH2) in UR acts as a nitrogen source, enabling N-doping modification of the carbon layer on the surface of LiFePO4 particles. The formed N-doped carbon layer effectively improves the electronic conductivity and lithium-ion migration dynamics of regenerated LiFePO4 (R-LFP). Moreover, the strengthening of Fe-O and P─O bonds further increases the overall structural stability of R-LFP, resulting in its remarkable electrochemical performance. The R-LFP electrode material delivers 163 mAh/g specific capacity during the first discharge cycle at 0.1C and retains 93.5% of its initial capacity after 500 cycles at 1C. This economical and environmentally friendly recycling strategy provides a greatly promising solution for the sustainable recovery of lithium-ion batteries (LIBs).</w:t>
      </w:r>
    </w:p>
    <w:p>
      <w:pPr>
        <w:spacing w:before="120" w:after="120"/>
      </w:pPr>
      <w:r>
        <w:rPr>
          <w:sz w:val="18"/>
        </w:rPr>
        <w:t>——————————————————————————————————————————————————————————————————————</w:t>
      </w:r>
    </w:p>
    <w:p>
      <w:pPr>
        <w:spacing w:before="160" w:after="40" w:line="240" w:lineRule="auto"/>
      </w:pPr>
      <w:r>
        <w:rPr>
          <w:b/>
        </w:rPr>
        <w:t xml:space="preserve">[2] </w:t>
      </w:r>
      <w:hyperlink r:id="rId45">
        <w:r>
          <w:rPr>
            <w:color w:val="1155CC"/>
            <w:u w:val="single"/>
          </w:rPr>
          <w:t>一体化VN/B2O3陶瓷中的耦合电子-催化调节实现Li-S电池中快速多硫化物转化</w:t>
        </w:r>
      </w:hyperlink>
    </w:p>
    <w:p>
      <w:pPr>
        <w:spacing w:before="0" w:after="80"/>
      </w:pPr>
      <w:r>
        <w:rPr>
          <w:i/>
          <w:sz w:val="20"/>
        </w:rPr>
        <w:t>EN: Coupled Electronic‐Catalytic Regulation in All‐in‐One VN/B2O3 Ceramic Enables Fast Polysulfides Conversion in Li‐S Batteries</w:t>
      </w:r>
    </w:p>
    <w:p>
      <w:pPr>
        <w:spacing w:before="0" w:after="120"/>
      </w:pPr>
      <w:r>
        <w:rPr>
          <w:b/>
        </w:rPr>
        <w:t xml:space="preserve">Source: </w:t>
      </w:r>
      <w:r>
        <w:t>Wiley: Angewandte Chemie International Edition: Table of Contents</w:t>
      </w:r>
      <w:r>
        <w:t xml:space="preserve">    </w:t>
      </w:r>
      <w:r>
        <w:rPr>
          <w:b/>
        </w:rPr>
        <w:t xml:space="preserve">Pub date: </w:t>
      </w:r>
      <w:r>
        <w:t>2026-02-25 04:19:19+00:00</w:t>
      </w:r>
      <w:r>
        <w:t xml:space="preserve">    </w:t>
      </w:r>
      <w:r>
        <w:rPr>
          <w:b/>
        </w:rPr>
        <w:t xml:space="preserve">DOI: </w:t>
      </w:r>
      <w:hyperlink r:id="rId46">
        <w:r>
          <w:rPr>
            <w:color w:val="1155CC"/>
            <w:u w:val="single"/>
          </w:rPr>
          <w:t>10.1002/anie.202526035</w:t>
        </w:r>
      </w:hyperlink>
    </w:p>
    <w:p>
      <w:pPr>
        <w:spacing w:before="0" w:after="120"/>
      </w:pPr>
      <w:r>
        <w:rPr>
          <w:b/>
        </w:rPr>
        <w:t xml:space="preserve">Notes: </w:t>
      </w:r>
      <w:r>
        <w:t>abstract_source=pubmed</w:t>
      </w:r>
    </w:p>
    <w:p>
      <w:pPr>
        <w:spacing w:before="0" w:after="80" w:lineRule="auto" w:line="276"/>
      </w:pPr>
      <w:r>
        <w:rPr>
          <w:b/>
        </w:rPr>
        <w:t xml:space="preserve">摘要（ZH）: </w:t>
      </w:r>
      <w:r>
        <w:t>锂硫（Li-S）电池在下一代高能量存储中具有巨大潜力，但面临锂多硫化物（LiPSs）转化缓慢、硫利用率低和实际负载有限的挑战。在此，我们报告了一种全合一蚁巢状多孔VN/B2O3（VNBO）陶瓷，通过VN纳米颗粒的自下而上烧结扩散过程与B2O3的相变构建而成。这种集成的多孔陶瓷提供了一个连续的导电框架，最大限度地减少了界面电阻。VN纳米单元作为高活性催化中心，加速LiPSs的氧化还原动力学，而B2O3成分促进了分层蚁巢状网络的形成，并调节VN/B2O3异质界面的电子结构。这种耦合的电</w:t>
      </w:r>
    </w:p>
    <w:p>
      <w:pPr>
        <w:spacing w:before="0" w:after="200" w:lineRule="auto" w:line="276"/>
      </w:pPr>
      <w:r>
        <w:rPr>
          <w:b/>
        </w:rPr>
        <w:t xml:space="preserve">Abstract (EN): </w:t>
      </w:r>
      <w:r>
        <w:t>Lithium-sulfur (Li-S) batteries hold great promise for next-generation high-energy storage but are challenged by sluggish lithium polysulfides (LiPSs) conversion, low sulfur utilization, and limited practical loading. Herein, we report an all-in-one ant-nest-like porous VN/B2O3 (VNBO) ceramic, constructed through a bottom-up sintering-diffusion process of VN nanoparticles coupled with the phase transition of B2O3. This integrated porous ceramic provides a continuous conductive framework with minimized interfacial resistance. The VN nano-units serve as highly active catalytic centers to accelerate LiPSs redox kinetics, while B2O3 component promotes the formation of the hierarchical ant-nest-like network and modulates the electronic structure of the VN/B2O3 heterointerface. This coupled electronic-catalytic regulation effectively suppresses LiPSs shuttling and enables fast, reversible LiPSs conversion. Benefiting from this synergistic architecture, the 2-VNBO@S cathode delivers outstanding electrochemical performances, achieving 1187.2 mAh g-1 at 0.5 C after 200 cycles and retaining 944.3 mAh g-1 over 300 cycles at 3 C with a capacity decay of only 0.054% per cycle. Even under a high sulfur loading of 4 mg cm-2, it maintains 557.9 mAh g-1 after 150 cycles. This work establishes a robust design strategy for high-energy and catalytically active sulfur cathodes.</w:t>
      </w:r>
    </w:p>
    <w:p>
      <w:pPr>
        <w:spacing w:before="120" w:after="120"/>
      </w:pPr>
      <w:r>
        <w:rPr>
          <w:sz w:val="18"/>
        </w:rPr>
        <w:t>——————————————————————————————————————————————————————————————————————</w:t>
      </w:r>
    </w:p>
    <w:p>
      <w:pPr>
        <w:spacing w:before="160" w:after="40" w:line="240" w:lineRule="auto"/>
      </w:pPr>
      <w:r>
        <w:rPr>
          <w:b/>
        </w:rPr>
        <w:t xml:space="preserve">[3] </w:t>
      </w:r>
      <w:hyperlink r:id="rId47">
        <w:r>
          <w:rPr>
            <w:color w:val="1155CC"/>
            <w:u w:val="single"/>
          </w:rPr>
          <w:t>固态锂硫电池的现状与未来展望：聚焦反应和界面工程（Adv. Energy Mater. 8/2026）</w:t>
        </w:r>
      </w:hyperlink>
    </w:p>
    <w:p>
      <w:pPr>
        <w:spacing w:before="0" w:after="80"/>
      </w:pPr>
      <w:r>
        <w:rPr>
          <w:i/>
          <w:sz w:val="20"/>
        </w:rPr>
        <w:t>EN: Current Status and Future Prospects of Solid‐State Lithium–Sulfur Batteries: A Focus on Reaction and Interface Engineering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48">
        <w:r>
          <w:rPr>
            <w:color w:val="1155CC"/>
            <w:u w:val="single"/>
          </w:rPr>
          <w:t>10.1002/aenm.70743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9">
        <w:r>
          <w:rPr>
            <w:color w:val="1155CC"/>
            <w:u w:val="single"/>
          </w:rPr>
          <w:t>FeS1‐x的三功能P掺杂大大增强电化学动力学和高弹性Li‐S电池（Adv. Energy Mater. 8/2026）</w:t>
        </w:r>
      </w:hyperlink>
    </w:p>
    <w:p>
      <w:pPr>
        <w:spacing w:before="0" w:after="80"/>
      </w:pPr>
      <w:r>
        <w:rPr>
          <w:i/>
          <w:sz w:val="20"/>
        </w:rPr>
        <w:t>EN: Trifunctional P‐Doping of FeS1‐x for Greatly Enhanced Electrochemical Kinetics and Highly Resilient Li‐S Batteries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50">
        <w:r>
          <w:rPr>
            <w:color w:val="1155CC"/>
            <w:u w:val="single"/>
          </w:rPr>
          <w:t>10.1002/aenm.70744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51">
        <w:r>
          <w:rPr>
            <w:color w:val="1155CC"/>
            <w:u w:val="single"/>
          </w:rPr>
          <w:t>p-p轨道杂化实现耐用的水系锌碘电池</w:t>
        </w:r>
      </w:hyperlink>
    </w:p>
    <w:p>
      <w:pPr>
        <w:spacing w:before="0" w:after="80"/>
      </w:pPr>
      <w:r>
        <w:rPr>
          <w:i/>
          <w:sz w:val="20"/>
        </w:rPr>
        <w:t>EN: p-p orbital hybridization enables durable aqueous zinc-iodine batteries</w:t>
      </w:r>
    </w:p>
    <w:p>
      <w:pPr>
        <w:spacing w:before="0" w:after="120"/>
      </w:pPr>
      <w:r>
        <w:rPr>
          <w:b/>
        </w:rPr>
        <w:t xml:space="preserve">Source: </w:t>
      </w:r>
      <w:r>
        <w:t>Chem</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展示了碘宿主材料中p-p杂化的轨道工程，以实现高效和耐用的AZIBs。通过引入合理设计的Bi SACs p区元素，与Bi的6p轨道和碘的5p轨道之间的强相互作用，目标Bi-NC催化剂有利于快速的氧化还原动力学和抑制的多碘化物穿梭效应，在超高电流密度16 A g−1下超过100,000个循环，提供了卓越的耐久性，几乎没有容量衰减。</w:t>
      </w:r>
    </w:p>
    <w:p>
      <w:pPr>
        <w:spacing w:before="0" w:after="200" w:lineRule="auto" w:line="276"/>
      </w:pPr>
      <w:r>
        <w:rPr>
          <w:b/>
        </w:rPr>
        <w:t xml:space="preserve">Abstract (EN): </w:t>
      </w:r>
      <w:r>
        <w:t>Orbital engineering of p-p hybridization in iodine host materials is demonstrated to enable efficient and durable AZIBs. By incorporating a rationally designed p-block element of Bi SACs with strong interaction between the 6p orbital of Bi and the 5p orbital of iodine, the target Bi-NC catalysts favor rapid redox kinetics and a suppressed polyiodide shuttle effect, delivering exceptional durability with negligible capacity decay at an ultra-high current density of 16 A g−1 over 100,000 cycles.</w:t>
      </w:r>
    </w:p>
    <w:p>
      <w:pPr>
        <w:spacing w:before="120" w:after="120"/>
      </w:pPr>
      <w:r>
        <w:rPr>
          <w:sz w:val="18"/>
        </w:rPr>
        <w:t>——————————————————————————————————————————————————————————————————————</w:t>
      </w:r>
    </w:p>
    <w:p>
      <w:pPr>
        <w:spacing w:before="160" w:after="40" w:line="240" w:lineRule="auto"/>
      </w:pPr>
      <w:r>
        <w:rPr>
          <w:b/>
        </w:rPr>
        <w:t xml:space="preserve">[6] </w:t>
      </w:r>
      <w:hyperlink r:id="rId52">
        <w:r>
          <w:rPr>
            <w:color w:val="1155CC"/>
            <w:u w:val="single"/>
          </w:rPr>
          <w:t>多相氧化钴/石墨烯复合宿主中异质结和氧空位的协同界面工程用于高性能锂硫电池</w:t>
        </w:r>
      </w:hyperlink>
    </w:p>
    <w:p>
      <w:pPr>
        <w:spacing w:before="0" w:after="80"/>
      </w:pPr>
      <w:r>
        <w:rPr>
          <w:i/>
          <w:sz w:val="20"/>
        </w:rPr>
        <w:t>EN: Synergistic Interface Engineering of Heterojunction and Oxygen Vacancies in Multiphase Cobalt Oxide/Graphene Composite Host for High‐Performance Lithium–Sulfur Batteries</w:t>
      </w:r>
    </w:p>
    <w:p>
      <w:pPr>
        <w:spacing w:before="0" w:after="120"/>
      </w:pPr>
      <w:r>
        <w:rPr>
          <w:b/>
        </w:rPr>
        <w:t xml:space="preserve">Source: </w:t>
      </w:r>
      <w:r>
        <w:t>Wiley: Advanced Energy Materials: Table of Contents</w:t>
      </w:r>
      <w:r>
        <w:t xml:space="preserve">    </w:t>
      </w:r>
      <w:r>
        <w:rPr>
          <w:b/>
        </w:rPr>
        <w:t xml:space="preserve">Pub date: </w:t>
      </w:r>
      <w:r>
        <w:t>2026-02-26 06:21:11+00:00</w:t>
      </w:r>
      <w:r>
        <w:t xml:space="preserve">    </w:t>
      </w:r>
      <w:r>
        <w:rPr>
          <w:b/>
        </w:rPr>
        <w:t xml:space="preserve">DOI: </w:t>
      </w:r>
      <w:hyperlink r:id="rId53">
        <w:r>
          <w:rPr>
            <w:color w:val="1155CC"/>
            <w:u w:val="single"/>
          </w:rPr>
          <w:t>10.1002/aenm.202506549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54">
        <w:r>
          <w:rPr>
            <w:color w:val="1155CC"/>
            <w:u w:val="single"/>
          </w:rPr>
          <w:t>[ASAP] 理解多晶和单晶富镍层状氧化物阴极之间的性能差距</w:t>
        </w:r>
      </w:hyperlink>
    </w:p>
    <w:p>
      <w:pPr>
        <w:spacing w:before="0" w:after="80"/>
      </w:pPr>
      <w:r>
        <w:rPr>
          <w:i/>
          <w:sz w:val="20"/>
        </w:rPr>
        <w:t>EN: [ASAP] Understanding the Performance Gap between Polycrystalline and Single-Crystal Nickel-Rich Layered Oxide Cathodes</w:t>
      </w:r>
    </w:p>
    <w:p>
      <w:pPr>
        <w:spacing w:before="0" w:after="120"/>
      </w:pPr>
      <w:r>
        <w:rPr>
          <w:b/>
        </w:rPr>
        <w:t xml:space="preserve">Source: </w:t>
      </w:r>
      <w:r>
        <w:t>Journal of the American Chemical Society: Latest Articles (ACS Publications)</w:t>
      </w:r>
      <w:r>
        <w:t xml:space="preserve">    </w:t>
      </w:r>
      <w:r>
        <w:rPr>
          <w:b/>
        </w:rPr>
        <w:t xml:space="preserve">Pub date: </w:t>
      </w:r>
      <w:r>
        <w:t>2026-02-27 09:38:44+00:00</w:t>
      </w:r>
      <w:r>
        <w:t xml:space="preserve">    </w:t>
      </w:r>
      <w:r>
        <w:rPr>
          <w:b/>
        </w:rPr>
        <w:t xml:space="preserve">DOI: </w:t>
      </w:r>
      <w:hyperlink r:id="rId55">
        <w:r>
          <w:rPr>
            <w:color w:val="1155CC"/>
            <w:u w:val="single"/>
          </w:rPr>
          <w:t>10.1021/jacs.5c18922</w:t>
        </w:r>
      </w:hyperlink>
    </w:p>
    <w:p>
      <w:pPr>
        <w:spacing w:before="0" w:after="120"/>
      </w:pPr>
      <w:r>
        <w:rPr>
          <w:b/>
        </w:rPr>
        <w:t xml:space="preserve">Notes: </w:t>
      </w:r>
      <w:r>
        <w:t>abstract_source=openalex</w:t>
      </w:r>
    </w:p>
    <w:p>
      <w:pPr>
        <w:spacing w:before="0" w:after="80" w:lineRule="auto" w:line="276"/>
      </w:pPr>
      <w:r>
        <w:rPr>
          <w:b/>
        </w:rPr>
        <w:t xml:space="preserve">摘要（ZH）: </w:t>
      </w:r>
      <w:r>
        <w:t>单晶（SC）富镍层状氧化物正极，由无边界颗粒组成，具有高振实密度，与多晶（PC）正极材料相比，在体积能量密度和机械强度方面具有显著优势。然而，随着镍含量的增加（≥80%），SC富镍正极往往比相同成分的PC正极更快地性能退化，这种差异的根本原因仍然知之甚少。在此，我们揭示了控制SC和PC富镍正极电化学性能的不同镍氧化还原行为，使用多尺度和原位表征技术。我们的结果表明，SC正极中日益异质的镍氧化过程导致额外的不可逆氧化</w:t>
      </w:r>
    </w:p>
    <w:p>
      <w:pPr>
        <w:spacing w:before="0" w:after="200" w:lineRule="auto" w:line="276"/>
      </w:pPr>
      <w:r>
        <w:rPr>
          <w:b/>
        </w:rPr>
        <w:t xml:space="preserve">Abstract (EN): </w:t>
      </w:r>
      <w:r>
        <w:t>Singe-crystal (SC) nickel-rich layered oxide cathodes, composed of boundary-free particles with high tap density, offer significant advantages in volumetric energy density and mechanical strength compared with polycrystalline (PC) cathode materials. However, as the nickel content increases (≥80%), SC Ni-rich cathodes often suffer from faster performance degradation than PC cathodes of the same composition, and the underlying causes of this discrepancy remain poorly understood. Herein, we reveal the distinct Ni redox behaviors that govern the electrochemical performance of SC and PC Ni-rich cathodes using multiscale and operando characterization techniques. Our results indicate that the increasingly heterogeneous Ni oxidation process in SC cathodes leads to the additional irreversible oxygen redox activity that deteriorates both the mechanical and chemical structures. In contrast, PC cathodes, despite with more pronounced surface reconstruction, exhibit greater chemomechanical stability due to homogeneous redox reactions during charging. Consequently, we find that bulk degradation, more than surface reactions, ultimately leads to fast capacity decay of SC Ni-rich cathodes during cycling. This work offers a comprehensive view on the impact of Ni redox evolutions on the chemomechanical stability in Ni-rich layered oxide cathodes, providing new insights into the longstanding performance gap between SC and PC cathodes, and guiding the rational design of Ni-rich cathode architectures.</w:t>
      </w:r>
    </w:p>
    <w:p>
      <w:pPr>
        <w:spacing w:before="120" w:after="120"/>
      </w:pPr>
      <w:r>
        <w:rPr>
          <w:sz w:val="18"/>
        </w:rPr>
        <w:t>——————————————————————————————————————————————————————————————————————</w:t>
      </w:r>
    </w:p>
    <w:p>
      <w:pPr>
        <w:spacing w:before="160" w:after="40" w:line="240" w:lineRule="auto"/>
      </w:pPr>
      <w:r>
        <w:rPr>
          <w:b/>
        </w:rPr>
        <w:t xml:space="preserve">[8] </w:t>
      </w:r>
      <w:hyperlink r:id="rId56">
        <w:r>
          <w:rPr>
            <w:color w:val="1155CC"/>
            <w:u w:val="single"/>
          </w:rPr>
          <w:t>高效碱金属基电池的内建电场的合理构建和调控</w:t>
        </w:r>
      </w:hyperlink>
    </w:p>
    <w:p>
      <w:pPr>
        <w:spacing w:before="0" w:after="80"/>
      </w:pPr>
      <w:r>
        <w:rPr>
          <w:i/>
          <w:sz w:val="20"/>
        </w:rPr>
        <w:t>EN: Rational Construction and Modulation of Built‐In Electric Field for High‐Efficiency Alkali Metal‐Based Batteries</w:t>
      </w:r>
    </w:p>
    <w:p>
      <w:pPr>
        <w:spacing w:before="0" w:after="120"/>
      </w:pPr>
      <w:r>
        <w:rPr>
          <w:b/>
        </w:rPr>
        <w:t xml:space="preserve">Source: </w:t>
      </w:r>
      <w:r>
        <w:t>Wiley: Angewandte Chemie International Edition: Table of Contents</w:t>
      </w:r>
      <w:r>
        <w:t xml:space="preserve">    </w:t>
      </w:r>
      <w:r>
        <w:rPr>
          <w:b/>
        </w:rPr>
        <w:t xml:space="preserve">Pub date: </w:t>
      </w:r>
      <w:r>
        <w:t>2026-02-27 11:55:49+00:00</w:t>
      </w:r>
      <w:r>
        <w:t xml:space="preserve">    </w:t>
      </w:r>
      <w:r>
        <w:rPr>
          <w:b/>
        </w:rPr>
        <w:t xml:space="preserve">DOI: </w:t>
      </w:r>
      <w:hyperlink r:id="rId57">
        <w:r>
          <w:rPr>
            <w:color w:val="1155CC"/>
            <w:u w:val="single"/>
          </w:rPr>
          <w:t>10.1002/anie.6795880</w:t>
        </w:r>
      </w:hyperlink>
    </w:p>
    <w:p>
      <w:pPr>
        <w:spacing w:before="0" w:after="120"/>
      </w:pPr>
      <w:r>
        <w:rPr>
          <w:b/>
        </w:rPr>
        <w:t xml:space="preserve">Notes: </w:t>
      </w:r>
      <w:r>
        <w:t>abstract_source=pubmed</w:t>
      </w:r>
    </w:p>
    <w:p>
      <w:pPr>
        <w:spacing w:before="0" w:after="80" w:lineRule="auto" w:line="276"/>
      </w:pPr>
      <w:r>
        <w:rPr>
          <w:b/>
        </w:rPr>
        <w:t xml:space="preserve">摘要（ZH）: </w:t>
      </w:r>
      <w:r>
        <w:t>随着电动汽车的大规模采用和可再生能源持续并入电网，开发高性能碱金属基电池（AMBs）变得越来越重要。然而，AMBs仍面临若干挑战，如能量密度有限、速率能力不足和循环寿命短，这主要源于离子扩散动力学缓慢和电极结构演变不稳定。近年来，内置电场（BIEF）工程作为一种有效策略，通过调节材料的微观结构来增强电池能量存储性能，已引起广泛关注。本综述从AMBs当前面临的关键挑战开始，系统分析了BIEF在解决这些问题中的潜力。</w:t>
      </w:r>
    </w:p>
    <w:p>
      <w:pPr>
        <w:spacing w:before="0" w:after="200" w:lineRule="auto" w:line="276"/>
      </w:pPr>
      <w:r>
        <w:rPr>
          <w:b/>
        </w:rPr>
        <w:t xml:space="preserve">Abstract (EN): </w:t>
      </w:r>
      <w:r>
        <w:t>With the large-scale adoption of electric vehicles and the ongoing integration of renewable energy into the grid, the development of high-performance alkali metal-based batteries (AMBs) has become increasingly important. However, AMBs still face several challenges, such as limited energy density, insufficient rate capability, and short cycle life, which mainly stem from sluggish ionic diffusion kinetics and unstable electrode structural evolution. In recent years, built-in electric field (BIEF) engineering has attracted extensive attention as an effective strategy to enhance battery energy storage performance by regulating the microstructure of materials. This review begins with the key challenges currently faced by AMBs, systematically analyzes the potential of BIEF in addressing these issues, and elaborates on the fundamental principles, evaluation methods, and construction strategies of BIEF. Furthermore, the latest research progress on BIEF engineering for improving the electrochemical activity, reaction kinetics, and cycling stability of AMBs is summarized. Finally, future research directions in BIEF engineering are discussed, providing new insights for designing high-performance AMBs with tunable built-in electric fields.</w:t>
      </w:r>
    </w:p>
    <w:p>
      <w:pPr>
        <w:spacing w:before="120" w:after="120"/>
      </w:pPr>
      <w:r>
        <w:rPr>
          <w:sz w:val="18"/>
        </w:rPr>
        <w:t>——————————————————————————————————————————————————————————————————————</w:t>
      </w:r>
    </w:p>
    <w:p>
      <w:pPr>
        <w:spacing w:before="160" w:after="40" w:line="240" w:lineRule="auto"/>
      </w:pPr>
      <w:r>
        <w:rPr>
          <w:b/>
        </w:rPr>
        <w:t xml:space="preserve">[9] </w:t>
      </w:r>
      <w:hyperlink r:id="rId58">
        <w:r>
          <w:rPr>
            <w:color w:val="1155CC"/>
            <w:u w:val="single"/>
          </w:rPr>
          <w:t>内建电场调节相变并抑制钠离子电池锰基磷酸盐阴极的电压滞后</w:t>
        </w:r>
      </w:hyperlink>
    </w:p>
    <w:p>
      <w:pPr>
        <w:spacing w:before="0" w:after="80"/>
      </w:pPr>
      <w:r>
        <w:rPr>
          <w:i/>
          <w:sz w:val="20"/>
        </w:rPr>
        <w:t>EN: Built‐In Electric Field Modulates Phase Transition and Suppresses Voltage Hysteresis in Mn‐Based Phosphates Cathode for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2026-02-28 08:07:59+00:00</w:t>
      </w:r>
      <w:r>
        <w:t xml:space="preserve">    </w:t>
      </w:r>
      <w:r>
        <w:rPr>
          <w:b/>
        </w:rPr>
        <w:t xml:space="preserve">DOI: </w:t>
      </w:r>
      <w:hyperlink r:id="rId59">
        <w:r>
          <w:rPr>
            <w:color w:val="1155CC"/>
            <w:u w:val="single"/>
          </w:rPr>
          <w:t>10.1002/anie.202522507</w:t>
        </w:r>
      </w:hyperlink>
    </w:p>
    <w:p>
      <w:pPr>
        <w:spacing w:before="0" w:after="120"/>
      </w:pPr>
      <w:r>
        <w:rPr>
          <w:b/>
        </w:rPr>
        <w:t xml:space="preserve">Notes: </w:t>
      </w:r>
      <w:r>
        <w:t>abstract_source=pubmed</w:t>
      </w:r>
    </w:p>
    <w:p>
      <w:pPr>
        <w:spacing w:before="0" w:after="80" w:lineRule="auto" w:line="276"/>
      </w:pPr>
      <w:r>
        <w:rPr>
          <w:b/>
        </w:rPr>
        <w:t xml:space="preserve">摘要（ZH）: </w:t>
      </w:r>
      <w:r>
        <w:t>Mn基混合磷酸盐正极的电压滞后和缓慢动力学显著阻碍了其发展和应用。在此，本文制备了一种具有内置电场和加速电子通道的异质复合正极（NFMVP (9-1)-rGO）。作为关键的动力学驱动力，内置电场可以选择性地促进Na+在Na3MnFe(PO4)P2O7相中的扩散，同时抑制Na4MnV(PO4)3相在高电压下因Na+的“雪崩提取”而导致的结构退化。双碳层的引入进一步在整个电极中建立了稳固的导电框架。至关重要的是，基于分布弛豫时间的原位电化学阻抗谱揭示了构建</w:t>
      </w:r>
    </w:p>
    <w:p>
      <w:pPr>
        <w:spacing w:before="0" w:after="200" w:lineRule="auto" w:line="276"/>
      </w:pPr>
      <w:r>
        <w:rPr>
          <w:b/>
        </w:rPr>
        <w:t xml:space="preserve">Abstract (EN): </w:t>
      </w:r>
      <w:r>
        <w:t>The voltage hysteresis and sluggish kinetics of Mn-based mixed phosphate cathode significantly hinder their development and application. Herein, this work fabricates a heterogeneous composite cathode (NFMVP (9-1)-rGO) with a built-in electric field and accelerated electronic pathway. As the key kinetic driving force, the built-in electric field, can selectively promote the diffusion of Na+ in the Na3MnFe(PO4)P2O7 phase while simultaneously suppress the structural degradation of the Na4MnV(PO4)3 phase caused by the "avalanche extraction" of Na+ under high-voltage. The introduction of the dual-carbon layer further establishes a robust conductive framework throughout the electrode. Crucially, in situ electrochemical impedance spectra based on distribution relaxation time reveal that the built-in electric field modulates the phase transition mechanism from a two-phase reaction to a solid-solution behavior in the high-voltage region, significantly accelerating the reaction kinetics and greatly suppressing voltage hysteresis. As a result, NFMVP (9-1)-rGO exhibits excellent capacity delivery (120.2 mAh g-1), high practical energy density (378.3 Wh kg-1), and outstanding long-term cycling stability. Our findings enlighten a new paradigm in the kinetic driving force from built-in electric field and the phase transition regulation mechanism in heterogeneous structures toward high-energy Mn-based sodium-ion batteries.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0">
        <w:r>
          <w:rPr>
            <w:color w:val="1155CC"/>
            <w:u w:val="single"/>
          </w:rPr>
          <w:t>从电镀中心到全周期设计：锌阳极剥离关键作用的视角</w:t>
        </w:r>
      </w:hyperlink>
    </w:p>
    <w:p>
      <w:pPr>
        <w:spacing w:before="0" w:after="80"/>
      </w:pPr>
      <w:r>
        <w:rPr>
          <w:i/>
          <w:sz w:val="20"/>
        </w:rPr>
        <w:t>EN: From Plating‐Centric to Full‐Cycle Design: A Perspective on the Critical Role of Zinc Anode Stripping</w:t>
      </w:r>
    </w:p>
    <w:p>
      <w:pPr>
        <w:spacing w:before="0" w:after="120"/>
      </w:pPr>
      <w:r>
        <w:rPr>
          <w:b/>
        </w:rPr>
        <w:t xml:space="preserve">Source: </w:t>
      </w:r>
      <w:r>
        <w:t>Wiley: Advanced Materials: Table of Contents</w:t>
      </w:r>
      <w:r>
        <w:t xml:space="preserve">    </w:t>
      </w:r>
      <w:r>
        <w:rPr>
          <w:b/>
        </w:rPr>
        <w:t xml:space="preserve">Pub date: </w:t>
      </w:r>
      <w:r>
        <w:t>2026-02-24 12:12:34+00:00</w:t>
      </w:r>
      <w:r>
        <w:t xml:space="preserve">    </w:t>
      </w:r>
      <w:r>
        <w:rPr>
          <w:b/>
        </w:rPr>
        <w:t xml:space="preserve">DOI: </w:t>
      </w:r>
      <w:hyperlink r:id="rId61">
        <w:r>
          <w:rPr>
            <w:color w:val="1155CC"/>
            <w:u w:val="single"/>
          </w:rPr>
          <w:t>10.1002/adma.202522939</w:t>
        </w:r>
      </w:hyperlink>
    </w:p>
    <w:p>
      <w:pPr>
        <w:spacing w:before="0" w:after="120"/>
      </w:pPr>
      <w:r>
        <w:rPr>
          <w:b/>
        </w:rPr>
        <w:t xml:space="preserve">Notes: </w:t>
      </w:r>
      <w:r>
        <w:t>abstract_source=pubmed</w:t>
      </w:r>
    </w:p>
    <w:p>
      <w:pPr>
        <w:spacing w:before="0" w:after="80" w:lineRule="auto" w:line="276"/>
      </w:pPr>
      <w:r>
        <w:rPr>
          <w:b/>
        </w:rPr>
        <w:t xml:space="preserve">摘要（ZH）: </w:t>
      </w:r>
      <w:r>
        <w:t>稳定的水系锌金属电池的探索正确地集中在驯服锌沉积的不稳定特性上。开创性的研究已经产生了大量策略来实现均匀的锌镀层。虽然这些方法在实验室半电池中显著提高了性能，但在转向实际全电池时仍存在顽固的性能差距。这一鸿沟指向一个根本性的忽视：在无锌阴极的全电池配置中，阳极初始剥离的关键影响。在这一观点中，我们强调了初始锌剥离过程的关键但被低估的作用。我们首先解读无锌阴极系统的操作协议，以说明初始剥离如何动态重塑阳极和界面。通过分析</w:t>
      </w:r>
    </w:p>
    <w:p>
      <w:pPr>
        <w:spacing w:before="0" w:after="200" w:lineRule="auto" w:line="276"/>
      </w:pPr>
      <w:r>
        <w:rPr>
          <w:b/>
        </w:rPr>
        <w:t xml:space="preserve">Abstract (EN): </w:t>
      </w:r>
      <w:r>
        <w:t>The quest for stable aqueous zinc metal batteries has rightly focused on taming the unruly nature of zinc deposition. Pioneering research has produced a wealth of strategies to achieve uniform zinc plating. While these methods have significantly improved performance in laboratory half-cells, a stubborn performance gap persists when moving to practical full-cells. This chasm points to a fundamental oversight: the critical impact of the anode's initial stripping in a full-cell configuration with zinc-free cathodes. In this perspective, we highlight the pivotal yet underappreciated role of the initial zinc stripping process. We first decipher the operational protocols of zinc-free cathode systems to illustrate how the initial stripping dynamically reshapes the anode and interface. By analyzing the multi-step complexity of stripping, we contrast its mechanistic disparities with plating and assess the limitations of deposition-centric strategies. We then evaluate current approaches that enhance full-cell performance through optimized dissolution. Finally, looking toward future multi-scenario applications, we argue that research must address the intricate coupling among stripping dynamics, chemo-mechano-thermal responses, and the crystallographic properties of zinc anodes. This paradigm shift from a plating-centric view to a full-cycle-oriented is paramount to unlocking the full potential of the zinc metal anode for grid-scale energy storage and beyond.</w:t>
      </w:r>
    </w:p>
    <w:p>
      <w:pPr>
        <w:spacing w:before="120" w:after="120"/>
      </w:pPr>
      <w:r>
        <w:rPr>
          <w:sz w:val="18"/>
        </w:rPr>
        <w:t>——————————————————————————————————————————————————————————————————————</w:t>
      </w:r>
    </w:p>
    <w:p>
      <w:pPr>
        <w:spacing w:before="160" w:after="40" w:line="240" w:lineRule="auto"/>
      </w:pPr>
      <w:r>
        <w:rPr>
          <w:b/>
        </w:rPr>
        <w:t xml:space="preserve">[2] </w:t>
      </w:r>
      <w:hyperlink r:id="rId62">
        <w:r>
          <w:rPr>
            <w:color w:val="1155CC"/>
            <w:u w:val="single"/>
          </w:rPr>
          <w:t>[ASAP] 锂金属负极中的空间选择性锂镀覆和剥离</w:t>
        </w:r>
      </w:hyperlink>
    </w:p>
    <w:p>
      <w:pPr>
        <w:spacing w:before="0" w:after="80"/>
      </w:pPr>
      <w:r>
        <w:rPr>
          <w:i/>
          <w:sz w:val="20"/>
        </w:rPr>
        <w:t>EN: [ASAP] Spatially Selective Lithium Plating and Stripping in Lithium Metal Anodes</w:t>
      </w:r>
    </w:p>
    <w:p>
      <w:pPr>
        <w:spacing w:before="0" w:after="120"/>
      </w:pPr>
      <w:r>
        <w:rPr>
          <w:b/>
        </w:rPr>
        <w:t xml:space="preserve">Source: </w:t>
      </w:r>
      <w:r>
        <w:t>ACS Energy Letters: Latest Articles (ACS Publications)</w:t>
      </w:r>
      <w:r>
        <w:t xml:space="preserve">    </w:t>
      </w:r>
      <w:r>
        <w:rPr>
          <w:b/>
        </w:rPr>
        <w:t xml:space="preserve">Pub date: </w:t>
      </w:r>
      <w:r>
        <w:t>2026-02-24 14:37:46+00:00</w:t>
      </w:r>
      <w:r>
        <w:t xml:space="preserve">    </w:t>
      </w:r>
      <w:r>
        <w:rPr>
          <w:b/>
        </w:rPr>
        <w:t xml:space="preserve">DOI: </w:t>
      </w:r>
      <w:hyperlink r:id="rId63">
        <w:r>
          <w:rPr>
            <w:color w:val="1155CC"/>
            <w:u w:val="single"/>
          </w:rPr>
          <w:t>10.1021/acsenergylett.6c00122</w:t>
        </w:r>
      </w:hyperlink>
    </w:p>
    <w:p>
      <w:pPr>
        <w:spacing w:before="0" w:after="120"/>
      </w:pPr>
      <w:r>
        <w:rPr>
          <w:b/>
        </w:rPr>
        <w:t xml:space="preserve">Notes: </w:t>
      </w:r>
      <w:r>
        <w:t>abstract_source=openalex</w:t>
      </w:r>
    </w:p>
    <w:p>
      <w:pPr>
        <w:spacing w:before="0" w:after="80" w:lineRule="auto" w:line="276"/>
      </w:pPr>
      <w:r>
        <w:rPr>
          <w:b/>
        </w:rPr>
        <w:t xml:space="preserve">摘要（ZH）: </w:t>
      </w:r>
      <w:r>
        <w:t>对锂（Li）镀层和剥离的机械理解对于锂金属电池（LMBs）的实际应用至关重要，但大多数原位研究依赖于有限的视野或空间平均，掩盖了局部异质性。在此，使用原位电化学AFM（EC-AFM）在本地电解质中跟踪同一区域的三个镀层/剥离循环，解决了微米级别的异质性。斜率、高度变化（Δh）和局部孔隙率的空间对齐测量揭示了明显的相关性：小|Δh|的区域与高斜率、多孔区域共定位。这些观察结果建立了一种选择性空洞机制，其中在多孔、高斜率区域的剥离产生了次表面空洞和“死”锂，这些空洞在</w:t>
      </w:r>
    </w:p>
    <w:p>
      <w:pPr>
        <w:spacing w:before="0" w:after="200" w:lineRule="auto" w:line="276"/>
      </w:pPr>
      <w:r>
        <w:rPr>
          <w:b/>
        </w:rPr>
        <w:t xml:space="preserve">Abstract (EN): </w:t>
      </w:r>
      <w:r>
        <w:t>A mechanistic understanding of lithium (Li) plating and stripping is essential for the practical deployment of Li metal batteries (LMBs), yet most in situ studies rely on limited fields of view or spatial averaging, obscuring local heterogeneity. Here, in situ electrochemical AFM (EC-AFM) is used to track the same region over three plating/stripping cycles in the native electrolyte, resolving few-micrometer-scale heterogeneity. Spatially aligned measurements of slope, height change (Δh), and local porosity reveal clear correlations: domains with small |Δh| colocalize with high-slope, porous regions. These observations establish a site-selective voiding mechanism in which stripping at porous, high-slope domains generates subsurface voids and “dead” Li that are only partially refilled during subsequent plating, whereas dense, low-slope domains undergo larger |Δh|. This correlative framework demonstrates that the initial plating morphology critically governs the spatial heterogeneity of void formation during stripping, providing a mechanistic basis for the rational design of Li metal anodes.</w:t>
      </w:r>
    </w:p>
    <w:p>
      <w:pPr>
        <w:spacing w:before="120" w:after="120"/>
      </w:pPr>
      <w:r>
        <w:rPr>
          <w:sz w:val="18"/>
        </w:rPr>
        <w:t>——————————————————————————————————————————————————————————————————————</w:t>
      </w:r>
    </w:p>
    <w:p>
      <w:pPr>
        <w:spacing w:before="160" w:after="40" w:line="240" w:lineRule="auto"/>
      </w:pPr>
      <w:r>
        <w:rPr>
          <w:b/>
        </w:rPr>
        <w:t xml:space="preserve">[3] </w:t>
      </w:r>
      <w:hyperlink r:id="rId64">
        <w:r>
          <w:rPr>
            <w:color w:val="1155CC"/>
            <w:u w:val="single"/>
          </w:rPr>
          <w:t>时空耦合的锂亲和框架实现高度可逆和长寿命的1,200 Wh L−1锂金属软包电池</w:t>
        </w:r>
      </w:hyperlink>
    </w:p>
    <w:p>
      <w:pPr>
        <w:spacing w:before="0" w:after="80"/>
      </w:pPr>
      <w:r>
        <w:rPr>
          <w:i/>
          <w:sz w:val="20"/>
        </w:rPr>
        <w:t>EN: Spatiotemporally coupled lithiotropic framework enables highly reversible and long-life 1,200 Wh L−1 Li-metal pouch cell</w:t>
      </w:r>
    </w:p>
    <w:p>
      <w:pPr>
        <w:spacing w:before="0" w:after="120"/>
      </w:pPr>
      <w:r>
        <w:rPr>
          <w:b/>
        </w:rPr>
        <w:t xml:space="preserve">Source: </w:t>
      </w:r>
      <w:r>
        <w:t>Joule</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通过同时构建静态外延锂亲和界面、动态锂亲和嵌入种子和SEI，提出了时空耦合的锂亲和框架。这优化了在镀覆基板、体相和SEI上的锂吸附、迁移和扩散，控制多尺度致密锂成核和生长向性，并优化超薄阳极的可逆性。这种结构有效地提高了锂金属电池的倍率性能和循环寿命，使得&gt;1,200 Wh L−1微型高能量袋式电池在微型无人机中的实际应用成为可能。</w:t>
      </w:r>
    </w:p>
    <w:p>
      <w:pPr>
        <w:spacing w:before="0" w:after="200" w:lineRule="auto" w:line="276"/>
      </w:pPr>
      <w:r>
        <w:rPr>
          <w:b/>
        </w:rPr>
        <w:t xml:space="preserve">Abstract (EN): </w:t>
      </w:r>
      <w:r>
        <w:t>Spatiotemporally coupled lithiotropic frameworks are proposed by simultaneously constructing a static epitaxial lithiotropic interface, dynamic lithiotropic embedded seeds, and SEIs. This optimizes Li adsorption, migration, and diffusion at plated substrate, bulk phase, and SEI, controlling multi-scale dense Li nucleation and growth tropism and optimizing the reversibility of ultrathin anodes. Such structures effectively improve the rate performance and cycle life of Li-metal batteries, enabling the practical application of &gt;1,200 Wh L−1 miniature high-energy pouch cells in micro-UAVs.</w:t>
      </w:r>
    </w:p>
    <w:p>
      <w:pPr>
        <w:spacing w:before="120" w:after="120"/>
      </w:pPr>
      <w:r>
        <w:rPr>
          <w:sz w:val="18"/>
        </w:rPr>
        <w:t>——————————————————————————————————————————————————————————————————————</w:t>
      </w:r>
    </w:p>
    <w:p>
      <w:pPr>
        <w:spacing w:before="160" w:after="40" w:line="240" w:lineRule="auto"/>
      </w:pPr>
      <w:r>
        <w:rPr>
          <w:b/>
        </w:rPr>
        <w:t xml:space="preserve">[4] </w:t>
      </w:r>
      <w:hyperlink r:id="rId65">
        <w:r>
          <w:rPr>
            <w:color w:val="1155CC"/>
            <w:u w:val="single"/>
          </w:rPr>
          <w:t>锂离子电池中硅基负极的降解路径</w:t>
        </w:r>
      </w:hyperlink>
    </w:p>
    <w:p>
      <w:pPr>
        <w:spacing w:before="0" w:after="80"/>
      </w:pPr>
      <w:r>
        <w:rPr>
          <w:i/>
          <w:sz w:val="20"/>
        </w:rPr>
        <w:t>EN: Degradation Pathways of Silicon‐Based Anodes in Lithium‐Ion Batteries</w:t>
      </w:r>
    </w:p>
    <w:p>
      <w:pPr>
        <w:spacing w:before="0" w:after="120"/>
      </w:pPr>
      <w:r>
        <w:rPr>
          <w:b/>
        </w:rPr>
        <w:t xml:space="preserve">Source: </w:t>
      </w:r>
      <w:r>
        <w:t>Wiley: Advanced Energy Materials: Table of Contents</w:t>
      </w:r>
      <w:r>
        <w:t xml:space="preserve">    </w:t>
      </w:r>
      <w:r>
        <w:rPr>
          <w:b/>
        </w:rPr>
        <w:t xml:space="preserve">Pub date: </w:t>
      </w:r>
      <w:r>
        <w:t>2026-02-25 04:20:47+00:00</w:t>
      </w:r>
      <w:r>
        <w:t xml:space="preserve">    </w:t>
      </w:r>
      <w:r>
        <w:rPr>
          <w:b/>
        </w:rPr>
        <w:t xml:space="preserve">DOI: </w:t>
      </w:r>
      <w:hyperlink r:id="rId66">
        <w:r>
          <w:rPr>
            <w:color w:val="1155CC"/>
            <w:u w:val="single"/>
          </w:rPr>
          <w:t>10.1002/aenm.202506750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67">
        <w:r>
          <w:rPr>
            <w:color w:val="1155CC"/>
            <w:u w:val="single"/>
          </w:rPr>
          <w:t>薄锂金属电池阳极制造的综述——微观结构——电化学关系（Adv. Mater. 12/2026）</w:t>
        </w:r>
      </w:hyperlink>
    </w:p>
    <w:p>
      <w:pPr>
        <w:spacing w:before="0" w:after="80"/>
      </w:pPr>
      <w:r>
        <w:rPr>
          <w:i/>
          <w:sz w:val="20"/>
        </w:rPr>
        <w:t>EN: Review of Thin Lithium Metal Battery Anode Fabrication – Microstructure – Electrochemistry Relations (Adv. Mater. 12/2026)</w:t>
      </w:r>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68">
        <w:r>
          <w:rPr>
            <w:color w:val="1155CC"/>
            <w:u w:val="single"/>
          </w:rPr>
          <w:t>10.1002/adma.72465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69">
        <w:r>
          <w:rPr>
            <w:color w:val="1155CC"/>
            <w:u w:val="single"/>
          </w:rPr>
          <w:t>[ASAP] 通过金属N-杂环卡宾配合物连接的导电二维金属有机框架</w:t>
        </w:r>
      </w:hyperlink>
    </w:p>
    <w:p>
      <w:pPr>
        <w:spacing w:before="0" w:after="80"/>
      </w:pPr>
      <w:r>
        <w:rPr>
          <w:i/>
          <w:sz w:val="20"/>
        </w:rPr>
        <w:t>EN: [ASAP] Conductive Two-Dimensional Metal–Organic Frameworks Connected through Metal N-Heterocyclic Carbene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2026-02-25 16:08:48+00:00</w:t>
      </w:r>
      <w:r>
        <w:t xml:space="preserve">    </w:t>
      </w:r>
      <w:r>
        <w:rPr>
          <w:b/>
        </w:rPr>
        <w:t xml:space="preserve">DOI: </w:t>
      </w:r>
      <w:hyperlink r:id="rId70">
        <w:r>
          <w:rPr>
            <w:color w:val="1155CC"/>
            <w:u w:val="single"/>
          </w:rPr>
          <w:t>10.1021/jacs.5c21368</w:t>
        </w:r>
      </w:hyperlink>
    </w:p>
    <w:p>
      <w:pPr>
        <w:spacing w:before="0" w:after="120"/>
      </w:pPr>
      <w:r>
        <w:rPr>
          <w:b/>
        </w:rPr>
        <w:t xml:space="preserve">Notes: </w:t>
      </w:r>
      <w:r>
        <w:t>abstract_source=openalex</w:t>
      </w:r>
    </w:p>
    <w:p>
      <w:pPr>
        <w:spacing w:before="0" w:after="80" w:lineRule="auto" w:line="276"/>
      </w:pPr>
      <w:r>
        <w:rPr>
          <w:b/>
        </w:rPr>
        <w:t xml:space="preserve">摘要（ZH）: </w:t>
      </w:r>
      <w:r>
        <w:t>二维导电金属有机框架（2D cMOFs）因其独特的共轭和堆叠层状结构而受到广泛关注。然而，这些2D cMOFs的连接限于二胺、二酚或二硫酚金属配合物。在这项工作中，我们采用银和铜&lt;i&gt;N&lt;/i&gt;-杂环卡宾（NHC）配合物作为连接构建2D cMOFs。获得的材料表现出高结晶度、均匀的一维通道和优异的稳定性。显著的是，这些cMOFs显示出高达10&lt;sup&gt;-3&lt;/sup&gt;和10&lt;sup&gt;-4&lt;/sup&gt; S cm&lt;sup&gt;-1&lt;/sup&gt;的电子导电性和离子导电性值。cMOFs可以作为钠金属阳极上的人工固体电解质界面，有效引导。</w:t>
      </w:r>
    </w:p>
    <w:p>
      <w:pPr>
        <w:spacing w:before="0" w:after="200" w:lineRule="auto" w:line="276"/>
      </w:pPr>
      <w:r>
        <w:rPr>
          <w:b/>
        </w:rPr>
        <w:t xml:space="preserve">Abstract (EN): </w:t>
      </w:r>
      <w:r>
        <w:t>Two-dimensional conductive metal-organic frameworks (2D cMOFs) have attracted widespread attention owing to their distinct conjugation and stacked layered structures. However, the linkages of these 2D cMOFs are limited to diamine, diphenol, or dithiophenol metal complexes. In this work, we employed silver and copper &lt;i&gt;N&lt;/i&gt;-heterocyclic carbene (NHC) complexes as linkages for the construction of 2D cMOFs. The obtained materials exhibit high crystallinity, uniform one-dimensional channels, and excellent stability. Significantly, these cMOFs show electronic conductivity and ionic conductivity values as high as 10&lt;sup&gt;-3&lt;/sup&gt; and 10&lt;sup&gt;-4&lt;/sup&gt; S cm&lt;sup&gt;-1&lt;/sup&gt;, respectively. The cMOFs can serve as an artificial solid electrolyte interphase on a sodium metal anode, effectively guiding the uniform nucleation of sodium ions and inhibiting the growth of sodium dendrites. Moreover, full cells incorporating the MOFs interlayer demonstrated remarkable cycling stability, retaining 92% capacity after 830 cycles at 2 C. This work not only expands the structural diversity of 2D cMOFs but also provides a new design strategy for functional 2D crystalline organic polymers.</w:t>
      </w:r>
    </w:p>
    <w:p>
      <w:pPr>
        <w:spacing w:before="120" w:after="120"/>
      </w:pPr>
      <w:r>
        <w:rPr>
          <w:sz w:val="18"/>
        </w:rPr>
        <w:t>——————————————————————————————————————————————————————————————————————</w:t>
      </w:r>
    </w:p>
    <w:p>
      <w:pPr>
        <w:spacing w:before="160" w:after="40" w:line="240" w:lineRule="auto"/>
      </w:pPr>
      <w:r>
        <w:rPr>
          <w:b/>
        </w:rPr>
        <w:t xml:space="preserve">[7] </w:t>
      </w:r>
      <w:hyperlink r:id="rId71">
        <w:r>
          <w:rPr>
            <w:color w:val="1155CC"/>
            <w:u w:val="single"/>
          </w:rPr>
          <w:t>LiF的晶面工程用于-40°C至60°C的超稳定和超快速充电钠金属电池</w:t>
        </w:r>
      </w:hyperlink>
    </w:p>
    <w:p>
      <w:pPr>
        <w:spacing w:before="0" w:after="80"/>
      </w:pPr>
      <w:r>
        <w:rPr>
          <w:i/>
          <w:sz w:val="20"/>
        </w:rPr>
        <w:t>EN: Crystallographic Facet Engineering of LiF for Ultrastable and Superfast Charging Sodium Metal Batteries From –40°C to 60°C</w:t>
      </w:r>
    </w:p>
    <w:p>
      <w:pPr>
        <w:spacing w:before="0" w:after="120"/>
      </w:pPr>
      <w:r>
        <w:rPr>
          <w:b/>
        </w:rPr>
        <w:t xml:space="preserve">Source: </w:t>
      </w:r>
      <w:r>
        <w:t>Wiley: Advanced Materials: Table of Contents</w:t>
      </w:r>
      <w:r>
        <w:t xml:space="preserve">    </w:t>
      </w:r>
      <w:r>
        <w:rPr>
          <w:b/>
        </w:rPr>
        <w:t xml:space="preserve">Pub date: </w:t>
      </w:r>
      <w:r>
        <w:t>2026-02-27 10:50:37+00:00</w:t>
      </w:r>
      <w:r>
        <w:t xml:space="preserve">    </w:t>
      </w:r>
      <w:r>
        <w:rPr>
          <w:b/>
        </w:rPr>
        <w:t xml:space="preserve">DOI: </w:t>
      </w:r>
      <w:hyperlink r:id="rId72">
        <w:r>
          <w:rPr>
            <w:color w:val="1155CC"/>
            <w:u w:val="single"/>
          </w:rPr>
          <w:t>10.1002/adma.202521479</w:t>
        </w:r>
      </w:hyperlink>
    </w:p>
    <w:p>
      <w:pPr>
        <w:spacing w:before="0" w:after="120"/>
      </w:pPr>
      <w:r>
        <w:rPr>
          <w:b/>
        </w:rPr>
        <w:t xml:space="preserve">Notes: </w:t>
      </w:r>
      <w:r>
        <w:t>abstract_source=pubmed</w:t>
      </w:r>
    </w:p>
    <w:p>
      <w:pPr>
        <w:spacing w:before="0" w:after="80" w:lineRule="auto" w:line="276"/>
      </w:pPr>
      <w:r>
        <w:rPr>
          <w:b/>
        </w:rPr>
        <w:t xml:space="preserve">摘要（ZH）: </w:t>
      </w:r>
      <w:r>
        <w:t>钠金属电池（SMBs）是有前途的下一代储能设备，但由于树枝状生长和低温性能差而受到困扰，这源于不受控制的成核和缓慢的离子传输。超越传统的界面改性，我们报告了一种晶体学工程策略，精确控制暴露的晶面以决定原子尺度的电化学行为。通过密度泛函理论（DFT）筛选，我们确定LiF的（220）晶面优越，表现出最佳的Na+吸附能（-1.48 eV）和超低的扩散势垒（0.0978 eV），这促进了沿（110）平面的外延钠沉积，并显著降低了成核过电位。实验上，我们合成了具有主导</w:t>
      </w:r>
    </w:p>
    <w:p>
      <w:pPr>
        <w:spacing w:before="0" w:after="200" w:lineRule="auto" w:line="276"/>
      </w:pPr>
      <w:r>
        <w:rPr>
          <w:b/>
        </w:rPr>
        <w:t xml:space="preserve">Abstract (EN): </w:t>
      </w:r>
      <w:r>
        <w:t>Sodium metal batteries (SMBs) are promising next-generation energy storage devices but are plagued by dendritic growth and poor low-temperature performance, rooted in uncontrolled nucleation and sluggish ion transport. Moving beyond conventional interfacial modifications, we report a crystallographic engineering strategy that precisely controls exposed crystal facets to dictate atomic-scale electrochemical behavior. Through density functional theory (DFT) screening, we identify the (220) crystal facet of LiF as superior, exhibiting an optimal Na+ adsorption energy (-1.48 eV) and an ultralow diffusion barrier (0.0978 eV), which promotes epitaxial sodium deposition along the (110) plane and significantly reduces nucleation overpotential. Experimentally, we synthesize LiF nanofibers with dominantly exposed (220) facets and construct a composite LiF@Na anode. This design induces a NaF-rich interphase, markedly enhances desolvation kinetics at the interface, and ensures exceptional interfacial stability. The resulting full cells achieve ultra-long cycling over 9000 cycles at 50 C with 70% capacity retention and outstanding performance from -40°C to 60°C. This study establishes crystal facet control as a fundamental materials design principle for regulating metal nucleation and interphase chemistry, providing a universal pathway toward high-energy, durable, and all-climate metal batteries.</w:t>
      </w:r>
    </w:p>
    <w:p>
      <w:pPr>
        <w:spacing w:before="120" w:after="120"/>
      </w:pPr>
      <w:r>
        <w:rPr>
          <w:sz w:val="18"/>
        </w:rPr>
        <w:t>——————————————————————————————————————————————————————————————————————</w:t>
      </w:r>
    </w:p>
    <w:p>
      <w:pPr>
        <w:spacing w:before="160" w:after="40" w:line="240" w:lineRule="auto"/>
      </w:pPr>
      <w:r>
        <w:rPr>
          <w:b/>
        </w:rPr>
        <w:t xml:space="preserve">[8] </w:t>
      </w:r>
      <w:hyperlink r:id="rId73">
        <w:r>
          <w:rPr>
            <w:color w:val="1155CC"/>
            <w:u w:val="single"/>
          </w:rPr>
          <w:t>通过深度学习辅助的FIB-SEM表征、制造和电化学建模评估硬碳电极中的中尺度异质性</w:t>
        </w:r>
      </w:hyperlink>
    </w:p>
    <w:p>
      <w:pPr>
        <w:spacing w:before="0" w:after="80"/>
      </w:pPr>
      <w:r>
        <w:rPr>
          <w:i/>
          <w:sz w:val="20"/>
        </w:rPr>
        <w:t>EN: Assessing Mesoscale Heterogeneities in Hard Carbon Electrodes Through Deep Learning‐Assisted FIB‐SEM Characterization, Manufacturing and Electrochemical Modeling</w:t>
      </w:r>
    </w:p>
    <w:p>
      <w:pPr>
        <w:spacing w:before="0" w:after="120"/>
      </w:pPr>
      <w:r>
        <w:rPr>
          <w:b/>
        </w:rPr>
        <w:t xml:space="preserve">Source: </w:t>
      </w:r>
      <w:r>
        <w:t>Wiley: Advanced Energy Materials: Table of Contents</w:t>
      </w:r>
      <w:r>
        <w:t xml:space="preserve">    </w:t>
      </w:r>
      <w:r>
        <w:rPr>
          <w:b/>
        </w:rPr>
        <w:t xml:space="preserve">Pub date: </w:t>
      </w:r>
      <w:r>
        <w:t>2026-02-27 11:26:21+00:00</w:t>
      </w:r>
      <w:r>
        <w:t xml:space="preserve">    </w:t>
      </w:r>
      <w:r>
        <w:rPr>
          <w:b/>
        </w:rPr>
        <w:t xml:space="preserve">DOI: </w:t>
      </w:r>
      <w:hyperlink r:id="rId74">
        <w:r>
          <w:rPr>
            <w:color w:val="1155CC"/>
            <w:u w:val="single"/>
          </w:rPr>
          <w:t>10.1002/aenm.202506765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75">
        <w:r>
          <w:rPr>
            <w:color w:val="1155CC"/>
            <w:u w:val="single"/>
          </w:rPr>
          <w:t>钠离子电池用非生物质碳基负极的最新进展</w:t>
        </w:r>
      </w:hyperlink>
    </w:p>
    <w:p>
      <w:pPr>
        <w:spacing w:before="0" w:after="80"/>
      </w:pPr>
      <w:r>
        <w:rPr>
          <w:i/>
          <w:sz w:val="20"/>
        </w:rPr>
        <w:t>EN: Recent Progress on Non‑Biomass Carbon‑Based Anodes for Sodium‑Ion Batteries</w:t>
      </w:r>
    </w:p>
    <w:p>
      <w:pPr>
        <w:spacing w:before="0" w:after="120"/>
      </w:pPr>
      <w:r>
        <w:rPr>
          <w:b/>
        </w:rPr>
        <w:t xml:space="preserve">Source: </w:t>
      </w:r>
      <w:r>
        <w:t>Wiley: Advanced Energy Materials: Table of Contents</w:t>
      </w:r>
      <w:r>
        <w:t xml:space="preserve">    </w:t>
      </w:r>
      <w:r>
        <w:rPr>
          <w:b/>
        </w:rPr>
        <w:t xml:space="preserve">Pub date: </w:t>
      </w:r>
      <w:r>
        <w:t>2026-02-27 11:49:26+00:00</w:t>
      </w:r>
      <w:r>
        <w:t xml:space="preserve">    </w:t>
      </w:r>
      <w:r>
        <w:rPr>
          <w:b/>
        </w:rPr>
        <w:t xml:space="preserve">DOI: </w:t>
      </w:r>
      <w:hyperlink r:id="rId76">
        <w:r>
          <w:rPr>
            <w:color w:val="1155CC"/>
            <w:u w:val="single"/>
          </w:rPr>
          <w:t>10.1002/aenm.70769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56">
        <w:r>
          <w:rPr>
            <w:color w:val="1155CC"/>
            <w:u w:val="single"/>
          </w:rPr>
          <w:t>高效碱金属基电池的内建电场的合理构建和调控</w:t>
        </w:r>
      </w:hyperlink>
    </w:p>
    <w:p>
      <w:pPr>
        <w:spacing w:before="0" w:after="80"/>
      </w:pPr>
      <w:r>
        <w:rPr>
          <w:i/>
          <w:sz w:val="20"/>
        </w:rPr>
        <w:t>EN: Rational Construction and Modulation of Built‐In Electric Field for High‐Efficiency Alkali Metal‐Based Batteries</w:t>
      </w:r>
    </w:p>
    <w:p>
      <w:pPr>
        <w:spacing w:before="0" w:after="120"/>
      </w:pPr>
      <w:r>
        <w:rPr>
          <w:b/>
        </w:rPr>
        <w:t xml:space="preserve">Source: </w:t>
      </w:r>
      <w:r>
        <w:t>Wiley: Angewandte Chemie International Edition: Table of Contents</w:t>
      </w:r>
      <w:r>
        <w:t xml:space="preserve">    </w:t>
      </w:r>
      <w:r>
        <w:rPr>
          <w:b/>
        </w:rPr>
        <w:t xml:space="preserve">Pub date: </w:t>
      </w:r>
      <w:r>
        <w:t>2026-02-27 11:55:49+00:00</w:t>
      </w:r>
      <w:r>
        <w:t xml:space="preserve">    </w:t>
      </w:r>
      <w:r>
        <w:rPr>
          <w:b/>
        </w:rPr>
        <w:t xml:space="preserve">DOI: </w:t>
      </w:r>
      <w:hyperlink r:id="rId57">
        <w:r>
          <w:rPr>
            <w:color w:val="1155CC"/>
            <w:u w:val="single"/>
          </w:rPr>
          <w:t>10.1002/anie.6795880</w:t>
        </w:r>
      </w:hyperlink>
    </w:p>
    <w:p>
      <w:pPr>
        <w:spacing w:before="0" w:after="120"/>
      </w:pPr>
      <w:r>
        <w:rPr>
          <w:b/>
        </w:rPr>
        <w:t xml:space="preserve">Notes: </w:t>
      </w:r>
      <w:r>
        <w:t>abstract_source=pubmed</w:t>
      </w:r>
    </w:p>
    <w:p>
      <w:pPr>
        <w:spacing w:before="0" w:after="80" w:lineRule="auto" w:line="276"/>
      </w:pPr>
      <w:r>
        <w:rPr>
          <w:b/>
        </w:rPr>
        <w:t xml:space="preserve">摘要（ZH）: </w:t>
      </w:r>
      <w:r>
        <w:t>随着电动汽车的大规模采用和可再生能源持续并入电网，开发高性能碱金属基电池（AMBs）变得越来越重要。然而，AMBs仍面临若干挑战，如能量密度有限、速率能力不足和循环寿命短，这主要源于离子扩散动力学缓慢和电极结构演变不稳定。近年来，内置电场（BIEF）工程作为一种有效策略，通过调节材料的微观结构来增强电池能量存储性能，已引起广泛关注。本综述从AMBs当前面临的关键挑战开始，系统分析了BIEF在解决这些问题中的潜力。</w:t>
      </w:r>
    </w:p>
    <w:p>
      <w:pPr>
        <w:spacing w:before="0" w:after="200" w:lineRule="auto" w:line="276"/>
      </w:pPr>
      <w:r>
        <w:rPr>
          <w:b/>
        </w:rPr>
        <w:t xml:space="preserve">Abstract (EN): </w:t>
      </w:r>
      <w:r>
        <w:t>With the large-scale adoption of electric vehicles and the ongoing integration of renewable energy into the grid, the development of high-performance alkali metal-based batteries (AMBs) has become increasingly important. However, AMBs still face several challenges, such as limited energy density, insufficient rate capability, and short cycle life, which mainly stem from sluggish ionic diffusion kinetics and unstable electrode structural evolution. In recent years, built-in electric field (BIEF) engineering has attracted extensive attention as an effective strategy to enhance battery energy storage performance by regulating the microstructure of materials. This review begins with the key challenges currently faced by AMBs, systematically analyzes the potential of BIEF in addressing these issues, and elaborates on the fundamental principles, evaluation methods, and construction strategies of BIEF. Furthermore, the latest research progress on BIEF engineering for improving the electrochemical activity, reaction kinetics, and cycling stability of AMBs is summarized. Finally, future research directions in BIEF engineering are discussed, providing new insights for designing high-performance AMBs with tunable built-in electric fields.</w:t>
      </w:r>
    </w:p>
    <w:p>
      <w:pPr>
        <w:spacing w:before="120" w:after="120"/>
      </w:pPr>
      <w:r>
        <w:rPr>
          <w:sz w:val="18"/>
        </w:rPr>
        <w:t>——————————————————————————————————————————————————————————————————————</w:t>
      </w:r>
    </w:p>
    <w:p>
      <w:pPr>
        <w:spacing w:before="160" w:after="40" w:line="240" w:lineRule="auto"/>
      </w:pPr>
      <w:r>
        <w:rPr>
          <w:b/>
        </w:rPr>
        <w:t xml:space="preserve">[11] </w:t>
      </w:r>
      <w:hyperlink r:id="rId77">
        <w:r>
          <w:rPr>
            <w:color w:val="1155CC"/>
            <w:u w:val="single"/>
          </w:rPr>
          <w:t>解决瓶颈以实现使用锡阳极的高能钠离子电池</w:t>
        </w:r>
      </w:hyperlink>
    </w:p>
    <w:p>
      <w:pPr>
        <w:spacing w:before="0" w:after="80"/>
      </w:pPr>
      <w:r>
        <w:rPr>
          <w:i/>
          <w:sz w:val="20"/>
        </w:rPr>
        <w:t>EN: Addressing Bottlenecks to Achieve High‐Energy Sodium‐Ion Cells Using Tin Anodes</w:t>
      </w:r>
    </w:p>
    <w:p>
      <w:pPr>
        <w:spacing w:before="0" w:after="120"/>
      </w:pPr>
      <w:r>
        <w:rPr>
          <w:b/>
        </w:rPr>
        <w:t xml:space="preserve">Source: </w:t>
      </w:r>
      <w:r>
        <w:t>Wiley: Advanced Energy Materials: Table of Contents</w:t>
      </w:r>
      <w:r>
        <w:t xml:space="preserve">    </w:t>
      </w:r>
      <w:r>
        <w:rPr>
          <w:b/>
        </w:rPr>
        <w:t xml:space="preserve">Pub date: </w:t>
      </w:r>
      <w:r>
        <w:t>2026-02-27 12:06:54+00:00</w:t>
      </w:r>
      <w:r>
        <w:t xml:space="preserve">    </w:t>
      </w:r>
      <w:r>
        <w:rPr>
          <w:b/>
        </w:rPr>
        <w:t xml:space="preserve">DOI: </w:t>
      </w:r>
      <w:hyperlink r:id="rId78">
        <w:r>
          <w:rPr>
            <w:color w:val="1155CC"/>
            <w:u w:val="single"/>
          </w:rPr>
          <w:t>10.1002/aenm.202600009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79">
        <w:r>
          <w:rPr>
            <w:color w:val="1155CC"/>
            <w:u w:val="single"/>
          </w:rPr>
          <w:t>用于机器人自主触觉传感的锌离子微电池和多功能传感器的秒级集成单片系统</w:t>
        </w:r>
      </w:hyperlink>
    </w:p>
    <w:p>
      <w:pPr>
        <w:spacing w:before="0" w:after="80"/>
      </w:pPr>
      <w:r>
        <w:rPr>
          <w:i/>
          <w:sz w:val="20"/>
        </w:rPr>
        <w:t>EN: Seconds‐Integrated Monolithic System of Zn‐Ion Micro‐Battery and Multi‐Functional Sensors for Robotic Autonomous Tactile Sensing</w:t>
      </w:r>
    </w:p>
    <w:p>
      <w:pPr>
        <w:spacing w:before="0" w:after="120"/>
      </w:pPr>
      <w:r>
        <w:rPr>
          <w:b/>
        </w:rPr>
        <w:t xml:space="preserve">Source: </w:t>
      </w:r>
      <w:r>
        <w:t>Wiley: Advanced Materials: Table of Contents</w:t>
      </w:r>
      <w:r>
        <w:t xml:space="preserve">    </w:t>
      </w:r>
      <w:r>
        <w:rPr>
          <w:b/>
        </w:rPr>
        <w:t xml:space="preserve">Pub date: </w:t>
      </w:r>
      <w:r>
        <w:t>2026-02-28 10:03:16+00:00</w:t>
      </w:r>
      <w:r>
        <w:t xml:space="preserve">    </w:t>
      </w:r>
      <w:r>
        <w:rPr>
          <w:b/>
        </w:rPr>
        <w:t xml:space="preserve">DOI: </w:t>
      </w:r>
      <w:hyperlink r:id="rId80">
        <w:r>
          <w:rPr>
            <w:color w:val="1155CC"/>
            <w:u w:val="single"/>
          </w:rPr>
          <w:t>10.1002/adma.202520257</w:t>
        </w:r>
      </w:hyperlink>
    </w:p>
    <w:p>
      <w:pPr>
        <w:spacing w:before="0" w:after="120"/>
      </w:pPr>
      <w:r>
        <w:rPr>
          <w:b/>
        </w:rPr>
        <w:t xml:space="preserve">Notes: </w:t>
      </w:r>
      <w:r>
        <w:t>abstract_source=pubmed</w:t>
      </w:r>
    </w:p>
    <w:p>
      <w:pPr>
        <w:spacing w:before="0" w:after="80" w:lineRule="auto" w:line="276"/>
      </w:pPr>
      <w:r>
        <w:rPr>
          <w:b/>
        </w:rPr>
        <w:t xml:space="preserve">摘要（ZH）: </w:t>
      </w:r>
      <w:r>
        <w:t>高度集成的设备将能量存储与多功能传感能力相结合，对于推进智能微系统的实际应用至关重要。然而，其发展常常受到低效制造、界面不匹配导致的可靠性下降以及实现高性能、无干扰操作的挑战所阻碍。在此，我们展示了一种通过焦耳热效应构建单片多功能传感和能量存储系统的超快速高效策略。该策略在8秒内实现所有组件的无缝集成，从根本上减轻了界面不兼容性和信号干扰。通过瞬时热激活，无阳极锌离子电池的能量存储单元</w:t>
      </w:r>
    </w:p>
    <w:p>
      <w:pPr>
        <w:spacing w:before="0" w:after="200" w:lineRule="auto" w:line="276"/>
      </w:pPr>
      <w:r>
        <w:rPr>
          <w:b/>
        </w:rPr>
        <w:t xml:space="preserve">Abstract (EN): </w:t>
      </w:r>
      <w:r>
        <w:t>Highly integrated devices that combine energy storage with multi-functional sensing capabilities are pivotal for advancing the practical implementation of intelligent microsystems. However, their development is often hindered by inefficient manufacturing, reliability degradation stemming from interfacial mismatches, and challenges in achieving high-performance, interference-free operation. Herein, we demonstrate an ultrafast and efficient strategy to construct a monolithic multifunctional sensing and energy storage system via the Joule heating effect. This strategy enables seamless integration of all components within 8 s, intrinsically mitigating interfacial incompatibility and signal interference. Through the instantaneous thermal activation, the energy storage unit of anode-free Zn-ion micro-battery delivers a capacity of 850 µAh cm-2 and energy density of 1060 µWh cm-2, superior to most reported aqueous Zn-based micro-batteries. With a rapid charging time of 150 s, it powers the integrated device for over 6 h, achieving an impressive 24-h standby under low-current conditions after full charge. Furthermore, this flexible monolithic system can be directly integrated into unmanned systems such as robotic arms, enabling autonomous environmental perception and adaptive decision-making via machine learning, with object identification and classification accuracy exceeding 99%. This work paves the way for next-generation autonomous microrobots, smart healthcare, and human-machine interfaces.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81">
        <w:r>
          <w:rPr>
            <w:color w:val="1155CC"/>
            <w:u w:val="single"/>
          </w:rPr>
          <w:t>[ASAP] 固态电池的热稳定性景观</w:t>
        </w:r>
      </w:hyperlink>
    </w:p>
    <w:p>
      <w:pPr>
        <w:spacing w:before="0" w:after="80"/>
      </w:pPr>
      <w:r>
        <w:rPr>
          <w:i/>
          <w:sz w:val="20"/>
        </w:rPr>
        <w:t>EN: [ASAP] Thermal Stability Landscape of Solid-State Batteries</w:t>
      </w:r>
    </w:p>
    <w:p>
      <w:pPr>
        <w:spacing w:before="0" w:after="120"/>
      </w:pPr>
      <w:r>
        <w:rPr>
          <w:b/>
        </w:rPr>
        <w:t xml:space="preserve">Source: </w:t>
      </w:r>
      <w:r>
        <w:t>ACS Energy Letters: Latest Articles (ACS Publications)</w:t>
      </w:r>
      <w:r>
        <w:t xml:space="preserve">    </w:t>
      </w:r>
      <w:r>
        <w:rPr>
          <w:b/>
        </w:rPr>
        <w:t xml:space="preserve">Pub date: </w:t>
      </w:r>
      <w:r>
        <w:t>2026-02-24 16:21:22+00:00</w:t>
      </w:r>
      <w:r>
        <w:t xml:space="preserve">    </w:t>
      </w:r>
      <w:r>
        <w:rPr>
          <w:b/>
        </w:rPr>
        <w:t xml:space="preserve">DOI: </w:t>
      </w:r>
      <w:hyperlink r:id="rId82">
        <w:r>
          <w:rPr>
            <w:color w:val="1155CC"/>
            <w:u w:val="single"/>
          </w:rPr>
          <w:t>10.1021/acsenergylett.5c03154</w:t>
        </w:r>
      </w:hyperlink>
    </w:p>
    <w:p>
      <w:pPr>
        <w:spacing w:before="0" w:after="120"/>
      </w:pPr>
      <w:r>
        <w:rPr>
          <w:b/>
        </w:rPr>
        <w:t xml:space="preserve">Notes: </w:t>
      </w:r>
      <w:r>
        <w:t>abstract_source=openalex</w:t>
      </w:r>
    </w:p>
    <w:p>
      <w:pPr>
        <w:spacing w:before="0" w:after="80" w:lineRule="auto" w:line="276"/>
      </w:pPr>
      <w:r>
        <w:rPr>
          <w:b/>
        </w:rPr>
        <w:t xml:space="preserve">摘要（ZH）: </w:t>
      </w:r>
      <w:r>
        <w:t>采用锂金属阳极的固态电池（SSBs）有望提供高能量密度，从而实现长途电动汽车和电动航空等应用。虽然与传输、化学力学和界面形态相关的各种挑战已被广泛研究，但基础固体/固体界面的热稳定性仍需全面评估。在这篇观点文章中，我们展示了电极-电解质相互作用、异质性和气体演化动力学在无机SSBs中决定不同热不稳定性路径的耦合影响的机制性见解。界面化学和锂形态在阳极/固体电解质界面和阴极驱动现象中的热失控中的关键作用</w:t>
      </w:r>
    </w:p>
    <w:p>
      <w:pPr>
        <w:spacing w:before="0" w:after="200" w:lineRule="auto" w:line="276"/>
      </w:pPr>
      <w:r>
        <w:rPr>
          <w:b/>
        </w:rPr>
        <w:t xml:space="preserve">Abstract (EN): </w:t>
      </w:r>
      <w:r>
        <w:t>Solid-state batteries (SSBs) with lithium metal anodes promise to offer high energy densities, enabling applications such as long-range electric vehicles and electric aviation. While various challenges related to transport, chemomechanics, and interfacial morphology have been extensively investigated, the thermal stability of the underlying solid/solid interfaces still requires comprehensive assessment. In this Perspective, we present mechanistic insights into the coupled influence of electrode–electrolyte interactions, heterogeneities, and gas-evolution dynamics in governing distinct thermal instability pathways in inorganic SSBs. The critical role of interphase chemistry and lithium morphology in thermal runaway at the anode/solid electrolyte interface and cathode-driven phenomena such as oxygen release, state-of-charge effects, pressure buildup, and crosstalk reactions are discussed. We further examine how operating conditions including pressure, current density, temperature, and moisture exposure modulate thermo-kinetic pathways and the exothermic behavior of SSBs. Key scientific gaps are identified, providing a foundation for future research toward the development of thermally stable and safe SSBs.</w:t>
      </w:r>
    </w:p>
    <w:p>
      <w:pPr>
        <w:spacing w:before="120" w:after="120"/>
      </w:pPr>
      <w:r>
        <w:rPr>
          <w:sz w:val="18"/>
        </w:rPr>
        <w:t>——————————————————————————————————————————————————————————————————————</w:t>
      </w:r>
    </w:p>
    <w:p>
      <w:pPr>
        <w:spacing w:before="160" w:after="40" w:line="240" w:lineRule="auto"/>
      </w:pPr>
      <w:r>
        <w:rPr>
          <w:b/>
        </w:rPr>
        <w:t xml:space="preserve">[2] </w:t>
      </w:r>
      <w:hyperlink r:id="rId83">
        <w:r>
          <w:rPr>
            <w:color w:val="1155CC"/>
            <w:u w:val="single"/>
          </w:rPr>
          <w:t>用于高能量密度和低温电池的氢氟碳化合物电解质</w:t>
        </w:r>
      </w:hyperlink>
    </w:p>
    <w:p>
      <w:pPr>
        <w:spacing w:before="0" w:after="80"/>
      </w:pPr>
      <w:r>
        <w:rPr>
          <w:i/>
          <w:sz w:val="20"/>
        </w:rPr>
        <w:t>EN: Hydrofluorocarbon electrolytes for energy-dense and low-temperature batteries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在过去的几十年中，电化学设备的电解质溶剂主要由氧（O）基和氮（N）基配体主导1,2,3,4,5，其中偶极-离子（Li+，Na+等）相互作用通常构成离子解离和传输的基础，但在电解质-电极界面处阻碍电荷转移过程6,7,8,9。在此，通过合成具有单氟化结构的烷烃，我们展示了具有设计空间位阻和路易斯碱性的氟（F）基配体能够使盐溶解度超过2 mol l−1。其中，基于1,3-二氟丙烷（DFP）的锂离子电解质具备能量密集和低温电池的所有优点，包括低粘度（0.95 cp）、高氧化稳定性（&gt;4.9 V）和离子电导率0.</w:t>
      </w:r>
    </w:p>
    <w:p>
      <w:pPr>
        <w:spacing w:before="0" w:after="200" w:lineRule="auto" w:line="276"/>
      </w:pPr>
      <w:r>
        <w:rPr>
          <w:b/>
        </w:rPr>
        <w:t xml:space="preserve">Abstract (EN): </w:t>
      </w:r>
      <w:r>
        <w:t>Electrolyte solvents for electrochemical devices have been dominated by oxygen (O)-based and nitrogen (N)-based ligands over the past decades1,2,3,4,5, for which the dipole–ion (Li+, Na+ and so on) interaction usually lays the foundations of ion dissociation and transport but frustrates the charge transfer process at the electrolyte–electrode interface6,7,8,9. Here, by synthesizing alkanes with monofluorinated structures, we show that fluorine (F)-based ligands with designed steric hindrance and Lewis basicity enable salt dissolution of more than 2 mol l−1. Among them, 1,3-difluoro-propane (DFP)-based Li-ion electrolyte is endowed with all merits for energy-dense and low-temperature batteries, including low viscosity (0.95 cp), high oxidation stability (&gt;4.9 V) and ionic conductivity of 0.29 mS cm−1 at −70 °C. By incorporating F atoms in the first solvation shell, the weak F–Li+ coordination facilitates the Li plating/stripping process with Coulombic efficiency (CE) up to 99.7% and exchange current density one magnitude larger than O–Li+ coordination at −50 °C. The electrolytes further enable the operation of lithium-metal pouch cells under an electrolyte amount of less than 0.5 g Ah−1, achieving energy densities greater than 700 Wh kg−1 at room temperature and about 400 Wh kg−1 at −50 °C. The hydrofluorocarbon (HFC) electrolytes in this work provide a feasible approach to building electrochemical systems beyond traditional coordination chemistry.</w:t>
      </w:r>
    </w:p>
    <w:p>
      <w:pPr>
        <w:spacing w:before="120" w:after="120"/>
      </w:pPr>
      <w:r>
        <w:rPr>
          <w:sz w:val="18"/>
        </w:rPr>
        <w:t>——————————————————————————————————————————————————————————————————————</w:t>
      </w:r>
    </w:p>
    <w:p>
      <w:pPr>
        <w:spacing w:before="160" w:after="40" w:line="240" w:lineRule="auto"/>
      </w:pPr>
      <w:r>
        <w:rPr>
          <w:b/>
        </w:rPr>
        <w:t xml:space="preserve">[3] </w:t>
      </w:r>
      <w:hyperlink r:id="rId84">
        <w:r>
          <w:rPr>
            <w:color w:val="1155CC"/>
            <w:u w:val="single"/>
          </w:rPr>
          <w:t>宽温度范围水系锌离子电池的电解质设计策略、失效机制和未来展望</w:t>
        </w:r>
      </w:hyperlink>
    </w:p>
    <w:p>
      <w:pPr>
        <w:spacing w:before="0" w:after="80"/>
      </w:pPr>
      <w:r>
        <w:rPr>
          <w:i/>
          <w:sz w:val="20"/>
        </w:rPr>
        <w:t>EN: Electrolyte design strategies, failure mechanisms, and future perspectives for wide-temperature-range aqueous zinc-ion batteries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7">
        <w:r>
          <w:rPr>
            <w:color w:val="1155CC"/>
            <w:u w:val="single"/>
          </w:rPr>
          <w:t>固态锂硫电池的现状与未来展望：聚焦反应和界面工程（Adv. Energy Mater. 8/2026）</w:t>
        </w:r>
      </w:hyperlink>
    </w:p>
    <w:p>
      <w:pPr>
        <w:spacing w:before="0" w:after="80"/>
      </w:pPr>
      <w:r>
        <w:rPr>
          <w:i/>
          <w:sz w:val="20"/>
        </w:rPr>
        <w:t>EN: Current Status and Future Prospects of Solid‐State Lithium–Sulfur Batteries: A Focus on Reaction and Interface Engineering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48">
        <w:r>
          <w:rPr>
            <w:color w:val="1155CC"/>
            <w:u w:val="single"/>
          </w:rPr>
          <w:t>10.1002/aenm.70743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85">
        <w:r>
          <w:rPr>
            <w:color w:val="1155CC"/>
            <w:u w:val="single"/>
          </w:rPr>
          <w:t>闭环可回收界面生长聚合促进可扩展且经济的准固态锂金属电池</w:t>
        </w:r>
      </w:hyperlink>
    </w:p>
    <w:p>
      <w:pPr>
        <w:spacing w:before="0" w:after="80"/>
      </w:pPr>
      <w:r>
        <w:rPr>
          <w:i/>
          <w:sz w:val="20"/>
        </w:rPr>
        <w:t>EN: Closed-loop recyclable interfacial growth polymerization enables scalable and economical quasi-solid-state lithium metal batteries</w:t>
      </w:r>
    </w:p>
    <w:p>
      <w:pPr>
        <w:spacing w:before="0" w:after="120"/>
      </w:pPr>
      <w:r>
        <w:rPr>
          <w:b/>
        </w:rPr>
        <w:t xml:space="preserve">Source: </w:t>
      </w:r>
      <w:r>
        <w:t>Joule</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传统的原位聚合工艺在制造准固态锂电池时面临稳定性、成本和规模化的挑战。本研究开发了一种基于无机引发剂的新策略，该策略稳定且环保，为连续、经济高效地生产高性能电池提供了一条新途径。</w:t>
      </w:r>
    </w:p>
    <w:p>
      <w:pPr>
        <w:spacing w:before="0" w:after="200" w:lineRule="auto" w:line="276"/>
      </w:pPr>
      <w:r>
        <w:rPr>
          <w:b/>
        </w:rPr>
        <w:t xml:space="preserve">Abstract (EN): </w:t>
      </w:r>
      <w:r>
        <w:t>Conventional in situ polymerization processes face challenges with stability, cost, and scaling up when manufacturing quasi-solid-state lithium batteries. This study develops a novel strategy based on inorganic initiators that is stable and environmentally friendly, offering a new pathway for the continuous, cost-effective production of high-performance batteries.</w:t>
      </w:r>
    </w:p>
    <w:p>
      <w:pPr>
        <w:spacing w:before="120" w:after="120"/>
      </w:pPr>
      <w:r>
        <w:rPr>
          <w:sz w:val="18"/>
        </w:rPr>
        <w:t>——————————————————————————————————————————————————————————————————————</w:t>
      </w:r>
    </w:p>
    <w:p>
      <w:pPr>
        <w:spacing w:before="160" w:after="40" w:line="240" w:lineRule="auto"/>
      </w:pPr>
      <w:r>
        <w:rPr>
          <w:b/>
        </w:rPr>
        <w:t xml:space="preserve">[6] </w:t>
      </w:r>
      <w:hyperlink r:id="rId86">
        <w:r>
          <w:rPr>
            <w:color w:val="1155CC"/>
            <w:u w:val="single"/>
          </w:rPr>
          <w:t>原位构建的“聚离子桥”促进全固态锂硫电池的性能</w:t>
        </w:r>
      </w:hyperlink>
    </w:p>
    <w:p>
      <w:pPr>
        <w:spacing w:before="0" w:after="80"/>
      </w:pPr>
      <w:r>
        <w:rPr>
          <w:i/>
          <w:sz w:val="20"/>
        </w:rPr>
        <w:t>EN: In Situ Constructed “Poly‐Ionic Bridges” Promoting Performances of All‐Solid‐State Lithium‐Sulfur Batteries</w:t>
      </w:r>
    </w:p>
    <w:p>
      <w:pPr>
        <w:spacing w:before="0" w:after="120"/>
      </w:pPr>
      <w:r>
        <w:rPr>
          <w:b/>
        </w:rPr>
        <w:t xml:space="preserve">Source: </w:t>
      </w:r>
      <w:r>
        <w:t>Wiley: Advanced Energy Materials: Table of Contents</w:t>
      </w:r>
      <w:r>
        <w:t xml:space="preserve">    </w:t>
      </w:r>
      <w:r>
        <w:rPr>
          <w:b/>
        </w:rPr>
        <w:t xml:space="preserve">Pub date: </w:t>
      </w:r>
      <w:r>
        <w:t>2026-02-26 06:16:55+00:00</w:t>
      </w:r>
      <w:r>
        <w:t xml:space="preserve">    </w:t>
      </w:r>
      <w:r>
        <w:rPr>
          <w:b/>
        </w:rPr>
        <w:t xml:space="preserve">DOI: </w:t>
      </w:r>
      <w:hyperlink r:id="rId87">
        <w:r>
          <w:rPr>
            <w:color w:val="1155CC"/>
            <w:u w:val="single"/>
          </w:rPr>
          <w:t>10.1002/aenm.70792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88">
        <w:r>
          <w:rPr>
            <w:color w:val="1155CC"/>
            <w:u w:val="single"/>
          </w:rPr>
          <w:t>[ASAP] 异质阳离子促进钠沉积的晶体学调控以实现无枝晶钠金属电池</w:t>
        </w:r>
      </w:hyperlink>
    </w:p>
    <w:p>
      <w:pPr>
        <w:spacing w:before="0" w:after="80"/>
      </w:pPr>
      <w:r>
        <w:rPr>
          <w:i/>
          <w:sz w:val="20"/>
        </w:rPr>
        <w:t>EN: [ASAP] Heterogeneous Cations Enable Crystallographic Regulation of Na Deposition toward Dendrite-Free Sodium Metal Batteries</w:t>
      </w:r>
    </w:p>
    <w:p>
      <w:pPr>
        <w:spacing w:before="0" w:after="120"/>
      </w:pPr>
      <w:r>
        <w:rPr>
          <w:b/>
        </w:rPr>
        <w:t xml:space="preserve">Source: </w:t>
      </w:r>
      <w:r>
        <w:t>ACS Energy Letters: Latest Articles (ACS Publications)</w:t>
      </w:r>
      <w:r>
        <w:t xml:space="preserve">    </w:t>
      </w:r>
      <w:r>
        <w:rPr>
          <w:b/>
        </w:rPr>
        <w:t xml:space="preserve">Pub date: </w:t>
      </w:r>
      <w:r>
        <w:t>2026-02-26 10:07:22+00:00</w:t>
      </w:r>
      <w:r>
        <w:t xml:space="preserve">    </w:t>
      </w:r>
      <w:r>
        <w:rPr>
          <w:b/>
        </w:rPr>
        <w:t xml:space="preserve">DOI: </w:t>
      </w:r>
      <w:hyperlink r:id="rId89">
        <w:r>
          <w:rPr>
            <w:color w:val="1155CC"/>
            <w:u w:val="single"/>
          </w:rPr>
          <w:t>10.1021/acsenergylett.5c04001</w:t>
        </w:r>
      </w:hyperlink>
    </w:p>
    <w:p>
      <w:pPr>
        <w:spacing w:before="0" w:after="120"/>
      </w:pPr>
      <w:r>
        <w:rPr>
          <w:b/>
        </w:rPr>
        <w:t xml:space="preserve">Notes: </w:t>
      </w:r>
      <w:r>
        <w:t>abstract_source=openalex</w:t>
      </w:r>
    </w:p>
    <w:p>
      <w:pPr>
        <w:spacing w:before="0" w:after="80" w:lineRule="auto" w:line="276"/>
      </w:pPr>
      <w:r>
        <w:rPr>
          <w:b/>
        </w:rPr>
        <w:t xml:space="preserve">摘要（ZH）: </w:t>
      </w:r>
      <w:r>
        <w:t>钠金属电池在下一代储能中具有巨大潜力，但面临枝晶生长和界面不稳定的基本挑战。在此，提出了一种结合多功能碳酸铷（Rb2CO3）添加剂的凝胶聚合物电解质（GPE+R），以稳定电解质-电极界面并诱导均匀的钠沉积。通过最佳几何匹配和表面能各向异性，Rb+阳离子优先吸附在Na(200)平面上，产生静电屏蔽效应，将平面钠沉积重定向到最密堆积的(110)平面。同时，Rb+还可以参与与Na+的竞争溶剂化，改变溶剂化结构并降低Na+的去溶剂化障碍。因此，改良的电解质使得</w:t>
      </w:r>
    </w:p>
    <w:p>
      <w:pPr>
        <w:spacing w:before="0" w:after="200" w:lineRule="auto" w:line="276"/>
      </w:pPr>
      <w:r>
        <w:rPr>
          <w:b/>
        </w:rPr>
        <w:t xml:space="preserve">Abstract (EN): </w:t>
      </w:r>
      <w:r>
        <w:t>Sodium metal batteries have great promise for next-generation energy storage but face fundamental challenges of dendritic growth and interfacial instability. Herein, a gel polymer electrolyte incorporating multifunctional rubidium carbonate (Rb2CO3) additive is proposed (GPE+R) to stabilize the electrolyte–electrode interface and induce uniform Na deposition. Through optimal geometric matching and surface energy anisotropy, Rb+ cations preferentially adsorb onto the Na(200) plane, creating an electrostatic shielding effect that redirects planar Na deposition toward the closest-packed (110) plane. Simultaneously, Rb+ can also participate in competitive solvation with Na+, modifying the solvation structure and reducing the Na+ desolvation barrier. Consequently, the modified electrolyte enables dendrite-free Na deposition and 96.2% capacity retention after 4000 cycles in Na3V2(PO4)3||GPE+R||Na cells. The practical viability and mechanical flexibility are further verified by the operation of NaNi1/3Fe1/3Mn1/3O2||Na pouch cells. This work provides a clue for crystallographic regulation for dendrite-free Na anodes and paves a pathway toward high-energy-density Na metal batteries.</w:t>
      </w:r>
    </w:p>
    <w:p>
      <w:pPr>
        <w:spacing w:before="120" w:after="120"/>
      </w:pPr>
      <w:r>
        <w:rPr>
          <w:sz w:val="18"/>
        </w:rPr>
        <w:t>——————————————————————————————————————————————————————————————————————</w:t>
      </w:r>
    </w:p>
    <w:p>
      <w:pPr>
        <w:spacing w:before="160" w:after="40" w:line="240" w:lineRule="auto"/>
      </w:pPr>
      <w:r>
        <w:rPr>
          <w:b/>
        </w:rPr>
        <w:t xml:space="preserve">[8] </w:t>
      </w:r>
      <w:hyperlink r:id="rId90">
        <w:r>
          <w:rPr>
            <w:color w:val="1155CC"/>
            <w:u w:val="single"/>
          </w:rPr>
          <w:t>[ASAP] 离子导电线形成高性能全固态聚合物电解质</w:t>
        </w:r>
      </w:hyperlink>
    </w:p>
    <w:p>
      <w:pPr>
        <w:spacing w:before="0" w:after="80"/>
      </w:pPr>
      <w:r>
        <w:rPr>
          <w:i/>
          <w:sz w:val="20"/>
        </w:rPr>
        <w:t>EN: [ASAP] Ion-Conductive Wires Form High-Performance All-Solid-State Polymer Electrolytes</w:t>
      </w:r>
    </w:p>
    <w:p>
      <w:pPr>
        <w:spacing w:before="0" w:after="120"/>
      </w:pPr>
      <w:r>
        <w:rPr>
          <w:b/>
        </w:rPr>
        <w:t xml:space="preserve">Source: </w:t>
      </w:r>
      <w:r>
        <w:t>Journal of the American Chemical Society: Latest Articles (ACS Publications)</w:t>
      </w:r>
      <w:r>
        <w:t xml:space="preserve">    </w:t>
      </w:r>
      <w:r>
        <w:rPr>
          <w:b/>
        </w:rPr>
        <w:t xml:space="preserve">Pub date: </w:t>
      </w:r>
      <w:r>
        <w:t>2026-02-26 18:21:24+00:00</w:t>
      </w:r>
      <w:r>
        <w:t xml:space="preserve">    </w:t>
      </w:r>
      <w:r>
        <w:rPr>
          <w:b/>
        </w:rPr>
        <w:t xml:space="preserve">DOI: </w:t>
      </w:r>
      <w:hyperlink r:id="rId91">
        <w:r>
          <w:rPr>
            <w:color w:val="1155CC"/>
            <w:u w:val="single"/>
          </w:rPr>
          <w:t>10.1021/jacs.5c18752</w:t>
        </w:r>
      </w:hyperlink>
    </w:p>
    <w:p>
      <w:pPr>
        <w:spacing w:before="0" w:after="120"/>
      </w:pPr>
      <w:r>
        <w:rPr>
          <w:b/>
        </w:rPr>
        <w:t xml:space="preserve">Notes: </w:t>
      </w:r>
      <w:r>
        <w:t>abstract_source=pubmed</w:t>
      </w:r>
    </w:p>
    <w:p>
      <w:pPr>
        <w:spacing w:before="0" w:after="80" w:lineRule="auto" w:line="276"/>
      </w:pPr>
      <w:r>
        <w:rPr>
          <w:b/>
        </w:rPr>
        <w:t xml:space="preserve">摘要（ZH）: </w:t>
      </w:r>
      <w:r>
        <w:t>固态电池有望通过消除易燃液体电解质的风险来改变能量存储，为电动汽车、可再生电网和电子设备提供更安全、更高密度的系统，以实现到2050年净零排放的目标。然而，全固态聚合物电解质由于低离子电导率、锂转移性差和室温不稳定性而受到限制，通常需要添加剂或加热，这会削弱其优势。我们引入了离子导电线（ICWs），这是一类自组装纳米结构聚合物，具有分层的块刷结构。其特点是具有柔性的聚硅氧烷主链、富含PEG的核心以实现快速各向异性Li+传输，以及氟化外壳以实现氧化稳定性和阴离子抑制，ICWs自</w:t>
      </w:r>
    </w:p>
    <w:p>
      <w:pPr>
        <w:spacing w:before="0" w:after="200" w:lineRule="auto" w:line="276"/>
      </w:pPr>
      <w:r>
        <w:rPr>
          <w:b/>
        </w:rPr>
        <w:t xml:space="preserve">Abstract (EN): </w:t>
      </w:r>
      <w:r>
        <w:t>Solid-state batteries are poised to transform energy storage by eliminating the risks of flammable liquid electrolytes, enabling safer, higher-density systems for electric vehicles, renewable grids, and electronics in the race to net-zero emissions by 2050. Yet, all-solid-state polymer electrolytes have been limited by low ionic conductivity, poor lithium transference, and instability at room temperature, often requiring additives or heating that compromise their advantages. We introduce ion-conductive wires (ICWs), a new class of self-assembling nanostructured polymers with a hierarchical block-brush architecture. Featuring a flexible polysiloxane backbone, a PEG-rich core for rapid anisotropic Li+ transport, and a fluorinated sheath for oxidative stability and anion suppression, ICWs self-organize with continuous channels via the fluorous effect. Screening a library of architectures revealed an optimal design delivering an ionic conductivity of 1.8 × 10-4 S cm-1, a lithium transference number of 0.62, and stability up to 5.23 V at 30 °C─without liquids or fillers. This enables 200 cycles in Li/LFP cells with 96% capacity retention, stable operation in high-voltage Li/NCM622 cells, and 2000 h of lithium plating/stripping. ICWs offer a tunable platform for high-performance, scalable solid-state batteries, accelerating sustainable energy solutions.</w:t>
      </w:r>
    </w:p>
    <w:p>
      <w:pPr>
        <w:spacing w:before="120" w:after="120"/>
      </w:pPr>
      <w:r>
        <w:rPr>
          <w:sz w:val="18"/>
        </w:rPr>
        <w:t>——————————————————————————————————————————————————————————————————————</w:t>
      </w:r>
    </w:p>
    <w:p>
      <w:pPr>
        <w:spacing w:before="160" w:after="40" w:line="240" w:lineRule="auto"/>
      </w:pPr>
      <w:r>
        <w:rPr>
          <w:b/>
        </w:rPr>
        <w:t xml:space="preserve">[9] </w:t>
      </w:r>
      <w:hyperlink r:id="rId92">
        <w:r>
          <w:rPr>
            <w:color w:val="1155CC"/>
            <w:u w:val="single"/>
          </w:rPr>
          <w:t>出版商更正：锌-寡聚醚羧酸盐作为水系锌金属电池的电解质添加剂</w:t>
        </w:r>
      </w:hyperlink>
    </w:p>
    <w:p>
      <w:pPr>
        <w:spacing w:before="0" w:after="80"/>
      </w:pPr>
      <w:r>
        <w:rPr>
          <w:i/>
          <w:sz w:val="20"/>
        </w:rPr>
        <w:t>EN: Publisher Correction: Zinc-oligoether carboxylate salts as electrolyte additives for aqueous Zn metal batteries</w:t>
      </w:r>
    </w:p>
    <w:p>
      <w:pPr>
        <w:spacing w:before="0" w:after="120"/>
      </w:pPr>
      <w:r>
        <w:rPr>
          <w:b/>
        </w:rPr>
        <w:t xml:space="preserve">Source: </w:t>
      </w:r>
      <w:r>
        <w:t>Nature Communications</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93">
        <w:r>
          <w:rPr>
            <w:color w:val="1155CC"/>
            <w:u w:val="single"/>
          </w:rPr>
          <w:t>分子极性衰减调整弱溶剂化结构，具有加速动力学和稳健SEI，用于高面积容量大格式袋装锌基电池</w:t>
        </w:r>
      </w:hyperlink>
    </w:p>
    <w:p>
      <w:pPr>
        <w:spacing w:before="0" w:after="80"/>
      </w:pPr>
      <w:r>
        <w:rPr>
          <w:i/>
          <w:sz w:val="20"/>
        </w:rPr>
        <w:t>EN: Molecular Polarity Attenuation Tailors Weak Solvation Structure with Accelerated Kinetics and Robust SEI for High‐Areal‐Capacity Large‐Format Pouch Zn‐Based Batteries</w:t>
      </w:r>
    </w:p>
    <w:p>
      <w:pPr>
        <w:spacing w:before="0" w:after="120"/>
      </w:pPr>
      <w:r>
        <w:rPr>
          <w:b/>
        </w:rPr>
        <w:t xml:space="preserve">Source: </w:t>
      </w:r>
      <w:r>
        <w:t>Wiley: Advanced Materials: Table of Contents</w:t>
      </w:r>
      <w:r>
        <w:t xml:space="preserve">    </w:t>
      </w:r>
      <w:r>
        <w:rPr>
          <w:b/>
        </w:rPr>
        <w:t xml:space="preserve">Pub date: </w:t>
      </w:r>
      <w:r>
        <w:t>2026-02-27 11:32:18+00:00</w:t>
      </w:r>
      <w:r>
        <w:t xml:space="preserve">    </w:t>
      </w:r>
      <w:r>
        <w:rPr>
          <w:b/>
        </w:rPr>
        <w:t xml:space="preserve">DOI: </w:t>
      </w:r>
      <w:hyperlink r:id="rId94">
        <w:r>
          <w:rPr>
            <w:color w:val="1155CC"/>
            <w:u w:val="single"/>
          </w:rPr>
          <w:t>10.1002/adma.202519996</w:t>
        </w:r>
      </w:hyperlink>
    </w:p>
    <w:p>
      <w:pPr>
        <w:spacing w:before="0" w:after="120"/>
      </w:pPr>
      <w:r>
        <w:rPr>
          <w:b/>
        </w:rPr>
        <w:t xml:space="preserve">Notes: </w:t>
      </w:r>
      <w:r>
        <w:t>abstract_source=pubmed</w:t>
      </w:r>
    </w:p>
    <w:p>
      <w:pPr>
        <w:spacing w:before="0" w:after="80" w:lineRule="auto" w:line="276"/>
      </w:pPr>
      <w:r>
        <w:rPr>
          <w:b/>
        </w:rPr>
        <w:t xml:space="preserve">摘要（ZH）: </w:t>
      </w:r>
      <w:r>
        <w:t>大格式、高面积容量的水系锌离子电池对于实际能量存储至关重要，但仍受限于缓慢的动力学、异质的局部反应和剧烈的界面变形。在这项工作中，提出了一种电解质添加剂的分子极性减弱策略，以定制快速反应动力学溶剂化结构和锌金属袋电池的混合固态电解质界面（SEI）。利用这种协同的溶剂化-SEI调控，25 cm2的Zn||Zn袋式对称电池在40 mAh cm-2（DOD = 68%，10 mA cm-2）下实现了前所未有的352小时稳定循环。更重要的是，100 cm2的Zn||I2袋式全电池提供了9.8 mAh cm-2的高面积容量，并维持了近400小时的稳定循环。</w:t>
      </w:r>
    </w:p>
    <w:p>
      <w:pPr>
        <w:spacing w:before="0" w:after="200" w:lineRule="auto" w:line="276"/>
      </w:pPr>
      <w:r>
        <w:rPr>
          <w:b/>
        </w:rPr>
        <w:t xml:space="preserve">Abstract (EN): </w:t>
      </w:r>
      <w:r>
        <w:t>Large-format, high-areal-capacity aqueous Zn-ion batteries are pivotal for practical energy storage but remain hindered by sluggish kinetics, heterogeneous local reactions, and drastic interfacial deformation. In this work, a molecular polarity-weakening strategy of electrolyte additive is proposed to customize a rapid-reaction-kinetics solvation structure and a hybrid solid-electrolyte interphase (SEI) for Zn metal pouch batteries. Leveraging this synergistic solvation-SEI regulation, a 25 cm2 Zn||Zn pouch symmetric cell achieves unprecedent 352 h stable cycling at 40 mAh cm-2 (DOD = 68%, 10 mA cm-2). More importantly, a 100 cm2 Zn||I2 pouch full battery delivers a high areal capacity of 9.8 mAh cm-2 and sustains nearly 400 h of stable cycling.</w:t>
      </w:r>
    </w:p>
    <w:p>
      <w:pPr>
        <w:spacing w:before="120" w:after="120"/>
      </w:pPr>
      <w:r>
        <w:rPr>
          <w:sz w:val="18"/>
        </w:rPr>
        <w:t>——————————————————————————————————————————————————————————————————————</w:t>
      </w:r>
    </w:p>
    <w:p>
      <w:pPr>
        <w:spacing w:before="160" w:after="40" w:line="240" w:lineRule="auto"/>
      </w:pPr>
      <w:r>
        <w:rPr>
          <w:b/>
        </w:rPr>
        <w:t xml:space="preserve">[11] </w:t>
      </w:r>
      <w:hyperlink r:id="rId95">
        <w:r>
          <w:rPr>
            <w:color w:val="1155CC"/>
            <w:u w:val="single"/>
          </w:rPr>
          <w:t>低锂含量的多阴离子稳定的无定形卤化物电解质用于全固态锂电池</w:t>
        </w:r>
      </w:hyperlink>
    </w:p>
    <w:p>
      <w:pPr>
        <w:spacing w:before="0" w:after="80"/>
      </w:pPr>
      <w:r>
        <w:rPr>
          <w:i/>
          <w:sz w:val="20"/>
        </w:rPr>
        <w:t>EN: Polyanion-stabilized amorphous halide electrolytes with low lithium content for all-solid-state lithium batteries</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96">
        <w:r>
          <w:rPr>
            <w:color w:val="1155CC"/>
            <w:u w:val="single"/>
          </w:rPr>
          <w:t>10.1038/s41467-026-69737-x</w:t>
        </w:r>
      </w:hyperlink>
    </w:p>
    <w:p>
      <w:pPr>
        <w:spacing w:before="0" w:after="120"/>
      </w:pPr>
      <w:r>
        <w:rPr>
          <w:b/>
        </w:rPr>
        <w:t xml:space="preserve">Notes: </w:t>
      </w:r>
      <w:r>
        <w:t>abstract_source=nature_html</w:t>
      </w:r>
    </w:p>
    <w:p>
      <w:pPr>
        <w:spacing w:before="0" w:after="80" w:lineRule="auto" w:line="276"/>
      </w:pPr>
      <w:r>
        <w:rPr>
          <w:b/>
        </w:rPr>
        <w:t xml:space="preserve">摘要（ZH）: </w:t>
      </w:r>
      <w:r>
        <w:t>锂卤化物固体电解质因其高离子电导率和正极兼容性而受到广泛关注。然而，实现目标离子电导率通常需要在最佳结构中具有高锂浓度（&gt;4.3 wt%），这增加了成本并加剧了空气敏感性。在此，我们利用阴离子簇合成了一系列无定形卤化物电解质xLi2SO4-ZrCl4，在30 °C下实现了1.5 mS cm-1的最佳离子电导率，并显著降低了锂含量至2.4 wt%，同时具有良好的空气稳定性。通过中子/同步辐射X射线实验、第一性原理计算和机器学习加速的分子动力学模拟，我们揭示了[ZraCl4a(SO4)]2-（1 ≤ a ≤ 4）的无序骨架，能够实现快速L</w:t>
      </w:r>
    </w:p>
    <w:p>
      <w:pPr>
        <w:spacing w:before="0" w:after="200" w:lineRule="auto" w:line="276"/>
      </w:pPr>
      <w:r>
        <w:rPr>
          <w:b/>
        </w:rPr>
        <w:t xml:space="preserve">Abstract (EN): </w:t>
      </w:r>
      <w:r>
        <w:t>Lithium halide solid electrolytes have garnered significant attention owing to their high ionic conductivity and positive electrode compatibility. However, achieving target ionic conductivity typically requires high lithium concentration (&gt;4.3 wt%) within optimal structure, which raises costs and exacerbates air sensitivity. Here, we leverage anion clusters to synthesize a series of amorphous halide electrolytes xLi2SO4-ZrCl4, with optimal ionic conductivities of 1.5 mS cm-1 at 30 °C and a significantly reduced lithium content of 2.4 wt%, alongside good air stability. Through neutron/synchrotron X-ray experiments, first-principles calculations and machine learning-accelerated molecular dynamics simulations, we reveal a disordered backbone of [ZraCl4a(SO4)]2- (1 ≤ a ≤ 4) that enables fast Li-ion diffusion via under-coordinated oxygen sites. All-solid-state lithium batteries employing these electrolytes and LiNi0.8Co0.1Mn0.1O2 positive electrode exhibit 81.1% capacity retention after 1400 cycles at 1 C (60 min) and 30 °C. Our findings reveal anion-cluster chemistry as an approach that transforms solid electrolyte design for advanced batteries, bridging materials science with practical energy storage innovation.</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97">
        <w:r>
          <w:rPr>
            <w:color w:val="1155CC"/>
            <w:u w:val="single"/>
          </w:rPr>
          <w:t>用于可回收锂离子电池的水溶性粘合剂</w:t>
        </w:r>
      </w:hyperlink>
    </w:p>
    <w:p>
      <w:pPr>
        <w:spacing w:before="0" w:after="80"/>
      </w:pPr>
      <w:r>
        <w:rPr>
          <w:i/>
          <w:sz w:val="20"/>
        </w:rPr>
        <w:t>EN: A water-soluble binder for recyclable lithium-ion batteries</w:t>
      </w:r>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锂离子电池市场的显著增长对其生命周期末期管理提出了巨大挑战，并需要可持续的解决方案。直接回收是一种有前景的选择，因为其具有优越的能源效率和环境效益，特别是在保持目标材料的原始化学性质和结构方面的优势。然而，粘合剂将活性电极材料和电流收集器紧密结合在一起，其分离通常涉及耗能的热处理和环境有害的化学品。在此，我们通过超分子相互作用将天然丝心蛋白与硫酸交联，提出了一种水溶性粘合剂。所制备的粘合剂展示了与</w:t>
      </w:r>
    </w:p>
    <w:p>
      <w:pPr>
        <w:spacing w:before="0" w:after="200" w:lineRule="auto" w:line="276"/>
      </w:pPr>
      <w:r>
        <w:rPr>
          <w:b/>
        </w:rPr>
        <w:t xml:space="preserve">Abstract (EN): </w:t>
      </w:r>
      <w:r>
        <w:t>The substantial growth in the market for lithium-ion batteries has created a huge challenge for their end-of-life management and demands sustainable solutions. Direct recycling is a promising choice due to its superior energy efficiency and environmental benefits, particularly the advantage in preserving the original chemistry and structure of the target materials. However, binders hold the active electrode materials and the current collectors tightly together, and their separation usually involves energy-intensive thermal treatment and environmentally hazardous chemicals. Here we present a water-soluble binder by crosslinking natural sericin protein with sulfuric acid through supramolecular interactions. The as-fabricated binder demonstrates comparable electrochemical performance with the most common polyvinylidene fluoride formulation, when applied to a typical LiNi1/3Co1/3Mn1/3O2 (NCM111) cathode. A 1.3-Ah pouch cell retained 85.0% of its initial capacity after 500 cycles. Equally importantly, after being soaked in water at 50 °C for less than 1 min, the NCM111 and graphite can be completely detached from the current collectors for recycling. By integrating the circular economy into the battery design, this work paves the way for the development of next-generation battery chemistries with enhanced sustainability.</w:t>
      </w:r>
    </w:p>
    <w:p>
      <w:pPr>
        <w:spacing w:before="120" w:after="120"/>
      </w:pPr>
      <w:r>
        <w:rPr>
          <w:sz w:val="18"/>
        </w:rPr>
        <w:t>——————————————————————————————————————————————————————————————————————</w:t>
      </w:r>
    </w:p>
    <w:p>
      <w:pPr>
        <w:spacing w:before="160" w:after="40" w:line="240" w:lineRule="auto"/>
      </w:pPr>
      <w:r>
        <w:rPr>
          <w:b/>
        </w:rPr>
        <w:t xml:space="preserve">[2] </w:t>
      </w:r>
      <w:hyperlink r:id="rId81">
        <w:r>
          <w:rPr>
            <w:color w:val="1155CC"/>
            <w:u w:val="single"/>
          </w:rPr>
          <w:t>[ASAP] 固态电池的热稳定性景观</w:t>
        </w:r>
      </w:hyperlink>
    </w:p>
    <w:p>
      <w:pPr>
        <w:spacing w:before="0" w:after="80"/>
      </w:pPr>
      <w:r>
        <w:rPr>
          <w:i/>
          <w:sz w:val="20"/>
        </w:rPr>
        <w:t>EN: [ASAP] Thermal Stability Landscape of Solid-State Batteries</w:t>
      </w:r>
    </w:p>
    <w:p>
      <w:pPr>
        <w:spacing w:before="0" w:after="120"/>
      </w:pPr>
      <w:r>
        <w:rPr>
          <w:b/>
        </w:rPr>
        <w:t xml:space="preserve">Source: </w:t>
      </w:r>
      <w:r>
        <w:t>ACS Energy Letters: Latest Articles (ACS Publications)</w:t>
      </w:r>
      <w:r>
        <w:t xml:space="preserve">    </w:t>
      </w:r>
      <w:r>
        <w:rPr>
          <w:b/>
        </w:rPr>
        <w:t xml:space="preserve">Pub date: </w:t>
      </w:r>
      <w:r>
        <w:t>2026-02-24 16:21:22+00:00</w:t>
      </w:r>
      <w:r>
        <w:t xml:space="preserve">    </w:t>
      </w:r>
      <w:r>
        <w:rPr>
          <w:b/>
        </w:rPr>
        <w:t xml:space="preserve">DOI: </w:t>
      </w:r>
      <w:hyperlink r:id="rId82">
        <w:r>
          <w:rPr>
            <w:color w:val="1155CC"/>
            <w:u w:val="single"/>
          </w:rPr>
          <w:t>10.1021/acsenergylett.5c03154</w:t>
        </w:r>
      </w:hyperlink>
    </w:p>
    <w:p>
      <w:pPr>
        <w:spacing w:before="0" w:after="120"/>
      </w:pPr>
      <w:r>
        <w:rPr>
          <w:b/>
        </w:rPr>
        <w:t xml:space="preserve">Notes: </w:t>
      </w:r>
      <w:r>
        <w:t>abstract_source=openalex</w:t>
      </w:r>
    </w:p>
    <w:p>
      <w:pPr>
        <w:spacing w:before="0" w:after="80" w:lineRule="auto" w:line="276"/>
      </w:pPr>
      <w:r>
        <w:rPr>
          <w:b/>
        </w:rPr>
        <w:t xml:space="preserve">摘要（ZH）: </w:t>
      </w:r>
      <w:r>
        <w:t>采用锂金属阳极的固态电池（SSBs）有望提供高能量密度，从而实现长途电动汽车和电动航空等应用。虽然与传输、化学力学和界面形态相关的各种挑战已被广泛研究，但基础固体/固体界面的热稳定性仍需全面评估。在这篇观点文章中，我们展示了电极-电解质相互作用、异质性和气体演化动力学在无机SSBs中决定不同热不稳定性路径的耦合影响的机制性见解。界面化学和锂形态在阳极/固体电解质界面和阴极驱动现象中的热失控中的关键作用</w:t>
      </w:r>
    </w:p>
    <w:p>
      <w:pPr>
        <w:spacing w:before="0" w:after="200" w:lineRule="auto" w:line="276"/>
      </w:pPr>
      <w:r>
        <w:rPr>
          <w:b/>
        </w:rPr>
        <w:t xml:space="preserve">Abstract (EN): </w:t>
      </w:r>
      <w:r>
        <w:t>Solid-state batteries (SSBs) with lithium metal anodes promise to offer high energy densities, enabling applications such as long-range electric vehicles and electric aviation. While various challenges related to transport, chemomechanics, and interfacial morphology have been extensively investigated, the thermal stability of the underlying solid/solid interfaces still requires comprehensive assessment. In this Perspective, we present mechanistic insights into the coupled influence of electrode–electrolyte interactions, heterogeneities, and gas-evolution dynamics in governing distinct thermal instability pathways in inorganic SSBs. The critical role of interphase chemistry and lithium morphology in thermal runaway at the anode/solid electrolyte interface and cathode-driven phenomena such as oxygen release, state-of-charge effects, pressure buildup, and crosstalk reactions are discussed. We further examine how operating conditions including pressure, current density, temperature, and moisture exposure modulate thermo-kinetic pathways and the exothermic behavior of SSBs. Key scientific gaps are identified, providing a foundation for future research toward the development of thermally stable and safe SSBs.</w:t>
      </w:r>
    </w:p>
    <w:p>
      <w:pPr>
        <w:spacing w:before="120" w:after="120"/>
      </w:pPr>
      <w:r>
        <w:rPr>
          <w:sz w:val="18"/>
        </w:rPr>
        <w:t>——————————————————————————————————————————————————————————————————————</w:t>
      </w:r>
    </w:p>
    <w:p>
      <w:pPr>
        <w:spacing w:before="160" w:after="40" w:line="240" w:lineRule="auto"/>
      </w:pPr>
      <w:r>
        <w:rPr>
          <w:b/>
        </w:rPr>
        <w:t xml:space="preserve">[3] </w:t>
      </w:r>
      <w:hyperlink r:id="rId98">
        <w:r>
          <w:rPr>
            <w:color w:val="1155CC"/>
            <w:u w:val="single"/>
          </w:rPr>
          <w:t>通过一步煅烧策略将废旧LiCoO2升级为高价值Li6CoO4，提升十倍回收利润</w:t>
        </w:r>
      </w:hyperlink>
    </w:p>
    <w:p>
      <w:pPr>
        <w:spacing w:before="0" w:after="80"/>
      </w:pPr>
      <w:r>
        <w:rPr>
          <w:i/>
          <w:sz w:val="20"/>
        </w:rPr>
        <w:t>EN: Boosting tenfold recycling profit by a one-step calcination strategy for upcycling spent LiCoO2 to high-value Li6CoO4</w:t>
      </w:r>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锂钴氧化物（LiCoO2）每年消耗全球40%的钴储量。然而，当前回收方法的低盈利性导致钴回收率极低，严重威胁钴资源的可持续性。在此，我们开发了一种升级再造策略，将废弃的LiCoO2再生为高价值的Li6CoO4，与现有回收技术相比，利润增加7-13倍。此外，系统地研究了再生机制和结构演变。得益于在一步煅烧策略中自然形成的碳涂层，重构的Li6CoO4在用作锂离子电池中的Li+补充协同剂时，提供了850 mAh g−1的不可逆容量，超</w:t>
      </w:r>
    </w:p>
    <w:p>
      <w:pPr>
        <w:spacing w:before="0" w:after="200" w:lineRule="auto" w:line="276"/>
      </w:pPr>
      <w:r>
        <w:rPr>
          <w:b/>
        </w:rPr>
        <w:t xml:space="preserve">Abstract (EN): </w:t>
      </w:r>
      <w:r>
        <w:t>Lithium cobalt oxide (LiCoO2) consumes 40% of the global cobalt reserves annually. However, the low profitability of current recycling methods results in extremely low cobalt recovery rates that seriously threaten the sustainability of cobalt resources. Here, we developed an upcycling strategy that regenerates the spent LiCoO2 to high-value Li6CoO4, offering a profit increase of 7–13 times compared with that of the existing recycling technologies. Moreover, the regeneration mechanism and structural evolution were systematically investigated. Benefiting from the naturally endowed carbon coating layer formed during the one-step calcination strategy, the reconstructed Li6CoO4 delivered an irreversible capacity of 850 mAh g−1 when used as a Li+ supplement synergist in lithium-ion batteries, outperforming the commercial Li5FeO4 counterparts by offering 40% performance improvement. Besides, it showed extraordinary air stability, retaining 96% of the capacity after 24 hours of exposure to the atmosphere. This research proposes a sustainable strategy to tackle the global challenges of cobalt recycling and supply shortages.</w:t>
      </w:r>
    </w:p>
    <w:p>
      <w:pPr>
        <w:spacing w:before="120" w:after="120"/>
      </w:pPr>
      <w:r>
        <w:rPr>
          <w:sz w:val="18"/>
        </w:rPr>
        <w:t>——————————————————————————————————————————————————————————————————————</w:t>
      </w:r>
    </w:p>
    <w:p>
      <w:pPr>
        <w:spacing w:before="160" w:after="40" w:line="240" w:lineRule="auto"/>
      </w:pPr>
      <w:r>
        <w:rPr>
          <w:b/>
        </w:rPr>
        <w:t xml:space="preserve">[4] </w:t>
      </w:r>
      <w:hyperlink r:id="rId99">
        <w:r>
          <w:rPr>
            <w:color w:val="1155CC"/>
            <w:u w:val="single"/>
          </w:rPr>
          <w:t>锂离子电池容量退化轨迹特征变化点的在线识别</w:t>
        </w:r>
      </w:hyperlink>
    </w:p>
    <w:p>
      <w:pPr>
        <w:spacing w:before="0" w:after="80"/>
      </w:pPr>
      <w:r>
        <w:rPr>
          <w:i/>
          <w:sz w:val="20"/>
        </w:rPr>
        <w:t>EN: Online identification of characteristic change points in capacity degradation trajectories of lithium-ion batteries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00">
        <w:r>
          <w:rPr>
            <w:color w:val="1155CC"/>
            <w:u w:val="single"/>
          </w:rPr>
          <w:t>[ASAP] 推进电池制造：用于工业的同步辐射表征</w:t>
        </w:r>
      </w:hyperlink>
    </w:p>
    <w:p>
      <w:pPr>
        <w:spacing w:before="0" w:after="80"/>
      </w:pPr>
      <w:r>
        <w:rPr>
          <w:i/>
          <w:sz w:val="20"/>
        </w:rPr>
        <w:t>EN: [ASAP] Advancing Battery Manufacturing: Synchrotron Characterization for Industry</w:t>
      </w:r>
    </w:p>
    <w:p>
      <w:pPr>
        <w:spacing w:before="0" w:after="120"/>
      </w:pPr>
      <w:r>
        <w:rPr>
          <w:b/>
        </w:rPr>
        <w:t xml:space="preserve">Source: </w:t>
      </w:r>
      <w:r>
        <w:t>Chemical Reviews: Latest Articles (ACS Publications)</w:t>
      </w:r>
      <w:r>
        <w:t xml:space="preserve">    </w:t>
      </w:r>
      <w:r>
        <w:rPr>
          <w:b/>
        </w:rPr>
        <w:t xml:space="preserve">Pub date: </w:t>
      </w:r>
      <w:r>
        <w:t>2026-02-27 11:13:47+00:00</w:t>
      </w:r>
      <w:r>
        <w:t xml:space="preserve">    </w:t>
      </w:r>
      <w:r>
        <w:rPr>
          <w:b/>
        </w:rPr>
        <w:t xml:space="preserve">DOI: </w:t>
      </w:r>
      <w:hyperlink r:id="rId101">
        <w:r>
          <w:rPr>
            <w:color w:val="1155CC"/>
            <w:u w:val="single"/>
          </w:rPr>
          <w:t>10.1021/acs.chemrev.5c00772</w:t>
        </w:r>
      </w:hyperlink>
    </w:p>
    <w:p>
      <w:pPr>
        <w:spacing w:before="0" w:after="120"/>
      </w:pPr>
      <w:r>
        <w:rPr>
          <w:b/>
        </w:rPr>
        <w:t xml:space="preserve">Notes: </w:t>
      </w:r>
      <w:r>
        <w:t>abstract_source=openalex</w:t>
      </w:r>
    </w:p>
    <w:p>
      <w:pPr>
        <w:spacing w:before="0" w:after="80" w:lineRule="auto" w:line="276"/>
      </w:pPr>
      <w:r>
        <w:rPr>
          <w:b/>
        </w:rPr>
        <w:t xml:space="preserve">摘要（ZH）: </w:t>
      </w:r>
      <w:r>
        <w:t>大规模电池制造需要理解材料和界面的基本原理，并依赖于先进的技术进行详细的检测。尽管在工业规模生产及其相关的质量控制工具方面取得了进展，但电极异质性、内部缺陷和大规模材料浪费（如废料）等挑战可能会阻碍制造。同步辐射X射线表征技术提供了空间、时间和化学分辨率，可以为各种制造步骤的计量提供诊断见解。这篇综述探讨了使用同步辐射工具来推进对电池制造过程中关键步骤的理解。最近的例子展示了同步辐射方法如何解决制造挑战</w:t>
      </w:r>
    </w:p>
    <w:p>
      <w:pPr>
        <w:spacing w:before="0" w:after="200" w:lineRule="auto" w:line="276"/>
      </w:pPr>
      <w:r>
        <w:rPr>
          <w:b/>
        </w:rPr>
        <w:t xml:space="preserve">Abstract (EN): </w:t>
      </w:r>
      <w:r>
        <w:t>Large-scale battery manufacturing requires understanding the fundamental principles of materials and interfaces and relies on advanced techniques for detailed interrogation. Despite advancements in the industrial scale production and their associated quality control tools, challenges such as electrode heterogeneity, internal defects, and large-scale material waste (e.g., scrap) can hamper manufacturing. Synchrotron X-ray characterization techniques offer spatial, temporal, and chemical resolution that can provide diagnostic insights for metrology across various manufacturing steps. This review examines the use of synchrotron tools to advance understanding of key steps in the battery manufacturing process. Recent examples demonstrate how synchrotron methods resolve manufacturing challenges and uncover degradation pathways that are otherwise inaccessible. Future directions for advancing battery manufacturing emphasize collaboration between academia and industry through the use of synchrotron X-ray techniques.</w:t>
      </w:r>
    </w:p>
    <w:p>
      <w:pPr>
        <w:spacing w:before="120" w:after="120"/>
      </w:pPr>
      <w:r>
        <w:rPr>
          <w:sz w:val="18"/>
        </w:rPr>
        <w:t>——————————————————————————————————————————————————————————————————————</w:t>
      </w:r>
    </w:p>
    <w:p>
      <w:pPr>
        <w:spacing w:before="160" w:after="40" w:line="240" w:lineRule="auto"/>
      </w:pPr>
      <w:r>
        <w:rPr>
          <w:b/>
        </w:rPr>
        <w:t xml:space="preserve">[6] </w:t>
      </w:r>
      <w:hyperlink r:id="rId102">
        <w:r>
          <w:rPr>
            <w:color w:val="1155CC"/>
            <w:u w:val="single"/>
          </w:rPr>
          <w:t>将废旧磷酸铁锂电池升级为Fe-CN3P单原子催化剂用于环境修复</w:t>
        </w:r>
      </w:hyperlink>
    </w:p>
    <w:p>
      <w:pPr>
        <w:spacing w:before="0" w:after="80"/>
      </w:pPr>
      <w:r>
        <w:rPr>
          <w:i/>
          <w:sz w:val="20"/>
        </w:rPr>
        <w:t>EN: Upcycling Spent Lithium Iron Phosphate Battery Into Fe‐CN3P Single Atom Catalyst for Environmental Remediation</w:t>
      </w:r>
    </w:p>
    <w:p>
      <w:pPr>
        <w:spacing w:before="0" w:after="120"/>
      </w:pPr>
      <w:r>
        <w:rPr>
          <w:b/>
        </w:rPr>
        <w:t xml:space="preserve">Source: </w:t>
      </w:r>
      <w:r>
        <w:t>Wiley: Angewandte Chemie International Edition: Table of Contents</w:t>
      </w:r>
      <w:r>
        <w:t xml:space="preserve">    </w:t>
      </w:r>
      <w:r>
        <w:rPr>
          <w:b/>
        </w:rPr>
        <w:t xml:space="preserve">Pub date: </w:t>
      </w:r>
      <w:r>
        <w:t>2026-02-27 11:24:27+00:00</w:t>
      </w:r>
      <w:r>
        <w:t xml:space="preserve">    </w:t>
      </w:r>
      <w:r>
        <w:rPr>
          <w:b/>
        </w:rPr>
        <w:t xml:space="preserve">DOI: </w:t>
      </w:r>
      <w:hyperlink r:id="rId103">
        <w:r>
          <w:rPr>
            <w:color w:val="1155CC"/>
            <w:u w:val="single"/>
          </w:rPr>
          <w:t>10.1002/anie.2788872</w:t>
        </w:r>
      </w:hyperlink>
    </w:p>
    <w:p>
      <w:pPr>
        <w:spacing w:before="0" w:after="120"/>
      </w:pPr>
      <w:r>
        <w:rPr>
          <w:b/>
        </w:rPr>
        <w:t xml:space="preserve">Notes: </w:t>
      </w:r>
      <w:r>
        <w:t>abstract_source=pubmed</w:t>
      </w:r>
    </w:p>
    <w:p>
      <w:pPr>
        <w:spacing w:before="0" w:after="80" w:lineRule="auto" w:line="276"/>
      </w:pPr>
      <w:r>
        <w:rPr>
          <w:b/>
        </w:rPr>
        <w:t xml:space="preserve">摘要（ZH）: </w:t>
      </w:r>
      <w:r>
        <w:t>环境污染的增加和关键资源短缺需要能够从废弃材料中实现资源完全回收的技术。在本研究中，通过电化学（EC）高级氧化过程（EAOPs），从废弃的磷酸铁锂（LFP）电池中获得了99.16%的锂和97.37%的铁的高浸出率，并随后研究了相关的浸出机制。此外，浸出残渣中的残余C、Fe和P元素被直接转化为P、N掺杂的不对称单原子Fe催化剂（Fe-CN3P），这得益于Fe元素的良好分散和浸出过程中表面钝化层的去除。当与过氧单硫酸盐（PMS）活化时，Fe-CN3P催化剂表现出10.768 min-1的准一级动力学速率</w:t>
      </w:r>
    </w:p>
    <w:p>
      <w:pPr>
        <w:spacing w:before="0" w:after="200" w:lineRule="auto" w:line="276"/>
      </w:pPr>
      <w:r>
        <w:rPr>
          <w:b/>
        </w:rPr>
        <w:t xml:space="preserve">Abstract (EN): </w:t>
      </w:r>
      <w:r>
        <w:t>Increasing environmental pollution and shortage of critical resources call for technologies capable of achieving total resource recovery from waste materials. In this study, high leaching rates of 99.16% for lithium and 97.37% for iron were obtained from spent lithium iron phosphate (LFP) batteries through electrochemical (EC) advanced oxidation processes (EAOPs), and associated leaching mechanism was subsequently investigated. Moreover, residual C, Fe, and P elements in leach residue were directly converted into a P, N-doped asymmetric single-atom Fe catalyst (Fe-CN3P), enabled by well-dispersion of Fe elements and removal of surface passivation layers during leaching. When activated with peroxymonosulfate (PMS), Fe-CN3P catalyst exhibited a pseudo-first-order kinetic rate of 10.768 min-1 for bisphenol A (BPA) degradation, which is approximately 2-10 times higher than those of conventional single-atom catalysts. Based upon experimental and theoretical investigation, the presence of P in the local coordination environment was found to substantially enhance catalytic activity of Fe sites. P incorporation alters the adsorption mode of HSO5 - on Fe active centres and increases Bader charges in the FeIV═O reactive intermediate, thereby improving the capability of Fe to withdraw electrons from the BPA molecules. This study offers new perspectives for synergistically advancing "comprehensive resources recovery" and "waste to treat waste."</w:t>
      </w:r>
    </w:p>
    <w:p>
      <w:pPr>
        <w:spacing w:before="120" w:after="120"/>
      </w:pPr>
      <w:r>
        <w:rPr>
          <w:sz w:val="18"/>
        </w:rPr>
        <w:t>——————————————————————————————————————————————————————————————————————</w:t>
      </w:r>
    </w:p>
    <w:p>
      <w:pPr>
        <w:spacing w:before="160" w:after="40" w:line="240" w:lineRule="auto"/>
      </w:pPr>
      <w:r>
        <w:rPr>
          <w:b/>
        </w:rPr>
        <w:t xml:space="preserve">[7] </w:t>
      </w:r>
      <w:hyperlink r:id="rId104">
        <w:r>
          <w:rPr>
            <w:color w:val="1155CC"/>
            <w:u w:val="single"/>
          </w:rPr>
          <w:t>锂离子电池热失控前兆的原位解码：从多模态传感到智能预警</w:t>
        </w:r>
      </w:hyperlink>
    </w:p>
    <w:p>
      <w:pPr>
        <w:spacing w:before="0" w:after="80"/>
      </w:pPr>
      <w:r>
        <w:rPr>
          <w:i/>
          <w:sz w:val="20"/>
        </w:rPr>
        <w:t>EN: Operando decoding of thermal runaway precursors in lithium-ion batteries: from multimodal sensing to intelligent early warning</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05">
        <w:r>
          <w:rPr>
            <w:color w:val="1155CC"/>
            <w:u w:val="single"/>
          </w:rPr>
          <w:t>钒液流电池中质量传输与副产氢演化之间相互作用的数值见解</w:t>
        </w:r>
      </w:hyperlink>
    </w:p>
    <w:p>
      <w:pPr>
        <w:spacing w:before="0" w:after="80"/>
      </w:pPr>
      <w:r>
        <w:rPr>
          <w:i/>
          <w:sz w:val="20"/>
        </w:rPr>
        <w:t>EN: Numerical insights into the interplay between mass transport and parasitic hydrogen evolution in vanadium redox flow batteries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6">
        <w:r>
          <w:rPr>
            <w:color w:val="1155CC"/>
            <w:u w:val="single"/>
          </w:rPr>
          <w:t>面向决策的电网规模储能用氧化还原液流电池评估：可扩展性、系统复杂性和智能操作</w:t>
        </w:r>
      </w:hyperlink>
    </w:p>
    <w:p>
      <w:pPr>
        <w:spacing w:before="0" w:after="80"/>
      </w:pPr>
      <w:r>
        <w:rPr>
          <w:i/>
          <w:sz w:val="20"/>
        </w:rPr>
        <w:t>EN: Decision-oriented assessment of redox flow batteries for grid-scale energy storage: Scalability, system complexity, and intelligent operation</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07">
        <w:r>
          <w:rPr>
            <w:color w:val="1155CC"/>
            <w:u w:val="single"/>
          </w:rPr>
          <w:t>通过金属配位交联网络实现的柔性介电薄膜中优越的高温静电储能</w:t>
        </w:r>
      </w:hyperlink>
    </w:p>
    <w:p>
      <w:pPr>
        <w:spacing w:before="0" w:after="80"/>
      </w:pPr>
      <w:r>
        <w:rPr>
          <w:i/>
          <w:sz w:val="20"/>
        </w:rPr>
        <w:t>EN: Superior high-temperature electrostatic energy storage in flexible dielectric film enabled by metal-coordination crosslinked network</w:t>
      </w:r>
    </w:p>
    <w:p>
      <w:pPr>
        <w:spacing w:before="0" w:after="120"/>
      </w:pPr>
      <w:r>
        <w:rPr>
          <w:b/>
        </w:rPr>
        <w:t xml:space="preserve">Source: </w:t>
      </w:r>
      <w:r>
        <w:t>RSC - Energy Environ. Sci.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用于高温静电储能的柔性介电材料在高温和高电场下表现出较差的热稳定性、低绝缘强度和较差的充放电性能。在柔性介电材料中构建交联结构已被证明是增强热和绝缘性能的有效策略。然而，传统交联网络中的交联中心是电中性的，并且在化学或物理上对热激发电子是惰性的。电荷载流子与主介电材料之间缺乏强相互作用会导致严重的导电损失和击穿强度的降低，最终导致在高温下表现出较差的电性能。</w:t>
      </w:r>
    </w:p>
    <w:p>
      <w:pPr>
        <w:spacing w:before="0" w:after="200" w:lineRule="auto" w:line="276"/>
      </w:pPr>
      <w:r>
        <w:rPr>
          <w:b/>
        </w:rPr>
        <w:t xml:space="preserve">Abstract (EN): </w:t>
      </w:r>
      <w:r>
        <w:t>Flexible dielectrics for high-temperature electrostatic energy storage suffer from poor thermal stability, low insulation strength and inferior charge-discharge performances at elevated temperatures and high electric fields. Constructing a crosslinked structure in flexible dielectrics has been proven to be an effective strategy to enhance the thermal and insulation properties. Nevertheless, the crosslinking centers in traditional crosslinked networks are electrically neutral, and they are chemically or physically inert to the thermally excited electrons. The lack of a strong interaction between charge carriers and host dielectrics would lead to the formation of a severe conduction loss and reduction in breakdown strength at elevated temperatures, ultimately leading to an inferior electrostatic charge-discharge performance. Moreover, the traditional crosslinked polymer dielectrics are based on an irreversible covalent bond rather than a reversible interaction, and their waste becomes a significant environmental burden. Herein, we constructed a metal-coordination crosslinked network in polymer dielectrics via using metal ions as crosslinking points. The metal ions exhibit strong affinity to the electrons and accordingly can act as deep traps to capture the energetic electrons. Moreover, the dense crosslinked network can reduce the free volume and increase the mechanical strength, consequently contributing to the improvement of thermal stability and electrical insulation performances. The resultant film exhibits a superior electrostatic energy storage performance with a discharged energy density of 4.68 J/cm3 above 90% charge-discharge efficiency at 200 °C, which increases by more than 5 times compared to that of pristine film. Additionally, this type of network can be dynamically dissociated and reformed in an acidic condition, thereby contributing to the recycling of dielectrics. The recycled sample also displays a good electrostatic energy storage performance. This strategy not only strengthens the interaction between charge carriers and host dielectrics but also solves the unrecyclability of traditional crosslinked flexible dielectrics. These findings offer an effective approach to designing high-performance and environmentally-friendly flexible dielectrics.</w:t>
      </w:r>
    </w:p>
    <w:p>
      <w:pPr>
        <w:spacing w:before="120" w:after="120"/>
      </w:pPr>
      <w:r>
        <w:rPr>
          <w:sz w:val="18"/>
        </w:rPr>
        <w:t>——————————————————————————————————————————————————————————————————————</w:t>
      </w:r>
    </w:p>
    <w:p>
      <w:pPr>
        <w:spacing w:before="160" w:after="40" w:line="240" w:lineRule="auto"/>
      </w:pPr>
      <w:r>
        <w:rPr>
          <w:b/>
        </w:rPr>
        <w:t xml:space="preserve">[4] </w:t>
      </w:r>
      <w:hyperlink r:id="rId108">
        <w:r>
          <w:rPr>
            <w:color w:val="1155CC"/>
            <w:u w:val="single"/>
          </w:rPr>
          <w:t>可充锌空气电池中2e-与4e-路径的比较</w:t>
        </w:r>
      </w:hyperlink>
    </w:p>
    <w:p>
      <w:pPr>
        <w:spacing w:before="0" w:after="80"/>
      </w:pPr>
      <w:r>
        <w:rPr>
          <w:i/>
          <w:sz w:val="20"/>
        </w:rPr>
        <w:t>EN: The 2e- vs. 4e- Pathways for ORR in Rechargeable Zinc-Air Batteries</w:t>
      </w:r>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锌空气电池（ZABs）是可持续能源存储最有前景的技术之一，其理论能量密度高达1086 Wh kg-1，远远超过传统锂离子系统。然而，其广泛商业化受到传统四电子（4e-）氧还原反应（ORR）固有低效的严重阻碍，该反应因动力学缓慢和有害的副反应而受损。这篇综合评论紧急解决了这些挑战，通过阐明向新兴的两电子（2e-）ORR路径的范式转变——一种变革性策略，不仅规避了长期存在的限制，还为高性能金属空气电池开辟了新机遇。通过阐明基础</w:t>
      </w:r>
    </w:p>
    <w:p>
      <w:pPr>
        <w:spacing w:before="0" w:after="200" w:lineRule="auto" w:line="276"/>
      </w:pPr>
      <w:r>
        <w:rPr>
          <w:b/>
        </w:rPr>
        <w:t xml:space="preserve">Abstract (EN): </w:t>
      </w:r>
      <w:r>
        <w:t>Zinc-air batteries (ZABs) represent one of the most promising technologies for sustainable energy storage, boasting a high theoretical energy density of 1086 Wh kg-1 that far exceeds that of conventional lithium-ion systems. However, their widespread commercialization has been critically impeded by the inherent inefficiencies of the traditional four-electron (4e-) oxygen reduction reaction (ORR), which suffers from sluggish kinetics and detrimental parasitic side reactions. This comprehensive review urgently addresses these challenges by delineating a paradigm shift toward the emerging two-electron (2e-) ORR pathway—a transformative strategy that not only circumvents long-standing limitations but also unlocks new opportunities for high-performance metal-air batteries. By elucidating fundamental mechanistic distinctions between 2e- and 4e- ORR processes and providing actionable design principles for advanced electrolytes, catalysts, and electrode architectures, this work lays a foundational roadmap for next-generation ZABs. Furthermore, we highlight compelling research directions—including atomic-scale catalyst engineering, tailored electrode nanoarchitectures, and scalable manufacturing routes—that are essential to accelerating the development of efficient and durable zinc-air battery (ZAB) systems. Given the rapid advancements in materials science and increasing global demand for economical energy storage, this review arrives at a pivotal moment, offering critical insights that may catalyze explosive growth in this emerging field.</w:t>
      </w:r>
    </w:p>
    <w:p>
      <w:pPr>
        <w:spacing w:before="120" w:after="120"/>
      </w:pPr>
      <w:r>
        <w:rPr>
          <w:sz w:val="18"/>
        </w:rPr>
        <w:t>——————————————————————————————————————————————————————————————————————</w:t>
      </w:r>
    </w:p>
    <w:p>
      <w:pPr>
        <w:spacing w:before="160" w:after="40" w:line="240" w:lineRule="auto"/>
      </w:pPr>
      <w:r>
        <w:rPr>
          <w:b/>
        </w:rPr>
        <w:t xml:space="preserve">[5] </w:t>
      </w:r>
      <w:hyperlink r:id="rId109">
        <w:r>
          <w:rPr>
            <w:color w:val="1155CC"/>
            <w:u w:val="single"/>
          </w:rPr>
          <w:t>压缩空气储能技术及前景</w:t>
        </w:r>
      </w:hyperlink>
    </w:p>
    <w:p>
      <w:pPr>
        <w:spacing w:before="0" w:after="80"/>
      </w:pPr>
      <w:r>
        <w:rPr>
          <w:i/>
          <w:sz w:val="20"/>
        </w:rPr>
        <w:t>EN: Technologies and prospects for compressed air energy storage</w:t>
      </w:r>
    </w:p>
    <w:p>
      <w:pPr>
        <w:spacing w:before="0" w:after="120"/>
      </w:pPr>
      <w:r>
        <w:rPr>
          <w:b/>
        </w:rPr>
        <w:t xml:space="preserve">Source: </w:t>
      </w:r>
      <w:r>
        <w:t>Nature Reviews Clean Technology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压缩空气储能（CAES）可以用作基于可再生能源电网的长时储能。CAES系统使用电能驱动压缩机，储存的压缩空气可以在需要电力时用于驱动涡轮机。在本综述中，我们研究了CAES的基础研究、技术开发、示范和应用。大型CAES设施可以储存超过300 MW的电力，往返效率为50–70%。将CAES适用于不可调度的可再生电力来源需要对压缩机和膨胀机进行改造，以提高其工作压力，从而在可变负载条件下提高效率。压缩空气可以储存在地质构造或人工容器中，研究重点在于</w:t>
      </w:r>
    </w:p>
    <w:p>
      <w:pPr>
        <w:spacing w:before="0" w:after="200" w:lineRule="auto" w:line="276"/>
      </w:pPr>
      <w:r>
        <w:rPr>
          <w:b/>
        </w:rPr>
        <w:t xml:space="preserve">Abstract (EN): </w:t>
      </w:r>
      <w:r>
        <w:t>Compressed air energy storage (CAES) can be used as long-duration storage for renewable energy-based grids. CAES systems use electrical energy to drive a compressor, and the stored compressed air can later be used to drive a turbine when electricity is needed. In this Review, we examine fundamental research, technological development, demonstrations and applications of CAES. Large-scale CAES facilities can store more than 300 MW of power, with round-trip efficiencies of 50–70%. Adapting CAES for non-dispatchable renewable electricity sources requires modifications to compressors and expanders to increase their operating pressure to improve efficiency under variable loading conditions. Compressed air can be stored in geological formations or artificial containers, with research focusing on increasing the pressure and/or temperature of the stored gas. The efficiency of CAES systems can be further increased by the integration of thermal energy storage, which captures and stores the heat from the compressor, later using it to heat the turbine inlet air temperature, reducing or removing the need for fossil fuels in system operation. By providing energy storage in the order of 10 h, CAES enables electricity storage beyond what is feasible for electrochemical battery storage alone, potentially increasing grid stability.</w:t>
      </w:r>
    </w:p>
    <w:p>
      <w:pPr>
        <w:spacing w:before="120" w:after="120"/>
      </w:pPr>
      <w:r>
        <w:rPr>
          <w:sz w:val="18"/>
        </w:rPr>
        <w:t>——————————————————————————————————————————————————————————————————————</w:t>
      </w:r>
    </w:p>
    <w:p>
      <w:pPr>
        <w:spacing w:before="160" w:after="40" w:line="240" w:lineRule="auto"/>
      </w:pPr>
      <w:r>
        <w:rPr>
          <w:b/>
        </w:rPr>
        <w:t xml:space="preserve">[6] </w:t>
      </w:r>
      <w:hyperlink r:id="rId110">
        <w:r>
          <w:rPr>
            <w:color w:val="1155CC"/>
            <w:u w:val="single"/>
          </w:rPr>
          <w:t>用于高性能微型超级电容器和固态锂电池的醌型二维金属有机框架</w:t>
        </w:r>
      </w:hyperlink>
    </w:p>
    <w:p>
      <w:pPr>
        <w:spacing w:before="0" w:after="80"/>
      </w:pPr>
      <w:r>
        <w:rPr>
          <w:i/>
          <w:sz w:val="20"/>
        </w:rPr>
        <w:t>EN: A Quinoidal Two‐Dimensional Metal–Organic Framework for High‐Performance Micro‐Supercapacitors and 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2026-02-25 09:22:42+00:00</w:t>
      </w:r>
      <w:r>
        <w:t xml:space="preserve">    </w:t>
      </w:r>
      <w:r>
        <w:rPr>
          <w:b/>
        </w:rPr>
        <w:t xml:space="preserve">DOI: </w:t>
      </w:r>
      <w:hyperlink r:id="rId111">
        <w:r>
          <w:rPr>
            <w:color w:val="1155CC"/>
            <w:u w:val="single"/>
          </w:rPr>
          <w:t>10.1002/anie.202525047</w:t>
        </w:r>
      </w:hyperlink>
    </w:p>
    <w:p>
      <w:pPr>
        <w:spacing w:before="0" w:after="120"/>
      </w:pPr>
      <w:r>
        <w:rPr>
          <w:b/>
        </w:rPr>
        <w:t xml:space="preserve">Notes: </w:t>
      </w:r>
      <w:r>
        <w:t>abstract_source=pubmed</w:t>
      </w:r>
    </w:p>
    <w:p>
      <w:pPr>
        <w:spacing w:before="0" w:after="80" w:lineRule="auto" w:line="276"/>
      </w:pPr>
      <w:r>
        <w:rPr>
          <w:b/>
        </w:rPr>
        <w:t xml:space="preserve">摘要（ZH）: </w:t>
      </w:r>
      <w:r>
        <w:t>二维（2D）金属有机框架（MOFs）集成了氧化还原活性连接体，能够为微尺度能量存储提供密集的电荷位点和开放的离子通道。我们报告了一种从p-氮醌二甲烷衍生的醌型二羧酸配体，AQM-H2L，与Cu2+和Zn2+节点形成结晶框架。基于铜的MOF（AQM-AQM-H2L-Cu）展示了由二核铜-羧酸盐单元和共轭AQM连接体构成的层状片（&gt;14 Å间距），缩小了带隙并引入了Cu2+/Cu+赝电容。剥离的纳米片（∼5 nm）保持结晶性和优良的可加工性。集成到石墨烯薄膜中，它们提供了29.6 mF cm-2和18.1 F cm-3的面积和体积电容，在160 mW cm-3下实现了2.6 mWh cm-3的能量密度。作为离子填料（1 wt%）在</w:t>
      </w:r>
    </w:p>
    <w:p>
      <w:pPr>
        <w:spacing w:before="0" w:after="200" w:lineRule="auto" w:line="276"/>
      </w:pPr>
      <w:r>
        <w:rPr>
          <w:b/>
        </w:rPr>
        <w:t xml:space="preserve">Abstract (EN): </w:t>
      </w:r>
      <w:r>
        <w:t>Two-dimensional (2D) metal-organic frameworks (MOFs) integrating redox-active linkers enable dense charge sites and open ion pathways for microscale energy storage. We report a quinoidal dicarboxylate ligand, AQM-H2L, derived from p-azaquinodimethane, forming crystalline frameworks with Cu2+ and Zn2+ nodes. The Cu-based MOF (AQM-AQM-H2L-Cu) exhibits layered sheets (&gt;14 Å spacing) constructed from dinuclear Cu-carboxylate units and conjugated AQM linkers, which narrow the bandgap and introduce Cu2+/Cu+ pseudocapacitance. Exfoliated nanosheets (∼5 nm) retain crystallinity and excellent processability. Integrated into graphene films, they deliver areal and volumetric capacitances of 29.6 mF cm-2 and 18.1 F cm-3, achieving 2.6 mWh cm-3 energy density at 160 mW cm-3. As ionic fillers (1 wt%) in PEO solid polymer electrolytes, the nanosheets markedly enhance LiFePO4 cell performance, affording 169.8 mAh g-1 at 0.2 C and 93% retention after 400 cycles. This work establishes quinoidal linkers as a compact and robust design motif for ionically active 2D frameworks toward high-performance miniature and solid-state energy devices.</w:t>
      </w:r>
    </w:p>
    <w:p>
      <w:pPr>
        <w:spacing w:before="120" w:after="120"/>
      </w:pPr>
      <w:r>
        <w:rPr>
          <w:sz w:val="18"/>
        </w:rPr>
        <w:t>——————————————————————————————————————————————————————————————————————</w:t>
      </w:r>
    </w:p>
    <w:p>
      <w:pPr>
        <w:spacing w:before="160" w:after="40" w:line="240" w:lineRule="auto"/>
      </w:pPr>
      <w:r>
        <w:rPr>
          <w:b/>
        </w:rPr>
        <w:t xml:space="preserve">[7] </w:t>
      </w:r>
      <w:hyperlink r:id="rId112">
        <w:r>
          <w:rPr>
            <w:color w:val="1155CC"/>
            <w:u w:val="single"/>
          </w:rPr>
          <w:t>原子层沉积改性双功能电催化剂用于可充电锌空气电池：提升活性和循环寿命（Adv. Energy Mater. 8/2026）</w:t>
        </w:r>
      </w:hyperlink>
    </w:p>
    <w:p>
      <w:pPr>
        <w:spacing w:before="0" w:after="80"/>
      </w:pPr>
      <w:r>
        <w:rPr>
          <w:i/>
          <w:sz w:val="20"/>
        </w:rPr>
        <w:t>EN: Atomic Layer Deposition‐Modified Bifunctional Electrocatalysts for Rechargeable Zinc‐Air Batteries: Boosting Activity and Cycle Life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113">
        <w:r>
          <w:rPr>
            <w:color w:val="1155CC"/>
            <w:u w:val="single"/>
          </w:rPr>
          <w:t>10.1002/aenm.70741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14">
        <w:r>
          <w:rPr>
            <w:color w:val="1155CC"/>
            <w:u w:val="single"/>
          </w:rPr>
          <w:t>具有自组装玻璃状基质和极性簇的多层电容器中的超高能量存储</w:t>
        </w:r>
      </w:hyperlink>
    </w:p>
    <w:p>
      <w:pPr>
        <w:spacing w:before="0" w:after="80"/>
      </w:pPr>
      <w:r>
        <w:rPr>
          <w:i/>
          <w:sz w:val="20"/>
        </w:rPr>
        <w:t>EN: Ultrahigh Energy Storage in Multilayer Capacitors with Self-Assembled Glass-Like Matrix and Polar Clusters</w:t>
      </w:r>
    </w:p>
    <w:p>
      <w:pPr>
        <w:spacing w:before="0" w:after="120"/>
      </w:pPr>
      <w:r>
        <w:rPr>
          <w:b/>
        </w:rPr>
        <w:t xml:space="preserve">Source: </w:t>
      </w:r>
      <w:r>
        <w:t>RSC - Energy Environ. Sci. latest articles</w:t>
      </w:r>
      <w:r>
        <w:t xml:space="preserve">    </w:t>
      </w:r>
      <w:r>
        <w:rPr>
          <w:b/>
        </w:rPr>
        <w:t xml:space="preserve">Pub date: </w:t>
      </w:r>
      <w:r>
        <w:t>2026-02-26 00:00:00+00:00</w:t>
      </w:r>
    </w:p>
    <w:p>
      <w:pPr>
        <w:spacing w:before="0" w:after="120"/>
      </w:pPr>
      <w:r>
        <w:rPr>
          <w:b/>
        </w:rPr>
        <w:t xml:space="preserve">Notes: </w:t>
      </w:r>
      <w:r>
        <w:t>abstract_source=rsc_html</w:t>
      </w:r>
    </w:p>
    <w:p>
      <w:pPr>
        <w:spacing w:before="0" w:after="80" w:lineRule="auto" w:line="276"/>
      </w:pPr>
      <w:r>
        <w:rPr>
          <w:b/>
        </w:rPr>
        <w:t xml:space="preserve">摘要（ZH）: </w:t>
      </w:r>
      <w:r>
        <w:t>开发具有高能量存储性能（ESP）的多层陶瓷电容器（MLCCs）对于跟上下一代脉冲功率系统的小型化和集成趋势至关重要。然而，基于块状陶瓷特性调整器件性能的当前研究策略通常涉及过早的极化饱和，限制了MLCCs性能突破的潜力。为了解决这个问题，我们构建了一种新颖的极化配置，其中极性簇嵌入在玻璃状基质中。该配置成功地在高电场下实现了高极性近线性特性，避免了传统MLCCs中过早极化饱和所施加的能量密度限制。</w:t>
      </w:r>
    </w:p>
    <w:p>
      <w:pPr>
        <w:spacing w:before="0" w:after="200" w:lineRule="auto" w:line="276"/>
      </w:pPr>
      <w:r>
        <w:rPr>
          <w:b/>
        </w:rPr>
        <w:t xml:space="preserve">Abstract (EN): </w:t>
      </w:r>
      <w:r>
        <w:t>The development of multilayer ceramic capacitors (MLCCs) with high energy storage performance (ESP) is crucial for keeping pace with the ongoing trend toward miniaturization and integration in next-generation pulsed-power systems. Nevertheless, current research strategies of tailoring device performance based on bulk ceramic properties, typically involve premature polarization saturation and limit the potential for performance breakthroughs in MLCCs. To address this issue, we construct a novel polarization configuration comprising polar clusters embedded within a glass-like matrix. This configuration successfully enables high-polarity near-linear characteristics under high electric fields, avoiding the energy density limitations imposed by premature polarization saturation in conventional relaxors. As a result, the fabricated MLCCs exhibit ultrahigh ESP with a recoverable energy density of 24.8 J cm-3 and an efficiency of 92.4%, along with exceptional reliability and discharge characteristics, demonstrating enormous application potential. This work highlights the superiority of developing high-polarity near-linear dielectrics over existing strategies for achieving ultrahigh-ESP MLCCs, and proposes a feasible approach via high-entropy engineered construction of self-assembled glass-like matrix and polar clusters.</w:t>
      </w:r>
    </w:p>
    <w:p>
      <w:pPr>
        <w:spacing w:before="120" w:after="120"/>
      </w:pPr>
      <w:r>
        <w:rPr>
          <w:sz w:val="18"/>
        </w:rPr>
        <w:t>——————————————————————————————————————————————————————————————————————</w:t>
      </w:r>
    </w:p>
    <w:p>
      <w:pPr>
        <w:spacing w:before="160" w:after="40" w:line="240" w:lineRule="auto"/>
      </w:pPr>
      <w:r>
        <w:rPr>
          <w:b/>
        </w:rPr>
        <w:t xml:space="preserve">[9] </w:t>
      </w:r>
      <w:hyperlink r:id="rId115">
        <w:r>
          <w:rPr>
            <w:color w:val="1155CC"/>
            <w:u w:val="single"/>
          </w:rPr>
          <w:t>氢分子介导的质子交换膜，具有近乎完全的选择透过性</w:t>
        </w:r>
      </w:hyperlink>
    </w:p>
    <w:p>
      <w:pPr>
        <w:spacing w:before="0" w:after="80"/>
      </w:pPr>
      <w:r>
        <w:rPr>
          <w:i/>
          <w:sz w:val="20"/>
        </w:rPr>
        <w:t>EN: A hydrogen-molecule-mediated proton-exchange membrane with near-complete permselectivity</w:t>
      </w:r>
    </w:p>
    <w:p>
      <w:pPr>
        <w:spacing w:before="0" w:after="120"/>
      </w:pPr>
      <w:r>
        <w:rPr>
          <w:b/>
        </w:rPr>
        <w:t xml:space="preserve">Source: </w:t>
      </w:r>
      <w:r>
        <w:t>Nature Chemical Engineering</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离子交换膜在环境可持续性中起着关键作用，应用范围从分离到能量存储和转换。然而，基于聚合物的膜通常在选择性和导电性之间存在权衡，阻碍了许多基于膜的设备的发展。在此，我们通过使氢分子和电子分别通过气室和固体金属传输，而不是依赖质子传导，克服了质子交换膜（PEM）中的这种权衡。质子、电子和氢分子之间的简便转换通过在三相边界处的氢气演化和氧化反应发生。我们称之为氢分子介导的PEM设计，实现了近乎100%的质子选择性</w:t>
      </w:r>
    </w:p>
    <w:p>
      <w:pPr>
        <w:spacing w:before="0" w:after="200" w:lineRule="auto" w:line="276"/>
      </w:pPr>
      <w:r>
        <w:rPr>
          <w:b/>
        </w:rPr>
        <w:t xml:space="preserve">Abstract (EN): </w:t>
      </w:r>
      <w:r>
        <w:t>Ion exchange membranes play a critical role in environmental sustainability, with applications ranging from separations to energy storage and conversion. However, polymer-based membranes typically suffer from a trade-off between selectivity and conductivity, hindering the development of many membrane-based devices. Here we overcome this trade-off in a proton-exchange membrane (PEM) by enabling hydrogen molecules and electrons to be transported through a gas chamber and a solid metal, respectively, instead of relying on proton conduction. The facile conversion between protons, electrons and hydrogen molecules occurs via hydrogen evolution and oxidation reactions at the triple-phase boundary. This design, which we term hydrogen-molecule-mediated PEM, achieves nearly 100% proton selectivity by eliminating direct ionic pathways between 2 electrolytes. Benefiting from the rapid diffusion of hydrogen gas, the high electrical conductivity of metals, and the fast kinetics of hydrogen evolution and oxidation reactions, hydrogen-molecule-mediated PEM exhibits exceptionally low area-specific resistance of 0.15 Ω cm2 at pH 0 and 1.05 Ω cm2 at pH 14, comparable to commercial membranes. Finally, we demonstrate its applications in a pH-decoupled Zn-MnO2 rechargeable battery with stable operation for 200 cycles and an electrochemical stack for efficient acid and base generation from seawater.</w:t>
      </w:r>
    </w:p>
    <w:p>
      <w:pPr>
        <w:spacing w:before="120" w:after="120"/>
      </w:pPr>
      <w:r>
        <w:rPr>
          <w:sz w:val="18"/>
        </w:rPr>
        <w:t>——————————————————————————————————————————————————————————————————————</w:t>
      </w:r>
    </w:p>
    <w:p>
      <w:pPr>
        <w:spacing w:before="160" w:after="40" w:line="240" w:lineRule="auto"/>
      </w:pPr>
      <w:r>
        <w:rPr>
          <w:b/>
        </w:rPr>
        <w:t xml:space="preserve">[10] </w:t>
      </w:r>
      <w:hyperlink r:id="rId116">
        <w:r>
          <w:rPr>
            <w:color w:val="1155CC"/>
            <w:u w:val="single"/>
          </w:rPr>
          <w:t>用于高电荷密度和尾电荷抑制的三元介电双域摩擦电纳米发电机</w:t>
        </w:r>
      </w:hyperlink>
    </w:p>
    <w:p>
      <w:pPr>
        <w:spacing w:before="0" w:after="80"/>
      </w:pPr>
      <w:r>
        <w:rPr>
          <w:i/>
          <w:sz w:val="20"/>
        </w:rPr>
        <w:t>EN: Ternary-Dielectric Dual-Domain Triboelectric Nanogenerator for High Charge Density and Tail-Charge Suppression</w:t>
      </w:r>
    </w:p>
    <w:p>
      <w:pPr>
        <w:spacing w:before="0" w:after="120"/>
      </w:pPr>
      <w:r>
        <w:rPr>
          <w:b/>
        </w:rPr>
        <w:t xml:space="preserve">Source: </w:t>
      </w:r>
      <w:r>
        <w:t>RSC - Energy Environ. Sci. latest articles</w:t>
      </w:r>
      <w:r>
        <w:t xml:space="preserve">    </w:t>
      </w:r>
      <w:r>
        <w:rPr>
          <w:b/>
        </w:rPr>
        <w:t xml:space="preserve">Pub date: </w:t>
      </w:r>
      <w:r>
        <w:t>2026-02-27 00:00:00+00:00</w:t>
      </w:r>
    </w:p>
    <w:p>
      <w:pPr>
        <w:spacing w:before="0" w:after="120"/>
      </w:pPr>
      <w:r>
        <w:rPr>
          <w:b/>
        </w:rPr>
        <w:t xml:space="preserve">Notes: </w:t>
      </w:r>
      <w:r>
        <w:t>abstract_source=rsc_html</w:t>
      </w:r>
    </w:p>
    <w:p>
      <w:pPr>
        <w:spacing w:before="0" w:after="80" w:lineRule="auto" w:line="276"/>
      </w:pPr>
      <w:r>
        <w:rPr>
          <w:b/>
        </w:rPr>
        <w:t xml:space="preserve">摘要（ZH）: </w:t>
      </w:r>
      <w:r>
        <w:t>残余电荷积累和有限的界面电荷激发已成为限制滑动摩擦电纳米发电机（TENGs）电荷密度和能量转换效率的固有瓶颈。这些限制通常源于二元介电架构，其中深层尾电荷和不完全的界面耗尽阻碍了电荷转移，无论材料或结构配置如何。在此，我们引入了一种三元介电双域摩擦电架构，通过重新配置介电场景并实现跨域电荷管理，克服了这一内在限制。由PA/PTFE/PU三元摩擦电层与相邻电极构成的上放电域实现了高效的界面电荷管理。</w:t>
      </w:r>
    </w:p>
    <w:p>
      <w:pPr>
        <w:spacing w:before="0" w:after="200" w:lineRule="auto" w:line="276"/>
      </w:pPr>
      <w:r>
        <w:rPr>
          <w:b/>
        </w:rPr>
        <w:t xml:space="preserve">Abstract (EN): </w:t>
      </w:r>
      <w:r>
        <w:t>Residual-charge accumulation and limited interfacial charge excitation have emerged as inherent bottlenecks that constrain the charge density and energy-conversion efficiency of sliding triboelectric nanogenerators (TENGs). These limitations commonly originate from binary-dielectric architectures, in which deep-level tail charges and incomplete interfacial depletion hinder charge transfer regardless of materials or structural configurations. Here, we introduce a ternary-dielectric dual-domain triboelectric architecture that overcomes this intrinsic constraint by reconfiguring the dielectric field landscape and enabling cross-domain charge management. The upper discharge domain-constructed by a PA/PTFE/PU ternary triboelectric layer with adjacent electrodes-realizes efficient interfacial charge generation and active removal of tail-inherent charges via corona-assisted regulation. Simultaneously, a lower polarization-discharge domain formed by promoting discharge electrodes harnesses space-volume-induced charge migration within the PU foam, converting previously lost inherent charges into additional effective output via dielectric-polarization discharge. By coupling these two charge domains, the system establishes a charge-generation and charge-depletion pathway that systematically reshapes the excitation–decay dynamics of triboelectric charges. The optimized device achieves a considerable charge density of 1.2 mC·m⁻², an average power density of 22.53 W·m⁻², and an energy density of 3.42 J·m⁻². This work introduces a generalizable dielectric-domain engineering strategy that addresses long-standing charge-retention and tail-charge bottlenecks in TENGs, offering a mechanistic foundation for next-generation high-efficiency triboelectric energy-conversion systems.</w:t>
      </w:r>
    </w:p>
    <w:p>
      <w:pPr>
        <w:spacing w:before="120" w:after="120"/>
      </w:pPr>
      <w:r>
        <w:rPr>
          <w:sz w:val="18"/>
        </w:rPr>
        <w:t>——————————————————————————————————————————————————————————————————————</w:t>
      </w:r>
    </w:p>
    <w:p>
      <w:pPr>
        <w:spacing w:before="160" w:after="40" w:line="240" w:lineRule="auto"/>
      </w:pPr>
      <w:r>
        <w:rPr>
          <w:b/>
        </w:rPr>
        <w:t xml:space="preserve">[11] </w:t>
      </w:r>
      <w:hyperlink r:id="rId117">
        <w:r>
          <w:rPr>
            <w:color w:val="1155CC"/>
            <w:u w:val="single"/>
          </w:rPr>
          <w:t>具有高电容和高n型霍尔迁移率的垂直纳米金刚石主导的片材</w:t>
        </w:r>
      </w:hyperlink>
    </w:p>
    <w:p>
      <w:pPr>
        <w:spacing w:before="0" w:after="80"/>
      </w:pPr>
      <w:r>
        <w:rPr>
          <w:i/>
          <w:sz w:val="20"/>
        </w:rPr>
        <w:t>EN: Vertical nanodiamond dominated sheets possessing both high capacitance and high n-type Hall mobility</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118">
        <w:r>
          <w:rPr>
            <w:color w:val="1155CC"/>
            <w:u w:val="single"/>
          </w:rPr>
          <w:t>10.1038/s41467-026-70089-9</w:t>
        </w:r>
      </w:hyperlink>
    </w:p>
    <w:p>
      <w:pPr>
        <w:spacing w:before="0" w:after="120"/>
      </w:pPr>
      <w:r>
        <w:rPr>
          <w:b/>
        </w:rPr>
        <w:t xml:space="preserve">Notes: </w:t>
      </w:r>
      <w:r>
        <w:t>abstract_source=nature_html</w:t>
      </w:r>
    </w:p>
    <w:p>
      <w:pPr>
        <w:spacing w:before="0" w:after="80" w:lineRule="auto" w:line="276"/>
      </w:pPr>
      <w:r>
        <w:rPr>
          <w:b/>
        </w:rPr>
        <w:t xml:space="preserve">摘要（ZH）: </w:t>
      </w:r>
      <w:r>
        <w:t>与垂直石墨烯（VG）片相比，制备以垂直纳米金刚石（VND）为主的片材非常困难。在此，我们描述了通过相变从钽负载的VGs转化为VNDs的方法，采用氩/氧等离子体处理并改变氧气百分比。当氧气百分比增加到5%时，VGs的高度降低，伴随着高电容和低霍尔迁移率。当氧气百分比增加到10%时，VGs转变为纳米晶体金刚石（NCD）颗粒，颗粒边界中的反式聚乙炔（TPA）含量显著增加。这些VNDs表现出高电容（1452 μF cm−2）和n型霍尔迁移率（846 cm2 V−1s−1）。随着氧气百分比增加到20%，NCD颗粒变大，TPA含量减少，而电容</w:t>
      </w:r>
    </w:p>
    <w:p>
      <w:pPr>
        <w:spacing w:before="0" w:after="200" w:lineRule="auto" w:line="276"/>
      </w:pPr>
      <w:r>
        <w:rPr>
          <w:b/>
        </w:rPr>
        <w:t xml:space="preserve">Abstract (EN): </w:t>
      </w:r>
      <w:r>
        <w:t>It is very difficult to prepare vertical nanodiamond (VND) dominated sheets compared with vertical graphene (VG) sheets. Here, we describe the preparation of VNDs by phase transformation from Ta-loaded VGs via argon/oxygen plasma treatment with varied oxygen percentage. As the oxygen percentage increases to 5%, the height of VGs decreases, accompanied by high capacitance and low Hall mobility. When the oxygen percentage increases to 10%, the VGs transform to nanocrystalline diamond (NCD) grains with trans-polyacetylene (TPA) contents in grain boundaries increasing significantly. These VNDs exhibit both high capacitance (1452 μF cm−2) and n-type Hall mobility (846 cm2 V−1s−1). With the oxygen percentage increasing to 20%, NCD grains grow larger and the TPA content reduces, while the capacitance decreases considerably, but Hall mobility remaining high, suggesting that the performance improvement results from the synergistic effect of NCDs and TPA. These exhibit significant applications of VNDs in energy storage, high performance sensors, high-frequency and high-power electronic devices.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19">
        <w:r>
          <w:rPr>
            <w:color w:val="1155CC"/>
            <w:u w:val="single"/>
          </w:rPr>
          <w:t>气候驱动的负荷转移与区域供热和制冷系统的优化设计：为变暖世纪规划能源供应</w:t>
        </w:r>
      </w:hyperlink>
    </w:p>
    <w:p>
      <w:pPr>
        <w:spacing w:before="0" w:after="80"/>
      </w:pPr>
      <w:r>
        <w:rPr>
          <w:i/>
          <w:sz w:val="20"/>
        </w:rPr>
        <w:t>EN: Climate-driven load shifts and the optimal design of district heating and cooling systems: Planning energy supply for a warming century</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0">
        <w:r>
          <w:rPr>
            <w:color w:val="1155CC"/>
            <w:u w:val="single"/>
          </w:rPr>
          <w:t>具有高开关比的双稳态折纸热开关</w:t>
        </w:r>
      </w:hyperlink>
    </w:p>
    <w:p>
      <w:pPr>
        <w:spacing w:before="0" w:after="80"/>
      </w:pPr>
      <w:r>
        <w:rPr>
          <w:i/>
          <w:sz w:val="20"/>
        </w:rPr>
        <w:t>EN: Bistable origami thermal switch with high switching ratios</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有效的热管理对于AI和机器人中的电力电子设备至关重要，强调了动态、可逆热开关的需求。实现高开关比仍然具有挑战性。在此，我们提出了一种双稳态折纸启发的热开关，可以在没有外部能量或传感输入的情况下快速切换不同的热传导状态。通过精确的切割和折叠从薄膜中制造，它在真空中实现了13,984的热开关比，在环境空气中实现了1360的热开关比，显著高于现有方法。开关由形状记忆合金和弹性弹簧组合驱动的突跳不稳定性驱动。通过几何变化可以调整能量景观，以调整触发温度和开关比。我们展示了</w:t>
      </w:r>
    </w:p>
    <w:p>
      <w:pPr>
        <w:spacing w:before="0" w:after="200" w:lineRule="auto" w:line="276"/>
      </w:pPr>
      <w:r>
        <w:rPr>
          <w:b/>
        </w:rPr>
        <w:t xml:space="preserve">Abstract (EN): </w:t>
      </w:r>
      <w:r>
        <w:t>Effective thermal management is critical for power electronics in AI and robotics, highlighting the need for dynamic, reversible thermal switches. Achieving a high switching ratio remains challenging. Here, we present a bistable origami-inspired thermal switch that switch rapidly between distinct thermal conduction states without external energy or sensory input. Fabricated from a thin film through precise cut-and-fold, it achieves thermal switching ratios of 13,984 in vacuum and 1360 in ambient air, significantly higher than existing approaches. Switching is driven by snap-through instability, actuated by a combination of shape-memory alloy and elastic springs. The energy landscape can be tuned through geometric variations to adjust triggering temperature and switching ratio. We demonstrate stable, repeatable thermal regulation across multiple scenarios, offering a pathway toward passive, programmable thermal management.</w:t>
      </w:r>
    </w:p>
    <w:p>
      <w:pPr>
        <w:spacing w:before="120" w:after="120"/>
      </w:pPr>
      <w:r>
        <w:rPr>
          <w:sz w:val="18"/>
        </w:rPr>
        <w:t>——————————————————————————————————————————————————————————————————————</w:t>
      </w:r>
    </w:p>
    <w:p>
      <w:pPr>
        <w:spacing w:before="160" w:after="40" w:line="240" w:lineRule="auto"/>
      </w:pPr>
      <w:r>
        <w:rPr>
          <w:b/>
        </w:rPr>
        <w:t xml:space="preserve">[3] </w:t>
      </w:r>
      <w:hyperlink r:id="rId121">
        <w:r>
          <w:rPr>
            <w:color w:val="1155CC"/>
            <w:u w:val="single"/>
          </w:rPr>
          <w:t>仿生膨胀-收缩策略解锁用于个人热管理的协同分子太阳能热-织物系统（Adv. Mater. 12/2026）</w:t>
        </w:r>
      </w:hyperlink>
    </w:p>
    <w:p>
      <w:pPr>
        <w:spacing w:before="0" w:after="80"/>
      </w:pPr>
      <w:r>
        <w:rPr>
          <w:i/>
          <w:sz w:val="20"/>
        </w:rPr>
        <w:t>EN: Bioinspired Swelling‐Deswelling Strategy Unlocks Synergistic Molecular Solar Thermal‐Fabric Systems for Personal Thermal Management (Adv. Mater. 12/2026)</w:t>
      </w:r>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122">
        <w:r>
          <w:rPr>
            <w:color w:val="1155CC"/>
            <w:u w:val="single"/>
          </w:rPr>
          <w:t>10.1002/adma.72466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3">
        <w:r>
          <w:rPr>
            <w:color w:val="1155CC"/>
            <w:u w:val="single"/>
          </w:rPr>
          <w:t>通过氟化物介导的咪唑–碘配位构建高功率N型热电池</w:t>
        </w:r>
      </w:hyperlink>
    </w:p>
    <w:p>
      <w:pPr>
        <w:spacing w:before="0" w:after="80"/>
      </w:pPr>
      <w:r>
        <w:rPr>
          <w:i/>
          <w:sz w:val="20"/>
        </w:rPr>
        <w:t>EN: Constructing High‐Power N‐Type Thermocells via Fluoride‐Mediated Imidazole–Iodine Coordination</w:t>
      </w:r>
    </w:p>
    <w:p>
      <w:pPr>
        <w:spacing w:before="0" w:after="120"/>
      </w:pPr>
      <w:r>
        <w:rPr>
          <w:b/>
        </w:rPr>
        <w:t xml:space="preserve">Source: </w:t>
      </w:r>
      <w:r>
        <w:t>Wiley: Angewandte Chemie International Edition: Table of Contents</w:t>
      </w:r>
      <w:r>
        <w:t xml:space="preserve">    </w:t>
      </w:r>
      <w:r>
        <w:rPr>
          <w:b/>
        </w:rPr>
        <w:t xml:space="preserve">Pub date: </w:t>
      </w:r>
      <w:r>
        <w:t>2026-02-27 12:25:59+00:00</w:t>
      </w:r>
      <w:r>
        <w:t xml:space="preserve">    </w:t>
      </w:r>
      <w:r>
        <w:rPr>
          <w:b/>
        </w:rPr>
        <w:t xml:space="preserve">DOI: </w:t>
      </w:r>
      <w:hyperlink r:id="rId124">
        <w:r>
          <w:rPr>
            <w:color w:val="1155CC"/>
            <w:u w:val="single"/>
          </w:rPr>
          <w:t>10.1002/anie.202525056</w:t>
        </w:r>
      </w:hyperlink>
    </w:p>
    <w:p>
      <w:pPr>
        <w:spacing w:before="0" w:after="120"/>
      </w:pPr>
      <w:r>
        <w:rPr>
          <w:b/>
        </w:rPr>
        <w:t xml:space="preserve">Notes: </w:t>
      </w:r>
      <w:r>
        <w:t>abstract_source=pubmed</w:t>
      </w:r>
    </w:p>
    <w:p>
      <w:pPr>
        <w:spacing w:before="0" w:after="80" w:lineRule="auto" w:line="276"/>
      </w:pPr>
      <w:r>
        <w:rPr>
          <w:b/>
        </w:rPr>
        <w:t xml:space="preserve">摘要（ZH）: </w:t>
      </w:r>
      <w:r>
        <w:t>基于I-/I3-的热电池由于其经济性、可调节的电化学Seebeck系数（Se）和易于设备集成的特点，在低品位热能收集方面显示出巨大潜力。然而，目前开发高性能I-/I3-热电池的策略通常导致Se与最终输出功率之间的显著不平衡，这是由于离子传输和补充的恶化造成的。在此，我们提出了一种新颖的氟化物介导的配位策略来打破这一权衡。通过在电解质中引入氟化钾和1-(2-羟乙基)咪唑（HEI），我们设计了热敏HEI-I2F-配合物的原位形成。这些配合物经历可逆的温度依赖性沉淀和解离，创造了显著的浓度梯度。</w:t>
      </w:r>
    </w:p>
    <w:p>
      <w:pPr>
        <w:spacing w:before="0" w:after="200" w:lineRule="auto" w:line="276"/>
      </w:pPr>
      <w:r>
        <w:rPr>
          <w:b/>
        </w:rPr>
        <w:t xml:space="preserve">Abstract (EN): </w:t>
      </w:r>
      <w:r>
        <w:t>I-/I3 --based thermocells show great potential for low-grade heat harvesting because of their affordability, adjustable electrochemical Seebeck coefficient (Se), and ease of device integration. However, current strategies of developing high-performance I-/I3 --based thermocells usually result in substantial imbalance between Se and ultimate output power due to deteriorated ion transportation and replenishment. Herein, we propose a novel fluoride-mediated coordination strategy to break this trade-off. By introducing potassium fluoride and 1-(2-hydroxyethyl)imidazole (HEI) into the electrolyte, we engineer in situ formation of thermosensitive HEI-I2F- coordinated complexes. These complexes undergo reversible temperature-dependent precipitation and dissociation, creating a significant concentration ratio gradient, thereby remarkably increasing Se. Concurrently, the introduced ligand ions disrupt the original hydrogen bonding of water molecules, facilitating superior ion transport for increased output current. Consequently, the optimized thermocell achieves a high Se of 1.53 mV K-1 and a maximum power density of 124.74 mW m-2 at ΔT = 30 K. This work provides a versatile and effective pathway toward high-power thermocells for low-grade heat harvesting.</w:t>
      </w:r>
    </w:p>
    <w:p>
      <w:pPr>
        <w:spacing w:before="120" w:after="120"/>
      </w:pPr>
      <w:r>
        <w:rPr>
          <w:sz w:val="18"/>
        </w:rPr>
        <w:t>——————————————————————————————————————————————————————————————————————</w:t>
      </w:r>
    </w:p>
    <w:p>
      <w:pPr>
        <w:spacing w:before="160" w:after="40" w:line="240" w:lineRule="auto"/>
      </w:pPr>
      <w:r>
        <w:rPr>
          <w:b/>
        </w:rPr>
        <w:t xml:space="preserve">[5] </w:t>
      </w:r>
      <w:hyperlink r:id="rId125">
        <w:r>
          <w:rPr>
            <w:color w:val="1155CC"/>
            <w:u w:val="single"/>
          </w:rPr>
          <w:t>[ASAP] 纳米结构AgSbTe2的溶液相合成：玻璃态热导率和高热电性能</w:t>
        </w:r>
      </w:hyperlink>
    </w:p>
    <w:p>
      <w:pPr>
        <w:spacing w:before="0" w:after="80"/>
      </w:pPr>
      <w:r>
        <w:rPr>
          <w:i/>
          <w:sz w:val="20"/>
        </w:rPr>
        <w:t>EN: [ASAP] Solution-Phase Synthesis of Nanostructured AgSbTe2: Glass-like Thermal Conductivity and High Thermoelectric Performance</w:t>
      </w:r>
    </w:p>
    <w:p>
      <w:pPr>
        <w:spacing w:before="0" w:after="120"/>
      </w:pPr>
      <w:r>
        <w:rPr>
          <w:b/>
        </w:rPr>
        <w:t xml:space="preserve">Source: </w:t>
      </w:r>
      <w:r>
        <w:t>Journal of the American Chemical Society: Latest Articles (ACS Publications)</w:t>
      </w:r>
      <w:r>
        <w:t xml:space="preserve">    </w:t>
      </w:r>
      <w:r>
        <w:rPr>
          <w:b/>
        </w:rPr>
        <w:t xml:space="preserve">Pub date: </w:t>
      </w:r>
      <w:r>
        <w:t>2026-02-27 17:45:35+00:00</w:t>
      </w:r>
      <w:r>
        <w:t xml:space="preserve">    </w:t>
      </w:r>
      <w:r>
        <w:rPr>
          <w:b/>
        </w:rPr>
        <w:t xml:space="preserve">DOI: </w:t>
      </w:r>
      <w:hyperlink r:id="rId126">
        <w:r>
          <w:rPr>
            <w:color w:val="1155CC"/>
            <w:u w:val="single"/>
          </w:rPr>
          <w:t>10.1021/jacs.6c00040</w:t>
        </w:r>
      </w:hyperlink>
    </w:p>
    <w:p>
      <w:pPr>
        <w:spacing w:before="0" w:after="120"/>
      </w:pPr>
      <w:r>
        <w:rPr>
          <w:b/>
        </w:rPr>
        <w:t xml:space="preserve">Notes: </w:t>
      </w:r>
      <w:r>
        <w:t>abstract_source=openalex</w:t>
      </w:r>
    </w:p>
    <w:p>
      <w:pPr>
        <w:spacing w:before="0" w:after="80" w:lineRule="auto" w:line="276"/>
      </w:pPr>
      <w:r>
        <w:rPr>
          <w:b/>
        </w:rPr>
        <w:t xml:space="preserve">摘要（ZH）: </w:t>
      </w:r>
      <w:r>
        <w:t>在晶体固体中实现超低和玻璃状晶格热导率（κ&lt;sub&gt;L&lt;/sub&gt;）仍然是一个重大挑战，但对于热电材料至关重要。多晶块状AgSbTe&lt;sub&gt;2&lt;/sub&gt;由于其本质上低的κ&lt;sub&gt;L&lt;/sub&gt;，长期以来被认为是一种有前途的中温热电材料；然而，其原始形式的热力学不稳定性阻碍了其实际应用。在此，我们报告了一种简单且可扩展的合成方法，通过简便的水热路线合成纳米晶体、非化学计量、相纯的Ag&lt;sub&gt;0.8&lt;/sub&gt;Sb&lt;sub&gt;1.2&lt;/sub&gt;Te&lt;sub&gt;2.2&lt;/sub&gt;，没有检测到任何可检测的次要相如Ag&lt;sub&gt;2&lt;/sub&gt;Te或Sb&lt;sub&gt;2&lt;/sub&gt;Te&lt;sub&gt;3&lt;/sub&gt;，这些通常存在于AgSbTe&lt;sub&gt;2&lt;/sub&gt;中并且已知会导致</w:t>
      </w:r>
    </w:p>
    <w:p>
      <w:pPr>
        <w:spacing w:before="0" w:after="200" w:lineRule="auto" w:line="276"/>
      </w:pPr>
      <w:r>
        <w:rPr>
          <w:b/>
        </w:rPr>
        <w:t xml:space="preserve">Abstract (EN): </w:t>
      </w:r>
      <w:r>
        <w:t>The realization of ultralow and glass-like lattice thermal conductivity (κ&lt;sub&gt;L&lt;/sub&gt;) in crystalline solids remains a significant challenge, yet it is pivotal for thermoelectrics. Polycrystalline bulk AgSbTe&lt;sub&gt;2&lt;/sub&gt; has long been recognized as a promising mid-temperature thermoelectric material due to its intrinsically low κ&lt;sub&gt;L&lt;/sub&gt;; however, its thermodynamic instability in its pristine form has hindered its practical deployment. Here, we report the simple and scalable synthesis of nanocrystalline, off-stoichiometric, phase-pure Ag&lt;sub&gt;0.8&lt;/sub&gt;Sb&lt;sub&gt;1.2&lt;/sub&gt;Te&lt;sub&gt;2.2&lt;/sub&gt; via a facile hydrothermal route, without any detectable minor secondary phases such as Ag&lt;sub&gt;2&lt;/sub&gt;Te or Sb&lt;sub&gt;2&lt;/sub&gt;Te&lt;sub&gt;3&lt;/sub&gt;, which are commonly present in AgSbTe&lt;sub&gt;2&lt;/sub&gt; and are known to degrade its intrinsic thermoelectric performance. The solution-phase synthesis and spark plasma sintering promote the formation of cation-ordered nanodomains, yielding nanoscale superstructures (∼5-20 nm) and consequently strain in the lattice, which effectively scatter heat-carrying acoustic phonons. This results in a glass-like κ&lt;sub&gt;L&lt;/sub&gt; with an ultralow value of ∼0.1-0.2 W/m K in the temperature range of 30-575 K. Furthermore, the semiconducting nature of nanocrystalline Ag&lt;sub&gt;0.8&lt;/sub&gt;Sb&lt;sub&gt;1.2&lt;/sub&gt;Te&lt;sub&gt;2.2&lt;/sub&gt; enables an exceptionally high room-temperature Seebeck coefficient of ∼330 μV/K. Cumulatively, these attributes deliver a promising thermoelectric figure of merit (&lt;i&gt;zT&lt;/i&gt;) of ∼1.2 at ∼575 K in nanocrystalline Ag&lt;sub&gt;0.8&lt;/sub&gt;Sb&lt;sub&gt;1.2&lt;/sub&gt;Te&lt;sub&gt;2.2&lt;/sub&gt;, which is almost 100% higher than that of bulk Ag&lt;sub&gt;0.8&lt;/sub&gt;Sb&lt;sub&gt;1.2&lt;/sub&gt;Te&lt;sub&gt;2.2&lt;/sub&gt;. With a high &lt;i&gt;zT&lt;/i&gt; maintained across a broad temperature range, the average thermoelectric figure of merit (&lt;i&gt;zT&lt;/i&gt;&lt;sub&gt;avg&lt;/sub&gt;) for nanocrystalline Ag&lt;sub&gt;0.8&lt;/sub&gt;Sb&lt;sub&gt;1.2&lt;/sub&gt;Te&lt;sub&gt;2.2&lt;/sub&gt; is estimated to be 0.86 from room temperature to 575 K.</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27">
        <w:r>
          <w:rPr>
            <w:color w:val="1155CC"/>
            <w:u w:val="single"/>
          </w:rPr>
          <w:t>“低碳氢支持机制：分割商品市场的风险”更正 [Energy Policy 202 art 114605 DOI 10.1016/j.enpol.2025.114605]</w:t>
        </w:r>
      </w:hyperlink>
    </w:p>
    <w:p>
      <w:pPr>
        <w:spacing w:before="0" w:after="80"/>
      </w:pPr>
      <w:r>
        <w:rPr>
          <w:i/>
          <w:sz w:val="20"/>
        </w:rPr>
        <w:t>EN: Corrigendum to “Support mechanisms for low-carbon hydrogen: The risks of segmenting a commodity market” [Energy Policy 202 art 114605 DOI 10.1016/j.enpol.2025.114605]</w:t>
      </w:r>
    </w:p>
    <w:p>
      <w:pPr>
        <w:spacing w:before="0" w:after="120"/>
      </w:pPr>
      <w:r>
        <w:rPr>
          <w:b/>
        </w:rPr>
        <w:t xml:space="preserve">Source: </w:t>
      </w:r>
      <w:r>
        <w:t>ScienceDirect Publication: Energy Policy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8">
        <w:r>
          <w:rPr>
            <w:color w:val="1155CC"/>
            <w:u w:val="single"/>
          </w:rPr>
          <w:t>具有LLM的稳健MCDM框架用于海上风电-海水制氢-海洋牧场综合系统投资决策</w:t>
        </w:r>
      </w:hyperlink>
    </w:p>
    <w:p>
      <w:pPr>
        <w:spacing w:before="0" w:after="80"/>
      </w:pPr>
      <w:r>
        <w:rPr>
          <w:i/>
          <w:sz w:val="20"/>
        </w:rPr>
        <w:t>EN: A robust MCDM framework with LLM for offshore wind power-seawater hydrogen production-marine ranch integrated system investment decision</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29">
        <w:r>
          <w:rPr>
            <w:color w:val="1155CC"/>
            <w:u w:val="single"/>
          </w:rPr>
          <w:t>中温质子交换膜燃料电池：近期电化学评估材料的系统综述</w:t>
        </w:r>
      </w:hyperlink>
    </w:p>
    <w:p>
      <w:pPr>
        <w:spacing w:before="0" w:after="80"/>
      </w:pPr>
      <w:r>
        <w:rPr>
          <w:i/>
          <w:sz w:val="20"/>
        </w:rPr>
        <w:t>EN: Intermediate temperature proton exchange membrane fuel cells: a systematic review of recently electrochemically evaluated materials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0">
        <w:r>
          <w:rPr>
            <w:color w:val="1155CC"/>
            <w:u w:val="single"/>
          </w:rPr>
          <w:t>通过铂介导的氧化还原缓冲实现钴氧化物催化剂的腐蚀启发稳定性用于质子交换膜水电解</w:t>
        </w:r>
      </w:hyperlink>
    </w:p>
    <w:p>
      <w:pPr>
        <w:spacing w:before="0" w:after="80"/>
      </w:pPr>
      <w:r>
        <w:rPr>
          <w:i/>
          <w:sz w:val="20"/>
        </w:rPr>
        <w:t>EN: Corrosion‐Inspired Stabilization of Cobalt Oxide Catalysts via Platinum‐Mediated Redox Buffering for Proton Exchange Membrane Water Electrolysis</w:t>
      </w:r>
    </w:p>
    <w:p>
      <w:pPr>
        <w:spacing w:before="0" w:after="120"/>
      </w:pPr>
      <w:r>
        <w:rPr>
          <w:b/>
        </w:rPr>
        <w:t xml:space="preserve">Source: </w:t>
      </w:r>
      <w:r>
        <w:t>Wiley: Advanced Materials: Table of Contents</w:t>
      </w:r>
      <w:r>
        <w:t xml:space="preserve">    </w:t>
      </w:r>
      <w:r>
        <w:rPr>
          <w:b/>
        </w:rPr>
        <w:t xml:space="preserve">Pub date: </w:t>
      </w:r>
      <w:r>
        <w:t>2026-02-24 10:23:12+00:00</w:t>
      </w:r>
      <w:r>
        <w:t xml:space="preserve">    </w:t>
      </w:r>
      <w:r>
        <w:rPr>
          <w:b/>
        </w:rPr>
        <w:t xml:space="preserve">DOI: </w:t>
      </w:r>
      <w:hyperlink r:id="rId131">
        <w:r>
          <w:rPr>
            <w:color w:val="1155CC"/>
            <w:u w:val="single"/>
          </w:rPr>
          <w:t>10.1002/adma.202522703</w:t>
        </w:r>
      </w:hyperlink>
    </w:p>
    <w:p>
      <w:pPr>
        <w:spacing w:before="0" w:after="120"/>
      </w:pPr>
      <w:r>
        <w:rPr>
          <w:b/>
        </w:rPr>
        <w:t xml:space="preserve">Notes: </w:t>
      </w:r>
      <w:r>
        <w:t>abstract_source=pubmed</w:t>
      </w:r>
    </w:p>
    <w:p>
      <w:pPr>
        <w:spacing w:before="0" w:after="80" w:lineRule="auto" w:line="276"/>
      </w:pPr>
      <w:r>
        <w:rPr>
          <w:b/>
        </w:rPr>
        <w:t xml:space="preserve">摘要（ZH）: </w:t>
      </w:r>
      <w:r>
        <w:t>质子交换膜水电解（PEMWE）被认为是大规模可持续氢气生产的有前途的平台。然而，阳极催化剂在酸性和氧化条件下的耐久性仍然是一个关键挑战。基于钴的氧化物由于其丰富性和成本效益，提供了对基于铱的催化剂的有吸引力的替代方案，但在酸性氧气析出反应（OER）期间遭受严重的化学和结构退化。在这项研究中，我们报告了一种基于铂（Pt）介导的氧化还原缓冲的腐蚀启发稳定策略。铂被掺入Co3O4尖晶石晶格中，作为氧化还原活性缓冲剂，在OER期间优先发生氧化，以将氧化应力转移离开钴基体。原位</w:t>
      </w:r>
    </w:p>
    <w:p>
      <w:pPr>
        <w:spacing w:before="0" w:after="200" w:lineRule="auto" w:line="276"/>
      </w:pPr>
      <w:r>
        <w:rPr>
          <w:b/>
        </w:rPr>
        <w:t xml:space="preserve">Abstract (EN): </w:t>
      </w:r>
      <w:r>
        <w:t>Proton exchange membrane water electrolysis (PEMWE) is considered a promising platform for sustainable hydrogen production at scale. However, the durability of anode catalysts under acidic and oxidative conditions remains a critical challenge. Cobalt-based oxides offer an attractive alternative to iridium-based catalysts due to their abundance and cost-effectiveness, yet suffer from severe chemical and structural degradation during the acidic oxygen evolution reaction (OER). In this study, we report a corrosion-inspired stabilization strategy based on platinum (Pt)-mediated redox buffering. Platinum, incorporated within the Co3O4 spinel lattice, functions as a redox-active buffer, preferentially undergoing oxidation during OER to divert oxidative stress away from the cobalt matrix. In situ X-ray absorption spectroscopy, inductively coupled plasma-mass spectrometry analyses, and isotope-labeled differential electrochemical mass spectrometry collectively demonstrate that Pt incorporation suppresses cobalt dissolution and minimizes lattice oxygen participation, preserving the spinel framework under acidic OER conditions. The resulting Pt-incorporated Co3O4 catalyst demonstrates outstanding PEMWE performance, achieving a current density exceeding 2500 mA cm-2 at 2.0 V with a turnover frequency of 0.376 s-1, and maintains stable operation for over 1000 h at 250 mA cm-2.</w:t>
      </w:r>
    </w:p>
    <w:p>
      <w:pPr>
        <w:spacing w:before="120" w:after="120"/>
      </w:pPr>
      <w:r>
        <w:rPr>
          <w:sz w:val="18"/>
        </w:rPr>
        <w:t>——————————————————————————————————————————————————————————————————————</w:t>
      </w:r>
    </w:p>
    <w:p>
      <w:pPr>
        <w:spacing w:before="160" w:after="40" w:line="240" w:lineRule="auto"/>
      </w:pPr>
      <w:r>
        <w:rPr>
          <w:b/>
        </w:rPr>
        <w:t xml:space="preserve">[5] </w:t>
      </w:r>
      <w:hyperlink r:id="rId132">
        <w:r>
          <w:rPr>
            <w:color w:val="1155CC"/>
            <w:u w:val="single"/>
          </w:rPr>
          <w:t>欧盟领导人不应急于修改绿色氢气规则</w:t>
        </w:r>
      </w:hyperlink>
    </w:p>
    <w:p>
      <w:pPr>
        <w:spacing w:before="0" w:after="80"/>
      </w:pPr>
      <w:r>
        <w:rPr>
          <w:i/>
          <w:sz w:val="20"/>
        </w:rPr>
        <w:t>EN: EU leaders should not rush to revamp green-hydrogen rules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33">
        <w:r>
          <w:rPr>
            <w:color w:val="1155CC"/>
            <w:u w:val="single"/>
          </w:rPr>
          <w:t>使用氢气对英国空气质量去碳化影响的建模</w:t>
        </w:r>
      </w:hyperlink>
    </w:p>
    <w:p>
      <w:pPr>
        <w:spacing w:before="0" w:after="80"/>
      </w:pPr>
      <w:r>
        <w:rPr>
          <w:i/>
          <w:sz w:val="20"/>
        </w:rPr>
        <w:t>EN: Modelling UK air quality implications of decarbonisation using hydrogen</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34">
        <w:r>
          <w:rPr>
            <w:color w:val="1155CC"/>
            <w:u w:val="single"/>
          </w:rPr>
          <w:t>超结构优化揭示了使用混合固体氧化物电解池的新型成本最优电转甲醇路径</w:t>
        </w:r>
      </w:hyperlink>
    </w:p>
    <w:p>
      <w:pPr>
        <w:spacing w:before="0" w:after="80"/>
      </w:pPr>
      <w:r>
        <w:rPr>
          <w:i/>
          <w:sz w:val="20"/>
        </w:rPr>
        <w:t>EN: Superstructure optimization reveals novel cost-optimal power-to-methanol pathways using hybrid solid oxide electrolysis cells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35">
        <w:r>
          <w:rPr>
            <w:color w:val="1155CC"/>
            <w:u w:val="single"/>
          </w:rPr>
          <w:t>通过吸附增强甲烷化的沼气转甲烷：反应器配置策略的实验评估</w:t>
        </w:r>
      </w:hyperlink>
    </w:p>
    <w:p>
      <w:pPr>
        <w:spacing w:before="0" w:after="80"/>
      </w:pPr>
      <w:r>
        <w:rPr>
          <w:i/>
          <w:sz w:val="20"/>
        </w:rPr>
        <w:t>EN: Biogas-to-methane conversion via sorption-enhanced methanation: experimental evaluation of reactor configuration strategies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36">
        <w:r>
          <w:rPr>
            <w:color w:val="1155CC"/>
            <w:u w:val="single"/>
          </w:rPr>
          <w:t>仿生流动引导电极设计用于高效海水电解：克服盐析出挑战</w:t>
        </w:r>
      </w:hyperlink>
    </w:p>
    <w:p>
      <w:pPr>
        <w:spacing w:before="0" w:after="80"/>
      </w:pPr>
      <w:r>
        <w:rPr>
          <w:i/>
          <w:sz w:val="20"/>
        </w:rPr>
        <w:t>EN: Biomimetic flow guiding electrode design for high-efficiency seawater electrolysis: Overcoming salt precipitation challenges</w:t>
      </w:r>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海水电解受到缓慢的阴极气泡脱附和由Mg2+/Ca2+沉淀引起的活性位点阻塞的困扰。受沙漠甲虫和仙人掌刺的启发，一种仿生楔形结构电极促进了盐的排斥和定向气体传输，实现了高效和持久的H2生产，成本约为$1.7/kg H2，低于美国能源部2030年$2/kg H2的目标。</w:t>
      </w:r>
    </w:p>
    <w:p>
      <w:pPr>
        <w:spacing w:before="0" w:after="200" w:lineRule="auto" w:line="276"/>
      </w:pPr>
      <w:r>
        <w:rPr>
          <w:b/>
        </w:rPr>
        <w:t xml:space="preserve">Abstract (EN): </w:t>
      </w:r>
      <w:r>
        <w:t>Seawater electrolysis is plagued by sluggish cathodic bubble detachment and active site blocking induced by Mg2+/Ca2+ precipitation. Inspired by desert beetles and cactus spines, a biomimetic wedge-structured electrode facilitates salt rejection and directional gas transport, achieving efficient and durable H2 production at approximately $1.7/kg of H2, which is below the US Department of Energy’s 2030 target of $2/kg of H2.</w:t>
      </w:r>
    </w:p>
    <w:p>
      <w:pPr>
        <w:spacing w:before="120" w:after="120"/>
      </w:pPr>
      <w:r>
        <w:rPr>
          <w:sz w:val="18"/>
        </w:rPr>
        <w:t>——————————————————————————————————————————————————————————————————————</w:t>
      </w:r>
    </w:p>
    <w:p>
      <w:pPr>
        <w:spacing w:before="160" w:after="40" w:line="240" w:lineRule="auto"/>
      </w:pPr>
      <w:r>
        <w:rPr>
          <w:b/>
        </w:rPr>
        <w:t xml:space="preserve">[10] </w:t>
      </w:r>
      <w:hyperlink r:id="rId137">
        <w:r>
          <w:rPr>
            <w:color w:val="1155CC"/>
            <w:u w:val="single"/>
          </w:rPr>
          <w:t>通过功能配体在分子水平上结合配位和界面调控用于工业AEM水电解</w:t>
        </w:r>
      </w:hyperlink>
    </w:p>
    <w:p>
      <w:pPr>
        <w:spacing w:before="0" w:after="80"/>
      </w:pPr>
      <w:r>
        <w:rPr>
          <w:i/>
          <w:sz w:val="20"/>
        </w:rPr>
        <w:t>EN: Molecular level combination of coordination and interfacial regulations via functional ligands for industrial AEM water electrolysis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138">
        <w:r>
          <w:rPr>
            <w:color w:val="1155CC"/>
            <w:u w:val="single"/>
          </w:rPr>
          <w:t>10.1126/sciadv.aea8247</w:t>
        </w:r>
      </w:hyperlink>
    </w:p>
    <w:p>
      <w:pPr>
        <w:spacing w:before="0" w:after="120"/>
      </w:pPr>
      <w:r>
        <w:rPr>
          <w:b/>
        </w:rPr>
        <w:t xml:space="preserve">Notes: </w:t>
      </w:r>
      <w:r>
        <w:t>abstract_source=crossref</w:t>
      </w:r>
    </w:p>
    <w:p>
      <w:pPr>
        <w:spacing w:before="0" w:after="80" w:lineRule="auto" w:line="276"/>
      </w:pPr>
      <w:r>
        <w:rPr>
          <w:b/>
        </w:rPr>
        <w:t xml:space="preserve">摘要（ZH）: </w:t>
      </w:r>
      <w:r>
        <w:t>配位工程通常用于调节活性位点的电子结构，而其催化性能不仅由电子结构决定，还受微环境影响。在此，我们引入界面功能配体，不仅优化活性位点的电子结构，还调节界面微环境以促进氧析出反应（OER）。具体而言，孔边缘承载的FeF3O2位点能够形成有利的电子结构以生成*OOH中间体，同时促进氢氧化物的界面传输以增强OER动力学。FeF3中的F配体</w:t>
      </w:r>
    </w:p>
    <w:p>
      <w:pPr>
        <w:spacing w:before="0" w:after="200" w:lineRule="auto" w:line="276"/>
      </w:pPr>
      <w:r>
        <w:rPr>
          <w:b/>
        </w:rPr>
        <w:t xml:space="preserve">Abstract (EN): </w:t>
      </w:r>
      <w:r>
        <w:t>Coordination engineering is often used to tune the electronic structures of active sites, while their catalytic performances are determined not only by electronic structures but also by microenvironments. Herein, we introduce interfacial functional ligands that not only optimize the electronic structures of active sites but also regulate the interfacial microenvironment for oxygen evolution reaction (OER). Specifically, the pore edge–hosted FeF</w:t>
      </w:r>
      <w:r>
        <w:rPr>
          <w:vertAlign w:val="subscript"/>
        </w:rPr>
        <w:t>3</w:t>
      </w:r>
      <w:r>
        <w:t>O</w:t>
      </w:r>
      <w:r>
        <w:rPr>
          <w:vertAlign w:val="subscript"/>
        </w:rPr>
        <w:t>2</w:t>
      </w:r>
      <w:r>
        <w:t>sites enable a favorable electronic structure to generate</w:t>
      </w:r>
      <w:r>
        <w:t xml:space="preserve"> </w:t>
      </w:r>
      <w:r>
        <w:t>*</w:t>
      </w:r>
      <w:r>
        <w:t xml:space="preserve"> </w:t>
      </w:r>
      <w:r>
        <w:t>OOH intermediates and simultaneously promote the interfacial transport of hydroxide for enhanced OER kinetics. The F ligands in FeF</w:t>
      </w:r>
      <w:r>
        <w:rPr>
          <w:vertAlign w:val="subscript"/>
        </w:rPr>
        <w:t>3</w:t>
      </w:r>
      <w:r>
        <w:t>O</w:t>
      </w:r>
      <w:r>
        <w:rPr>
          <w:vertAlign w:val="subscript"/>
        </w:rPr>
        <w:t>2</w:t>
      </w:r>
      <w:r>
        <w:t>sites interact with interfacial water strongly via H-bonding to promote H-bond network connectivity, thus encouraging the temporally concerted proton transfer during hydroxide diffusion. Consequently, FeF</w:t>
      </w:r>
      <w:r>
        <w:rPr>
          <w:vertAlign w:val="subscript"/>
        </w:rPr>
        <w:t>3</w:t>
      </w:r>
      <w:r>
        <w:t>O</w:t>
      </w:r>
      <w:r>
        <w:rPr>
          <w:vertAlign w:val="subscript"/>
        </w:rPr>
        <w:t>2</w:t>
      </w:r>
      <w:r>
        <w:t>sites realize the 331.5-fold enhancement in turnover frequency for alkaline OER over the NiOOH and efficient water electrolyzers (1.663 voltage at 1.0 amperes per square centimeter at 60°C, durably operating at 1.0 amperes per square centimeter &amp;gt; 1200 hours).</w:t>
      </w:r>
    </w:p>
    <w:p>
      <w:pPr>
        <w:spacing w:before="120" w:after="120"/>
      </w:pPr>
      <w:r>
        <w:rPr>
          <w:sz w:val="18"/>
        </w:rPr>
        <w:t>——————————————————————————————————————————————————————————————————————</w:t>
      </w:r>
    </w:p>
    <w:p>
      <w:pPr>
        <w:spacing w:before="160" w:after="40" w:line="240" w:lineRule="auto"/>
      </w:pPr>
      <w:r>
        <w:rPr>
          <w:b/>
        </w:rPr>
        <w:t xml:space="preserve">[11] </w:t>
      </w:r>
      <w:hyperlink r:id="rId139">
        <w:r>
          <w:rPr>
            <w:color w:val="1155CC"/>
            <w:u w:val="single"/>
          </w:rPr>
          <w:t>局部霍兰代相诱导氧路径机制实现耐久的PEM电解</w:t>
        </w:r>
      </w:hyperlink>
    </w:p>
    <w:p>
      <w:pPr>
        <w:spacing w:before="0" w:after="80"/>
      </w:pPr>
      <w:r>
        <w:rPr>
          <w:i/>
          <w:sz w:val="20"/>
        </w:rPr>
        <w:t>EN: Local Hollandite Phase Inducing Oxygen Path Mechanism Enables Durable PEM Electrolysis</w:t>
      </w:r>
    </w:p>
    <w:p>
      <w:pPr>
        <w:spacing w:before="0" w:after="120"/>
      </w:pPr>
      <w:r>
        <w:rPr>
          <w:b/>
        </w:rPr>
        <w:t xml:space="preserve">Source: </w:t>
      </w:r>
      <w:r>
        <w:t>Wiley: Advanced Materials: Table of Contents</w:t>
      </w:r>
      <w:r>
        <w:t xml:space="preserve">    </w:t>
      </w:r>
      <w:r>
        <w:rPr>
          <w:b/>
        </w:rPr>
        <w:t xml:space="preserve">Pub date: </w:t>
      </w:r>
      <w:r>
        <w:t>2026-02-25 13:34:38+00:00</w:t>
      </w:r>
      <w:r>
        <w:t xml:space="preserve">    </w:t>
      </w:r>
      <w:r>
        <w:rPr>
          <w:b/>
        </w:rPr>
        <w:t xml:space="preserve">DOI: </w:t>
      </w:r>
      <w:hyperlink r:id="rId140">
        <w:r>
          <w:rPr>
            <w:color w:val="1155CC"/>
            <w:u w:val="single"/>
          </w:rPr>
          <w:t>10.1002/adma.202521163</w:t>
        </w:r>
      </w:hyperlink>
    </w:p>
    <w:p>
      <w:pPr>
        <w:spacing w:before="0" w:after="120"/>
      </w:pPr>
      <w:r>
        <w:rPr>
          <w:b/>
        </w:rPr>
        <w:t xml:space="preserve">Notes: </w:t>
      </w:r>
      <w:r>
        <w:t>abstract_source=pubmed</w:t>
      </w:r>
    </w:p>
    <w:p>
      <w:pPr>
        <w:spacing w:before="0" w:after="80" w:lineRule="auto" w:line="276"/>
      </w:pPr>
      <w:r>
        <w:rPr>
          <w:b/>
        </w:rPr>
        <w:t xml:space="preserve">摘要（ZH）: </w:t>
      </w:r>
      <w:r>
        <w:t>大规模质子交换膜水电解器（PEMWEs）对于绿色氢气生产迫切需要，然而，其发展在很大程度上受到阳极中高负载铱的使用的阻碍。虽然存在具有高活性的无定形IrOx催化剂，但它们通常遵循晶格氧机制，影响稳定性，或吸附物演化机制，遭受高过电位限制。氧化物路径机制（OPM）通过实现直接*O─*O耦合提供了一个有前景的替代方案，但在纯IrOx系统中激活仍然具有挑战性，因为相邻Ir原子之间的距离较长。在此，我们报告了一类具有OPM路径的（La）IrOx多孔无定形催化剂，具有局部非常规的荷兰石相和丰富的水分子</w:t>
      </w:r>
    </w:p>
    <w:p>
      <w:pPr>
        <w:spacing w:before="0" w:after="200" w:lineRule="auto" w:line="276"/>
      </w:pPr>
      <w:r>
        <w:rPr>
          <w:b/>
        </w:rPr>
        <w:t xml:space="preserve">Abstract (EN): </w:t>
      </w:r>
      <w:r>
        <w:t>Large-scale proton-exchange-membrane water electrolyzers (PEMWEs) are urgently needed for green hydrogen production, however, their development is largely hindered by the use of high-loading iridium in the anode. While amorphous IrOx catalysts with high activity exist, they typically follow either the lattice oxygen mechanism compromising stability, or the adsorbate evolution mechanism suffering from a high overpotential limit. Oxide path mechanism (OPM) offers a promising alternative by enabling direct *O─*O coupling, but its activation in the pure IrOx system remains challenging given the long distance between adjacent Ir atoms. Herein, we report a class of (La)IrOx porous amorphous catalyst with OPM pathway, featuring local unconventional hollandite phase and abundant water molecules inside its lattice tunnels. We demonstrate that such a unique short-range ordered structure can induce shortened Ir-Iredge distance and highly-active Ir≥5+ species, both contributing to desirable OPM for greatly enhanced catalytic performances. The as-assembled PEMWE achieves a cell voltage of 1.62 V at 1 A cm-2 with a low loading of 0.2 mgIr cm-2, and can operate stably over 500 h at industry-level current density. The accelerated stress test further validates its durability advantage at even lower 0.1 mgIr cm-2 loading, which validates its potential as a viable anode solution for durable low-iridium PEMWEs.</w:t>
      </w:r>
    </w:p>
    <w:p>
      <w:pPr>
        <w:spacing w:before="120" w:after="120"/>
      </w:pPr>
      <w:r>
        <w:rPr>
          <w:sz w:val="18"/>
        </w:rPr>
        <w:t>——————————————————————————————————————————————————————————————————————</w:t>
      </w:r>
    </w:p>
    <w:p>
      <w:pPr>
        <w:spacing w:before="160" w:after="40" w:line="240" w:lineRule="auto"/>
      </w:pPr>
      <w:r>
        <w:rPr>
          <w:b/>
        </w:rPr>
        <w:t xml:space="preserve">[12] </w:t>
      </w:r>
      <w:hyperlink r:id="rId141">
        <w:r>
          <w:rPr>
            <w:color w:val="1155CC"/>
            <w:u w:val="single"/>
          </w:rPr>
          <w:t>在高容量阴离子交换膜电解槽中使用表面改性铜钴氧化物催化剂进行商业规模的甘油增值</w:t>
        </w:r>
      </w:hyperlink>
    </w:p>
    <w:p>
      <w:pPr>
        <w:spacing w:before="0" w:after="80"/>
      </w:pPr>
      <w:r>
        <w:rPr>
          <w:i/>
          <w:sz w:val="20"/>
        </w:rPr>
        <w:t>EN: Commercial-scale glycerol valorization using surface-modified copper cobalt oxide catalyst in high-capacity anion exchange membrane electrolyzer</w:t>
      </w:r>
    </w:p>
    <w:p>
      <w:pPr>
        <w:spacing w:before="0" w:after="120"/>
      </w:pPr>
      <w:r>
        <w:rPr>
          <w:b/>
        </w:rPr>
        <w:t xml:space="preserve">Source: </w:t>
      </w:r>
      <w:r>
        <w:t>Joule</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在这项工作中，我们展示了一个64 cm2规模的阴离子交换膜水电解器（AEMWE）电池，用于商业规模的甘油增值。对于大规模AEMWE电池应用，我们开发了一种通过共沉淀和表面处理来大规模生产催化剂的方法。此外，与H型系统相比，AEMWE系统显著增强了甘油增值。开发的大规模AEMWE电池可以同时进行甘油增值并直接捕获纯H2。这项工作提出了一种推进甘油增值商业化的策略。</w:t>
      </w:r>
    </w:p>
    <w:p>
      <w:pPr>
        <w:spacing w:before="0" w:after="200" w:lineRule="auto" w:line="276"/>
      </w:pPr>
      <w:r>
        <w:rPr>
          <w:b/>
        </w:rPr>
        <w:t xml:space="preserve">Abstract (EN): </w:t>
      </w:r>
      <w:r>
        <w:t>In this work, we demonstrate a 64 cm2 scale anion exchange membrane water electrolyzer (AEMWE) cell for commercial-scale glycerol valorization. For large-scale AEMWE cell applications, we developed a method to mass-produce catalysts through co-precipitation and surface treatment. In addition, the AEMWE system significantly enhances glycerol valorization compared with the H-type system. The developed large-scale AEMWE cell can simultaneously perform glycerol valorization and directly capture pure H2. This work presents a strategy that advances the commercialization of glycerol valorization.</w:t>
      </w:r>
    </w:p>
    <w:p>
      <w:pPr>
        <w:spacing w:before="120" w:after="120"/>
      </w:pPr>
      <w:r>
        <w:rPr>
          <w:sz w:val="18"/>
        </w:rPr>
        <w:t>——————————————————————————————————————————————————————————————————————</w:t>
      </w:r>
    </w:p>
    <w:p>
      <w:pPr>
        <w:spacing w:before="160" w:after="40" w:line="240" w:lineRule="auto"/>
      </w:pPr>
      <w:r>
        <w:rPr>
          <w:b/>
        </w:rPr>
        <w:t xml:space="preserve">[13] </w:t>
      </w:r>
      <w:hyperlink r:id="rId142">
        <w:r>
          <w:rPr>
            <w:color w:val="1155CC"/>
            <w:u w:val="single"/>
          </w:rPr>
          <w:t>[ASAP] 密集的铂基金属间纳米颗粒限制在中空介孔碳中，用于耐用的高功率重型燃料电池</w:t>
        </w:r>
      </w:hyperlink>
    </w:p>
    <w:p>
      <w:pPr>
        <w:spacing w:before="0" w:after="80"/>
      </w:pPr>
      <w:r>
        <w:rPr>
          <w:i/>
          <w:sz w:val="20"/>
        </w:rPr>
        <w:t>EN: [ASAP] Dense Platinum-Based Intermetallic Nanoparticles Confined into Hollow Mesoporous Carbon for Durable High-Power Heavy-Duty Fuel Cells</w:t>
      </w:r>
    </w:p>
    <w:p>
      <w:pPr>
        <w:spacing w:before="0" w:after="120"/>
      </w:pPr>
      <w:r>
        <w:rPr>
          <w:b/>
        </w:rPr>
        <w:t xml:space="preserve">Source: </w:t>
      </w:r>
      <w:r>
        <w:t>Journal of the American Chemical Society: Latest Articles (ACS Publications)</w:t>
      </w:r>
      <w:r>
        <w:t xml:space="preserve">    </w:t>
      </w:r>
      <w:r>
        <w:rPr>
          <w:b/>
        </w:rPr>
        <w:t xml:space="preserve">Pub date: </w:t>
      </w:r>
      <w:r>
        <w:t>2026-02-26 17:13:38+00:00</w:t>
      </w:r>
      <w:r>
        <w:t xml:space="preserve">    </w:t>
      </w:r>
      <w:r>
        <w:rPr>
          <w:b/>
        </w:rPr>
        <w:t xml:space="preserve">DOI: </w:t>
      </w:r>
      <w:hyperlink r:id="rId143">
        <w:r>
          <w:rPr>
            <w:color w:val="1155CC"/>
            <w:u w:val="single"/>
          </w:rPr>
          <w:t>10.1021/jacs.5c19791</w:t>
        </w:r>
      </w:hyperlink>
    </w:p>
    <w:p>
      <w:pPr>
        <w:spacing w:before="0" w:after="120"/>
      </w:pPr>
      <w:r>
        <w:rPr>
          <w:b/>
        </w:rPr>
        <w:t xml:space="preserve">Notes: </w:t>
      </w:r>
      <w:r>
        <w:t>abstract_source=openalex</w:t>
      </w:r>
    </w:p>
    <w:p>
      <w:pPr>
        <w:spacing w:before="0" w:after="80" w:lineRule="auto" w:line="276"/>
      </w:pPr>
      <w:r>
        <w:rPr>
          <w:b/>
        </w:rPr>
        <w:t xml:space="preserve">摘要（ZH）: </w:t>
      </w:r>
      <w:r>
        <w:t>重型车辆（HDV）燃料电池需要在严格的操作条件下具有卓越活性和耐久性的氧还原反应（ORR）催化剂。然而，传统的固溶体Pt基ORR催化剂由于其固有的活性-稳定性权衡和燃料电池工作条件下的质量传输限制，往往无法同时满足高功率密度和长期稳定性的要求。在此，我们报告了一种通用的配体调节共还原策略，通过缩小Pt与其他过渡金属前体之间的还原电位差距，将高密度（&gt;50 wt%金属含量和约3 nm粒径）和高有序度的Pt基金属间化合物（IMC）纳米颗粒有效地负载到中空介孔碳（HMC）中。</w:t>
      </w:r>
    </w:p>
    <w:p>
      <w:pPr>
        <w:spacing w:before="0" w:after="200" w:lineRule="auto" w:line="276"/>
      </w:pPr>
      <w:r>
        <w:rPr>
          <w:b/>
        </w:rPr>
        <w:t xml:space="preserve">Abstract (EN): </w:t>
      </w:r>
      <w:r>
        <w:t>Heavy-duty vehicle (HDV) fuel cells require oxygen reduction reaction (ORR) catalysts with exceptional activity and durability under stringent operating conditions. However, conventional solid-solution Pt-based ORR catalysts often fail to simultaneously meet the requirements of high-power density and long-term stability, due to their inherent activity-stability trade-offs and mass-transport limitations at working conditions of fuel cells. Herein, we report a universal ligand-tuned co-reduction strategy to efficiently load Pt-based intermetallic compound (IMC) nanoparticles with high density (&gt;50 wt% metal content and ∼3 nm particle size) and a high degree of ordering into hollow mesoporous carbon (HMC) by narrowing the reduction-potential gap between Pt and other transition metal precursors to achieve stable high-power HDV fuel cells. The dense and ordered IMCs ensure the efficient and stable ORR, while the mass-transport-favorable HMC promotes oxygen transport to the active sites. This design greatly enhances HDV fuel cell ORR activity, stability, and mass-transport efficiency. Under the HDV-relevant conditions (250 kPaabs and cathode loading of 0.15 mgPt cm–2), the optimized H-L10-PtCo/HMC catalyst achieves an exceptional current density of 1.73 A cm–2 at 0.7 V and retains 85% after 90,000 accelerated durability cycles, significantly exceeding the U.S. Department of Energy targets. The findings establish H-L10-PtCo/HMC as a next-generation cathode electrocatalyst for HDV applications.</w:t>
      </w:r>
    </w:p>
    <w:p>
      <w:pPr>
        <w:spacing w:before="120" w:after="120"/>
      </w:pPr>
      <w:r>
        <w:rPr>
          <w:sz w:val="18"/>
        </w:rPr>
        <w:t>——————————————————————————————————————————————————————————————————————</w:t>
      </w:r>
    </w:p>
    <w:p>
      <w:pPr>
        <w:spacing w:before="160" w:after="40" w:line="240" w:lineRule="auto"/>
      </w:pPr>
      <w:r>
        <w:rPr>
          <w:b/>
        </w:rPr>
        <w:t xml:space="preserve">[14] </w:t>
      </w:r>
      <w:hyperlink r:id="rId144">
        <w:r>
          <w:rPr>
            <w:color w:val="1155CC"/>
            <w:u w:val="single"/>
          </w:rPr>
          <w:t>低成本氢气生产：高温多孔电极无膜电解的技术经济分析</w:t>
        </w:r>
      </w:hyperlink>
    </w:p>
    <w:p>
      <w:pPr>
        <w:spacing w:before="0" w:after="80"/>
      </w:pPr>
      <w:r>
        <w:rPr>
          <w:i/>
          <w:sz w:val="20"/>
        </w:rPr>
        <w:t>EN: Low-cost hydrogen production: Techno-economic analysis of high-temperature porous electrode membraneless electrolysis</w:t>
      </w:r>
    </w:p>
    <w:p>
      <w:pPr>
        <w:spacing w:before="0" w:after="120"/>
      </w:pPr>
      <w:r>
        <w:rPr>
          <w:b/>
        </w:rPr>
        <w:t xml:space="preserve">Source: </w:t>
      </w:r>
      <w:r>
        <w:t>ScienceDirect Publication: Applied Energy</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45">
        <w:r>
          <w:rPr>
            <w:color w:val="1155CC"/>
            <w:u w:val="single"/>
          </w:rPr>
          <w:t>飞秒时间尺度上的质子-电子时间异步性使得PEM电解槽的低铱阳极具备抗腐蚀性</w:t>
        </w:r>
      </w:hyperlink>
    </w:p>
    <w:p>
      <w:pPr>
        <w:spacing w:before="0" w:after="80"/>
      </w:pPr>
      <w:r>
        <w:rPr>
          <w:i/>
          <w:sz w:val="20"/>
        </w:rPr>
        <w:t>EN: Proton–electron temporal asynchrony on femtosecond timescales enables anti-corrosive low-iridium anodes for PEM electrolysers</w:t>
      </w:r>
    </w:p>
    <w:p>
      <w:pPr>
        <w:spacing w:before="0" w:after="120"/>
      </w:pPr>
      <w:r>
        <w:rPr>
          <w:b/>
        </w:rPr>
        <w:t xml:space="preserve">Source: </w:t>
      </w:r>
      <w:r>
        <w:t>Nature Nanotechnology</w:t>
      </w:r>
      <w:r>
        <w:t xml:space="preserve">    </w:t>
      </w:r>
      <w:r>
        <w:rPr>
          <w:b/>
        </w:rPr>
        <w:t xml:space="preserve">Pub date: </w:t>
      </w:r>
      <w:r>
        <w:t>2026-02-27 00:00:00+00:00</w:t>
      </w:r>
      <w:r>
        <w:t xml:space="preserve">    </w:t>
      </w:r>
      <w:r>
        <w:rPr>
          <w:b/>
        </w:rPr>
        <w:t xml:space="preserve">DOI: </w:t>
      </w:r>
      <w:hyperlink r:id="rId146">
        <w:r>
          <w:rPr>
            <w:color w:val="1155CC"/>
            <w:u w:val="single"/>
          </w:rPr>
          <w:t>10.1038/s41565-026-02136-x</w:t>
        </w:r>
      </w:hyperlink>
    </w:p>
    <w:p>
      <w:pPr>
        <w:spacing w:before="0" w:after="120"/>
      </w:pPr>
      <w:r>
        <w:rPr>
          <w:b/>
        </w:rPr>
        <w:t xml:space="preserve">Notes: </w:t>
      </w:r>
      <w:r>
        <w:t>abstract_source=nature_html</w:t>
      </w:r>
    </w:p>
    <w:p>
      <w:pPr>
        <w:spacing w:before="0" w:after="80" w:lineRule="auto" w:line="276"/>
      </w:pPr>
      <w:r>
        <w:rPr>
          <w:b/>
        </w:rPr>
        <w:t xml:space="preserve">摘要（ZH）: </w:t>
      </w:r>
      <w:r>
        <w:t>开发耐腐蚀的低铱阳极催化剂是质子交换膜水电解的关键挑战。然而，阳极腐蚀的基本起源多年来一直存在激烈争论，主要是因为对复杂的质子耦合电子转移过程的机制理解有限。在这项工作中，我们采用飞秒电化学瞬态吸收光谱来探测质子和电子在飞秒（10−15秒）时间尺度上的空间-时间同步。在此，我们展示了阳极腐蚀在极化启动后100飞秒内被同步的质子和电子耦合在电极表面驱动而启动。通过引入路易斯酸</w:t>
      </w:r>
    </w:p>
    <w:p>
      <w:pPr>
        <w:spacing w:before="0" w:after="200" w:lineRule="auto" w:line="276"/>
      </w:pPr>
      <w:r>
        <w:rPr>
          <w:b/>
        </w:rPr>
        <w:t xml:space="preserve">Abstract (EN): </w:t>
      </w:r>
      <w:r>
        <w:t>The development of corrosion-resistant low-iridium anode catalysts is the key challenge in proton exchange membrane water electrolysis. However, the fundamental origin of anodic corrosion has been intensely debated over the years, mainly because of the limited mechanistic understanding of the complex proton-coupled electron transfer process. In this work, we employed femtosecond electrochemical transient absorption spectroscopy to probe the spatial–temporal synchronization of protons and electrons during the elementary proton-coupled electron transfer step at the femtosecond (10−15 s) timescale. Here we show that anodic corrosion is initiated within 100 fs after polarization startup, driven by synchronized protons and electrons coupling at the electrode surface. By introducing a Lewis acid (CeO2) as a proton channel, the reaction dynamics of protons and electrons could be decoupled into temporal asynchrony to prevent the generation of soluble Ir6+ species. Owing to this unique desynchronized proton–electron interaction, the CeO2–IrO2 catalyst demonstrates outstanding stability for about 1,400 h of continuous operation.</w:t>
      </w:r>
    </w:p>
    <w:p>
      <w:pPr>
        <w:spacing w:before="120" w:after="120"/>
      </w:pPr>
      <w:r>
        <w:rPr>
          <w:sz w:val="18"/>
        </w:rPr>
        <w:t>——————————————————————————————————————————————————————————————————————</w:t>
      </w:r>
    </w:p>
    <w:p>
      <w:pPr>
        <w:spacing w:before="160" w:after="40" w:line="240" w:lineRule="auto"/>
      </w:pPr>
      <w:r>
        <w:rPr>
          <w:b/>
        </w:rPr>
        <w:t xml:space="preserve">[16] </w:t>
      </w:r>
      <w:hyperlink r:id="rId147">
        <w:r>
          <w:rPr>
            <w:color w:val="1155CC"/>
            <w:u w:val="single"/>
          </w:rPr>
          <w:t>一种混合集中-分布式绿色氨系统，用于中国氮肥生产的成本效益脱碳</w:t>
        </w:r>
      </w:hyperlink>
    </w:p>
    <w:p>
      <w:pPr>
        <w:spacing w:before="0" w:after="80"/>
      </w:pPr>
      <w:r>
        <w:rPr>
          <w:i/>
          <w:sz w:val="20"/>
        </w:rPr>
        <w:t>EN: A hybrid centralized-distributed green ammonia system for cost-effective decarbonization of China's nitrogen fertilizer production</w:t>
      </w:r>
    </w:p>
    <w:p>
      <w:pPr>
        <w:spacing w:before="0" w:after="120"/>
      </w:pPr>
      <w:r>
        <w:rPr>
          <w:b/>
        </w:rPr>
        <w:t xml:space="preserve">Source: </w:t>
      </w:r>
      <w:r>
        <w:t>ScienceDirect Publication: Applied Energy</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48">
        <w:r>
          <w:rPr>
            <w:color w:val="1155CC"/>
            <w:u w:val="single"/>
          </w:rPr>
          <w:t>准烟囱电极通过极化拉普拉斯压力促进氢析出反应</w:t>
        </w:r>
      </w:hyperlink>
    </w:p>
    <w:p>
      <w:pPr>
        <w:spacing w:before="0" w:after="80"/>
      </w:pPr>
      <w:r>
        <w:rPr>
          <w:i/>
          <w:sz w:val="20"/>
        </w:rPr>
        <w:t>EN: Quasi‐Chimney Electrode Boosts Hydrogen Evolution Reaction via Polarized Laplace Pressure</w:t>
      </w:r>
    </w:p>
    <w:p>
      <w:pPr>
        <w:spacing w:before="0" w:after="120"/>
      </w:pPr>
      <w:r>
        <w:rPr>
          <w:b/>
        </w:rPr>
        <w:t xml:space="preserve">Source: </w:t>
      </w:r>
      <w:r>
        <w:t>Wiley: Advanced Materials: Table of Contents</w:t>
      </w:r>
      <w:r>
        <w:t xml:space="preserve">    </w:t>
      </w:r>
      <w:r>
        <w:rPr>
          <w:b/>
        </w:rPr>
        <w:t xml:space="preserve">Pub date: </w:t>
      </w:r>
      <w:r>
        <w:t>2026-02-28 09:39:23+00:00</w:t>
      </w:r>
      <w:r>
        <w:t xml:space="preserve">    </w:t>
      </w:r>
      <w:r>
        <w:rPr>
          <w:b/>
        </w:rPr>
        <w:t xml:space="preserve">DOI: </w:t>
      </w:r>
      <w:hyperlink r:id="rId149">
        <w:r>
          <w:rPr>
            <w:color w:val="1155CC"/>
            <w:u w:val="single"/>
          </w:rPr>
          <w:t>10.1002/adma.72666</w:t>
        </w:r>
      </w:hyperlink>
    </w:p>
    <w:p>
      <w:pPr>
        <w:spacing w:before="0" w:after="120"/>
      </w:pPr>
      <w:r>
        <w:rPr>
          <w:b/>
        </w:rPr>
        <w:t xml:space="preserve">Notes: </w:t>
      </w:r>
      <w:r>
        <w:t>abstract_source=pubmed</w:t>
      </w:r>
    </w:p>
    <w:p>
      <w:pPr>
        <w:spacing w:before="0" w:after="80" w:lineRule="auto" w:line="276"/>
      </w:pPr>
      <w:r>
        <w:rPr>
          <w:b/>
        </w:rPr>
        <w:t xml:space="preserve">摘要（ZH）: </w:t>
      </w:r>
      <w:r>
        <w:t>在高电流密度条件下，质量传递对氢气析出反应（HER）的影响被显著低估。在此，我们通过将3D超亲气微通道与超疏气Pt催化剂集成，设计了一种准烟囱电极，以阐明质量传递对HER的影响。当遇到超亲气通道时，Pt催化剂上生成的氢气（H2）气泡在气泡/通道界面经历拉普拉斯压力极化，这推动了表面和内部气泡从超疏气催化位点进入超亲气网络，作为高效气泡传输的微烟囱。此外，超亲气通道缩短了溶解H2到空气/水界面的扩散路径，从而减少了d</w:t>
      </w:r>
    </w:p>
    <w:p>
      <w:pPr>
        <w:spacing w:before="0" w:after="200" w:lineRule="auto" w:line="276"/>
      </w:pPr>
      <w:r>
        <w:rPr>
          <w:b/>
        </w:rPr>
        <w:t xml:space="preserve">Abstract (EN): </w:t>
      </w:r>
      <w:r>
        <w:t>The effect of mass transfer on hydrogen evolution reaction (HER) is significantly underestimated under high-current-density conditions. Here, we designed a quasi-chimney electrode by integrating 3D superaerophilic microchannels with superaerophobic Pt catalysts to elucidate the influence of mass transfer on HER. Upon encountering superaerophilic channels, hydrogen (H2) bubbles generated on Pt catalysts experience Laplace pressure polarization at the bubble/channel interface, which drives both surface and internal bubbles from the superaerophobic catalytic sites into the superaerophilic network, functioning as a micro-chimney for efficient bubble transport. In addition, the superaerophilic channels shorten the diffusion path of dissolved H2 to the air/water interface, thereby reducing the dissolved H2 concentration. This mass-transfer enhancement yields an exceptional HER performance (a record-low overpotential of about -30 mV at -100 mA cm-2, and a high current density of -2.93 A cm-2 at -0.3 V vs RHE in H2SO4 (0.5 M) along with remarkable durability, confirmed by &lt;5% activity decay at -1000 and -2000 mA cm-2 for 160 h. The proposed quasi-chimney design, which is also applicable to various catalysts, results in an 8- and 14-times increase in current density for Cu-Co and Cu-Mo catalysts, at an overpotential of -500 mV compared with their superaerophobic electrode structures.</w:t>
      </w:r>
    </w:p>
    <w:p>
      <w:pPr>
        <w:spacing w:before="120" w:after="120"/>
      </w:pPr>
      <w:r>
        <w:rPr>
          <w:sz w:val="18"/>
        </w:rPr>
        <w:t>——————————————————————————————————————————————————————————————————————</w:t>
      </w:r>
    </w:p>
    <w:p>
      <w:pPr>
        <w:spacing w:before="160" w:after="40" w:line="240" w:lineRule="auto"/>
      </w:pPr>
      <w:r>
        <w:rPr>
          <w:b/>
        </w:rPr>
        <w:t xml:space="preserve">[18] </w:t>
      </w:r>
      <w:hyperlink r:id="rId150">
        <w:r>
          <w:rPr>
            <w:color w:val="1155CC"/>
            <w:u w:val="single"/>
          </w:rPr>
          <w:t>科特迪瓦与德国之间的电子甲醇贸易路线的经济可行性和政治风险</w:t>
        </w:r>
      </w:hyperlink>
    </w:p>
    <w:p>
      <w:pPr>
        <w:spacing w:before="0" w:after="80"/>
      </w:pPr>
      <w:r>
        <w:rPr>
          <w:i/>
          <w:sz w:val="20"/>
        </w:rPr>
        <w:t>EN: Economic feasibility and political risk of an e-methanol trade route between Côte d'Ivoire and Germany</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151">
        <w:r>
          <w:rPr>
            <w:color w:val="1155CC"/>
            <w:u w:val="single"/>
          </w:rPr>
          <w:t>太阳能-电池供电的碱性水电解系统的降解感知调度和热管理</w:t>
        </w:r>
      </w:hyperlink>
    </w:p>
    <w:p>
      <w:pPr>
        <w:spacing w:before="0" w:after="80"/>
      </w:pPr>
      <w:r>
        <w:rPr>
          <w:i/>
          <w:sz w:val="20"/>
        </w:rPr>
        <w:t>EN: Degradation-aware scheduling and thermal management of solar–battery-powered alkaline water electrolysis systems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52">
        <w:r>
          <w:rPr>
            <w:color w:val="1155CC"/>
            <w:u w:val="single"/>
          </w:rPr>
          <w:t>提高工业能源效率：在电力供应挑战背景下的策略、障碍和机遇</w:t>
        </w:r>
      </w:hyperlink>
    </w:p>
    <w:p>
      <w:pPr>
        <w:spacing w:before="0" w:after="80"/>
      </w:pPr>
      <w:r>
        <w:rPr>
          <w:i/>
          <w:sz w:val="20"/>
        </w:rPr>
        <w:t>EN: Enhancing industrial energy efficiency: Strategies, barriers and opportunities in the context of electricity supply challenges</w:t>
      </w:r>
    </w:p>
    <w:p>
      <w:pPr>
        <w:spacing w:before="0" w:after="120"/>
      </w:pPr>
      <w:r>
        <w:rPr>
          <w:b/>
        </w:rPr>
        <w:t xml:space="preserve">Source: </w:t>
      </w:r>
      <w:r>
        <w:t>ScienceDirect Publication: Energy Policy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53">
        <w:r>
          <w:rPr>
            <w:color w:val="1155CC"/>
            <w:u w:val="single"/>
          </w:rPr>
          <w:t>用于主流市政废水处理的多区厌氧氨氧化</w:t>
        </w:r>
      </w:hyperlink>
    </w:p>
    <w:p>
      <w:pPr>
        <w:spacing w:before="0" w:after="80"/>
      </w:pPr>
      <w:r>
        <w:rPr>
          <w:i/>
          <w:sz w:val="20"/>
        </w:rPr>
        <w:t>EN: Multi-zonal anaerobic ammonium oxidation for mainstream municipal wastewater treatment</w:t>
      </w:r>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生物脱氮是市政污水处理厂（MWWTPs）碳足迹的主要贡献者。厌氧氨氧化（anammox）是MWWTPs脱碳的关键。然而，anammox技术长期以来一直遵循“热点”概念发展，将anammox空间限制在MWWTPs的特定区域，使其在主流处理中潜力未被充分利用。我们提出了“多区anammox”概念，以扩展anammox过程到整个MWWTP主流。它允许在现有MWWTPs中实施anammox，且仅需最小的重建要求。我们在厌氧-缺氧-好氧（A2O）生物系统中评估了这一概念的可行性，这是MWWTPs中最广泛使用的工艺之一。在为期两年的操作期间</w:t>
      </w:r>
    </w:p>
    <w:p>
      <w:pPr>
        <w:spacing w:before="0" w:after="200" w:lineRule="auto" w:line="276"/>
      </w:pPr>
      <w:r>
        <w:rPr>
          <w:b/>
        </w:rPr>
        <w:t xml:space="preserve">Abstract (EN): </w:t>
      </w:r>
      <w:r>
        <w:t>Biological nitrogen removal is a main contributor to the carbon footprint of municipal wastewater treatment plants (MWWTPs). Anaerobic ammonium oxidation (anammox) is key to decarbonizing MWWTPs. However, anammox technology has long been developed following the ‘hotspot’ concept, which spatially confines anammox to specific zones in MWWTPs, leaving its potential underexploited in mainstream treatment. Here we propose a ‘multi-zonal anammox’ concept to expand the anammox process throughout the whole MWWTP mainstream. It allows the implementation of anammox in existing MWWTPs with minimal reconstruction requirements. We evaluated the feasibility of this concept in an anaerobic–anoxic–oxic (A2O) biosystem, which is one of the most widely used processes in MWWTPs. During a 2-year-long operation, anammox bacteria highly self-enriched and contributed to nitrogen removal throughout the mainstream, with relative abundances reaching 4.8%, 5.7–10.0% and 0.2–1.0% in anaerobic, anoxic and oxic zones, respectively. The multi-zonal anammox enhanced nitrogen removal efficiency by 20%, reduced aerating electricity input by 20%, mitigated nitrous oxide emissions by 66% and eliminated the need for supplemental organic carbon. Overall, this work opens a promising avenue for implementing the anammox process, paving the way towards sustainable wastewater management.</w:t>
      </w:r>
    </w:p>
    <w:p>
      <w:pPr>
        <w:spacing w:before="120" w:after="120"/>
      </w:pPr>
      <w:r>
        <w:rPr>
          <w:sz w:val="18"/>
        </w:rPr>
        <w:t>——————————————————————————————————————————————————————————————————————</w:t>
      </w:r>
    </w:p>
    <w:p>
      <w:pPr>
        <w:spacing w:before="160" w:after="40" w:line="240" w:lineRule="auto"/>
      </w:pPr>
      <w:r>
        <w:rPr>
          <w:b/>
        </w:rPr>
        <w:t xml:space="preserve">[3] </w:t>
      </w:r>
      <w:hyperlink r:id="rId154">
        <w:r>
          <w:rPr>
            <w:color w:val="1155CC"/>
            <w:u w:val="single"/>
          </w:rPr>
          <w:t>基于氢的绿色钢铁生产的能源系统优化，来自中品位铁矿石</w:t>
        </w:r>
      </w:hyperlink>
    </w:p>
    <w:p>
      <w:pPr>
        <w:spacing w:before="0" w:after="80"/>
      </w:pPr>
      <w:r>
        <w:rPr>
          <w:i/>
          <w:sz w:val="20"/>
        </w:rPr>
        <w:t>EN: Energy-system optimization for hydrogen-based green steel production from medium-grade iron ore</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55">
        <w:r>
          <w:rPr>
            <w:color w:val="1155CC"/>
            <w:u w:val="single"/>
          </w:rPr>
          <w:t>电力系统中电力-碳-水纽带的双层优化调度新框架</w:t>
        </w:r>
      </w:hyperlink>
    </w:p>
    <w:p>
      <w:pPr>
        <w:spacing w:before="0" w:after="80"/>
      </w:pPr>
      <w:r>
        <w:rPr>
          <w:i/>
          <w:sz w:val="20"/>
        </w:rPr>
        <w:t>EN: A novel bi-level optimization scheduling framework for electricity-carbon-water Nexus in power systems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56">
        <w:r>
          <w:rPr>
            <w:color w:val="1155CC"/>
            <w:u w:val="single"/>
          </w:rPr>
          <w:t>拜登时代清洁能源投资政策为何政治回报有限</w:t>
        </w:r>
      </w:hyperlink>
    </w:p>
    <w:p>
      <w:pPr>
        <w:spacing w:before="0" w:after="80"/>
      </w:pPr>
      <w:r>
        <w:rPr>
          <w:i/>
          <w:sz w:val="20"/>
        </w:rPr>
        <w:t>EN: Why Biden-era clean energy investment policies had limited political returns</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157">
        <w:r>
          <w:rPr>
            <w:color w:val="1155CC"/>
            <w:u w:val="single"/>
          </w:rPr>
          <w:t>10.1073/pnas.2526802123</w:t>
        </w:r>
      </w:hyperlink>
    </w:p>
    <w:p>
      <w:pPr>
        <w:spacing w:before="0" w:after="120"/>
      </w:pPr>
      <w:r>
        <w:rPr>
          <w:b/>
        </w:rPr>
        <w:t xml:space="preserve">Notes: </w:t>
      </w:r>
      <w:r>
        <w:t>abstract_source=crossref</w:t>
      </w:r>
    </w:p>
    <w:p>
      <w:pPr>
        <w:spacing w:before="0" w:after="80" w:lineRule="auto" w:line="276"/>
      </w:pPr>
      <w:r>
        <w:rPr>
          <w:b/>
        </w:rPr>
        <w:t xml:space="preserve">摘要（ZH）: </w:t>
      </w:r>
      <w:r>
        <w:t>拜登政府实施了美国历史上最大的联邦政策框架，以激励清洁能源和脱碳。我们研究拜登时代的绿色投资是否通过影响公众舆论产生了政治回报。使用与投资记录和公司及政治家声明数据库相关联的地理定位调查数据，我们评估项目的可见性和信用归属。离新可再生能源和绿色制造设施更近的人更有可能注意到这些投资，但不太可能将其归功于拜登政府。相反，公众认为州长最负责任。这种信用分配模式与政治信息环境一致：州长比白宫更频繁地声称功劳，而公司则传播认知。</w:t>
      </w:r>
    </w:p>
    <w:p>
      <w:pPr>
        <w:spacing w:before="0" w:after="200" w:lineRule="auto" w:line="276"/>
      </w:pPr>
      <w:r>
        <w:rPr>
          <w:b/>
        </w:rPr>
        <w:t xml:space="preserve">Abstract (EN): </w:t>
      </w:r>
      <w:r>
        <w:t>The Biden Administration enacted the largest federal policy framework to incentivize clean energy and decarbonization in U.S. history. We examine whether Biden-era green investments produced political returns by affecting public opinion. Using geolocated survey data linked to investment records and a database of company and politician statements, we assess project visibility and credit attribution. People closer to new renewable energy and green manufacturing facilities are more likely to notice these investments but are not more likely to credit the Biden Administration. Instead, the public sees governors as most responsible. This credit allocation pattern aligns with the political message environment: Governors more frequently claim credit than the White House and companies spread recognition broadly across political actors. This fragmented information environment illustrates the limits of using less traceable forms of green spending to generate electoral gains and public support for climate policy.</w:t>
      </w:r>
    </w:p>
    <w:p>
      <w:pPr>
        <w:spacing w:before="120" w:after="120"/>
      </w:pPr>
      <w:r>
        <w:rPr>
          <w:sz w:val="18"/>
        </w:rPr>
        <w:t>——————————————————————————————————————————————————————————————————————</w:t>
      </w:r>
    </w:p>
    <w:p>
      <w:pPr>
        <w:spacing w:before="160" w:after="40" w:line="240" w:lineRule="auto"/>
      </w:pPr>
      <w:r>
        <w:rPr>
          <w:b/>
        </w:rPr>
        <w:t xml:space="preserve">[6] </w:t>
      </w:r>
      <w:hyperlink r:id="rId158">
        <w:r>
          <w:rPr>
            <w:color w:val="1155CC"/>
            <w:u w:val="single"/>
          </w:rPr>
          <w:t>解锁多阶段灵活性使氢基钢铁制造在中国具备成本竞争力</w:t>
        </w:r>
      </w:hyperlink>
    </w:p>
    <w:p>
      <w:pPr>
        <w:spacing w:before="0" w:after="80"/>
      </w:pPr>
      <w:r>
        <w:rPr>
          <w:i/>
          <w:sz w:val="20"/>
        </w:rPr>
        <w:t>EN: Unlocking Multi-Stage Flexibility Enables Cost-Competitive Hydrogen-Based Steelmaking in China</w:t>
      </w:r>
    </w:p>
    <w:p>
      <w:pPr>
        <w:spacing w:before="0" w:after="120"/>
      </w:pPr>
      <w:r>
        <w:rPr>
          <w:b/>
        </w:rPr>
        <w:t xml:space="preserve">Source: </w:t>
      </w:r>
      <w:r>
        <w:t>RSC - Energy Environ. Sci. latest articles</w:t>
      </w:r>
      <w:r>
        <w:t xml:space="preserve">    </w:t>
      </w:r>
      <w:r>
        <w:rPr>
          <w:b/>
        </w:rPr>
        <w:t xml:space="preserve">Pub date: </w:t>
      </w:r>
      <w:r>
        <w:t>2026-02-27 00:00:00+00:00</w:t>
      </w:r>
    </w:p>
    <w:p>
      <w:pPr>
        <w:spacing w:before="0" w:after="120"/>
      </w:pPr>
      <w:r>
        <w:rPr>
          <w:b/>
        </w:rPr>
        <w:t xml:space="preserve">Notes: </w:t>
      </w:r>
      <w:r>
        <w:t>abstract_source=rsc_html</w:t>
      </w:r>
    </w:p>
    <w:p>
      <w:pPr>
        <w:spacing w:before="0" w:after="80" w:lineRule="auto" w:line="276"/>
      </w:pPr>
      <w:r>
        <w:rPr>
          <w:b/>
        </w:rPr>
        <w:t xml:space="preserve">摘要（ZH）: </w:t>
      </w:r>
      <w:r>
        <w:t>应对气候变化需要对铁和钢工业进行脱碳，该行业约占全球CO₂排放的7%。基于氢的直接还原铁与电弧炉（H₂-DRI-EAF）作为一种有前途的途径出现，但其经济可行性取决于有效管理可再生能源的变动性。然而，电力、氢气、铁和钢生产的异质灵活性潜力，以及中间产品储存的独特特性，使得协调的产能投资变得极为复杂。本研究开发了一种以可再生能源为中心的多阶段H₂-DRI-EAF系统级建模框架，在代表性灵活性策略下，联合优化生产阶段的产能规模和灵活操作。</w:t>
      </w:r>
    </w:p>
    <w:p>
      <w:pPr>
        <w:spacing w:before="0" w:after="200" w:lineRule="auto" w:line="276"/>
      </w:pPr>
      <w:r>
        <w:rPr>
          <w:b/>
        </w:rPr>
        <w:t xml:space="preserve">Abstract (EN): </w:t>
      </w:r>
      <w:r>
        <w:t>Addressing climate change requires decarbonizing the iron and steel industry, which accounts for about 7% of global CO₂ emissions. Hydrogen-based direct reduced iron with electric arc furnaces (H₂-DRI-EAF) emerges as a promising pathway, yet its economic viability hinges on effectively managing the variability of renewable energy. However, heterogeneous flexibility potentials across electricity, hydrogen, iron, and steel production, together with the distinct characteristics of intermediate product storage, make coordinated capacity investment highly complex. This study develops a system-level modeling framework for renewable-centric, multi-stage H₂-DRI-EAF that jointly optimizes capacity sizing and flexible operations across production stages under flexibility strategies in representative Chinese steelmaking cities. We find that fully deploying flexibility across all production stages could reduce the levelized cost of steel (LCOS) by 6–10% relative to baseline configurations relying on flexible electrolysis alone. By 2035, flexible H₂-DRI-EAF can achieve near cost parity with conventional steelmaking under moderate carbon pricing ($38 t⁻¹ CO₂) and 50% low-cost scrap addition. Flexibility systematically alters investment patterns through significantly reducing the required capacities of solar and energy storage while moderately inducing differentiated overcapacity in electrolyzers, DRI furnaces, and EAFs. For a 1 Mt yr⁻¹ H₂-DRI-EAF plant, renewable deployment exceeds 100 km²; a PV-only configuration halves the land footprint but raises LCOS by $5–64 t⁻¹. This study provides quantitative insights to support the scalable deployment of green steel pathways under high renewable penetration.</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59">
        <w:r>
          <w:rPr>
            <w:color w:val="1155CC"/>
            <w:u w:val="single"/>
          </w:rPr>
          <w:t>电力驱动的CO2和生物质转化为甲酸/甲酸盐：微环境调节、氢储存潜力和可持续性评估</w:t>
        </w:r>
      </w:hyperlink>
    </w:p>
    <w:p>
      <w:pPr>
        <w:spacing w:before="0" w:after="80"/>
      </w:pPr>
      <w:r>
        <w:rPr>
          <w:i/>
          <w:sz w:val="20"/>
        </w:rPr>
        <w:t>EN: Electricity-driven CO2 and biomass conversion toward formic acid/formate: microenvironment regulation, hydrogen storage potential, and sustainability assessment</w:t>
      </w:r>
    </w:p>
    <w:p>
      <w:pPr>
        <w:spacing w:before="0" w:after="120"/>
      </w:pPr>
      <w:r>
        <w:rPr>
          <w:b/>
        </w:rPr>
        <w:t xml:space="preserve">Source: </w:t>
      </w:r>
      <w:r>
        <w:t>RSC - Energy Environ. Sci.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甲酸（FA）/甲酸盐（FM）被广泛认为是重要的能量载体和高价值化学品。通过电催化，丰富的碳源如CO2和生物质可以转化为FA或FM，从而通过一种有前途的方法将原料转化为高价值化学品，推动环保和可持续发展。这篇综述阐明了通过CO2电还原和生物质电氧化生产FA/FM的最新里程碑和新兴趋势，特别强调了微环境调控。阐明了关键因素对活性、选择性和能量效率影响的内在机制。此外，还讨论了环境影响、氢储存能力、技术经济分析和生命周期评估</w:t>
      </w:r>
    </w:p>
    <w:p>
      <w:pPr>
        <w:spacing w:before="0" w:after="200" w:lineRule="auto" w:line="276"/>
      </w:pPr>
      <w:r>
        <w:rPr>
          <w:b/>
        </w:rPr>
        <w:t xml:space="preserve">Abstract (EN): </w:t>
      </w:r>
      <w:r>
        <w:t>Formic acid (FA)/formate (FM) is widely recognized as an important energy carrier and high-value chemical. Through electrocatalysis, abundant carbon sources such as CO2 and biomass can be converted into FA or FM, enabling the valorization of feedstocks into high-value chemicals via a promising approach toward eco-friendly and sustainable development. This review elucidates recent milestones and emerging trends in FA/FM production via CO2 electroreduction and biomass electrooxidation, with a particular emphasis on microenvironment regulation. The intrinsic mechanisms underlying the effects of key factors on activity, selectivity, and energy efficiency are elucidated. In addition, environmental impact, hydrogen-storage capabilities, techno-economic analysis, and life cycle assessment are discussed in detail. Finally, future research directions and optimization strategies are proposed, focusing on feedstock pretreatment, catalyst engineering, and membrane–electrode integration. More importantly, this review also discusses CO2–organic paired electrolysis, proposing several solutions to fundamental constraints. Overall, this review aims to provide systematic guidance for three electrocatalytic pathways toward FA/FM—CO2 reduction, biomass oxidation, and their paired electrolysis—highlighting the pivotal role of microenvironment engineering in electrocatalyst design and reaction optimization, thereby delivering scientific insights to support green energy utilization and sustainable chemical manufacturing.</w:t>
      </w:r>
    </w:p>
    <w:p>
      <w:pPr>
        <w:spacing w:before="120" w:after="120"/>
      </w:pPr>
      <w:r>
        <w:rPr>
          <w:sz w:val="18"/>
        </w:rPr>
        <w:t>——————————————————————————————————————————————————————————————————————</w:t>
      </w:r>
    </w:p>
    <w:p>
      <w:pPr>
        <w:spacing w:before="160" w:after="40" w:line="240" w:lineRule="auto"/>
      </w:pPr>
      <w:r>
        <w:rPr>
          <w:b/>
        </w:rPr>
        <w:t xml:space="preserve">[2] </w:t>
      </w:r>
      <w:hyperlink r:id="rId160">
        <w:r>
          <w:rPr>
            <w:color w:val="1155CC"/>
            <w:u w:val="single"/>
          </w:rPr>
          <w:t>分子工程共价疏水界面以增强强酸中CO2电甲烷化</w:t>
        </w:r>
      </w:hyperlink>
    </w:p>
    <w:p>
      <w:pPr>
        <w:spacing w:before="0" w:after="80"/>
      </w:pPr>
      <w:r>
        <w:rPr>
          <w:i/>
          <w:sz w:val="20"/>
        </w:rPr>
        <w:t>EN: Molecularly engineered covalent hydrophobic interface for enhanced CO2 electromethanation in strong acid</w:t>
      </w:r>
    </w:p>
    <w:p>
      <w:pPr>
        <w:spacing w:before="0" w:after="120"/>
      </w:pPr>
      <w:r>
        <w:rPr>
          <w:b/>
        </w:rPr>
        <w:t xml:space="preserve">Source: </w:t>
      </w:r>
      <w:r>
        <w:t>National Science Review Advance Access</w:t>
      </w:r>
      <w:r>
        <w:t xml:space="preserve">    </w:t>
      </w:r>
      <w:r>
        <w:rPr>
          <w:b/>
        </w:rPr>
        <w:t xml:space="preserve">Pub date: </w:t>
      </w:r>
      <w:r>
        <w:t>2026-02-24 00:00:00+00:00</w:t>
      </w:r>
      <w:r>
        <w:t xml:space="preserve">    </w:t>
      </w:r>
      <w:r>
        <w:rPr>
          <w:b/>
        </w:rPr>
        <w:t xml:space="preserve">DOI: </w:t>
      </w:r>
      <w:hyperlink r:id="rId161">
        <w:r>
          <w:rPr>
            <w:color w:val="1155CC"/>
            <w:u w:val="single"/>
          </w:rPr>
          <w:t>10.1093/nsr/nwag116/8496058</w:t>
        </w:r>
      </w:hyperlink>
    </w:p>
    <w:p>
      <w:pPr>
        <w:spacing w:before="0" w:after="120"/>
      </w:pPr>
      <w:r>
        <w:rPr>
          <w:b/>
        </w:rPr>
        <w:t xml:space="preserve">Notes: </w:t>
      </w:r>
      <w:r>
        <w:t>abstract_source=rss_oup</w:t>
      </w:r>
    </w:p>
    <w:p>
      <w:pPr>
        <w:spacing w:before="0" w:after="80" w:lineRule="auto" w:line="276"/>
      </w:pPr>
      <w:r>
        <w:rPr>
          <w:b/>
        </w:rPr>
        <w:t xml:space="preserve">摘要（ZH）: </w:t>
      </w:r>
      <w:r>
        <w:t>CO2电化学转化为甲烷提供了一条可持续的燃料合成途径，但本质上难以平衡碳利用效率与产品选择性。基于物理疏水涂层的传统表面工程往往导致界面不稳定和电荷转移效率降低。为了解决这些问题，我们开发了一种用半胱氨酸涂覆的铜配位复合催化剂，并用共价键合的氟烷基硅烷（FAS）进行修饰，实现对表面润湿性的精确控制。在高度酸性电解质中实现了突破，甲烷法拉第效率高达66.2%（400 mA cm−2，pH 1.8），同时单程碳转化效率为31.1%，超越了传统碱性系统的基准</w:t>
      </w:r>
    </w:p>
    <w:p>
      <w:pPr>
        <w:spacing w:before="0" w:after="200" w:lineRule="auto" w:line="276"/>
      </w:pPr>
      <w:r>
        <w:rPr>
          <w:b/>
        </w:rPr>
        <w:t xml:space="preserve">Abstract (EN): </w:t>
      </w:r>
      <w:r>
        <w:t>Electrochemical conversion of CO2 to methane provides a sustainable pathway for fuel synthesis, yet it inherently struggles to balance carbon utilization efficiency with product selectivity. Conventional surface engineering based on physical hydrophobic coatings often leads to interfacial instability and diminished charge transfer efficiency. To address these issues, we develop a cysteine-coated copper coordination complex catalyst modified with covalently bonded fluoroalkyl silane (FAS), allowing precise control over surface wettability. A breakthrough in highly acidic electrolytes is demonstrated, achieving a methane Faradaic efficiency of up to 66.2% at 400 mA cm−2 (pH 1.8), alongside a single-pass carbon conversion efficiency of 31.1%, surpassing conventional alkaline-system benchmarks. Surface-enhanced Raman spectroscopy reveals key *COOH intermediate for CO2 activation, while in situ</w:t>
      </w:r>
    </w:p>
    <w:p>
      <w:pPr>
        <w:spacing w:before="120" w:after="120"/>
      </w:pPr>
      <w:r>
        <w:rPr>
          <w:sz w:val="18"/>
        </w:rPr>
        <w:t>——————————————————————————————————————————————————————————————————————</w:t>
      </w:r>
    </w:p>
    <w:p>
      <w:pPr>
        <w:spacing w:before="160" w:after="40" w:line="240" w:lineRule="auto"/>
      </w:pPr>
      <w:r>
        <w:rPr>
          <w:b/>
        </w:rPr>
        <w:t xml:space="preserve">[3] </w:t>
      </w:r>
      <w:hyperlink r:id="rId162">
        <w:r>
          <w:rPr>
            <w:color w:val="1155CC"/>
            <w:u w:val="single"/>
          </w:rPr>
          <w:t>醌基共价有机框架中的电气化CO2吸收</w:t>
        </w:r>
      </w:hyperlink>
    </w:p>
    <w:p>
      <w:pPr>
        <w:spacing w:before="0" w:after="80"/>
      </w:pPr>
      <w:r>
        <w:rPr>
          <w:i/>
          <w:sz w:val="20"/>
        </w:rPr>
        <w:t>EN: Electrified CO2 uptake in quinone-based covalent organic frameworks</w:t>
      </w:r>
    </w:p>
    <w:p>
      <w:pPr>
        <w:spacing w:before="0" w:after="120"/>
      </w:pPr>
      <w:r>
        <w:rPr>
          <w:b/>
        </w:rPr>
        <w:t xml:space="preserve">Source: </w:t>
      </w:r>
      <w:r>
        <w:t>Chem</w:t>
      </w:r>
      <w:r>
        <w:t xml:space="preserve">    </w:t>
      </w:r>
      <w:r>
        <w:rPr>
          <w:b/>
        </w:rPr>
        <w:t xml:space="preserve">Pub date: </w:t>
      </w:r>
      <w:r>
        <w:t>2026-02-24 00:00:00+00:00</w:t>
      </w:r>
    </w:p>
    <w:p>
      <w:pPr>
        <w:spacing w:before="0" w:after="120"/>
      </w:pPr>
      <w:r>
        <w:rPr>
          <w:b/>
        </w:rPr>
        <w:t xml:space="preserve">Notes: </w:t>
      </w:r>
      <w:r>
        <w:t>abstract_source=rss_cell</w:t>
      </w:r>
    </w:p>
    <w:p>
      <w:pPr>
        <w:spacing w:before="0" w:after="80" w:lineRule="auto" w:line="276"/>
      </w:pPr>
      <w:r>
        <w:rPr>
          <w:b/>
        </w:rPr>
        <w:t xml:space="preserve">摘要（ZH）: </w:t>
      </w:r>
      <w:r>
        <w:t>使用分子醌的电化学CO2捕获通常受到液体系统中溶解度和氧气敏感性的限制。将醌嵌入多孔共价有机框架（COFs）中可增强稳定性，将反应性转移到耐氧环境，并将氧化还原活性局限于固体吸附剂。我们开发了一种可扩展的醌基COFs合成方法，并验证了其在模拟烟气条件下运行的装置中的性能，能够高效捕获CO2达80小时。这种方法为电化学碳捕获技术提供了一种有前景的固态途径。</w:t>
      </w:r>
    </w:p>
    <w:p>
      <w:pPr>
        <w:spacing w:before="0" w:after="200" w:lineRule="auto" w:line="276"/>
      </w:pPr>
      <w:r>
        <w:rPr>
          <w:b/>
        </w:rPr>
        <w:t xml:space="preserve">Abstract (EN): </w:t>
      </w:r>
      <w:r>
        <w:t>Electrochemical CO2 capture using molecular quinones is often limited by solubility and oxygen sensitivity in liquid systems. Embedding quinones into porous covalent organic frameworks (COFs) enhances stability, shifts reactivity into an oxygen-tolerant regime, and localizes redox activity to the solid sorbent. We developed a scalable synthesis of quinone-based COFs and validated their performance in a device operating under simulated flue gas, capturing CO2 efficiently for 80 h. This approach offers a promising, solid-state pathway toward electrochemical carbon-capture technologies.</w:t>
      </w:r>
    </w:p>
    <w:p>
      <w:pPr>
        <w:spacing w:before="120" w:after="120"/>
      </w:pPr>
      <w:r>
        <w:rPr>
          <w:sz w:val="18"/>
        </w:rPr>
        <w:t>——————————————————————————————————————————————————————————————————————</w:t>
      </w:r>
    </w:p>
    <w:p>
      <w:pPr>
        <w:spacing w:before="160" w:after="40" w:line="240" w:lineRule="auto"/>
      </w:pPr>
      <w:r>
        <w:rPr>
          <w:b/>
        </w:rPr>
        <w:t xml:space="preserve">[4] </w:t>
      </w:r>
      <w:hyperlink r:id="rId163">
        <w:r>
          <w:rPr>
            <w:color w:val="1155CC"/>
            <w:u w:val="single"/>
          </w:rPr>
          <w:t>碳捕获、利用和储存技术的未来</w:t>
        </w:r>
      </w:hyperlink>
    </w:p>
    <w:p>
      <w:pPr>
        <w:spacing w:before="0" w:after="80"/>
      </w:pPr>
      <w:r>
        <w:rPr>
          <w:i/>
          <w:sz w:val="20"/>
        </w:rPr>
        <w:t>EN: The future of carbon capture, utilization and storage technologies</w:t>
      </w:r>
    </w:p>
    <w:p>
      <w:pPr>
        <w:spacing w:before="0" w:after="120"/>
      </w:pPr>
      <w:r>
        <w:rPr>
          <w:b/>
        </w:rPr>
        <w:t xml:space="preserve">Source: </w:t>
      </w:r>
      <w:r>
        <w:t>Nature Chemical Engineering</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64">
        <w:r>
          <w:rPr>
            <w:color w:val="1155CC"/>
            <w:u w:val="single"/>
          </w:rPr>
          <w:t>以低边际成本从废物燃烧的CHP工厂捕获CO2</w:t>
        </w:r>
      </w:hyperlink>
    </w:p>
    <w:p>
      <w:pPr>
        <w:spacing w:before="0" w:after="80"/>
      </w:pPr>
      <w:r>
        <w:rPr>
          <w:i/>
          <w:sz w:val="20"/>
        </w:rPr>
        <w:t>EN: Capturing CO2 from waste-fired CHP plants at low marginal cost</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65">
        <w:r>
          <w:rPr>
            <w:color w:val="1155CC"/>
            <w:u w:val="single"/>
          </w:rPr>
          <w:t>[ASAP] 通过原子重排使用粘土衍生沸石进行可扩展的二氧化碳捕获</w:t>
        </w:r>
      </w:hyperlink>
    </w:p>
    <w:p>
      <w:pPr>
        <w:spacing w:before="0" w:after="80"/>
      </w:pPr>
      <w:r>
        <w:rPr>
          <w:i/>
          <w:sz w:val="20"/>
        </w:rPr>
        <w:t>EN: [ASAP] Scalable Carbon Dioxide Capture Using Clay-Derived Zeolites via Atomic Rearrangement</w:t>
      </w:r>
    </w:p>
    <w:p>
      <w:pPr>
        <w:spacing w:before="0" w:after="120"/>
      </w:pPr>
      <w:r>
        <w:rPr>
          <w:b/>
        </w:rPr>
        <w:t xml:space="preserve">Source: </w:t>
      </w:r>
      <w:r>
        <w:t>Journal of the American Chemical Society: Latest Articles (ACS Publications)</w:t>
      </w:r>
      <w:r>
        <w:t xml:space="preserve">    </w:t>
      </w:r>
      <w:r>
        <w:rPr>
          <w:b/>
        </w:rPr>
        <w:t xml:space="preserve">Pub date: </w:t>
      </w:r>
      <w:r>
        <w:t>2026-02-24 16:53:07+00:00</w:t>
      </w:r>
      <w:r>
        <w:t xml:space="preserve">    </w:t>
      </w:r>
      <w:r>
        <w:rPr>
          <w:b/>
        </w:rPr>
        <w:t xml:space="preserve">DOI: </w:t>
      </w:r>
      <w:hyperlink r:id="rId166">
        <w:r>
          <w:rPr>
            <w:color w:val="1155CC"/>
            <w:u w:val="single"/>
          </w:rPr>
          <w:t>10.1021/jacs.5c20976</w:t>
        </w:r>
      </w:hyperlink>
    </w:p>
    <w:p>
      <w:pPr>
        <w:spacing w:before="0" w:after="120"/>
      </w:pPr>
      <w:r>
        <w:rPr>
          <w:b/>
        </w:rPr>
        <w:t xml:space="preserve">Notes: </w:t>
      </w:r>
      <w:r>
        <w:t>abstract_source=openalex</w:t>
      </w:r>
    </w:p>
    <w:p>
      <w:pPr>
        <w:spacing w:before="0" w:after="80" w:lineRule="auto" w:line="276"/>
      </w:pPr>
      <w:r>
        <w:rPr>
          <w:b/>
        </w:rPr>
        <w:t xml:space="preserve">摘要（ZH）: </w:t>
      </w:r>
      <w:r>
        <w:t>有效的碳捕集材料对于缓解气候变化和支持可持续工业过程至关重要。然而，开发具有高二氧化碳容量、优越选择性和长期稳定性的可扩展、成本效益高的吸附剂仍然是一个重大挑战。在此，我们通过成熟的工业过程实现了通过高岭土粘土的原子重组合成Linde Type A沸石，达到了5.0 mmol g–1的高二氧化碳吸附容量，并具有良好的循环稳定性。从层状到立方框架的转变以及扩大空隙空间显著增强了二氧化碳的容纳能力。此外，制备的沸石表现出优异的二氧化碳/氮气选择性（5%二氧化碳时为178）和强大的</w:t>
      </w:r>
    </w:p>
    <w:p>
      <w:pPr>
        <w:spacing w:before="0" w:after="200" w:lineRule="auto" w:line="276"/>
      </w:pPr>
      <w:r>
        <w:rPr>
          <w:b/>
        </w:rPr>
        <w:t xml:space="preserve">Abstract (EN): </w:t>
      </w:r>
      <w:r>
        <w:t>Effective carbon capture materials are crucial for mitigating climate change and supporting sustainable industrial processes. However, developing scalable, cost-effective adsorbents with high carbon dioxide capacity, superior selectivity, and long-term stability remains a major challenge. Here, we report the scalable synthesis of Linde Type A zeolite via atomic reassembly of halloysite clay using mature industrial processes, achieving a high carbon dioxide adsorption capacity of 5.0 mmol g–1 with good cyclic stability. The transformation from a layered to a cubic framework with enlarged vacant spaces significantly enhances carbon dioxide accommodation. Additionally, the as-prepared zeolite demonstrates outstanding carbon dioxide/nitrogen selectivity (178 for 5% carbon dioxide) and robust thermal stability over multiple adsorption–desorption cycles. In situ tests reveal that adsorption is primarily governed by weakly bound interactions, allowing for the easy regeneration. This study presents a promising and scalable strategy for developing high-performance adsorbents toward gigaton-scale carbon dioxide capture applications.</w:t>
      </w:r>
    </w:p>
    <w:p>
      <w:pPr>
        <w:spacing w:before="120" w:after="120"/>
      </w:pPr>
      <w:r>
        <w:rPr>
          <w:sz w:val="18"/>
        </w:rPr>
        <w:t>——————————————————————————————————————————————————————————————————————</w:t>
      </w:r>
    </w:p>
    <w:p>
      <w:pPr>
        <w:spacing w:before="160" w:after="40" w:line="240" w:lineRule="auto"/>
      </w:pPr>
      <w:r>
        <w:rPr>
          <w:b/>
        </w:rPr>
        <w:t xml:space="preserve">[7] </w:t>
      </w:r>
      <w:hyperlink r:id="rId167">
        <w:r>
          <w:rPr>
            <w:color w:val="1155CC"/>
            <w:u w:val="single"/>
          </w:rPr>
          <w:t>使用集成空间和多标准决策分析的情景响应CO₂捕获和电化学转换系统选址框架</w:t>
        </w:r>
      </w:hyperlink>
    </w:p>
    <w:p>
      <w:pPr>
        <w:spacing w:before="0" w:after="80"/>
      </w:pPr>
      <w:r>
        <w:rPr>
          <w:i/>
          <w:sz w:val="20"/>
        </w:rPr>
        <w:t>EN: A scenario-responsive siting framework of CO₂ capture and electrochemical conversion systems using integrated spatial and multi-criteria decision analysis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8">
        <w:r>
          <w:rPr>
            <w:color w:val="1155CC"/>
            <w:u w:val="single"/>
          </w:rPr>
          <w:t>理解和减缓用于CO2直接空气捕集的胺基吸附剂的降解</w:t>
        </w:r>
      </w:hyperlink>
    </w:p>
    <w:p>
      <w:pPr>
        <w:spacing w:before="0" w:after="80"/>
      </w:pPr>
      <w:r>
        <w:rPr>
          <w:i/>
          <w:sz w:val="20"/>
        </w:rPr>
        <w:t>EN: Understanding and mitigating degradation in amine-based sorbents for CO2 direct air capture</w:t>
      </w:r>
    </w:p>
    <w:p>
      <w:pPr>
        <w:spacing w:before="0" w:after="120"/>
      </w:pPr>
      <w:r>
        <w:rPr>
          <w:b/>
        </w:rPr>
        <w:t xml:space="preserve">Source: </w:t>
      </w:r>
      <w:r>
        <w:t>Chem</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通过胺基吸附剂直接从空气中捕获CO2目前受到吸附剂降解的限制。本综述将降解机制与吸附剂化学和工艺条件联系起来，讨论了更耐用材料的设计策略，并概述了提高吸附剂寿命的未来方向。</w:t>
      </w:r>
    </w:p>
    <w:p>
      <w:pPr>
        <w:spacing w:before="0" w:after="200" w:lineRule="auto" w:line="276"/>
      </w:pPr>
      <w:r>
        <w:rPr>
          <w:b/>
        </w:rPr>
        <w:t xml:space="preserve">Abstract (EN): </w:t>
      </w:r>
      <w:r>
        <w:t>Direct air capture of CO2 via amine-based sorbents is currently limited by sorbent degradation. This review connects mechanisms of degradation to sorbent chemistry and process conditions, discusses design strategies for more durable materials, and outlines future directions for improving sorbent lifetime.</w:t>
      </w:r>
    </w:p>
    <w:p>
      <w:pPr>
        <w:spacing w:before="120" w:after="120"/>
      </w:pPr>
      <w:r>
        <w:rPr>
          <w:sz w:val="18"/>
        </w:rPr>
        <w:t>——————————————————————————————————————————————————————————————————————</w:t>
      </w:r>
    </w:p>
    <w:p>
      <w:pPr>
        <w:spacing w:before="160" w:after="40" w:line="240" w:lineRule="auto"/>
      </w:pPr>
      <w:r>
        <w:rPr>
          <w:b/>
        </w:rPr>
        <w:t xml:space="preserve">[9] </w:t>
      </w:r>
      <w:hyperlink r:id="rId169">
        <w:r>
          <w:rPr>
            <w:color w:val="1155CC"/>
            <w:u w:val="single"/>
          </w:rPr>
          <w:t>[ASAP] 界面吸附物竞争调节酸性CO2电还原中的中间体稳定性和起始电位</w:t>
        </w:r>
      </w:hyperlink>
    </w:p>
    <w:p>
      <w:pPr>
        <w:spacing w:before="0" w:after="80"/>
      </w:pPr>
      <w:r>
        <w:rPr>
          <w:i/>
          <w:sz w:val="20"/>
        </w:rPr>
        <w:t>EN: [ASAP] Interfacial Adsorbate Competition Regulates Intermediate Stabilization and Onset Potential in Acidic CO2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2026-02-26 12:45:54+00:00</w:t>
      </w:r>
      <w:r>
        <w:t xml:space="preserve">    </w:t>
      </w:r>
      <w:r>
        <w:rPr>
          <w:b/>
        </w:rPr>
        <w:t xml:space="preserve">DOI: </w:t>
      </w:r>
      <w:hyperlink r:id="rId170">
        <w:r>
          <w:rPr>
            <w:color w:val="1155CC"/>
            <w:u w:val="single"/>
          </w:rPr>
          <w:t>10.1021/jacs.5c22970</w:t>
        </w:r>
      </w:hyperlink>
    </w:p>
    <w:p>
      <w:pPr>
        <w:spacing w:before="0" w:after="120"/>
      </w:pPr>
      <w:r>
        <w:rPr>
          <w:b/>
        </w:rPr>
        <w:t xml:space="preserve">Notes: </w:t>
      </w:r>
      <w:r>
        <w:t>abstract_source=pubmed</w:t>
      </w:r>
    </w:p>
    <w:p>
      <w:pPr>
        <w:spacing w:before="0" w:after="80" w:lineRule="auto" w:line="276"/>
      </w:pPr>
      <w:r>
        <w:rPr>
          <w:b/>
        </w:rPr>
        <w:t xml:space="preserve">摘要（ZH）: </w:t>
      </w:r>
      <w:r>
        <w:t>在酸性条件下进行电化学CO2还原（CO2R）可能实现高碳利用率，但面临选择性挑战，特别是氢析出反应（HER）。虽然质子来源和阳离子浓度在这种平衡中起作用，但阴离子的作用仍未被充分探索。在此，我们结合在酸性条件下进行CO2R时的原位表面增强拉曼光谱与理论模拟，研究阴离子物种在铜气体扩散电极上的作用，应用于相关电流密度（高达0.2 A·cm-2）和性能。我们的观察表明，硫酸根吸附在低pH下抑制CO2R，并延迟CO2R中间体的形成，这由羟基物种的共吸附所促进。这种竞争调节了*CO的稳定性和平衡的*CO覆盖。</w:t>
      </w:r>
    </w:p>
    <w:p>
      <w:pPr>
        <w:spacing w:before="0" w:after="200" w:lineRule="auto" w:line="276"/>
      </w:pPr>
      <w:r>
        <w:rPr>
          <w:b/>
        </w:rPr>
        <w:t xml:space="preserve">Abstract (EN): </w:t>
      </w:r>
      <w:r>
        <w:t>Electrochemical CO2 reduction (CO2R) in acid may enable high carbon utilization but faces selectivity challenges, particularly from the Hydrogen Evolution Reaction (HER). While the source of protons and cation concentrations play a role in this balance, the role of anions remains underexplored. Here, we combine in situ surface-enhanced Raman Spectroscopy during CO2R in acid with theoretical simulations to investigate the role of anionic species over copper gas diffusion electrodes at application-relevant current densities (up to 0.2 A·cm-2) and performance. Our observations reveal that sulfate adsorption inhibits CO2R at low pH and delays CO2R intermediate formation, which is enabled by hydroxyl species coadsorption. Such competition regulates *CO stabilization and the balanced *CO coverage needed to favor the formation of multicarbon products. These results shed light on how anion interactions govern CO2R selectivity under acidic conditions and their impact on overpotentials, offering guidance on catalyst-electrolyte interface design.</w:t>
      </w:r>
    </w:p>
    <w:p>
      <w:pPr>
        <w:spacing w:before="120" w:after="120"/>
      </w:pPr>
      <w:r>
        <w:rPr>
          <w:sz w:val="18"/>
        </w:rPr>
        <w:t>——————————————————————————————————————————————————————————————————————</w:t>
      </w:r>
    </w:p>
    <w:p>
      <w:pPr>
        <w:spacing w:before="160" w:after="40" w:line="240" w:lineRule="auto"/>
      </w:pPr>
      <w:r>
        <w:rPr>
          <w:b/>
        </w:rPr>
        <w:t xml:space="preserve">[10] </w:t>
      </w:r>
      <w:hyperlink r:id="rId171">
        <w:r>
          <w:rPr>
            <w:color w:val="1155CC"/>
            <w:u w:val="single"/>
          </w:rPr>
          <w:t>阳离子在电催化还原CO2和CO中的新兴作用</w:t>
        </w:r>
      </w:hyperlink>
    </w:p>
    <w:p>
      <w:pPr>
        <w:spacing w:before="0" w:after="80"/>
      </w:pPr>
      <w:r>
        <w:rPr>
          <w:i/>
          <w:sz w:val="20"/>
        </w:rPr>
        <w:t>EN: Emerging roles of cations in electrocatalytic reduction of CO2 and CO</w:t>
      </w:r>
    </w:p>
    <w:p>
      <w:pPr>
        <w:spacing w:before="0" w:after="120"/>
      </w:pPr>
      <w:r>
        <w:rPr>
          <w:b/>
        </w:rPr>
        <w:t xml:space="preserve">Source: </w:t>
      </w:r>
      <w:r>
        <w:t>Nature Energy</w:t>
      </w:r>
      <w:r>
        <w:t xml:space="preserve">    </w:t>
      </w:r>
      <w:r>
        <w:rPr>
          <w:b/>
        </w:rPr>
        <w:t xml:space="preserve">Pub date: </w:t>
      </w:r>
      <w:r>
        <w:t>2026-02-27 00:00:00+00:00</w:t>
      </w:r>
      <w:r>
        <w:t xml:space="preserve">    </w:t>
      </w:r>
      <w:r>
        <w:rPr>
          <w:b/>
        </w:rPr>
        <w:t xml:space="preserve">DOI: </w:t>
      </w:r>
      <w:hyperlink r:id="rId172">
        <w:r>
          <w:rPr>
            <w:color w:val="1155CC"/>
            <w:u w:val="single"/>
          </w:rPr>
          <w:t>10.1038/s41560-026-01973-3</w:t>
        </w:r>
      </w:hyperlink>
    </w:p>
    <w:p>
      <w:pPr>
        <w:spacing w:before="0" w:after="120"/>
      </w:pPr>
      <w:r>
        <w:rPr>
          <w:b/>
        </w:rPr>
        <w:t xml:space="preserve">Notes: </w:t>
      </w:r>
      <w:r>
        <w:t>abstract_source=nature_html</w:t>
      </w:r>
    </w:p>
    <w:p>
      <w:pPr>
        <w:spacing w:before="0" w:after="80" w:lineRule="auto" w:line="276"/>
      </w:pPr>
      <w:r>
        <w:rPr>
          <w:b/>
        </w:rPr>
        <w:t xml:space="preserve">摘要（ZH）: </w:t>
      </w:r>
      <w:r>
        <w:t>电化学CO2和CO还原反应（CO(2)RR）代表了一种实现循环碳经济的有前途的策略。研究表明，阳离子对CO(2)RR的催化活性和选择性有显著影响；然而，涉及的机制仍存在争议。在本综述中，我们探讨了阳离子在CO(2)RR中的多方面作用，根据其在分子水平上的参与程度对其影响进行分类：作为间接介质、能量调节剂和电子转移过程的参与者。在每个层面上，我们批判性地评估了阳离子效应的关键机制假设、支持证据和现有矛盾。此外，我们强调了关键的知识空白和潜在的未来研究方向，特别是关于阳离子效应</w:t>
      </w:r>
    </w:p>
    <w:p>
      <w:pPr>
        <w:spacing w:before="0" w:after="200" w:lineRule="auto" w:line="276"/>
      </w:pPr>
      <w:r>
        <w:rPr>
          <w:b/>
        </w:rPr>
        <w:t xml:space="preserve">Abstract (EN): </w:t>
      </w:r>
      <w:r>
        <w:t>The electrochemical CO2 and CO reduction reactions (CO(2)RR) represent a promising strategy for enabling a circular carbon economy. Cations have been shown to have a substantial impact on catalytic activity and selectivity in CO(2)RR; however, the mechanisms in play remain debated. In this Review we explore the multifaceted roles of cations in CO(2)RR, categorizing their effects based on the degree of involvement at the molecular level: as indirect mediators, energetic modulators and participants in electron-transfer processes. At each level, we critically evaluate the key mechanistic hypotheses, supporting evidence and existing contradictions of cation effects. Furthermore, we highlight critical knowledge gaps and potential future research directions, in particular regarding cation effects on specific elementary steps in reaction pathways and catalyst-dependent behaviours, to advance our understanding of the interfacial chemistry and to enable the rational design and optimization of CO(2)RR.</w:t>
      </w:r>
    </w:p>
    <w:p>
      <w:pPr>
        <w:spacing w:before="120" w:after="120"/>
      </w:pPr>
      <w:r>
        <w:rPr>
          <w:sz w:val="18"/>
        </w:rPr>
        <w:t>——————————————————————————————————————————————————————————————————————</w:t>
      </w:r>
    </w:p>
    <w:p>
      <w:pPr>
        <w:spacing w:before="160" w:after="40" w:line="240" w:lineRule="auto"/>
      </w:pPr>
      <w:r>
        <w:rPr>
          <w:b/>
        </w:rPr>
        <w:t xml:space="preserve">[11] </w:t>
      </w:r>
      <w:hyperlink r:id="rId173">
        <w:r>
          <w:rPr>
            <w:color w:val="1155CC"/>
            <w:u w:val="single"/>
          </w:rPr>
          <w:t>CO2捕获与后修饰腈和苯乙烯-丁二烯-苯乙烯橡胶</w:t>
        </w:r>
      </w:hyperlink>
    </w:p>
    <w:p>
      <w:pPr>
        <w:spacing w:before="0" w:after="80"/>
      </w:pPr>
      <w:r>
        <w:rPr>
          <w:i/>
          <w:sz w:val="20"/>
        </w:rPr>
        <w:t>EN: CO2 capture with post-modified nitrile and styrene-butadiene-styrene rubbers</w:t>
      </w:r>
    </w:p>
    <w:p>
      <w:pPr>
        <w:spacing w:before="0" w:after="120"/>
      </w:pPr>
      <w:r>
        <w:rPr>
          <w:b/>
        </w:rPr>
        <w:t xml:space="preserve">Source: </w:t>
      </w:r>
      <w:r>
        <w:t>Chem</w:t>
      </w:r>
      <w:r>
        <w:t xml:space="preserve">    </w:t>
      </w:r>
      <w:r>
        <w:rPr>
          <w:b/>
        </w:rPr>
        <w:t xml:space="preserve">Pub date: </w:t>
      </w:r>
      <w:r>
        <w:t>2026-02-27 00:00:00+00:00</w:t>
      </w:r>
      <w:r>
        <w:t xml:space="preserve">    </w:t>
      </w:r>
      <w:r>
        <w:rPr>
          <w:b/>
        </w:rPr>
        <w:t xml:space="preserve">DOI: </w:t>
      </w:r>
      <w:hyperlink r:id="rId174">
        <w:r>
          <w:rPr>
            <w:color w:val="1155CC"/>
            <w:u w:val="single"/>
          </w:rPr>
          <w:t>10.1016/j.chempr.2025.102918</w:t>
        </w:r>
      </w:hyperlink>
    </w:p>
    <w:p>
      <w:pPr>
        <w:spacing w:before="0" w:after="120"/>
      </w:pPr>
      <w:r>
        <w:rPr>
          <w:b/>
        </w:rPr>
        <w:t xml:space="preserve">Notes: </w:t>
      </w:r>
      <w:r>
        <w:t>abstract_source=rss_cell</w:t>
      </w:r>
    </w:p>
    <w:p>
      <w:pPr>
        <w:spacing w:before="0" w:after="80" w:lineRule="auto" w:line="276"/>
      </w:pPr>
      <w:r>
        <w:rPr>
          <w:b/>
        </w:rPr>
        <w:t xml:space="preserve">摘要（ZH）: </w:t>
      </w:r>
      <w:r>
        <w:t>利用碳捕获来减缓气候变化是一个巨大的挑战，因为目前每年千兆吨级的CO2排放需要从易得且低成本的原料中获取大量的CO2吸附材料。这里显示了大量废弃物，如一次性丁腈手套或相关橡胶，可以转化为有效的吸附剂，潜在用于点源CO2捕获，如烟道气。这项工作展示了将废物升级再利用用于碳捕获的概念验证。</w:t>
      </w:r>
    </w:p>
    <w:p>
      <w:pPr>
        <w:spacing w:before="0" w:after="200" w:lineRule="auto" w:line="276"/>
      </w:pPr>
      <w:r>
        <w:rPr>
          <w:b/>
        </w:rPr>
        <w:t xml:space="preserve">Abstract (EN): </w:t>
      </w:r>
      <w:r>
        <w:t>Using carbon capture to abate climate change is an immense challenge due to the current gigaton-per-year scale CO2 emissions, which will require enormous amounts of CO2-sorbing materials from readily available and low-cost feedstocks. Substantial waste fractions, such as single-use nitrile gloves or related rubbers, are shown here to be converted into effective adsorbents for potential use within point-source CO2 capture, such as from flue gases. This work shows a proof of concept to upcycle waste to be used for carbon capture.</w:t>
      </w:r>
    </w:p>
    <w:p>
      <w:pPr>
        <w:spacing w:before="120" w:after="120"/>
      </w:pPr>
      <w:r>
        <w:rPr>
          <w:sz w:val="18"/>
        </w:rPr>
        <w:t>——————————————————————————————————————————————————————————————————————</w:t>
      </w:r>
    </w:p>
    <w:p>
      <w:pPr>
        <w:spacing w:before="160" w:after="40" w:line="240" w:lineRule="auto"/>
      </w:pPr>
      <w:r>
        <w:rPr>
          <w:b/>
        </w:rPr>
        <w:t xml:space="preserve">[12] </w:t>
      </w:r>
      <w:hyperlink r:id="rId175">
        <w:r>
          <w:rPr>
            <w:color w:val="1155CC"/>
            <w:u w:val="single"/>
          </w:rPr>
          <w:t>从捕获后液体中电气化释放纯CO2：两阶段系统降低总能耗</w:t>
        </w:r>
      </w:hyperlink>
    </w:p>
    <w:p>
      <w:pPr>
        <w:spacing w:before="0" w:after="80"/>
      </w:pPr>
      <w:r>
        <w:rPr>
          <w:i/>
          <w:sz w:val="20"/>
        </w:rPr>
        <w:t>EN: Electrified release of pure CO2 from postcapture liquid: A two-stage system lowers the total energy cost</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176">
        <w:r>
          <w:rPr>
            <w:color w:val="1155CC"/>
            <w:u w:val="single"/>
          </w:rPr>
          <w:t>10.1073/pnas.2528655123</w:t>
        </w:r>
      </w:hyperlink>
    </w:p>
    <w:p>
      <w:pPr>
        <w:spacing w:before="0" w:after="120"/>
      </w:pPr>
      <w:r>
        <w:rPr>
          <w:b/>
        </w:rPr>
        <w:t xml:space="preserve">Notes: </w:t>
      </w:r>
      <w:r>
        <w:t>abstract_source=crossref</w:t>
      </w:r>
    </w:p>
    <w:p>
      <w:pPr>
        <w:spacing w:before="0" w:after="80" w:lineRule="auto" w:line="276"/>
      </w:pPr>
      <w:r>
        <w:rPr>
          <w:b/>
        </w:rPr>
        <w:t xml:space="preserve">摘要（ZH）: </w:t>
      </w:r>
      <w:r>
        <w:t>电气化碳捕获和释放在碳管理中具有前景；但其受限于高能耗。在此，我们研究了两种电化学CO</w:t>
      </w:r>
      <w:r>
        <w:rPr>
          <w:vertAlign w:val="subscript"/>
        </w:rPr>
        <w:t>2</w:t>
      </w:r>
      <w:r>
        <w:t>从直接空气捕获（DAC）后捕获液体中释放的候选系统：第一种，氢循环电池，电力效率高，但其产生的CO</w:t>
      </w:r>
      <w:r>
        <w:rPr>
          <w:vertAlign w:val="subscript"/>
        </w:rPr>
        <w:t>2</w:t>
      </w:r>
      <w:r>
        <w:t>与H</w:t>
      </w:r>
      <w:r>
        <w:rPr>
          <w:vertAlign w:val="subscript"/>
        </w:rPr>
        <w:t>2</w:t>
      </w:r>
      <w:r>
        <w:t>混合，导致额外的3到4 GJ/吨CO</w:t>
      </w:r>
      <w:r>
        <w:rPr>
          <w:vertAlign w:val="subscript"/>
        </w:rPr>
        <w:t>2</w:t>
      </w:r>
      <w:r>
        <w:t>的能量分离成本。第二种系统，固态金属氧化物氧化还原对（质子海绵），避免了气体分离的挑战，但仅在碳酸氢盐而非高碱性环境中稳定。这些考虑促使我们研究一种两</w:t>
      </w:r>
    </w:p>
    <w:p>
      <w:pPr>
        <w:spacing w:before="0" w:after="200" w:lineRule="auto" w:line="276"/>
      </w:pPr>
      <w:r>
        <w:rPr>
          <w:b/>
        </w:rPr>
        <w:t xml:space="preserve">Abstract (EN): </w:t>
      </w:r>
      <w:r>
        <w:t>Electrified carbon capture and release holds promise in carbon management; but it is constrained by high energy demand. Here, we studied two candidate systems for electrochemical CO</w:t>
      </w:r>
      <w:r>
        <w:rPr>
          <w:vertAlign w:val="subscript"/>
        </w:rPr>
        <w:t>2</w:t>
      </w:r>
      <w:r>
        <w:t>release from a direct air capture (DAC) postcapture liquid: The first, a hydrogen loop cell, is electricity-efficient, but its evolved CO</w:t>
      </w:r>
      <w:r>
        <w:rPr>
          <w:vertAlign w:val="subscript"/>
        </w:rPr>
        <w:t>2</w:t>
      </w:r>
      <w:r>
        <w:t>is mixed with H</w:t>
      </w:r>
      <w:r>
        <w:rPr>
          <w:vertAlign w:val="subscript"/>
        </w:rPr>
        <w:t>2</w:t>
      </w:r>
      <w:r>
        <w:t>, introducing a 3 to 4 GJ/tonCO</w:t>
      </w:r>
      <w:r>
        <w:rPr>
          <w:vertAlign w:val="subscript"/>
        </w:rPr>
        <w:t>2</w:t>
      </w:r>
      <w:r>
        <w:t>additional energy separation cost. The second system, a solid-state metal oxide redox couple (proton sponge), avoids the gas separation challenge but is stable only in the bicarbonate and not the highly alkaline regime. These considerations led us to examine a two-stage system: An efficient hydrogen loop would first downshift the pH from 13.5 to 9; and a second metal oxide would be used to release CO</w:t>
      </w:r>
      <w:r>
        <w:rPr>
          <w:vertAlign w:val="subscript"/>
        </w:rPr>
        <w:t>2</w:t>
      </w:r>
      <w:r>
        <w:t>from bicarbonate. We report an electrified process that provides the release of a pure CO</w:t>
      </w:r>
      <w:r>
        <w:rPr>
          <w:vertAlign w:val="subscript"/>
        </w:rPr>
        <w:t>2</w:t>
      </w:r>
      <w:r>
        <w:t>stream from a post-DAC liquid with a measured total energy of ~4.5 GJ/tonCO</w:t>
      </w:r>
      <w:r>
        <w:rPr>
          <w:vertAlign w:val="subscript"/>
        </w:rPr>
        <w:t>2</w:t>
      </w:r>
      <w:r>
        <w:t>: 2.4 GJ from the H</w:t>
      </w:r>
      <w:r>
        <w:rPr>
          <w:vertAlign w:val="subscript"/>
        </w:rPr>
        <w:t>2</w:t>
      </w:r>
      <w:r>
        <w:t>looping stage and 2.1 GJ from the MnO</w:t>
      </w:r>
      <w:r>
        <w:rPr>
          <w:vertAlign w:val="subscript"/>
        </w:rPr>
        <w:t>2</w:t>
      </w:r>
      <w:r>
        <w:t>-based stage—substantially lower than the &amp;gt;=10 GJ/tonCO</w:t>
      </w:r>
      <w:r>
        <w:rPr>
          <w:vertAlign w:val="subscript"/>
        </w:rPr>
        <w:t>2</w:t>
      </w:r>
      <w:r>
        <w:t>required by pH-swing methods such as bipolar membrane electrodialysis. We conclude with a generalized analysis of how staged pH downshifting reduces the overall Nernst voltage penalty and facilitates energy-efficient CO</w:t>
      </w:r>
      <w:r>
        <w:rPr>
          <w:vertAlign w:val="subscript"/>
        </w:rPr>
        <w:t>2</w:t>
      </w:r>
      <w:r>
        <w:t>release.</w:t>
      </w:r>
    </w:p>
    <w:p>
      <w:pPr>
        <w:spacing w:before="120" w:after="120"/>
      </w:pPr>
      <w:r>
        <w:rPr>
          <w:sz w:val="18"/>
        </w:rPr>
        <w:t>——————————————————————————————————————————————————————————————————————</w:t>
      </w:r>
    </w:p>
    <w:p>
      <w:pPr>
        <w:spacing w:before="160" w:after="40" w:line="240" w:lineRule="auto"/>
      </w:pPr>
      <w:r>
        <w:rPr>
          <w:b/>
        </w:rPr>
        <w:t xml:space="preserve">[13] </w:t>
      </w:r>
      <w:hyperlink r:id="rId177">
        <w:r>
          <w:rPr>
            <w:color w:val="1155CC"/>
            <w:u w:val="single"/>
          </w:rPr>
          <w:t>酸性介质CO2电解器的氧析出反应催化剂</w:t>
        </w:r>
      </w:hyperlink>
    </w:p>
    <w:p>
      <w:pPr>
        <w:spacing w:before="0" w:after="80"/>
      </w:pPr>
      <w:r>
        <w:rPr>
          <w:i/>
          <w:sz w:val="20"/>
        </w:rPr>
        <w:t>EN: Oxygen Evolution Reaction Catalysts for Acidic‐Media CO2 Electrolyzers</w:t>
      </w:r>
    </w:p>
    <w:p>
      <w:pPr>
        <w:spacing w:before="0" w:after="120"/>
      </w:pPr>
      <w:r>
        <w:rPr>
          <w:b/>
        </w:rPr>
        <w:t xml:space="preserve">Source: </w:t>
      </w:r>
      <w:r>
        <w:t>Wiley: Advanced Materials: Table of Contents</w:t>
      </w:r>
      <w:r>
        <w:t xml:space="preserve">    </w:t>
      </w:r>
      <w:r>
        <w:rPr>
          <w:b/>
        </w:rPr>
        <w:t xml:space="preserve">Pub date: </w:t>
      </w:r>
      <w:r>
        <w:t>2026-02-28 07:01:14+00:00</w:t>
      </w:r>
      <w:r>
        <w:t xml:space="preserve">    </w:t>
      </w:r>
      <w:r>
        <w:rPr>
          <w:b/>
        </w:rPr>
        <w:t xml:space="preserve">DOI: </w:t>
      </w:r>
      <w:hyperlink r:id="rId178">
        <w:r>
          <w:rPr>
            <w:color w:val="1155CC"/>
            <w:u w:val="single"/>
          </w:rPr>
          <w:t>10.1002/adma.72644</w:t>
        </w:r>
      </w:hyperlink>
    </w:p>
    <w:p>
      <w:pPr>
        <w:spacing w:before="0" w:after="120"/>
      </w:pPr>
      <w:r>
        <w:rPr>
          <w:b/>
        </w:rPr>
        <w:t xml:space="preserve">Notes: </w:t>
      </w:r>
      <w:r>
        <w:t>abstract_source=pubmed</w:t>
      </w:r>
    </w:p>
    <w:p>
      <w:pPr>
        <w:spacing w:before="0" w:after="80" w:lineRule="auto" w:line="276"/>
      </w:pPr>
      <w:r>
        <w:rPr>
          <w:b/>
        </w:rPr>
        <w:t xml:space="preserve">摘要（ZH）: </w:t>
      </w:r>
      <w:r>
        <w:t>酸性介质电化学CO2还原（CO2R）提供了高单程CO2转化率（SPCE）和低净化成本，但依赖于稀有贵金属（如铱和钌）进行阳极氧气析出反应（OER）。这些催化剂的有限丰度限制了大规模部署。借鉴质子交换膜水电解（PEMWE）的经验，本综述将酸性介质OER催化的最新进展与系统级CO2R结合起来。它从机制理解和理论建模到电极结构和操作优化提供了跨尺度的视角，强调如何设计贵金属和非贵金属催化剂以增强活性、稳定性和资源效率。综述还概述了诊断分析</w:t>
      </w:r>
    </w:p>
    <w:p>
      <w:pPr>
        <w:spacing w:before="0" w:after="200" w:lineRule="auto" w:line="276"/>
      </w:pPr>
      <w:r>
        <w:rPr>
          <w:b/>
        </w:rPr>
        <w:t xml:space="preserve">Abstract (EN): </w:t>
      </w:r>
      <w:r>
        <w:t>Acidic-media electrochemical CO2 reduction (CO2R) offers high single-pass CO2 conversion (SPCE) and low purification cost, yet relies on scarce noble metals (e.g., iridium and ruthenium) for the anodic oxygen evolution reaction (OER). The limited abundance of these catalysts constrains large-scale deployment. Drawing lessons from proton-exchange membrane water electrolysis (PEMWE), this review integrates recent progress in acidic-media OER catalysis with system-level CO2R. It provides a cross-scale perspective from mechanistic understanding and theoretical modeling to electrode architecture and operational optimization, highlighting how noble- and non-noble-metal catalysts can be engineered for enhanced activity, stability, and resource efficiency. The review further outlines diagnostic and computational approaches that connect atomic-level descriptors with macroscopic durability. By bridging mechanistic insights and scalable system design, this work establishes a roadmap toward durable and economically viable acidic-media CO2 electrolyzers.</w:t>
      </w:r>
    </w:p>
    <w:p>
      <w:pPr>
        <w:spacing w:before="120" w:after="120"/>
      </w:pPr>
      <w:r>
        <w:rPr>
          <w:sz w:val="18"/>
        </w:rPr>
        <w:t>——————————————————————————————————————————————————————————————————————</w:t>
      </w:r>
    </w:p>
    <w:p>
      <w:pPr>
        <w:spacing w:before="160" w:after="40" w:line="240" w:lineRule="auto"/>
      </w:pPr>
      <w:r>
        <w:rPr>
          <w:b/>
        </w:rPr>
        <w:t xml:space="preserve">[14] </w:t>
      </w:r>
      <w:hyperlink r:id="rId179">
        <w:r>
          <w:rPr>
            <w:color w:val="1155CC"/>
            <w:u w:val="single"/>
          </w:rPr>
          <w:t>纳米限域多尺度金属催化剂：限域诱导的几何、电子和微环境调控用于选择性多电子CO2还原</w:t>
        </w:r>
      </w:hyperlink>
    </w:p>
    <w:p>
      <w:pPr>
        <w:spacing w:before="0" w:after="80"/>
      </w:pPr>
      <w:r>
        <w:rPr>
          <w:i/>
          <w:sz w:val="20"/>
        </w:rPr>
        <w:t>EN: Nanoconfined Multi‐Scale Metal Catalysts: Confinement‐Induced Geometric, Electronic, and Microenvironment Regulation for Selective Multi‑Electron CO2 Reduction</w:t>
      </w:r>
    </w:p>
    <w:p>
      <w:pPr>
        <w:spacing w:before="0" w:after="120"/>
      </w:pPr>
      <w:r>
        <w:rPr>
          <w:b/>
        </w:rPr>
        <w:t xml:space="preserve">Source: </w:t>
      </w:r>
      <w:r>
        <w:t>Wiley: Advanced Energy Materials: Table of Contents</w:t>
      </w:r>
      <w:r>
        <w:t xml:space="preserve">    </w:t>
      </w:r>
      <w:r>
        <w:rPr>
          <w:b/>
        </w:rPr>
        <w:t xml:space="preserve">Pub date: </w:t>
      </w:r>
      <w:r>
        <w:t>2026-02-28 12:00:17+00:00</w:t>
      </w:r>
      <w:r>
        <w:t xml:space="preserve">    </w:t>
      </w:r>
      <w:r>
        <w:rPr>
          <w:b/>
        </w:rPr>
        <w:t xml:space="preserve">DOI: </w:t>
      </w:r>
      <w:hyperlink r:id="rId180">
        <w:r>
          <w:rPr>
            <w:color w:val="1155CC"/>
            <w:u w:val="single"/>
          </w:rPr>
          <w:t>10.1002/aenm.70795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81">
        <w:r>
          <w:rPr>
            <w:color w:val="1155CC"/>
            <w:u w:val="single"/>
          </w:rPr>
          <w:t>在不同天气条件下优化基于吸附的直接空气捕集的控制策略</w:t>
        </w:r>
      </w:hyperlink>
    </w:p>
    <w:p>
      <w:pPr>
        <w:spacing w:before="0" w:after="80"/>
      </w:pPr>
      <w:r>
        <w:rPr>
          <w:i/>
          <w:sz w:val="20"/>
        </w:rPr>
        <w:t>EN: Control strategies to optimize adsorption-based direct air capture under varying weather conditions</w:t>
      </w:r>
    </w:p>
    <w:p>
      <w:pPr>
        <w:spacing w:before="0" w:after="120"/>
      </w:pPr>
      <w:r>
        <w:rPr>
          <w:b/>
        </w:rPr>
        <w:t xml:space="preserve">Source: </w:t>
      </w:r>
      <w:r>
        <w:t>ScienceDirect Publication: Applied Energy</w:t>
      </w:r>
      <w:r>
        <w:t xml:space="preserve">    </w:t>
      </w:r>
      <w:r>
        <w:rPr>
          <w:b/>
        </w:rPr>
        <w:t xml:space="preserve">Pub date: </w:t>
      </w:r>
      <w:r>
        <w:t>2026-03-01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82">
        <w:r>
          <w:rPr>
            <w:color w:val="1155CC"/>
            <w:u w:val="single"/>
          </w:rPr>
          <w:t>[ASAP] 由元素硫驱动的聚苯乙烯太阳能升级回收</w:t>
        </w:r>
      </w:hyperlink>
    </w:p>
    <w:p>
      <w:pPr>
        <w:spacing w:before="0" w:after="80"/>
      </w:pPr>
      <w:r>
        <w:rPr>
          <w:i/>
          <w:sz w:val="20"/>
        </w:rPr>
        <w:t>EN: [ASAP] Solar-Driven Upcycling of Polystyrene Enabled by Elemental Sulfur</w:t>
      </w:r>
    </w:p>
    <w:p>
      <w:pPr>
        <w:spacing w:before="0" w:after="120"/>
      </w:pPr>
      <w:r>
        <w:rPr>
          <w:b/>
        </w:rPr>
        <w:t xml:space="preserve">Source: </w:t>
      </w:r>
      <w:r>
        <w:t>Journal of the American Chemical Society: Latest Articles (ACS Publications)</w:t>
      </w:r>
      <w:r>
        <w:t xml:space="preserve">    </w:t>
      </w:r>
      <w:r>
        <w:rPr>
          <w:b/>
        </w:rPr>
        <w:t xml:space="preserve">Pub date: </w:t>
      </w:r>
      <w:r>
        <w:t>2026-02-24 14:07:51+00:00</w:t>
      </w:r>
      <w:r>
        <w:t xml:space="preserve">    </w:t>
      </w:r>
      <w:r>
        <w:rPr>
          <w:b/>
        </w:rPr>
        <w:t xml:space="preserve">DOI: </w:t>
      </w:r>
      <w:hyperlink r:id="rId183">
        <w:r>
          <w:rPr>
            <w:color w:val="1155CC"/>
            <w:u w:val="single"/>
          </w:rPr>
          <w:t>10.1021/jacs.6c01318</w:t>
        </w:r>
      </w:hyperlink>
    </w:p>
    <w:p>
      <w:pPr>
        <w:spacing w:before="0" w:after="120"/>
      </w:pPr>
      <w:r>
        <w:rPr>
          <w:b/>
        </w:rPr>
        <w:t xml:space="preserve">Notes: </w:t>
      </w:r>
      <w:r>
        <w:t>abstract_source=openalex</w:t>
      </w:r>
    </w:p>
    <w:p>
      <w:pPr>
        <w:spacing w:before="0" w:after="80" w:lineRule="auto" w:line="276"/>
      </w:pPr>
      <w:r>
        <w:rPr>
          <w:b/>
        </w:rPr>
        <w:t xml:space="preserve">摘要（ZH）: </w:t>
      </w:r>
      <w:r>
        <w:t>聚苯乙烯（PS）是使用最广泛的塑料之一，其显著的低回收率促使人们考虑对废弃PS进行化学升级。氧化方法已被广泛研究，利用分子氧将PS升级为氧化产物。硫作为氧的同族元素，在PS升级中很少被利用。此外，元素硫目前面临年产过剩的问题。在此，我们报告了利用太阳能作为驱动力，将PS和元素硫共升级为2,4-二苯基噻吩和1,3,5-三苯基苯。该策略的实用性通过在无溶剂、环境空气条件下快速高效地转化各种消费后废弃PS塑料得以证明。光</w:t>
      </w:r>
    </w:p>
    <w:p>
      <w:pPr>
        <w:spacing w:before="0" w:after="200" w:lineRule="auto" w:line="276"/>
      </w:pPr>
      <w:r>
        <w:rPr>
          <w:b/>
        </w:rPr>
        <w:t xml:space="preserve">Abstract (EN): </w:t>
      </w:r>
      <w:r>
        <w:t>Polystyrene (PS) is one of the most widely used plastics, and its notably low recycling rate has prompted the consideration of chemical upcycling of waste PS. Oxidative methodologies have been extensively investigated, employing molecular oxygen to upcycle PS into oxygenated products. Sulfur, a group congener of oxygen, has rarely been exploited in PS upcycling. Furthermore, elemental sulfur currently confronts an issue of an annual production surplus. Here, we report the coupcycling of PS and elemental sulfur into 2,4-diphenylthiophene and 1,3,5-triphenylbenzene by leveraging solar energy as the driving force. The practicality of this strategy is demonstrated by the rapid and efficient conversion of various postconsumer waste PS plastics under solvent-free, ambient air conditions. The photothermal effect of elemental sulfur and the generation of sulfur radicals at elevated temperatures are critical to enable this transformation. Experimental and computational studies of dimeric and tetrameric PS model compounds show that sulfur-radical-mediated hydrogen atom abstraction is the key to sustaining the reaction. These findings provide valuable insights into the photothermal behavior and reaction characteristics of elemental sulfur and hold significant implications for polymer conversion.</w:t>
      </w:r>
    </w:p>
    <w:p>
      <w:pPr>
        <w:spacing w:before="120" w:after="120"/>
      </w:pPr>
      <w:r>
        <w:rPr>
          <w:sz w:val="18"/>
        </w:rPr>
        <w:t>——————————————————————————————————————————————————————————————————————</w:t>
      </w:r>
    </w:p>
    <w:p>
      <w:pPr>
        <w:spacing w:before="160" w:after="40" w:line="240" w:lineRule="auto"/>
      </w:pPr>
      <w:r>
        <w:rPr>
          <w:b/>
        </w:rPr>
        <w:t xml:space="preserve">[2] </w:t>
      </w:r>
      <w:hyperlink r:id="rId184">
        <w:r>
          <w:rPr>
            <w:color w:val="1155CC"/>
            <w:u w:val="single"/>
          </w:rPr>
          <w:t>从单一单体设计循环塑料</w:t>
        </w:r>
      </w:hyperlink>
    </w:p>
    <w:p>
      <w:pPr>
        <w:spacing w:before="0" w:after="80"/>
      </w:pPr>
      <w:r>
        <w:rPr>
          <w:i/>
          <w:sz w:val="20"/>
        </w:rPr>
        <w:t>EN: Designing circular plastics from a single monomer</w:t>
      </w:r>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85">
        <w:r>
          <w:rPr>
            <w:color w:val="1155CC"/>
            <w:u w:val="single"/>
          </w:rPr>
          <w:t>协同OH−/H2O工程和动态电位调制，通过使用H2O作为氧源高效升级PET废料为羟基乙酸</w:t>
        </w:r>
      </w:hyperlink>
    </w:p>
    <w:p>
      <w:pPr>
        <w:spacing w:before="0" w:after="80"/>
      </w:pPr>
      <w:r>
        <w:rPr>
          <w:i/>
          <w:sz w:val="20"/>
        </w:rPr>
        <w:t>EN: Synergistic OH−/H2O Engineering and Dynamic Potential Modulation for Efficient Upcycling of PET Waste to Glycolic Acid Using H2O as the Oxygen Source</w:t>
      </w:r>
    </w:p>
    <w:p>
      <w:pPr>
        <w:spacing w:before="0" w:after="120"/>
      </w:pPr>
      <w:r>
        <w:rPr>
          <w:b/>
        </w:rPr>
        <w:t xml:space="preserve">Source: </w:t>
      </w:r>
      <w:r>
        <w:t>Wiley: Angewandte Chemie International Edition: Table of Contents</w:t>
      </w:r>
      <w:r>
        <w:t xml:space="preserve">    </w:t>
      </w:r>
      <w:r>
        <w:rPr>
          <w:b/>
        </w:rPr>
        <w:t xml:space="preserve">Pub date: </w:t>
      </w:r>
      <w:r>
        <w:t>2026-02-26 14:35:25+00:00</w:t>
      </w:r>
      <w:r>
        <w:t xml:space="preserve">    </w:t>
      </w:r>
      <w:r>
        <w:rPr>
          <w:b/>
        </w:rPr>
        <w:t xml:space="preserve">DOI: </w:t>
      </w:r>
      <w:hyperlink r:id="rId186">
        <w:r>
          <w:rPr>
            <w:color w:val="1155CC"/>
            <w:u w:val="single"/>
          </w:rPr>
          <w:t>10.1002/anie.202521577</w:t>
        </w:r>
      </w:hyperlink>
    </w:p>
    <w:p>
      <w:pPr>
        <w:spacing w:before="0" w:after="120"/>
      </w:pPr>
      <w:r>
        <w:rPr>
          <w:b/>
        </w:rPr>
        <w:t xml:space="preserve">Notes: </w:t>
      </w:r>
      <w:r>
        <w:t>abstract_source=pubmed</w:t>
      </w:r>
    </w:p>
    <w:p>
      <w:pPr>
        <w:spacing w:before="0" w:after="80" w:lineRule="auto" w:line="276"/>
      </w:pPr>
      <w:r>
        <w:rPr>
          <w:b/>
        </w:rPr>
        <w:t xml:space="preserve">摘要（ZH）: </w:t>
      </w:r>
      <w:r>
        <w:t>通过使用H2O作为氧源的电催化将聚对苯二甲酸乙二醇酯（PET）衍生的乙二醇（EG）转化为增值的乙醇酸（GA）是一种可持续增值塑料废物的有前途的途径。然而，常用的Pt和Pd催化剂存在不理想的活性和快速失活的问题。在此，我们设计了一种AuPtPdRh中熵气凝胶（MEA），具有多位点协同作用，并结合动态电位调制策略，以实现高效的GA合成。AuPtPdRh MEA通过跨不同活性位点的电位接力型催化机制降低了整体能量障碍。电位扫步混合电解（PS-SHE）调制策略建立了一个“渐进预富集-脉冲清洗-再生”循环。</w:t>
      </w:r>
    </w:p>
    <w:p>
      <w:pPr>
        <w:spacing w:before="0" w:after="200" w:lineRule="auto" w:line="276"/>
      </w:pPr>
      <w:r>
        <w:rPr>
          <w:b/>
        </w:rPr>
        <w:t xml:space="preserve">Abstract (EN): </w:t>
      </w:r>
      <w:r>
        <w:t>The conversion of polyethylene terephthalate (PET)-derived ethylene glycol (EG) into value-added glycolic acid (GA) by electrocatalysis using H2O as an oxygen source is a promising pathway for the sustainable valorization of plastic waste. However, the commonly used Pt and Pd catalysts suffer from undesirable activity and fast deactivation. Herein, we designed a AuPtPdRh medium-entropy aerogel (MEA) with multi-site synergies, coupled with dynamic potential modulation strategy, to achieve efficient GA synthesis. The AuPtPdRh MEA reduces the overall energy barrier through a potential relay-type catalytic mechanism across distinct active sites. The potential sweep-step hybrid electrolysis (PS-SHE) modulation strategy establishes a "progressive pre-enrichment-pulsed cleaning-regeneration" cycle, which enhances catalytic activity and stability. This system achieves 98% Faradaic efficiency (FE) for GA (FEGA), as well as an GA production rate (PRGA) of up to 8.82 mmol cm-2 h-1. Additionally, it can maintain stable operation for 500 h at an ampere-level current density (0.25 A cm-2) in a membrane-free flow cell. The universality of this approach is further demonstrated for methanol, ethanol, and propanol electrooxidation, providing a versatile platform for biomass valorization.</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187">
        <w:r>
          <w:rPr>
            <w:color w:val="1155CC"/>
            <w:u w:val="single"/>
          </w:rPr>
          <w:t>无序的光采集聚合物可以在室温下承载功能性振动耦合</w:t>
        </w:r>
      </w:hyperlink>
    </w:p>
    <w:p>
      <w:pPr>
        <w:spacing w:before="0" w:after="80"/>
      </w:pPr>
      <w:r>
        <w:rPr>
          <w:i/>
          <w:sz w:val="20"/>
        </w:rPr>
        <w:t>EN: Disordered light-harvesting aggregates can host functional vibronic couplings at room temperature</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光合作用依赖于一组类似叶绿素的分子网络，这些分子共同导致高效的长程能量转移。低温下的证据表明，能量/电荷转移的机制细节必须涉及耦合的振动-电子（vibronic）状态。这些状态是否在生理温度下的大型光合聚合物中存活仍是一个未解的问题。对人工模板的平行研究依赖于与叶绿素不同的氰化物。我们在此报告卟啉纳米管的时间分辨光谱，通过偏振控制选择性探测耦合的Qx − Qy状态。电子态之间的早期时间交叉峰、其快速展宽以及量子节拍的各向异性振幅的存活，明确证明了</w:t>
      </w:r>
    </w:p>
    <w:p>
      <w:pPr>
        <w:spacing w:before="0" w:after="200" w:lineRule="auto" w:line="276"/>
      </w:pPr>
      <w:r>
        <w:rPr>
          <w:b/>
        </w:rPr>
        <w:t xml:space="preserve">Abstract (EN): </w:t>
      </w:r>
      <w:r>
        <w:t>Photosynthesis relies on a network of chlorophyll-like molecules which together lead to efficient long-range energy transfer. Evidence at cryogenic temperatures suggests that mechanistic details of energy/charge transfer must invoke coupled vibrational-electronic (vibronic) states. Whether these survive at physiological temperature in large photosynthetic aggregates is an open question. Parallel research on artificial templates has relied on cyanines which are unlike chlorophylls. Here we report time-resolved optical spectra of porphyrin nanotubes where we selectively probe coupled Qx − Qy states through polarization control. Early time cross peaks between electronic states, their rapid broadening and survival of quantum beats with anisotropic beating amplitude conclusively demonstrate that overlapping vibrational-electronic bands of photosynthetic aggregates indeed host functional vibronic couplings at room temperature. Calculations reveal that disorder is the vital ingredient that dramatically enhances intraband vibronic couplings across the entire Q band. The parameter regime where energetic disorder is of the order of dense Raman-active vibrations with weak reorganization energies may be the key design principle.</w:t>
      </w:r>
    </w:p>
    <w:p>
      <w:pPr>
        <w:spacing w:before="120" w:after="120"/>
      </w:pPr>
      <w:r>
        <w:rPr>
          <w:sz w:val="18"/>
        </w:rPr>
        <w:t>——————————————————————————————————————————————————————————————————————</w:t>
      </w:r>
    </w:p>
    <w:p>
      <w:pPr>
        <w:spacing w:before="160" w:after="40" w:line="240" w:lineRule="auto"/>
      </w:pPr>
      <w:r>
        <w:rPr>
          <w:b/>
        </w:rPr>
        <w:t xml:space="preserve">[2] </w:t>
      </w:r>
      <w:hyperlink r:id="rId188">
        <w:r>
          <w:rPr>
            <w:color w:val="1155CC"/>
            <w:u w:val="single"/>
          </w:rPr>
          <w:t>用于可持续建筑的可扩展水凝胶智能窗，具有保湿和低辐射特性</w:t>
        </w:r>
      </w:hyperlink>
    </w:p>
    <w:p>
      <w:pPr>
        <w:spacing w:before="0" w:after="80"/>
      </w:pPr>
      <w:r>
        <w:rPr>
          <w:i/>
          <w:sz w:val="20"/>
        </w:rPr>
        <w:t>EN: Scalable hydrogel smart windows with moisture retention and low-emissivity for sustainable buildings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89">
        <w:r>
          <w:rPr>
            <w:color w:val="1155CC"/>
            <w:u w:val="single"/>
          </w:rPr>
          <w:t>扩大浮动海上风电场安装：从传统到模块化策略</w:t>
        </w:r>
      </w:hyperlink>
    </w:p>
    <w:p>
      <w:pPr>
        <w:spacing w:before="0" w:after="80"/>
      </w:pPr>
      <w:r>
        <w:rPr>
          <w:i/>
          <w:sz w:val="20"/>
        </w:rPr>
        <w:t>EN: Scaling up floating offshore wind farm installation: From conventional to modular strategies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90">
        <w:r>
          <w:rPr>
            <w:color w:val="1155CC"/>
            <w:u w:val="single"/>
          </w:rPr>
          <w:t>科学家必须采取行动以防止核扩散</w:t>
        </w:r>
      </w:hyperlink>
    </w:p>
    <w:p>
      <w:pPr>
        <w:spacing w:before="0" w:after="80"/>
      </w:pPr>
      <w:r>
        <w:rPr>
          <w:i/>
          <w:sz w:val="20"/>
        </w:rPr>
        <w:t>EN: Scientists must step up to avert a nuclear breakout</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91">
        <w:r>
          <w:rPr>
            <w:color w:val="1155CC"/>
            <w:u w:val="single"/>
          </w:rPr>
          <w:t>中国正在对抗阿尔茨海默病。它的方法能教给世界其他地方什么？</w:t>
        </w:r>
      </w:hyperlink>
    </w:p>
    <w:p>
      <w:pPr>
        <w:spacing w:before="0" w:after="80"/>
      </w:pPr>
      <w:r>
        <w:rPr>
          <w:i/>
          <w:sz w:val="20"/>
        </w:rPr>
        <w:t>EN: China is waging war on Alzheimer’s. What can its approach teach the rest of the world?</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92">
        <w:r>
          <w:rPr>
            <w:color w:val="1155CC"/>
            <w:u w:val="single"/>
          </w:rPr>
          <w:t>核武器试验有害——没有理由重启</w:t>
        </w:r>
      </w:hyperlink>
    </w:p>
    <w:p>
      <w:pPr>
        <w:spacing w:before="0" w:after="80"/>
      </w:pPr>
      <w:r>
        <w:rPr>
          <w:i/>
          <w:sz w:val="20"/>
        </w:rPr>
        <w:t>EN: Nuclear weapons testing is harmful — there’s no case for a restart</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93">
        <w:r>
          <w:rPr>
            <w:color w:val="1155CC"/>
            <w:u w:val="single"/>
          </w:rPr>
          <w:t>COVID的起源：我们知道和不知道的</w:t>
        </w:r>
      </w:hyperlink>
    </w:p>
    <w:p>
      <w:pPr>
        <w:spacing w:before="0" w:after="80"/>
      </w:pPr>
      <w:r>
        <w:rPr>
          <w:i/>
          <w:sz w:val="20"/>
        </w:rPr>
        <w:t>EN: COVID’s origins: what we do and don’t know</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94">
        <w:r>
          <w:rPr>
            <w:color w:val="1155CC"/>
            <w:u w:val="single"/>
          </w:rPr>
          <w:t>仅凭证据无法拯救生物多样性：金苹果螺揭示了实施差距</w:t>
        </w:r>
      </w:hyperlink>
    </w:p>
    <w:p>
      <w:pPr>
        <w:spacing w:before="0" w:after="80"/>
      </w:pPr>
      <w:r>
        <w:rPr>
          <w:i/>
          <w:sz w:val="20"/>
        </w:rPr>
        <w:t>EN: Evidence alone won’t save biodiversity: the golden apple snail reveals an implementation gap</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95">
        <w:r>
          <w:rPr>
            <w:color w:val="1155CC"/>
            <w:u w:val="single"/>
          </w:rPr>
          <w:t>这种蚂蚁物种仅由蚁后组成——没有工蚁或雄蚁</w:t>
        </w:r>
      </w:hyperlink>
    </w:p>
    <w:p>
      <w:pPr>
        <w:spacing w:before="0" w:after="80"/>
      </w:pPr>
      <w:r>
        <w:rPr>
          <w:i/>
          <w:sz w:val="20"/>
        </w:rPr>
        <w:t>EN: This ant species is composed of only queens — no workers or males</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96">
        <w:r>
          <w:rPr>
            <w:color w:val="1155CC"/>
            <w:u w:val="single"/>
          </w:rPr>
          <w:t>在科学出版的环境足迹中考虑人工智能</w:t>
        </w:r>
      </w:hyperlink>
    </w:p>
    <w:p>
      <w:pPr>
        <w:spacing w:before="0" w:after="80"/>
      </w:pPr>
      <w:r>
        <w:rPr>
          <w:i/>
          <w:sz w:val="20"/>
        </w:rPr>
        <w:t>EN: Account for AI in the environmental footprint of scientific publishing</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7">
        <w:r>
          <w:rPr>
            <w:color w:val="1155CC"/>
            <w:u w:val="single"/>
          </w:rPr>
          <w:t>削减智利的气候研究资金将削弱科学和该地区</w:t>
        </w:r>
      </w:hyperlink>
    </w:p>
    <w:p>
      <w:pPr>
        <w:spacing w:before="0" w:after="80"/>
      </w:pPr>
      <w:r>
        <w:rPr>
          <w:i/>
          <w:sz w:val="20"/>
        </w:rPr>
        <w:t>EN: Defunding Chile’s climate research will undermine science and the region</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98">
        <w:r>
          <w:rPr>
            <w:color w:val="1155CC"/>
            <w:u w:val="single"/>
          </w:rPr>
          <w:t>科学历史的宝藏可能隐藏在显而易见的地方</w:t>
        </w:r>
      </w:hyperlink>
    </w:p>
    <w:p>
      <w:pPr>
        <w:spacing w:before="0" w:after="80"/>
      </w:pPr>
      <w:r>
        <w:rPr>
          <w:i/>
          <w:sz w:val="20"/>
        </w:rPr>
        <w:t>EN: Treasures of scientific history could be hiding in plain sight</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99">
        <w:r>
          <w:rPr>
            <w:color w:val="1155CC"/>
            <w:u w:val="single"/>
          </w:rPr>
          <w:t>污水系统秘密地将污染物飘散到空气中</w:t>
        </w:r>
      </w:hyperlink>
    </w:p>
    <w:p>
      <w:pPr>
        <w:spacing w:before="0" w:after="80"/>
      </w:pPr>
      <w:r>
        <w:rPr>
          <w:i/>
          <w:sz w:val="20"/>
        </w:rPr>
        <w:t>EN: Sewage systems secretly waft pollution into the air</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00">
        <w:r>
          <w:rPr>
            <w:color w:val="1155CC"/>
            <w:u w:val="single"/>
          </w:rPr>
          <w:t>贡献者角色分类工具必须用于记录作者身份的范围</w:t>
        </w:r>
      </w:hyperlink>
    </w:p>
    <w:p>
      <w:pPr>
        <w:spacing w:before="0" w:after="80"/>
      </w:pPr>
      <w:r>
        <w:rPr>
          <w:i/>
          <w:sz w:val="20"/>
        </w:rPr>
        <w:t>EN: The Contributor Role Taxonomy tool must serve to record extent of authorship</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01">
        <w:r>
          <w:rPr>
            <w:color w:val="1155CC"/>
            <w:u w:val="single"/>
          </w:rPr>
          <w:t>HIV储存库克隆中的动态抗原表达和细胞毒性T细胞抗性</w:t>
        </w:r>
      </w:hyperlink>
    </w:p>
    <w:p>
      <w:pPr>
        <w:spacing w:before="0" w:after="80"/>
      </w:pPr>
      <w:r>
        <w:rPr>
          <w:i/>
          <w:sz w:val="20"/>
        </w:rPr>
        <w:t>EN: Dynamic antigen expression and cytotoxic T cell resistance in HIV reservoir clones</w:t>
      </w:r>
    </w:p>
    <w:p>
      <w:pPr>
        <w:spacing w:before="0" w:after="120"/>
      </w:pPr>
      <w:r>
        <w:rPr>
          <w:b/>
        </w:rPr>
        <w:t xml:space="preserve">Source: </w:t>
      </w:r>
      <w:r>
        <w:t>Nature</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在ART期间，克隆性扩增的CD4+ T细胞携带具有反弹能力的HIV终生存在。潜伏性被认为是病毒根除的主要障碍，并且一直抵抗药理学逆转，然而持续的免疫压力似乎侵蚀了储存库。最近的进展让我们窥见了极其罕见的储存库携带细胞，暗示了持久性中的促生存特性。在此，我们分离并表征了真实的储存库克隆（ARCs），这些克隆在产生传染性病毒的同时强烈增殖和积累，而没有明显屈服于细胞病变。任何时候，只有小部分的ARCs表达HIV蛋白，这种状态与保守的宿主转录程序相关，但对强效T细胞刺激表现出显著的抵抗。尽管如此</w:t>
      </w:r>
    </w:p>
    <w:p>
      <w:pPr>
        <w:spacing w:before="0" w:after="200" w:lineRule="auto" w:line="276"/>
      </w:pPr>
      <w:r>
        <w:rPr>
          <w:b/>
        </w:rPr>
        <w:t xml:space="preserve">Abstract (EN): </w:t>
      </w:r>
      <w:r>
        <w:t>Clonally expanded CD4+ T-cells harboring rebound-competent HIV persist lifelong during ART1-5. Latency is considered the principal barrier to viral eradication and has resisted pharmacological reversal6,7, yet sustained immune pressure appears to erode reservoirs8-15. Recent advances have yielded glimpses into exceptionally rare reservoir-harboring cells, implicating pro-survival properties in persistence16-18. Here, we isolate and characterize authentic reservoir clones (ARCs) that robustly proliferate and accumulate while producing infectious virus, without overtly succumbing to cytopathicity. At any moment, only small fractions of ARCs expressed HIV proteins, a state associated with conserved host transcriptional programs but remarkably refractory to potent T-cell stimulation. Nevertheless, sustained co-culture with a CD8+ cytotoxic T-lymphocyte clone substantially culled proliferating ARCs, revealing time-integrated vulnerability to immune pressure. The corresponding ex vivo CD8+ T-cell response was poorly cytotoxic and in vivo erosion of ARCs occurred only slowly. A regulatory T-cell ARC displayed pronounced cell-intrinsic resistance to CTL—a longstanding hypothesis now directly demonstrated—linked to low oxidative stress and reversed with deferoxamine19, a hypoxic stress inducer and FDA-approved therapeutic. Overall, we provide novel insights into the vulnerabilities of reservoir clones to potent, sustained CTL pressure and highlight intrinsic resistance pathways as actionable therapeutic targets, opening opportunities for advancing immune-based HIV cure strategies.</w:t>
      </w:r>
    </w:p>
    <w:p>
      <w:pPr>
        <w:spacing w:before="120" w:after="120"/>
      </w:pPr>
      <w:r>
        <w:rPr>
          <w:sz w:val="18"/>
        </w:rPr>
        <w:t>——————————————————————————————————————————————————————————————————————</w:t>
      </w:r>
    </w:p>
    <w:p>
      <w:pPr>
        <w:spacing w:before="160" w:after="40" w:line="240" w:lineRule="auto"/>
      </w:pPr>
      <w:r>
        <w:rPr>
          <w:b/>
        </w:rPr>
        <w:t xml:space="preserve">[16] </w:t>
      </w:r>
      <w:hyperlink r:id="rId202">
        <w:r>
          <w:rPr>
            <w:color w:val="1155CC"/>
            <w:u w:val="single"/>
          </w:rPr>
          <w:t>作者更正：全球河流三角洲的沉降</w:t>
        </w:r>
      </w:hyperlink>
    </w:p>
    <w:p>
      <w:pPr>
        <w:spacing w:before="0" w:after="80"/>
      </w:pPr>
      <w:r>
        <w:rPr>
          <w:i/>
          <w:sz w:val="20"/>
        </w:rPr>
        <w:t>EN: Author Correction: Global subsidence of river deltas</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03">
        <w:r>
          <w:rPr>
            <w:color w:val="1155CC"/>
            <w:u w:val="single"/>
          </w:rPr>
          <w:t>双极化荧光DNA框架纳米材料</w:t>
        </w:r>
      </w:hyperlink>
    </w:p>
    <w:p>
      <w:pPr>
        <w:spacing w:before="0" w:after="80"/>
      </w:pPr>
      <w:r>
        <w:rPr>
          <w:i/>
          <w:sz w:val="20"/>
        </w:rPr>
        <w:t>EN: Dual-polarization fluorescent DNA framework nanomaterials</w:t>
      </w:r>
    </w:p>
    <w:p>
      <w:pPr>
        <w:spacing w:before="0" w:after="120"/>
      </w:pPr>
      <w:r>
        <w:rPr>
          <w:b/>
        </w:rPr>
        <w:t xml:space="preserve">Source: </w:t>
      </w:r>
      <w:r>
        <w:t>Chem</w:t>
      </w:r>
      <w:r>
        <w:t xml:space="preserve">    </w:t>
      </w:r>
      <w:r>
        <w:rPr>
          <w:b/>
        </w:rPr>
        <w:t xml:space="preserve">Pub date: </w:t>
      </w:r>
      <w:r>
        <w:t>2026-02-24 00:00:00+00:00</w:t>
      </w:r>
    </w:p>
    <w:p>
      <w:pPr>
        <w:spacing w:before="0" w:after="120"/>
      </w:pPr>
      <w:r>
        <w:rPr>
          <w:b/>
        </w:rPr>
        <w:t xml:space="preserve">Notes: </w:t>
      </w:r>
      <w:r>
        <w:t>abstract_source=rss_cell</w:t>
      </w:r>
    </w:p>
    <w:p>
      <w:pPr>
        <w:spacing w:before="0" w:after="80" w:lineRule="auto" w:line="276"/>
      </w:pPr>
      <w:r>
        <w:rPr>
          <w:b/>
        </w:rPr>
        <w:t xml:space="preserve">摘要（ZH）: </w:t>
      </w:r>
      <w:r>
        <w:t>DNA折纸提供了一种可编程的方法来将荧光分子排列成具有定制光学行为的结构。通过在DNA框架中编码染料的方向和相互作用，我们创建了发射两种不同偏振信号的结构，其平衡可以精确控制。这种内置的光学特征允许在无需复杂仪器的情况下读取DNA结构的3D方向。我们的方法为设计具有可定制、结构编码特性的荧光材料用于成像和光子应用提供了一种通用策略。</w:t>
      </w:r>
    </w:p>
    <w:p>
      <w:pPr>
        <w:spacing w:before="0" w:after="200" w:lineRule="auto" w:line="276"/>
      </w:pPr>
      <w:r>
        <w:rPr>
          <w:b/>
        </w:rPr>
        <w:t xml:space="preserve">Abstract (EN): </w:t>
      </w:r>
      <w:r>
        <w:t>DNA origami offers a programmable way to arrange fluorescent molecules into architectures with tailored optical behaviors. By encoding dye orientation and interactions within the DNA framework, we create structures that emit two distinct polarization signals whose balance can be precisely controlled. This built-in optical signature allows the 3D orientation of the DNA structures to be read out without complex instrumentation. Our approach provides a general strategy for designing fluorescent materials with customizable, structure-encoded properties for imaging and photonic applications.</w:t>
      </w:r>
    </w:p>
    <w:p>
      <w:pPr>
        <w:spacing w:before="120" w:after="120"/>
      </w:pPr>
      <w:r>
        <w:rPr>
          <w:sz w:val="18"/>
        </w:rPr>
        <w:t>——————————————————————————————————————————————————————————————————————</w:t>
      </w:r>
    </w:p>
    <w:p>
      <w:pPr>
        <w:spacing w:before="160" w:after="40" w:line="240" w:lineRule="auto"/>
      </w:pPr>
      <w:r>
        <w:rPr>
          <w:b/>
        </w:rPr>
        <w:t xml:space="preserve">[18] </w:t>
      </w:r>
      <w:hyperlink r:id="rId204">
        <w:r>
          <w:rPr>
            <w:color w:val="1155CC"/>
            <w:u w:val="single"/>
          </w:rPr>
          <w:t>用于半小时电价预测的可解释奇异谱分析深度学习模型</w:t>
        </w:r>
      </w:hyperlink>
    </w:p>
    <w:p>
      <w:pPr>
        <w:spacing w:before="0" w:after="80"/>
      </w:pPr>
      <w:r>
        <w:rPr>
          <w:i/>
          <w:sz w:val="20"/>
        </w:rPr>
        <w:t>EN: Explainable Singular Spectrum Analysis deep learning model for half-hourly electricity price prediction</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05">
        <w:r>
          <w:rPr>
            <w:color w:val="1155CC"/>
            <w:u w:val="single"/>
          </w:rPr>
          <w:t>用于可再生能源供电的电动汽车充电系统的流体假期模型：性能评估和成本最优电池尺寸</w:t>
        </w:r>
      </w:hyperlink>
    </w:p>
    <w:p>
      <w:pPr>
        <w:spacing w:before="0" w:after="80"/>
      </w:pPr>
      <w:r>
        <w:rPr>
          <w:i/>
          <w:sz w:val="20"/>
        </w:rPr>
        <w:t>EN: A fluid vacation model for renewable-powered electric vehicle charging systems: Performance evaluation and cost-optimal battery sizing</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06">
        <w:r>
          <w:rPr>
            <w:color w:val="1155CC"/>
            <w:u w:val="single"/>
          </w:rPr>
          <w:t>SAGE：面向物联网中联邦学习的可持续和绿色能源感知客户端选择</w:t>
        </w:r>
      </w:hyperlink>
    </w:p>
    <w:p>
      <w:pPr>
        <w:spacing w:before="0" w:after="80"/>
      </w:pPr>
      <w:r>
        <w:rPr>
          <w:i/>
          <w:sz w:val="20"/>
        </w:rPr>
        <w:t>EN: SAGE: Sustainable and green energy-aware client selection for federated learning in IoT</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07">
        <w:r>
          <w:rPr>
            <w:color w:val="1155CC"/>
            <w:u w:val="single"/>
          </w:rPr>
          <w:t>大环超分子系统中的发光</w:t>
        </w:r>
      </w:hyperlink>
    </w:p>
    <w:p>
      <w:pPr>
        <w:spacing w:before="0" w:after="80"/>
      </w:pPr>
      <w:r>
        <w:rPr>
          <w:i/>
          <w:sz w:val="20"/>
        </w:rPr>
        <w:t>EN: Luminescence in macrocyclic supramolecular systems</w:t>
      </w:r>
    </w:p>
    <w:p>
      <w:pPr>
        <w:spacing w:before="0" w:after="120"/>
      </w:pPr>
      <w:r>
        <w:rPr>
          <w:b/>
        </w:rPr>
        <w:t xml:space="preserve">Source: </w:t>
      </w:r>
      <w:r>
        <w:t>RSC - Chem. Soc. Rev.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大环超分子发光系统在超分子化学和材料科学的发展中起着重要作用，通过非共价相互作用实现对发光特性的精确控制，提供了传统发光系统的强大替代方案。大环主体通过利用主体–客体相互作用来提高发光效率、产生新的发光特性并促进刺激响应行为，为构建先进的超分子发光系统提供了理想的平台。因此，新的超分子发光系统的发展正成为超分子和大环化学的前沿和热点话题。因此，在这篇综述中，我们介绍了构建和应用的最新进展</w:t>
      </w:r>
    </w:p>
    <w:p>
      <w:pPr>
        <w:spacing w:before="0" w:after="200" w:lineRule="auto" w:line="276"/>
      </w:pPr>
      <w:r>
        <w:rPr>
          <w:b/>
        </w:rPr>
        <w:t xml:space="preserve">Abstract (EN): </w:t>
      </w:r>
      <w:r>
        <w:t>Macrocyclic supramolecular luminescent systems play an important role in the development of supramolecular chemistry and materials science, offering a powerful alternative to conventional luminescent systems by enabling precise control over emission properties through non-covalent interactions. Macrocyclic hosts provide an ideal platform for construction of advanced supramolecular luminescent systems by using the host–guest interactions to enhance luminescence efficiency, generate new luminescence properties, and facilitate stimulus-responsive behavior. Consequently, the development of new supramolecular luminescent systems is becoming a frontier and hot topic in supramolecular and macrocyclic chemistry. Therefore, in this review, we present the recent advances in the construction and applications of the new supramolecular luminescent systems emerged in recent years. We will systematically summarize the design and construction strategies of new macrocyclic supramolecular luminescent systems according to different luminescence mechanisms and highlight their applications in chemical sensing, bioimaging, information anti-counterfeiting, photocatalysis, etc. Moreover, we will discuss the prevailing challenges and future research directions, aiming to guide the development of novel smart luminescent materials with enhanced functionality and practical utility.</w:t>
      </w:r>
    </w:p>
    <w:p>
      <w:pPr>
        <w:spacing w:before="120" w:after="120"/>
      </w:pPr>
      <w:r>
        <w:rPr>
          <w:sz w:val="18"/>
        </w:rPr>
        <w:t>——————————————————————————————————————————————————————————————————————</w:t>
      </w:r>
    </w:p>
    <w:p>
      <w:pPr>
        <w:spacing w:before="160" w:after="40" w:line="240" w:lineRule="auto"/>
      </w:pPr>
      <w:r>
        <w:rPr>
          <w:b/>
        </w:rPr>
        <w:t xml:space="preserve">[22] </w:t>
      </w:r>
      <w:hyperlink r:id="rId208">
        <w:r>
          <w:rPr>
            <w:color w:val="1155CC"/>
            <w:u w:val="single"/>
          </w:rPr>
          <w:t>每日简报：COVID的起源——我们知道和不知道的</w:t>
        </w:r>
      </w:hyperlink>
    </w:p>
    <w:p>
      <w:pPr>
        <w:spacing w:before="0" w:after="80"/>
      </w:pPr>
      <w:r>
        <w:rPr>
          <w:i/>
          <w:sz w:val="20"/>
        </w:rPr>
        <w:t>EN: Daily briefing: COVID’s origins — what we do and don’t know</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209">
        <w:r>
          <w:rPr>
            <w:color w:val="1155CC"/>
            <w:u w:val="single"/>
          </w:rPr>
          <w:t>好学生、模仿者和落后者：缩小非洲电力获取差距的政策经验</w:t>
        </w:r>
      </w:hyperlink>
    </w:p>
    <w:p>
      <w:pPr>
        <w:spacing w:before="0" w:after="80"/>
      </w:pPr>
      <w:r>
        <w:rPr>
          <w:i/>
          <w:sz w:val="20"/>
        </w:rPr>
        <w:t>EN: Good students, mimics and laggards: Policy lessons for closing electricity access gaps in Africa</w:t>
      </w:r>
    </w:p>
    <w:p>
      <w:pPr>
        <w:spacing w:before="0" w:after="120"/>
      </w:pPr>
      <w:r>
        <w:rPr>
          <w:b/>
        </w:rPr>
        <w:t xml:space="preserve">Source: </w:t>
      </w:r>
      <w:r>
        <w:t>ScienceDirect Publication: Energy Policy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210">
        <w:r>
          <w:rPr>
            <w:color w:val="1155CC"/>
            <w:u w:val="single"/>
          </w:rPr>
          <w:t>高载流子密度下有机导体的电荷传输物理</w:t>
        </w:r>
      </w:hyperlink>
    </w:p>
    <w:p>
      <w:pPr>
        <w:spacing w:before="0" w:after="80"/>
      </w:pPr>
      <w:r>
        <w:rPr>
          <w:i/>
          <w:sz w:val="20"/>
        </w:rPr>
        <w:t>EN: Charge transport physics of organic conductors at high carrier densities</w:t>
      </w:r>
    </w:p>
    <w:p>
      <w:pPr>
        <w:spacing w:before="0" w:after="120"/>
      </w:pPr>
      <w:r>
        <w:rPr>
          <w:b/>
        </w:rPr>
        <w:t xml:space="preserve">Source: </w:t>
      </w:r>
      <w:r>
        <w:t>Nature Reviews Materials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导电聚合物和其他有机导体在生物电子学、类脑计算、能量存储和热电设备中启用新兴应用。当用于有机电化学晶体管或其他设备时，这些材料通常在其体内掺杂到非常高的载流子密度，约为1020–1021 cm−3。在这种状态下，它们表现出迷人的非线性、多体和非平衡传输现象，这些现象正在这些应用中被利用，但其基本起源仍然知之甚少。在这篇综述中，我们专注于基础的电荷传输物理，研究复杂的微观结构、电子–电子相互作用和电子–掺杂剂反离子相互作用如何支配传输行为，包括态密度的演变</w:t>
      </w:r>
    </w:p>
    <w:p>
      <w:pPr>
        <w:spacing w:before="0" w:after="200" w:lineRule="auto" w:line="276"/>
      </w:pPr>
      <w:r>
        <w:rPr>
          <w:b/>
        </w:rPr>
        <w:t xml:space="preserve">Abstract (EN): </w:t>
      </w:r>
      <w:r>
        <w:t>Conducting polymers and other organic conductors enable emerging applications in bioelectronics, neuromorphic computing, energy storage and thermoelectric devices. When used in organic electrochemical transistors or other devices, these materials are typically doped in their bulk to very high carrier densities of the order of 1020–1021 cm−3. In this regime, they show fascinating nonlinear, many-body and non-equilibrium transport phenomena that are being exploited in these applications, but whose fundamental origins remain poorly understood. In this Review, we focus on the underlying charge transport physics, examining how complex microstructure, electron–electron interactions and electron–dopant counterion interactions govern transport behaviour, including the evolution of the density of states with carrier density. We also discuss reliable experimental methods for determining carrier concentrations and measuring transport coefficients. An in-depth understanding of the charge transport physics in this high-carrier-density regime is a prerequisite for harnessing these transport phenomena in device applications.</w:t>
      </w:r>
    </w:p>
    <w:p>
      <w:pPr>
        <w:spacing w:before="120" w:after="120"/>
      </w:pPr>
      <w:r>
        <w:rPr>
          <w:sz w:val="18"/>
        </w:rPr>
        <w:t>——————————————————————————————————————————————————————————————————————</w:t>
      </w:r>
    </w:p>
    <w:p>
      <w:pPr>
        <w:spacing w:before="160" w:after="40" w:line="240" w:lineRule="auto"/>
      </w:pPr>
      <w:r>
        <w:rPr>
          <w:b/>
        </w:rPr>
        <w:t xml:space="preserve">[25] </w:t>
      </w:r>
      <w:hyperlink r:id="rId211">
        <w:r>
          <w:rPr>
            <w:color w:val="1155CC"/>
            <w:u w:val="single"/>
          </w:rPr>
          <w:t>从全范德华多层堆叠中定制的多铁隧道结</w:t>
        </w:r>
      </w:hyperlink>
    </w:p>
    <w:p>
      <w:pPr>
        <w:spacing w:before="0" w:after="80"/>
      </w:pPr>
      <w:r>
        <w:rPr>
          <w:i/>
          <w:sz w:val="20"/>
        </w:rPr>
        <w:t>EN: Tailorable multiferroic tunnel junctions from all-van der Waals multilayer stacking</w:t>
      </w:r>
    </w:p>
    <w:p>
      <w:pPr>
        <w:spacing w:before="0" w:after="120"/>
      </w:pPr>
      <w:r>
        <w:rPr>
          <w:b/>
        </w:rPr>
        <w:t xml:space="preserve">Source: </w:t>
      </w:r>
      <w:r>
        <w:t>Nature Nanotechnology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多铁隧道结（MFTJs）代表了一类多态、非易失性自旋电子器件，其中电子隧道可以通过切换长程晶格和自旋序来操控。与传统的氧化物基MFTJs相比，由二维范德华（vdW）晶体构建的MFTJs承诺在成分和界面上具有最小的缺陷浓度，这可能允许探测内在的隧道物理并开发高性能设备。在这里，我们通过组装铁磁性Fe3GeTe2电极和铁电性CuInP2S6间隔层的多层薄片，构建了Fe3GeTe2/CuInP2S6/Fe3GeTe2全vdW MFTJs。这些MFTJs表现出四种非易失性电阻状态，具有约102%的显著隧道磁阻和隧道电阻</w:t>
      </w:r>
    </w:p>
    <w:p>
      <w:pPr>
        <w:spacing w:before="0" w:after="200" w:lineRule="auto" w:line="276"/>
      </w:pPr>
      <w:r>
        <w:rPr>
          <w:b/>
        </w:rPr>
        <w:t xml:space="preserve">Abstract (EN): </w:t>
      </w:r>
      <w:r>
        <w:t>Multiferroic tunnel junctions (MFTJs) represent a class of multistate, non-volatile spintronic devices, in which electron tunnelling can be manipulated by switching long-range lattice and spin orders. In contrast to conventional oxide-based MFTJs, MFTJs constructed from two-dimensional van der Waals (vdW) crystals promise minimal defect concentration in the constituents and at interfaces, which may allow for probing intrinsic tunnelling physics and the development of high-performance devices. Here we construct Fe3GeTe2/CuInP2S6/Fe3GeTe2 all-vdW MFTJs by assembling multilayer flakes of ferromagnetic Fe3GeTe2 electrodes and a ferroelectric CuInP2S6 spacer. These MFTJs exhibit four non-volatile resistance states featuring sizable tunnelling magnetoresistance of ∼102% and tunnelling electroresistance of ∼104%. To tune the properties of the vdW MFTJ, we make use of the flexibility in material choice offered by vdW heterostructure devices; we use Fe3GeTe2/Fe5GeTe2 asymmetric electrodes to boost the tunnelling electroresistance by 103%, we integrate In2Se3 as a ferroelectric with a smaller bandgap to enhance the ON-state current density by 104% to 104 A cm−2 and we use Fe3GaTe2 electrodes to demonstrate room temperature operation. Furthermore, when we combine the asymmetric ferromagnetic electrodes with the small-bandgap ferroelectric spacer to construct Fe3GeTe2/In2Se3/Fe5GeTe2 MFTJs, we simultaneously realized tunnelling electroresistance of 106% and an ON-state current density of 104 A cm−2, both two orders of magnitude higher than the highest values achieved with conventional oxide-based MFTJs. In the future, our all-vdW MFTJs with the tailorability of all functional layers may make it possible to investigate fundamental aspects of interlayer tunnelling and enable the design of functional magnetoelectric nanodevices.</w:t>
      </w:r>
    </w:p>
    <w:p>
      <w:pPr>
        <w:spacing w:before="120" w:after="120"/>
      </w:pPr>
      <w:r>
        <w:rPr>
          <w:sz w:val="18"/>
        </w:rPr>
        <w:t>——————————————————————————————————————————————————————————————————————</w:t>
      </w:r>
    </w:p>
    <w:p>
      <w:pPr>
        <w:spacing w:before="160" w:after="40" w:line="240" w:lineRule="auto"/>
      </w:pPr>
      <w:r>
        <w:rPr>
          <w:b/>
        </w:rPr>
        <w:t xml:space="preserve">[26] </w:t>
      </w:r>
      <w:hyperlink r:id="rId212">
        <w:r>
          <w:rPr>
            <w:color w:val="1155CC"/>
            <w:u w:val="single"/>
          </w:rPr>
          <w:t>干细胞样记忆T细胞的维持和分化为组织驻留T细胞维持小鼠慢性移植物抗宿主病</w:t>
        </w:r>
      </w:hyperlink>
    </w:p>
    <w:p>
      <w:pPr>
        <w:spacing w:before="0" w:after="80"/>
      </w:pPr>
      <w:r>
        <w:rPr>
          <w:i/>
          <w:sz w:val="20"/>
        </w:rPr>
        <w:t>EN: Stem-like memory-T maintenance and differentiation into tissue-resident T cells sustain chronic graft-versus-host disease in mice</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致病性CD4+记忆T细胞（Tm）维持慢性炎症，但机制尚未明确。在此，我们在小鼠的自身免疫样慢性移植物抗宿主病的靶组织中鉴定出四种供体型CD4+ Tm亚群：Ly108+CD69−干细胞样记忆T细胞（Tsm）、Ly108+CD69+驻留记忆祖细胞（Trmp）、Ly108−CD69+终末分化的组织驻留T细胞（Trm）和Ly108−CD69−中间T细胞（Tint）。Trm是终末分化的但未耗竭，并显示出高度偏向的克隆型和高促炎性细胞因子表达。Tsm细胞需要TCR-MHCII相互作用来维持和扩展，并显示出比Trmp细胞更大的自我更新/扩展能力、Trm生成能力和在受体中的致病性。转录</w:t>
      </w:r>
    </w:p>
    <w:p>
      <w:pPr>
        <w:spacing w:before="0" w:after="200" w:lineRule="auto" w:line="276"/>
      </w:pPr>
      <w:r>
        <w:rPr>
          <w:b/>
        </w:rPr>
        <w:t xml:space="preserve">Abstract (EN): </w:t>
      </w:r>
      <w:r>
        <w:t>Pathogenic CD4+ memory T cells (Tm) sustain chronic inflammation, but mechanisms remain undefined. Here, we identify four donor-type CD4+ Tm subsets in the target tissues of autoimmune-like chronic graft-versus-host disease in mice: Ly108+CD69− stem-like memory T cells (Tsm), Ly108+CD69+ resident memory progenitor T cells (Trmp), Ly108−CD69+ terminally differentiated tissue-resident T cells (Trm), and Ly108−CD69− intermediate T cells (Tint). Trm are terminally differentiated but not exhausted and show highly biased clonotypes with high proinflammatory cytokine expression. Tsm cells require TCR-MHCII interactions for their maintenance and expansion and show greater capacity than Trmp cells in self-renewal/expansion, generation of Trm, and pathogenicity in adoptive recipients. The transcription factors TCF1/BCL6 and BHLHE40 differentially regulate the stemness and differentiation of Tsm into Trm, respectively, and their selective targeting reduces the number of Trm in tissues and ameliorates inflammation. Thus, our findings indicate that targeting the Tsm subset, involved in the maintenance of the pathogenic Tm pool, offers an attractive approach to treat T cell-mediated chronic inflammation.</w:t>
      </w:r>
    </w:p>
    <w:p>
      <w:pPr>
        <w:spacing w:before="120" w:after="120"/>
      </w:pPr>
      <w:r>
        <w:rPr>
          <w:sz w:val="18"/>
        </w:rPr>
        <w:t>——————————————————————————————————————————————————————————————————————</w:t>
      </w:r>
    </w:p>
    <w:p>
      <w:pPr>
        <w:spacing w:before="160" w:after="40" w:line="240" w:lineRule="auto"/>
      </w:pPr>
      <w:r>
        <w:rPr>
          <w:b/>
        </w:rPr>
        <w:t xml:space="preserve">[27] </w:t>
      </w:r>
      <w:hyperlink r:id="rId213">
        <w:r>
          <w:rPr>
            <w:color w:val="1155CC"/>
            <w:u w:val="single"/>
          </w:rPr>
          <w:t>使用π–π堆叠的可编程DNA结构的钝力组装</w:t>
        </w:r>
      </w:hyperlink>
    </w:p>
    <w:p>
      <w:pPr>
        <w:spacing w:before="0" w:after="80"/>
      </w:pPr>
      <w:r>
        <w:rPr>
          <w:i/>
          <w:sz w:val="20"/>
        </w:rPr>
        <w:t>EN: Blunt-force assembly of programmable DNA architectures using π–π stacking</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粘性末端的结合力一直是DNA自组装的驱动力，并在DNA纳米技术中实现了模型和设计的可编程性，已有40多年。自组装晶体中的传统单元设计了合理的粘性末端以避免不可预测的堆积行为，但这样做的同时，自然核酸可用的多样化接触方式仍未被利用。在此，我们使用可组合的DNA瓷砖形成复杂的3D结构，使用钝端的单双链界面，从而利用瓷砖的几何形状和末端核碱基的特性来控制自组装结果。这些晶体在10.0到1.86 Å的分辨率下产生了X射线衍射。我们建立了可编程性和可调节的堆积，包括平移</w:t>
      </w:r>
    </w:p>
    <w:p>
      <w:pPr>
        <w:spacing w:before="0" w:after="200" w:lineRule="auto" w:line="276"/>
      </w:pPr>
      <w:r>
        <w:rPr>
          <w:b/>
        </w:rPr>
        <w:t xml:space="preserve">Abstract (EN): </w:t>
      </w:r>
      <w:r>
        <w:t>Sticky-ended cohesion has been the driving force for DNA self-assembly and has enabled model and design programmability in DNA nanotechnology for over 40 years. Traditional units within self-assembled crystals have rationally-designed sticky ends to avoid unpredictable packing behavior, but in doing so, the surprising variety of contact flavors available to natural nucleic acids remains unexploited. Here, we employ composable DNA tiles to form complex 3D architectures using blunt-ended motifs with single duplex interfaces, thereby leveraging the geometry of the tile and the terminal nucleobase identity to control self-assembly outcomes. These crystals yielded X-ray diffraction at resolutions between 10.0 and 1.86 Å. We establish programmability and tunable packing, including translational and inversion symmetries, 5’−3’ and 5’−5’ stacking, and both positive and negative helical twist values. Finally, we establish the ability of racemic mixtures of L- and D-DNA motifs to perform programmable co-assembly driven by terminal π–π interactions, demonstrating molecular recognition and coexistence between mirror molecular systems.</w:t>
      </w:r>
    </w:p>
    <w:p>
      <w:pPr>
        <w:spacing w:before="120" w:after="120"/>
      </w:pPr>
      <w:r>
        <w:rPr>
          <w:sz w:val="18"/>
        </w:rPr>
        <w:t>——————————————————————————————————————————————————————————————————————</w:t>
      </w:r>
    </w:p>
    <w:p>
      <w:pPr>
        <w:spacing w:before="160" w:after="40" w:line="240" w:lineRule="auto"/>
      </w:pPr>
      <w:r>
        <w:rPr>
          <w:b/>
        </w:rPr>
        <w:t xml:space="preserve">[28] </w:t>
      </w:r>
      <w:hyperlink r:id="rId214">
        <w:r>
          <w:rPr>
            <w:color w:val="1155CC"/>
            <w:u w:val="single"/>
          </w:rPr>
          <w:t>电池的可持续性深入研究</w:t>
        </w:r>
      </w:hyperlink>
    </w:p>
    <w:p>
      <w:pPr>
        <w:spacing w:before="0" w:after="80"/>
      </w:pPr>
      <w:r>
        <w:rPr>
          <w:i/>
          <w:sz w:val="20"/>
        </w:rPr>
        <w:t>EN: Sustainability going deep for batteries</w:t>
      </w:r>
    </w:p>
    <w:p>
      <w:pPr>
        <w:spacing w:before="0" w:after="120"/>
      </w:pPr>
      <w:r>
        <w:rPr>
          <w:b/>
        </w:rPr>
        <w:t xml:space="preserve">Source: </w:t>
      </w:r>
      <w:r>
        <w:t>Nature Sustainability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215">
        <w:r>
          <w:rPr>
            <w:color w:val="1155CC"/>
            <w:u w:val="single"/>
          </w:rPr>
          <w:t>通过计算机视觉从街景图像中估算城市规模的窗墙比，以改进建筑能量建模</w:t>
        </w:r>
      </w:hyperlink>
    </w:p>
    <w:p>
      <w:pPr>
        <w:spacing w:before="0" w:after="80"/>
      </w:pPr>
      <w:r>
        <w:rPr>
          <w:i/>
          <w:sz w:val="20"/>
        </w:rPr>
        <w:t>EN: Urban-scale estimation of window-to-wall ratio from street view imagery via computer vision for improved building energy modeling</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216">
        <w:r>
          <w:rPr>
            <w:color w:val="1155CC"/>
            <w:u w:val="single"/>
          </w:rPr>
          <w:t>“家庭能源管理者及其对未来智能电网的影响”[Energy Pol. 206 (2025) 114772]的勘误</w:t>
        </w:r>
      </w:hyperlink>
    </w:p>
    <w:p>
      <w:pPr>
        <w:spacing w:before="0" w:after="80"/>
      </w:pPr>
      <w:r>
        <w:rPr>
          <w:i/>
          <w:sz w:val="20"/>
        </w:rPr>
        <w:t>EN: Corrigendum to “Domestic energy managers and their implications for future smart grids” [Energy Pol. 206 (2025) 114772]</w:t>
      </w:r>
    </w:p>
    <w:p>
      <w:pPr>
        <w:spacing w:before="0" w:after="120"/>
      </w:pPr>
      <w:r>
        <w:rPr>
          <w:b/>
        </w:rPr>
        <w:t xml:space="preserve">Source: </w:t>
      </w:r>
      <w:r>
        <w:t>ScienceDirect Publication: Energy Policy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217">
        <w:r>
          <w:rPr>
            <w:color w:val="1155CC"/>
            <w:u w:val="single"/>
          </w:rPr>
          <w:t>高通量电化学的无线化</w:t>
        </w:r>
      </w:hyperlink>
    </w:p>
    <w:p>
      <w:pPr>
        <w:spacing w:before="0" w:after="80"/>
      </w:pPr>
      <w:r>
        <w:rPr>
          <w:i/>
          <w:sz w:val="20"/>
        </w:rPr>
        <w:t>EN: Cutting the cord for high-throughput electrochemistry</w:t>
      </w:r>
    </w:p>
    <w:p>
      <w:pPr>
        <w:spacing w:before="0" w:after="120"/>
      </w:pPr>
      <w:r>
        <w:rPr>
          <w:b/>
        </w:rPr>
        <w:t xml:space="preserve">Source: </w:t>
      </w:r>
      <w:r>
        <w:t>Nature Chemical Engineering</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218">
        <w:r>
          <w:rPr>
            <w:color w:val="1155CC"/>
            <w:u w:val="single"/>
          </w:rPr>
          <w:t>过渡金属催化的分子间饱和C(sp3)–N(sp3)键形成反应的最新进展</w:t>
        </w:r>
      </w:hyperlink>
    </w:p>
    <w:p>
      <w:pPr>
        <w:spacing w:before="0" w:after="80"/>
      </w:pPr>
      <w:r>
        <w:rPr>
          <w:i/>
          <w:sz w:val="20"/>
        </w:rPr>
        <w:t>EN: Recent progress in transition-metal-catalysed intermolecular saturated C(sp3)–N(sp3) bond formation reactions</w:t>
      </w:r>
    </w:p>
    <w:p>
      <w:pPr>
        <w:spacing w:before="0" w:after="120"/>
      </w:pPr>
      <w:r>
        <w:rPr>
          <w:b/>
        </w:rPr>
        <w:t xml:space="preserve">Source: </w:t>
      </w:r>
      <w:r>
        <w:t>RSC - Chem. Soc. Rev.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饱和的C(sp3)–N(sp3)键在有机分子中无处不在，并作为天然产物、药物、农用化学品和有机材料中的关键亚单元。过渡金属催化的C–N交叉偶联反应已发展成为C–N键形成的一个重要平台，为快速组装有价值的分子骨架提供了不可或缺的合成工具。近年来，C(sp3)–N(sp3)键的形成引起了合成界的极大关注，为从易得且成本效益高的起始材料中直接获得富含sp3的C–N键结构提供了简便途径。本文综述了过渡金属催化的分子间C(sp3)–N(sp3)键形成的最新进展。过渡金属催化的C的关键策略</w:t>
      </w:r>
    </w:p>
    <w:p>
      <w:pPr>
        <w:spacing w:before="0" w:after="200" w:lineRule="auto" w:line="276"/>
      </w:pPr>
      <w:r>
        <w:rPr>
          <w:b/>
        </w:rPr>
        <w:t xml:space="preserve">Abstract (EN): </w:t>
      </w:r>
      <w:r>
        <w:t>Saturated C(sp3)–N(sp3) bonds are ubiquitous in organic molecules and serve as key subunits in natural products, pharmaceuticals, agrochemicals, and organic materials. Transition-metal-catalysed C–N cross-coupling reactions have evolved as an enabling platform for C–N bond formation, providing an indispensable synthetic tool for the rapid assembly of valuable molecular skeletons. Over recent years, C(sp3)–N(sp3) bond formation has attracted significant attention from the synthetic community, providing straightforward access to sp3-rich C–N bond containing architectures from readily available and cost-effective starting materials. This review highlights recent advances in transition-metal-catalysed intermolecular C(sp3)–N(sp3) bond formation. Key strategies for transition-metal-catalysed C(sp3)–N(sp3) bond formation and mechanistic insights are summarized and discussed. Moreover, ongoing challenges and directions for future opportunities are discussed to inspire further efforts for developing C(sp3)–N(sp3) bond-forming processes.</w:t>
      </w:r>
    </w:p>
    <w:p>
      <w:pPr>
        <w:spacing w:before="120" w:after="120"/>
      </w:pPr>
      <w:r>
        <w:rPr>
          <w:sz w:val="18"/>
        </w:rPr>
        <w:t>——————————————————————————————————————————————————————————————————————</w:t>
      </w:r>
    </w:p>
    <w:p>
      <w:pPr>
        <w:spacing w:before="160" w:after="40" w:line="240" w:lineRule="auto"/>
      </w:pPr>
      <w:r>
        <w:rPr>
          <w:b/>
        </w:rPr>
        <w:t xml:space="preserve">[33] </w:t>
      </w:r>
      <w:hyperlink r:id="rId219">
        <w:r>
          <w:rPr>
            <w:color w:val="1155CC"/>
            <w:u w:val="single"/>
          </w:rPr>
          <w:t>废物中溴的催化回收</w:t>
        </w:r>
      </w:hyperlink>
    </w:p>
    <w:p>
      <w:pPr>
        <w:spacing w:before="0" w:after="80"/>
      </w:pPr>
      <w:r>
        <w:rPr>
          <w:i/>
          <w:sz w:val="20"/>
        </w:rPr>
        <w:t>EN: Catalytic bromine recycling from waste</w:t>
      </w:r>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溴（Br）主要从自然界中提取，在各种商品中以有机溴化物的形式发挥重要作用，包括电子产品、车辆和家具。同时，随着这些商品的退役，Br不断以持久性溴化污染物的形式释放到环境中，造成严重的环境后果和资源损失。我们提出了一种催化策略，能够在温和条件下选择性地将废物中所有有机溴化物转化为可再生溴化物，以实现Br的回收。该策略利用由廉价的Cu(I)、简单的配体和氢氧化物在DMSO–H2O溶剂中实现的Ullmann型反应。在≤120 °C的温度下，该策略在复杂的实际Br负载废物中实现了&gt;95%的溴化物产率。它可以生产溴化物</w:t>
      </w:r>
    </w:p>
    <w:p>
      <w:pPr>
        <w:spacing w:before="0" w:after="200" w:lineRule="auto" w:line="276"/>
      </w:pPr>
      <w:r>
        <w:rPr>
          <w:b/>
        </w:rPr>
        <w:t xml:space="preserve">Abstract (EN): </w:t>
      </w:r>
      <w:r>
        <w:t>Bromine (Br), mostly extracted from nature, plays an essential role in the form of organobromides in various goods, including electronics, vehicles and furniture. At the same time, Br is continuously released into the environment in the form of persistent brominated pollutants upon the retirement of those goods, causing severe environmental consequences and loss of resources. Here we propose a catalytic strategy that enables the selective and mild-condition conversion of all organobromides present in wastes into renewed bromides for Br recycling. It employs Ullmann-type reactions enabled by inexpensive Cu(I), simple ligands and hydroxides in DMSO–H2O solvent. This strategy achieved &gt;95% bromide yields at a temperature ≤120 °C for complex real-world Br-laden wastes. It can produce bromide-rich solution amenable to Br2 production, as demonstrated by the inorganicization–evaporation–oxidation process, and recoverable debrominated solids with preserved chemical states. Mechanistic studies revealed a full debromination framework encompassing diverse activated pathways. This work provides a viable approach for Br recycling and potentially facilitates a circular and sustainable anthropogenic Br flow.</w:t>
      </w:r>
    </w:p>
    <w:p>
      <w:pPr>
        <w:spacing w:before="120" w:after="120"/>
      </w:pPr>
      <w:r>
        <w:rPr>
          <w:sz w:val="18"/>
        </w:rPr>
        <w:t>——————————————————————————————————————————————————————————————————————</w:t>
      </w:r>
    </w:p>
    <w:p>
      <w:pPr>
        <w:spacing w:before="160" w:after="40" w:line="240" w:lineRule="auto"/>
      </w:pPr>
      <w:r>
        <w:rPr>
          <w:b/>
        </w:rPr>
        <w:t xml:space="preserve">[34] </w:t>
      </w:r>
      <w:hyperlink r:id="rId220">
        <w:r>
          <w:rPr>
            <w:color w:val="1155CC"/>
            <w:u w:val="single"/>
          </w:rPr>
          <w:t>肠上皮的绒毛化由Foxl1通过激活PDGFRα和BMPs驱动</w:t>
        </w:r>
      </w:hyperlink>
    </w:p>
    <w:p>
      <w:pPr>
        <w:spacing w:before="0" w:after="80"/>
      </w:pPr>
      <w:r>
        <w:rPr>
          <w:i/>
          <w:sz w:val="20"/>
        </w:rPr>
        <w:t>EN: Villification of the intestinal epithelium is driven by Foxl1 through activation of PDGFRα and BMPs</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哺乳动物的原始肠管最初形成一个简单的圆柱体，由内胚层衍生的假复层上皮和中胚层衍生的周围间充质组成。在妊娠中期，发生了显著的转变，上皮被重构为最终的立方形，同时折叠和再折叠以形成肠绒毛和绒毛间区域。在此，我们展示了间充质翼状螺旋转录因子Foxl1，它本身由上皮hedgehog信号诱导，通过激活BMP和PDGFRα以及上皮邻近的telocyte祖细胞中的平面细胞极性因子Fat4来控制绒毛化，直接或间接地。在缺乏Foxl1依赖的间充质信号的情况下，绒毛形成和上皮的分离</w:t>
      </w:r>
    </w:p>
    <w:p>
      <w:pPr>
        <w:spacing w:before="0" w:after="200" w:lineRule="auto" w:line="276"/>
      </w:pPr>
      <w:r>
        <w:rPr>
          <w:b/>
        </w:rPr>
        <w:t xml:space="preserve">Abstract (EN): </w:t>
      </w:r>
      <w:r>
        <w:t>The primitive gut tube of mammals initially forms as a simple cylinder consisting of the endoderm-derived, pseudostratified epithelium and the mesoderm-derived surrounding mesenchyme. During mid-gestation, a dramatic transformation occurs in which the epithelium is both restructured into its final cuboidal form and simultaneously folded and refolded to create intestinal villi and intervillus regions. Here, we show that the mesenchymal winged helix transcription factor Foxl1, itself induced by epithelial hedgehog signaling, controls villification by activating BMP and PDGFRα and the planar cell polarity factor Fat4 in epithelial-adjacent telocyte progenitors either directly or indirectly. In the absence of Foxl1-dependent mesenchymal signaling, villus formation and the separation of epithelial cells into mitotic intervillus and postmitotic villus are delayed, and the differentiation of secretory progenitors temporarily blocked. Thus, Foxl1 orchestrates key events during the epithelial transition of the fetal mammalian gut.</w:t>
      </w:r>
    </w:p>
    <w:p>
      <w:pPr>
        <w:spacing w:before="120" w:after="120"/>
      </w:pPr>
      <w:r>
        <w:rPr>
          <w:sz w:val="18"/>
        </w:rPr>
        <w:t>——————————————————————————————————————————————————————————————————————</w:t>
      </w:r>
    </w:p>
    <w:p>
      <w:pPr>
        <w:spacing w:before="160" w:after="40" w:line="240" w:lineRule="auto"/>
      </w:pPr>
      <w:r>
        <w:rPr>
          <w:b/>
        </w:rPr>
        <w:t xml:space="preserve">[35] </w:t>
      </w:r>
      <w:hyperlink r:id="rId221">
        <w:r>
          <w:rPr>
            <w:color w:val="1155CC"/>
            <w:u w:val="single"/>
          </w:rPr>
          <w:t>DNA-PK介导的STAT6磷酸化建立了一种非经典的2型免疫轴以防止巨噬细胞衰老</w:t>
        </w:r>
      </w:hyperlink>
    </w:p>
    <w:p>
      <w:pPr>
        <w:spacing w:before="0" w:after="80"/>
      </w:pPr>
      <w:r>
        <w:rPr>
          <w:i/>
          <w:sz w:val="20"/>
        </w:rPr>
        <w:t>EN: DNA-PK-mediated phosphorylation of STAT6 establishes a non-canonical type 2 immunity axis to prevent macrophage senescence</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巨噬细胞衰老驱动炎症老化，这是一种慢性、与年龄相关的炎症。迄今为止，针对炎症老化的保护机制尚不明确。在此，我们确定了小鼠STAT6在丝氨酸807（Ser807）上的DNA-PK介导的磷酸化是防止巨噬细胞衰老的关键翻译后修饰。Ser807磷酸化阻止了STAT6的泛素化介导的降解，并促进STAT6与PU.1结合以激活DNA修复基因。缺乏Ser807磷酸化的巨噬细胞表现出DNA修复缺陷，经历衰老，并加剧炎症老化。在体内，磷酸化缺失的STAT6突变体（STAT6(S807A)）加速了巨噬细胞衰老、组织纤维化和系统性老化。采用磷酸模拟的STAT6(S807E)表达的巨噬细胞转移可以挽救加速</w:t>
      </w:r>
    </w:p>
    <w:p>
      <w:pPr>
        <w:spacing w:before="0" w:after="200" w:lineRule="auto" w:line="276"/>
      </w:pPr>
      <w:r>
        <w:rPr>
          <w:b/>
        </w:rPr>
        <w:t xml:space="preserve">Abstract (EN): </w:t>
      </w:r>
      <w:r>
        <w:t>Macrophage senescence drives inflammaging, a chronic, age-related inflammation. To date, the protective mechanisms against inflammaging are poorly defined. Here, we identify DNA-PK-mediated phosphorylation of murine STAT6 at serine 807 (Ser807) as a crucial post-translational modification for preventing macrophage senescence. Ser807 phosphorylation blocks STAT6 ubiquitination-mediated degradation and promotes STAT6 partnering with PU.1 to activate DNA repair genes. Macrophages lacking Ser807 phosphorylation exhibit DNA repair defects, undergo senescence, and fuel inflammaging. In vivo, the phosphor-null STAT6 mutant (STAT6(S807A)) accelerates macrophage senescence, tissue fibrosis, and systemic aging. Adoptive transfer of phosphomimetic STAT6(S807E)-expressing macrophages rescues accelerated aging. Importantly, phosphorylation of human STAT6 at the homologous residue (Ser817) is significantly reduced in the lungs of patients with chronic obstructive pulmonary disease (COPD), correlating with increased DNA damage and senescence. Thus, our findings reveal a DNA-PK-STAT6 axis enacting a non-canonical type 2 immunity via DNA repair to prevent macrophage senescence, presenting a therapeutic target for healthy aging.</w:t>
      </w:r>
    </w:p>
    <w:p>
      <w:pPr>
        <w:spacing w:before="120" w:after="120"/>
      </w:pPr>
      <w:r>
        <w:rPr>
          <w:sz w:val="18"/>
        </w:rPr>
        <w:t>——————————————————————————————————————————————————————————————————————</w:t>
      </w:r>
    </w:p>
    <w:p>
      <w:pPr>
        <w:spacing w:before="160" w:after="40" w:line="240" w:lineRule="auto"/>
      </w:pPr>
      <w:r>
        <w:rPr>
          <w:b/>
        </w:rPr>
        <w:t xml:space="preserve">[36] </w:t>
      </w:r>
      <w:hyperlink r:id="rId222">
        <w:r>
          <w:rPr>
            <w:color w:val="1155CC"/>
            <w:u w:val="single"/>
          </w:rPr>
          <w:t>多发性骨髓瘤患者腹部脂肪活检中轻链纤维的冷冻电镜结构</w:t>
        </w:r>
      </w:hyperlink>
    </w:p>
    <w:p>
      <w:pPr>
        <w:spacing w:before="0" w:after="80"/>
      </w:pPr>
      <w:r>
        <w:rPr>
          <w:i/>
          <w:sz w:val="20"/>
        </w:rPr>
        <w:t>EN: Cryo-EM structures of light chain fibrils from abdominal fat biopsies of multiple myeloma patients</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多发性骨髓瘤（MM）是一种血液系统恶性肿瘤，其特征是骨髓中浆细胞的异常增殖，并与系统性轻链淀粉样变（AL）密切相关，这是一种由抗体轻链（LC）淀粉样聚集引发的疾病。来自MM患者的淀粉样LC纤维的高分辨率结构仍然很少被探索。在此，我们直接从两名活体MM患者的腹部脂肪活检中提取了LC淀粉样纤维。利用冷冻电子显微镜（cryo-EM），我们进一步确定了三种不同LC纤维形态的结构，这些结构与先前报道的来自AL淀粉样变患者的纤维结构显著不同。结构比较和计算分析表明了不同的LC纤维化机制</w:t>
      </w:r>
    </w:p>
    <w:p>
      <w:pPr>
        <w:spacing w:before="0" w:after="200" w:lineRule="auto" w:line="276"/>
      </w:pPr>
      <w:r>
        <w:rPr>
          <w:b/>
        </w:rPr>
        <w:t xml:space="preserve">Abstract (EN): </w:t>
      </w:r>
      <w:r>
        <w:t>Multiple myeloma (MM) is a hematological malignancy characterized by the abnormal proliferation of plasma cells in the bone marrow and is closely associated with systemic light chain amyloidosis (AL), a disease triggered by the amyloid aggregation of antibody light chain (LC). High-resolution structures of amyloid LC fibrils from MM patients remain largely unexplored. Here, we extracted LC amyloid fibrils directly from abdominal fat biopsies of two living MM patients. Using cryo-electron microscopy (cryo-EM), we further determined the structures of three distinct LC fibril morphologies, which differ significantly from previously reported fibril structures derived from AL amyloidosis patients. Structural comparisons and computational analyses suggested distinct LC fibrillation mechanisms in MM compared to AL amyloidosis, highlighting a potential role of elevated protein concentration in driving LC aggregation in MM. These findings provide essential molecular insights into LC fibril formation in MM and offer a structural foundation for biological diagnosis of living MM patients based on accessible abdominal fat biopsy samples.</w:t>
      </w:r>
    </w:p>
    <w:p>
      <w:pPr>
        <w:spacing w:before="120" w:after="120"/>
      </w:pPr>
      <w:r>
        <w:rPr>
          <w:sz w:val="18"/>
        </w:rPr>
        <w:t>——————————————————————————————————————————————————————————————————————</w:t>
      </w:r>
    </w:p>
    <w:p>
      <w:pPr>
        <w:spacing w:before="160" w:after="40" w:line="240" w:lineRule="auto"/>
      </w:pPr>
      <w:r>
        <w:rPr>
          <w:b/>
        </w:rPr>
        <w:t xml:space="preserve">[37] </w:t>
      </w:r>
      <w:hyperlink r:id="rId223">
        <w:r>
          <w:rPr>
            <w:color w:val="1155CC"/>
            <w:u w:val="single"/>
          </w:rPr>
          <w:t>用于协同太阳能和辐射热管理的溶液加工电致变色材料</w:t>
        </w:r>
      </w:hyperlink>
    </w:p>
    <w:p>
      <w:pPr>
        <w:spacing w:before="0" w:after="80"/>
      </w:pPr>
      <w:r>
        <w:rPr>
          <w:i/>
          <w:sz w:val="20"/>
        </w:rPr>
        <w:t>EN: Solution-processed electrochromics for synergistic solar and radiative heat management</w:t>
      </w:r>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维持热舒适性以可持续的方式对于减少全球用于供暖和制冷的能源份额至关重要。然而，目前用于个人热管理的辐射材料通常仅提供单一方向的操作（加热或冷却），缺乏对波动环境的智能和可持续适应性。在此，我们报告了一种全固态自主变色皮肤（ACCS），它在单一节能平台中集成了太阳能加热和辐射冷却。受变色龙皮肤适应行为的启发，ACCS能够在太阳光谱（0.3–2.5 µm）和中红外光谱（8–13 µm）范围内连续调节发射率。该设备在仅有的电压偏置下调节太阳吸收率约40%和红外发射率超过50%。</w:t>
      </w:r>
    </w:p>
    <w:p>
      <w:pPr>
        <w:spacing w:before="0" w:after="200" w:lineRule="auto" w:line="276"/>
      </w:pPr>
      <w:r>
        <w:rPr>
          <w:b/>
        </w:rPr>
        <w:t xml:space="preserve">Abstract (EN): </w:t>
      </w:r>
      <w:r>
        <w:t>Maintaining thermal comfort sustainably is critical to reduce the share of global energy used for heating and cooling. However, current radiative materials for personal thermal management typically offer a singular direction of operation (either heating or cooling), lacking intelligent and sustainable adaptability to fluctuating environments. Here we report an all-solid-state autonomous colour-changing skin (ACCS) that integrates both solar heating and radiative cooling within a single energy-efficient platform. Inspired by the adaptive behaviour of chameleon skin, the ACCS enables continuous modulation of emissivity across the solar (0.3–2.5 µm) and mid-infrared (8–13 µm) spectra. The device tunes solar absorptivity by ~40% and infrared emissivity by over 50% under a voltage bias of only ±1.3 V, maintaining each state for more than 24 h without power consumption. Outdoor tests revealed reversible temperature differences of up to 15.5 °C between heating and cooling modes, while a single smartphone battery can power over 200 full-range switching cycles. The solution-processable functional layers permit scalable fabrication via drop-casting and roll-to-roll techniques, extending applications from wearable devices to large-area environmental control. This flexible, energy-neutral platform advances adaptive personal thermoregulation and illustrates how multispectral electrochromic design can decouple human comfort from fossil fuel-based climate control, contributing to global sustainability goals.</w:t>
      </w:r>
    </w:p>
    <w:p>
      <w:pPr>
        <w:spacing w:before="120" w:after="120"/>
      </w:pPr>
      <w:r>
        <w:rPr>
          <w:sz w:val="18"/>
        </w:rPr>
        <w:t>——————————————————————————————————————————————————————————————————————</w:t>
      </w:r>
    </w:p>
    <w:p>
      <w:pPr>
        <w:spacing w:before="160" w:after="40" w:line="240" w:lineRule="auto"/>
      </w:pPr>
      <w:r>
        <w:rPr>
          <w:b/>
        </w:rPr>
        <w:t xml:space="preserve">[38] </w:t>
      </w:r>
      <w:hyperlink r:id="rId224">
        <w:r>
          <w:rPr>
            <w:color w:val="1155CC"/>
            <w:u w:val="single"/>
          </w:rPr>
          <w:t>从解聚挑战到木质素的宏观应用</w:t>
        </w:r>
      </w:hyperlink>
    </w:p>
    <w:p>
      <w:pPr>
        <w:spacing w:before="0" w:after="80"/>
      </w:pPr>
      <w:r>
        <w:rPr>
          <w:i/>
          <w:sz w:val="20"/>
        </w:rPr>
        <w:t>EN: From depolymerization challenges to macro-scale applications of lignin</w:t>
      </w:r>
    </w:p>
    <w:p>
      <w:pPr>
        <w:spacing w:before="0" w:after="120"/>
      </w:pPr>
      <w:r>
        <w:rPr>
          <w:b/>
        </w:rPr>
        <w:t xml:space="preserve">Source: </w:t>
      </w:r>
      <w:r>
        <w:t>Nature Reviews Clean Technology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225">
        <w:r>
          <w:rPr>
            <w:color w:val="1155CC"/>
            <w:u w:val="single"/>
          </w:rPr>
          <w:t>将电动汽车与离网风能捆绑：高电价市场的策略</w:t>
        </w:r>
      </w:hyperlink>
    </w:p>
    <w:p>
      <w:pPr>
        <w:spacing w:before="0" w:after="80"/>
      </w:pPr>
      <w:r>
        <w:rPr>
          <w:i/>
          <w:sz w:val="20"/>
        </w:rPr>
        <w:t>EN: Bundling electric vehicles with off-grid wind power: A strategy for high-electricity-Price markets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26">
        <w:r>
          <w:rPr>
            <w:color w:val="1155CC"/>
            <w:u w:val="single"/>
          </w:rPr>
          <w:t>一个睾丸特异性E3泛素连接酶复合物控制精子生成和男性生育能力</w:t>
        </w:r>
      </w:hyperlink>
    </w:p>
    <w:p>
      <w:pPr>
        <w:spacing w:before="0" w:after="80"/>
      </w:pPr>
      <w:r>
        <w:rPr>
          <w:i/>
          <w:sz w:val="20"/>
        </w:rPr>
        <w:t>EN: A testis-specific E3 ubiquitin ligase complex governs spermiogenesis and male fertility</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泛素-蛋白酶体系统（UPS）代表了一种进化上保守的机制，通过时空调节蛋白质降解来管理蛋白质稳态。虽然精子发生涉及从翻译到动态翻译后修饰（PTMs）的多层次调控机制，但调控生殖细胞特异性蛋白质周转的UPS相关E3连接酶的身份仍然难以捉摸。在此，我们鉴定出一个由elongin B/C、Cullin-2（CUL2）、RING-box蛋白-1（RBX1）和SOCS盒蛋白ASB9组成的睾丸特异性E3泛素连接酶复合物，命名为ECSASB9。通过普遍的Asb9敲除（KO）或精子细胞特异的elongin B/C条件性KO在小鼠中进行的遗传消除会破坏精子形成并损害生育能力。机制研究揭示ECS</w:t>
      </w:r>
    </w:p>
    <w:p>
      <w:pPr>
        <w:spacing w:before="0" w:after="200" w:lineRule="auto" w:line="276"/>
      </w:pPr>
      <w:r>
        <w:rPr>
          <w:b/>
        </w:rPr>
        <w:t xml:space="preserve">Abstract (EN): </w:t>
      </w:r>
      <w:r>
        <w:t>The ubiquitin-proteasome system (UPS) represents an evolutionarily conserved machinery governing proteostasis through spatiotemporal regulation of protein degradation. While spermatogenesis involves multilayered regulatory mechanisms spanning translation to dynamic post-translational modifications (PTMs), the identity of UPS-associated E3 ligases orchestrating germ cell-specific protein turnover remains elusive. Here, we identify a testis-specific E3 ubiquitin ligase complex comprising elongin B/C, Cullin-2 (CUL2), RING-box protein-1 (RBX1), and SOCS box protein ASB9, designated ECSASB9. Genetic ablation of ECSASB9 in mice via ubiquitous Asb9 knockout (KO) or spermatid-specific elongin B/C conditional KO disrupts spermiogenesis and compromises fertility. Mechanistic studies reveal that ECSASB9 engages tubulin beta 4 A (TUBB4A) through substrate recognition, catalyzing K48-linked polyubiquitination at lysine 379 (K379) to promote proteasomal degradation. Notably, Tubb4aK379R knock-in (KI) mice phenocopy the spermiogenesis defects observed upon ECSASB9 deficiency. Clinically, we identify three hemizygous missense variants in X-linked ASB9 among Chinese males with idiopathic infertility. Male mice bearing orthologous ASB9 variant exhibit oligoasthenoteratozoospermia (OAT) and subfertility, mirroring human phenotypes. Taken together, our findings establish ECSASB9 as an important regulator of spermatogenic proteostasis and provide mechanistic insights into UPS-mediated tissue-specific degradation, while implicating ASB9 variants in male infertility pathogenesis.</w:t>
      </w:r>
    </w:p>
    <w:p>
      <w:pPr>
        <w:spacing w:before="120" w:after="120"/>
      </w:pPr>
      <w:r>
        <w:rPr>
          <w:sz w:val="18"/>
        </w:rPr>
        <w:t>——————————————————————————————————————————————————————————————————————</w:t>
      </w:r>
    </w:p>
    <w:p>
      <w:pPr>
        <w:spacing w:before="160" w:after="40" w:line="240" w:lineRule="auto"/>
      </w:pPr>
      <w:r>
        <w:rPr>
          <w:b/>
        </w:rPr>
        <w:t xml:space="preserve">[41] </w:t>
      </w:r>
      <w:hyperlink r:id="rId227">
        <w:r>
          <w:rPr>
            <w:color w:val="1155CC"/>
            <w:u w:val="single"/>
          </w:rPr>
          <w:t>电驱动VO2结构Mott–Peierls转变中的切换速度限制</w:t>
        </w:r>
      </w:hyperlink>
    </w:p>
    <w:p>
      <w:pPr>
        <w:spacing w:before="0" w:after="80"/>
      </w:pPr>
      <w:r>
        <w:rPr>
          <w:i/>
          <w:sz w:val="20"/>
        </w:rPr>
        <w:t>EN: Switching speed limits in electrically driven VO2 structural Mott–Peierls transition</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莫特材料是典型的量子系统，被积极探索为下一代电子和光子平台，具有跨越非冯·诺依曼计算、机器人技术、能源存储和微波技术的潜在应用。在这些材料中，二氧化钒（VO2）因其在接近室温下的绝缘体到金属相变而成为研究最为深入的化合物之一。VO2还作为测试尖端理论和实验技术的基准系统。在此，我们使用微波驱动、频率可调的脉冲透射电子显微镜直接可视化VO2中的电驱动相变动态，该显微镜结合了纳米级空间和皮秒级时间分辨率。在高频（MHz–GHz）激励下，我们捕捉到</w:t>
      </w:r>
    </w:p>
    <w:p>
      <w:pPr>
        <w:spacing w:before="0" w:after="200" w:lineRule="auto" w:line="276"/>
      </w:pPr>
      <w:r>
        <w:rPr>
          <w:b/>
        </w:rPr>
        <w:t xml:space="preserve">Abstract (EN): </w:t>
      </w:r>
      <w:r>
        <w:t>Mott materials are archetypal quantum systems actively explored as next-generation electronic and photonic platforms, with potential applications spanning non-Von Neumann computing, robotics, energy storage, and microwave technologies. Among these, vanadium dioxide (VO2) has emerged as one of the most intensively studied compounds, owing to its sharp, near-room-temperature insulator-to-metal phase transition. VO2 also serves as a benchmark system for testing cutting-edge theories and experimental techniques. Here, we directly visualize the electrically driven transition dynamics in VO2 using a microwave-driven, frequency-tunable pulsed transmission electron microscope that combines nanometer spatial and picosecond temporal resolution. Under high-frequency (MHz–GHz) excitation, we capture the ultrafast nucleation, propagation, and dissolution of metallic domains within an operating device over millions of reversible cycles. We observe the ultrafast formation of consistent metallic nuclei beneath the electrodes, followed by the propagation of a structural phase front at 4.54 nm/ns. Our experiments show that phonon-mediated structural recovery ultimately limits reversible switching of VO2 at GHz frequencies, and that a tunable regime for reversible operation spans from kHz to GHz through device engineering. Beyond VO2, our approach provides a powerful framework for probing non-equilibrium structural transformations in correlated and functional materials under realistic electrical stimuli.</w:t>
      </w:r>
    </w:p>
    <w:p>
      <w:pPr>
        <w:spacing w:before="120" w:after="120"/>
      </w:pPr>
      <w:r>
        <w:rPr>
          <w:sz w:val="18"/>
        </w:rPr>
        <w:t>——————————————————————————————————————————————————————————————————————</w:t>
      </w:r>
    </w:p>
    <w:p>
      <w:pPr>
        <w:spacing w:before="160" w:after="40" w:line="240" w:lineRule="auto"/>
      </w:pPr>
      <w:r>
        <w:rPr>
          <w:b/>
        </w:rPr>
        <w:t xml:space="preserve">[42] </w:t>
      </w:r>
      <w:hyperlink r:id="rId228">
        <w:r>
          <w:rPr>
            <w:color w:val="1155CC"/>
            <w:u w:val="single"/>
          </w:rPr>
          <w:t>基于物理和稳定性意识的风力涡轮机尾流解析建模</w:t>
        </w:r>
      </w:hyperlink>
    </w:p>
    <w:p>
      <w:pPr>
        <w:spacing w:before="0" w:after="80"/>
      </w:pPr>
      <w:r>
        <w:rPr>
          <w:i/>
          <w:sz w:val="20"/>
        </w:rPr>
        <w:t>EN: Physics-based and stability-aware analytical modeling of wind turbine wakes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29">
        <w:r>
          <w:rPr>
            <w:color w:val="1155CC"/>
            <w:u w:val="single"/>
          </w:rPr>
          <w:t>针对热浪暴露的电网的气候意识容量扩展规划</w:t>
        </w:r>
      </w:hyperlink>
    </w:p>
    <w:p>
      <w:pPr>
        <w:spacing w:before="0" w:after="80"/>
      </w:pPr>
      <w:r>
        <w:rPr>
          <w:i/>
          <w:sz w:val="20"/>
        </w:rPr>
        <w:t>EN: Climate-aware capacity expansion planning for power grids exposed to heat waves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30">
        <w:r>
          <w:rPr>
            <w:color w:val="1155CC"/>
            <w:u w:val="single"/>
          </w:rPr>
          <w:t>通过仿生纳米流体膜从常规酸碱中和中同时收集水和能量</w:t>
        </w:r>
      </w:hyperlink>
    </w:p>
    <w:p>
      <w:pPr>
        <w:spacing w:before="0" w:after="80"/>
      </w:pPr>
      <w:r>
        <w:rPr>
          <w:i/>
          <w:sz w:val="20"/>
        </w:rPr>
        <w:t>EN: Simultaneous water and energy harvesting from routine acid-base neutralization via biomimetic nanofluidic membranes</w:t>
      </w:r>
    </w:p>
    <w:p>
      <w:pPr>
        <w:spacing w:before="0" w:after="120"/>
      </w:pPr>
      <w:r>
        <w:rPr>
          <w:b/>
        </w:rPr>
        <w:t xml:space="preserve">Source: </w:t>
      </w:r>
      <w:r>
        <w:t>Matter</w:t>
      </w:r>
      <w:r>
        <w:t xml:space="preserve">    </w:t>
      </w:r>
      <w:r>
        <w:rPr>
          <w:b/>
        </w:rPr>
        <w:t xml:space="preserve">Pub date: </w:t>
      </w:r>
      <w:r>
        <w:t>2026-02-24 00:00:00+00:00</w:t>
      </w:r>
    </w:p>
    <w:p>
      <w:pPr>
        <w:spacing w:before="0" w:after="120"/>
      </w:pPr>
      <w:r>
        <w:rPr>
          <w:b/>
        </w:rPr>
        <w:t xml:space="preserve">Notes: </w:t>
      </w:r>
      <w:r>
        <w:t>abstract_source=rss_cell</w:t>
      </w:r>
    </w:p>
    <w:p>
      <w:pPr>
        <w:spacing w:before="0" w:after="80" w:lineRule="auto" w:line="276"/>
      </w:pPr>
      <w:r>
        <w:rPr>
          <w:b/>
        </w:rPr>
        <w:t xml:space="preserve">摘要（ZH）: </w:t>
      </w:r>
      <w:r>
        <w:t>从废水中回收水和能量对于解决水和能源危机具有重要意义。这里设计了一种竹子仿生的Ti3C2Tx膜，具有超对齐和致密结构，表现出优异的质子选择性传输行为。得益于此，在常规废水处理过程——酸碱中和中实现了水和能量的同时回收。</w:t>
      </w:r>
    </w:p>
    <w:p>
      <w:pPr>
        <w:spacing w:before="0" w:after="200" w:lineRule="auto" w:line="276"/>
      </w:pPr>
      <w:r>
        <w:rPr>
          <w:b/>
        </w:rPr>
        <w:t xml:space="preserve">Abstract (EN): </w:t>
      </w:r>
      <w:r>
        <w:t>Recovering both water and energy from wastewater is significant for addressing the water and energy crisis. Here, a bamboo-biomimetic Ti3C2Tx membrane with super-aligned and densified structure is designed, exhibiting excellent proton-selective transport behavior. Benefiting from this, simultaneous water and energy recovery is achieved during a routine wastewater treatment process—acid-base neutralization.</w:t>
      </w:r>
    </w:p>
    <w:p>
      <w:pPr>
        <w:spacing w:before="120" w:after="120"/>
      </w:pPr>
      <w:r>
        <w:rPr>
          <w:sz w:val="18"/>
        </w:rPr>
        <w:t>——————————————————————————————————————————————————————————————————————</w:t>
      </w:r>
    </w:p>
    <w:p>
      <w:pPr>
        <w:spacing w:before="160" w:after="40" w:line="240" w:lineRule="auto"/>
      </w:pPr>
      <w:r>
        <w:rPr>
          <w:b/>
        </w:rPr>
        <w:t xml:space="preserve">[45] </w:t>
      </w:r>
      <w:hyperlink r:id="rId231">
        <w:r>
          <w:rPr>
            <w:color w:val="1155CC"/>
            <w:u w:val="single"/>
          </w:rPr>
          <w:t>使用深度神经网络理解人类元控制及其病理</w:t>
        </w:r>
      </w:hyperlink>
    </w:p>
    <w:p>
      <w:pPr>
        <w:spacing w:before="0" w:after="80"/>
      </w:pPr>
      <w:r>
        <w:rPr>
          <w:i/>
          <w:sz w:val="20"/>
        </w:rPr>
        <w:t>EN: Understanding human metacontrol and its pathologies using deep neural networks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32">
        <w:r>
          <w:rPr>
            <w:color w:val="1155CC"/>
            <w:u w:val="single"/>
          </w:rPr>
          <w:t>10.1073/pnas.2510334123</w:t>
        </w:r>
      </w:hyperlink>
    </w:p>
    <w:p>
      <w:pPr>
        <w:spacing w:before="0" w:after="120"/>
      </w:pPr>
      <w:r>
        <w:rPr>
          <w:b/>
        </w:rPr>
        <w:t xml:space="preserve">Notes: </w:t>
      </w:r>
      <w:r>
        <w:t>abstract_source=crossref</w:t>
      </w:r>
    </w:p>
    <w:p>
      <w:pPr>
        <w:spacing w:before="0" w:after="80" w:lineRule="auto" w:line="276"/>
      </w:pPr>
      <w:r>
        <w:rPr>
          <w:b/>
        </w:rPr>
        <w:t xml:space="preserve">摘要（ZH）: </w:t>
      </w:r>
      <w:r>
        <w:t>错误监测对于推断环境的可控性至关重要，因此对于估计控制过程（元控制）的价值也很重要。在这项研究中，我们使用深度神经网络的计算模拟来研究其行为和神经相关性。我们训练了人类和深度强化学习（RL）代理执行一个奖励引导的学习任务，该任务需要适应行动可控性的变化。深度RL代理只有在被设计为明确预测在内侧前额叶皮层中触发的行动预测错误时才能解决任务。当以这种方式训练时，它们表现出的元控制特征与人类观察到的非常相似。此外，当深度RL代理被训练为过度或低估可控性时，它们发展</w:t>
      </w:r>
    </w:p>
    <w:p>
      <w:pPr>
        <w:spacing w:before="0" w:after="200" w:lineRule="auto" w:line="276"/>
      </w:pPr>
      <w:r>
        <w:rPr>
          <w:b/>
        </w:rPr>
        <w:t xml:space="preserve">Abstract (EN): </w:t>
      </w:r>
      <w:r>
        <w:t>Error monitoring is crucial for inferring how controllable an environment is, and thus for estimating the value of control processes (metacontrol). In this study, we use computational simulations with deep neural networks to investigate its behavioral and neural correlates. We trained both humans and deep reinforcement learning (RL) agents to perform a reward-guided learning task that required adaptation to changes in action controllability. Deep RL agents could only solve the task when designed to explicitly predict action prediction errors that fire in the medial prefrontal cortex. When trained this way, they displayed signatures of metacontrol that closely resembled those observed in humans. Moreover, when deep RL agents were trained to over- or underestimate controllability, they developed behavioral pathologies partially matching those of humans who reported depressive, anxious, or compulsive traits on transdiagnostic questionnaires. These findings open up avenues for studying metacontrol using deep neural networks.</w:t>
      </w:r>
    </w:p>
    <w:p>
      <w:pPr>
        <w:spacing w:before="120" w:after="120"/>
      </w:pPr>
      <w:r>
        <w:rPr>
          <w:sz w:val="18"/>
        </w:rPr>
        <w:t>——————————————————————————————————————————————————————————————————————</w:t>
      </w:r>
    </w:p>
    <w:p>
      <w:pPr>
        <w:spacing w:before="160" w:after="40" w:line="240" w:lineRule="auto"/>
      </w:pPr>
      <w:r>
        <w:rPr>
          <w:b/>
        </w:rPr>
        <w:t xml:space="preserve">[46] </w:t>
      </w:r>
      <w:hyperlink r:id="rId233">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34">
        <w:r>
          <w:rPr>
            <w:color w:val="1155CC"/>
            <w:u w:val="single"/>
          </w:rPr>
          <w:t>10.1073/iti0826123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35">
        <w:r>
          <w:rPr>
            <w:color w:val="1155CC"/>
            <w:u w:val="single"/>
          </w:rPr>
          <w:t>美国众议院选举中校园枪击事件与枪支政策政治行动委员会的战略贡献</w:t>
        </w:r>
      </w:hyperlink>
    </w:p>
    <w:p>
      <w:pPr>
        <w:spacing w:before="0" w:after="80"/>
      </w:pPr>
      <w:r>
        <w:rPr>
          <w:i/>
          <w:sz w:val="20"/>
        </w:rPr>
        <w:t>EN: School shootings and the strategic contributions of gun policy PACs in US House elections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36">
        <w:r>
          <w:rPr>
            <w:color w:val="1155CC"/>
            <w:u w:val="single"/>
          </w:rPr>
          <w:t>10.1073/pnas.2514343123</w:t>
        </w:r>
      </w:hyperlink>
    </w:p>
    <w:p>
      <w:pPr>
        <w:spacing w:before="0" w:after="120"/>
      </w:pPr>
      <w:r>
        <w:rPr>
          <w:b/>
        </w:rPr>
        <w:t xml:space="preserve">Notes: </w:t>
      </w:r>
      <w:r>
        <w:t>abstract_source=crossref</w:t>
      </w:r>
    </w:p>
    <w:p>
      <w:pPr>
        <w:spacing w:before="0" w:after="80" w:lineRule="auto" w:line="276"/>
      </w:pPr>
      <w:r>
        <w:rPr>
          <w:b/>
        </w:rPr>
        <w:t xml:space="preserve">摘要（ZH）: </w:t>
      </w:r>
      <w:r>
        <w:t>美国公众始终支持更严格的枪支法律。我们表明，枪支游说团体最担心这种支持会在致命的校园枪击事件发生时转化为联邦立法行动。利用政治行动委员会（PAC）捐款和校园枪击事件的数据集，我们实施了一个分阶段的差异中差异设计，以估计致命校园枪击事件对众议院候选人捐款的因果效应。我们发现，支持枪支的政治行动委员会在发生致命校园枪击事件的地区对候选人的捐款增加了31%，而枪支安全PAC的捐款增加了20%。两者对非致命校园枪击事件或大规模枪击事件均未显示出显著反应。时间模式还揭示了战略行为：对于支持枪支和枪支安全的PAC，捐款</w:t>
      </w:r>
    </w:p>
    <w:p>
      <w:pPr>
        <w:spacing w:before="0" w:after="200" w:lineRule="auto" w:line="276"/>
      </w:pPr>
      <w:r>
        <w:rPr>
          <w:b/>
        </w:rPr>
        <w:t xml:space="preserve">Abstract (EN): </w:t>
      </w:r>
      <w:r>
        <w:t>The American public consistently supports stricter gun laws. We show that the gun lobby is most concerned that this support will translate into federal legislative action when fatal school shootings occur. Leveraging a dataset of political action committee (PAC) contributions and school shootings, we implement a staggered difference-in-differences design to estimate the causal effect of fatal school shootings on contributions to House candidates. We find progun Political Action Committees increase contributions by 31% to candidates in districts with fatal school shootings, and 20% for gun safety PACs. Neither show any significant response to nonfatal school shootings or mass shootings. The temporal pattern also reveals strategic behavior: For both progun and gun safety PACs, contribution spikes emerge in the wake of fatal school shootings, with effects dramatically amplified as Election Day approaches; when a shooting occurs within two months of Election Day, contributions from progun PACs increase by 2,820% while gun safety PAC contributions increase by 917%. These effects are concentrated in competitive districts (</w:t>
      </w:r>
      <w:r>
        <w:t xml:space="preserve"> </w:t>
      </w:r>
      <w:r>
        <w:t>≤</w:t>
      </w:r>
      <w:r>
        <w:t xml:space="preserve"> </w:t>
      </w:r>
      <w:r>
        <w:t>5% margins) where the two-sided surge in contributions offsets any measurable electoral impact. These results provide robust evidence that PACs strategically deploy contributions after school shootings, with the magnitude and timing suggesting a deliberate mobilization to advance its agenda. Our findings underscore a gap in democratic accountability: While public opinion should drive policy change, campaign contributions are wielded to blunt electoral responsiveness, providing insight into the inability of Congress to adopt broadly supported gun safety measures.</w:t>
      </w:r>
    </w:p>
    <w:p>
      <w:pPr>
        <w:spacing w:before="120" w:after="120"/>
      </w:pPr>
      <w:r>
        <w:rPr>
          <w:sz w:val="18"/>
        </w:rPr>
        <w:t>——————————————————————————————————————————————————————————————————————</w:t>
      </w:r>
    </w:p>
    <w:p>
      <w:pPr>
        <w:spacing w:before="160" w:after="40" w:line="240" w:lineRule="auto"/>
      </w:pPr>
      <w:r>
        <w:rPr>
          <w:b/>
        </w:rPr>
        <w:t xml:space="preserve">[48] </w:t>
      </w:r>
      <w:hyperlink r:id="rId237">
        <w:r>
          <w:rPr>
            <w:color w:val="1155CC"/>
            <w:u w:val="single"/>
          </w:rPr>
          <w:t>mtDNA泄漏通过cGAS-STING驱动的神经炎症和丝氨酸代谢重编程促进神经元-胶质细胞间的对话以诱发癫痫</w:t>
        </w:r>
      </w:hyperlink>
    </w:p>
    <w:p>
      <w:pPr>
        <w:spacing w:before="0" w:after="80"/>
      </w:pPr>
      <w:r>
        <w:rPr>
          <w:i/>
          <w:sz w:val="20"/>
        </w:rPr>
        <w:t>EN: mtDNA leakage promotes neuron–glia crosstalk to induce epilepsy by cGAS–STING-driven neuroinflammation and serine metabolic reprogramming</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38">
        <w:r>
          <w:rPr>
            <w:color w:val="1155CC"/>
            <w:u w:val="single"/>
          </w:rPr>
          <w:t>10.1073/pnas.2522313123</w:t>
        </w:r>
      </w:hyperlink>
    </w:p>
    <w:p>
      <w:pPr>
        <w:spacing w:before="0" w:after="120"/>
      </w:pPr>
      <w:r>
        <w:rPr>
          <w:b/>
        </w:rPr>
        <w:t xml:space="preserve">Notes: </w:t>
      </w:r>
      <w:r>
        <w:t>abstract_source=crossref</w:t>
      </w:r>
    </w:p>
    <w:p>
      <w:pPr>
        <w:spacing w:before="0" w:after="80" w:lineRule="auto" w:line="276"/>
      </w:pPr>
      <w:r>
        <w:rPr>
          <w:b/>
        </w:rPr>
        <w:t xml:space="preserve">摘要（ZH）: </w:t>
      </w:r>
      <w:r>
        <w:t>癫痫越来越被认为是一种涉及代谢失调的疾病，超越了神经过度兴奋性，但其潜在的代谢机制仍然定义不清。在此，我们确定了一个驱动自发性慢性癫痫的线粒体-免疫-代谢轴。脑特异性删除Mic19会损害神经元中线粒体嵴结构和线粒体完整性，导致Z-线粒体DNA（mtDNA）-ZBP1-RIPK3-混合谱系激酶结构域样蛋白（MLKL）轴的激活和p-MLKL介导的线粒体膜孔形成。这个过程导致mtDNA的胞质和细胞外泄漏，随后被小胶质细胞摄取并触发环鸟苷酸-腺苷酸合成酶（cGAS）-STING依赖的炎症信号。由此产生的神经炎</w:t>
      </w:r>
    </w:p>
    <w:p>
      <w:pPr>
        <w:spacing w:before="0" w:after="200" w:lineRule="auto" w:line="276"/>
      </w:pPr>
      <w:r>
        <w:rPr>
          <w:b/>
        </w:rPr>
        <w:t xml:space="preserve">Abstract (EN): </w:t>
      </w:r>
      <w:r>
        <w:t>Epilepsy is increasingly recognized as a disorder involving metabolic dysregulation beyond neural hyperexcitability, yet the underlying metabolic mechanisms remain poorly defined. Here, we identify a mitochondrion–immunity–metabolism axis that drives spontaneous chronic epilepsy. Brain-specific deletion of Mic19 impairs mitochondrial cristae structure and mitochondrial integrity in neurons, leading to activation of the Z-mitochondrial DNA (mtDNA)–ZBP1–RIPK3–mixed lineage kinase domain-like protein (MLKL) axis and p-MLKL-mediated pore formation on the mitochondrial membrane. This process results in cytosolic and extracellular leakage of mtDNA, which is subsequently taken up by microglia and triggers cyclic GMP-AMP synthase (cGAS)–STING-dependent inflammatory signaling. The resulting neuroinflammation promotes sustained activation of astrocytes. Critically, reactive astrocytes undergo profound metabolic reprogramming, marked by upregulated glycolysis and enhanced L-serine biosynthesis. Astrocyte-derived L-serine is subsequently transferred to neurons and converted into D-serine, a key NMDA receptor coagonist that enhances neuronal excitability. This metabolic shift in astrocytes exacerbates excitotoxicity and sustains epileptic activity. Importantly, pharmacologic inhibition of STING with H-151 treatment markedly suppresses seizures, reinforcing the therapeutic potential of targeting immunometabolic crosstalk in epilepsy. Our findings reveal that mtDNA-mediated cGAS–STING activation and D-serine act as important drivers of epilepsy initiation, offering mechanistic insights into neuron–microglia–astrocyte crosstalk and highlighting immunometabolic modulation as a promising therapeutic strategy for epilepsy.</w:t>
      </w:r>
    </w:p>
    <w:p>
      <w:pPr>
        <w:spacing w:before="120" w:after="120"/>
      </w:pPr>
      <w:r>
        <w:rPr>
          <w:sz w:val="18"/>
        </w:rPr>
        <w:t>——————————————————————————————————————————————————————————————————————</w:t>
      </w:r>
    </w:p>
    <w:p>
      <w:pPr>
        <w:spacing w:before="160" w:after="40" w:line="240" w:lineRule="auto"/>
      </w:pPr>
      <w:r>
        <w:rPr>
          <w:b/>
        </w:rPr>
        <w:t xml:space="preserve">[49] </w:t>
      </w:r>
      <w:hyperlink r:id="rId239">
        <w:r>
          <w:rPr>
            <w:color w:val="1155CC"/>
            <w:u w:val="single"/>
          </w:rPr>
          <w:t>学术期刊的AI政策未能遏制AI辅助学术写作的激增</w:t>
        </w:r>
      </w:hyperlink>
    </w:p>
    <w:p>
      <w:pPr>
        <w:spacing w:before="0" w:after="80"/>
      </w:pPr>
      <w:r>
        <w:rPr>
          <w:i/>
          <w:sz w:val="20"/>
        </w:rPr>
        <w:t>EN: Academic journals’ AI policies fail to curb the surge in AI-assisted academic writing</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40">
        <w:r>
          <w:rPr>
            <w:color w:val="1155CC"/>
            <w:u w:val="single"/>
          </w:rPr>
          <w:t>10.1073/pnas.2526734123</w:t>
        </w:r>
      </w:hyperlink>
    </w:p>
    <w:p>
      <w:pPr>
        <w:spacing w:before="0" w:after="120"/>
      </w:pPr>
      <w:r>
        <w:rPr>
          <w:b/>
        </w:rPr>
        <w:t xml:space="preserve">Notes: </w:t>
      </w:r>
      <w:r>
        <w:t>abstract_source=crossref</w:t>
      </w:r>
    </w:p>
    <w:p>
      <w:pPr>
        <w:spacing w:before="0" w:after="80" w:lineRule="auto" w:line="276"/>
      </w:pPr>
      <w:r>
        <w:rPr>
          <w:b/>
        </w:rPr>
        <w:t xml:space="preserve">摘要（ZH）: </w:t>
      </w:r>
      <w:r>
        <w:t>生成式AI在学术写作中的快速整合引发了期刊和出版商的广泛政策响应。然而，这些政策的有效性仍不明确。在此，我们分析了5,114本期刊和超过520万篇论文，以评估AI使用指南的实际影响。我们显示，尽管70%的期刊采用了AI政策（主要要求披露），研究人员在各个学科中使用AI写作工具的情况显著增加，且在有无政策的期刊之间没有显著差异。非英语国家、物理科学和高开放获取期刊表现出最高的增长率。至关重要的是，对164k篇科学出版物的全文分析揭示了一个显著的透明度差距：在75k篇自</w:t>
      </w:r>
    </w:p>
    <w:p>
      <w:pPr>
        <w:spacing w:before="0" w:after="200" w:lineRule="auto" w:line="276"/>
      </w:pPr>
      <w:r>
        <w:rPr>
          <w:b/>
        </w:rPr>
        <w:t xml:space="preserve">Abstract (EN): </w:t>
      </w:r>
      <w:r>
        <w:t>The rapid integration of generative AI into academic writing has prompted widespread policy responses from journals and publishers. However, the effectiveness of these policies remains unclear. Here, we analyze 5,114 journals and over 5.2 million papers to evaluate the real-world impact of AI usage guidelines. We show that despite 70% of journals adopting AI policies (primarily requiring disclosure), researchers’ use of AI writing tools has increased dramatically across disciplines, with no significant difference between journals with or without policies. Non-English-speaking countries, physical sciences, and high-OA journals exhibit the highest growth rates. Crucially, full-text analysis on 164 k scientific publications reveals a striking transparency gap: Of the 75 k papers published since 2023, only 76 (~0.1%) explicitly disclosed AI use. Our findings suggest that current policies have largely failed to promote transparency or restrain AI adoption. We urge a reevaluation of ethical frameworks to foster responsible AI integration in science.</w:t>
      </w:r>
    </w:p>
    <w:p>
      <w:pPr>
        <w:spacing w:before="120" w:after="120"/>
      </w:pPr>
      <w:r>
        <w:rPr>
          <w:sz w:val="18"/>
        </w:rPr>
        <w:t>——————————————————————————————————————————————————————————————————————</w:t>
      </w:r>
    </w:p>
    <w:p>
      <w:pPr>
        <w:spacing w:before="160" w:after="40" w:line="240" w:lineRule="auto"/>
      </w:pPr>
      <w:r>
        <w:rPr>
          <w:b/>
        </w:rPr>
        <w:t xml:space="preserve">[50] </w:t>
      </w:r>
      <w:hyperlink r:id="rId241">
        <w:r>
          <w:rPr>
            <w:color w:val="1155CC"/>
            <w:u w:val="single"/>
          </w:rPr>
          <w:t>输电降低了美国的发电成本，但发电机的激励措施并不一致</w:t>
        </w:r>
      </w:hyperlink>
    </w:p>
    <w:p>
      <w:pPr>
        <w:spacing w:before="0" w:after="80"/>
      </w:pPr>
      <w:r>
        <w:rPr>
          <w:i/>
          <w:sz w:val="20"/>
        </w:rPr>
        <w:t>EN: Transmission lowers US generation costs, but generator incentives are not aligned</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42">
        <w:r>
          <w:rPr>
            <w:color w:val="1155CC"/>
            <w:u w:val="single"/>
          </w:rPr>
          <w:t>10.1073/pnas.2524463123</w:t>
        </w:r>
      </w:hyperlink>
    </w:p>
    <w:p>
      <w:pPr>
        <w:spacing w:before="0" w:after="120"/>
      </w:pPr>
      <w:r>
        <w:rPr>
          <w:b/>
        </w:rPr>
        <w:t xml:space="preserve">Notes: </w:t>
      </w:r>
      <w:r>
        <w:t>abstract_source=crossref</w:t>
      </w:r>
    </w:p>
    <w:p>
      <w:pPr>
        <w:spacing w:before="0" w:after="80" w:lineRule="auto" w:line="276"/>
      </w:pPr>
      <w:r>
        <w:rPr>
          <w:b/>
        </w:rPr>
        <w:t xml:space="preserve">摘要（ZH）: </w:t>
      </w:r>
      <w:r>
        <w:t>随着低成本可再生电力的进入，美国电网正在迅速演变。因此，新的供应在空间上与需求不匹配，传输网络变得更加紧张。更好的市场整合因此可以降低美国的发电成本。我们记录到，消除跨区域限制将使美国48个州的发电成本在2022年减少58亿至71亿美元，在2023年减少34亿至50亿美元。但市场整合在发电公司中创造了赢家和输家，我们显示某些地区的生产商有动机延迟或阻止电网整合，尽管整体系统受益。</w:t>
      </w:r>
    </w:p>
    <w:p>
      <w:pPr>
        <w:spacing w:before="0" w:after="200" w:lineRule="auto" w:line="276"/>
      </w:pPr>
      <w:r>
        <w:rPr>
          <w:b/>
        </w:rPr>
        <w:t xml:space="preserve">Abstract (EN): </w:t>
      </w:r>
      <w:r>
        <w:t>The US electricity grid is rapidly evolving with the entry of low-cost renewable electricity. As a result, new supply is not spatially matched to demand, and the transmission network has become more strained. Better market integration could thus lower US generation costs. We document that eliminating interregional constraints would have reduced electricity generation costs across the lower US 48 states by $5.8 to 7.1 billion in 2022 and $3.4 to 5.0 billion in 2023. But market integration creates winners and losers among generation companies, and we show that producers in some regions have incentives to delay or block grid integration despite the overall system benefits.</w:t>
      </w:r>
    </w:p>
    <w:p>
      <w:pPr>
        <w:spacing w:before="120" w:after="120"/>
      </w:pPr>
      <w:r>
        <w:rPr>
          <w:sz w:val="18"/>
        </w:rPr>
        <w:t>——————————————————————————————————————————————————————————————————————</w:t>
      </w:r>
    </w:p>
    <w:p>
      <w:pPr>
        <w:spacing w:before="160" w:after="40" w:line="240" w:lineRule="auto"/>
      </w:pPr>
      <w:r>
        <w:rPr>
          <w:b/>
        </w:rPr>
        <w:t xml:space="preserve">[51] </w:t>
      </w:r>
      <w:hyperlink r:id="rId243">
        <w:r>
          <w:rPr>
            <w:color w:val="1155CC"/>
            <w:u w:val="single"/>
          </w:rPr>
          <w:t>一种准确且高效的框架用于模拟粘土矿物上的多金属竞争吸附</w:t>
        </w:r>
      </w:hyperlink>
    </w:p>
    <w:p>
      <w:pPr>
        <w:spacing w:before="0" w:after="80"/>
      </w:pPr>
      <w:r>
        <w:rPr>
          <w:i/>
          <w:sz w:val="20"/>
        </w:rPr>
        <w:t>EN: An accurate and efficient framework for modeling multimetal competitive adsorption on clay minerals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44">
        <w:r>
          <w:rPr>
            <w:color w:val="1155CC"/>
            <w:u w:val="single"/>
          </w:rPr>
          <w:t>10.1073/pnas.2527567123</w:t>
        </w:r>
      </w:hyperlink>
    </w:p>
    <w:p>
      <w:pPr>
        <w:spacing w:before="0" w:after="120"/>
      </w:pPr>
      <w:r>
        <w:rPr>
          <w:b/>
        </w:rPr>
        <w:t xml:space="preserve">Notes: </w:t>
      </w:r>
      <w:r>
        <w:t>abstract_source=crossref</w:t>
      </w:r>
    </w:p>
    <w:p>
      <w:pPr>
        <w:spacing w:before="0" w:after="80" w:lineRule="auto" w:line="276"/>
      </w:pPr>
      <w:r>
        <w:rPr>
          <w:b/>
        </w:rPr>
        <w:t xml:space="preserve">摘要（ZH）: </w:t>
      </w:r>
      <w:r>
        <w:t>多种有毒金属元素通常共存，因此在自然和工程化的富含粘土的系统中总是发生竞争性吸附。然而，目前多组分金属系统在粘土矿物表面的竞争性吸附机制仍不清楚，阻碍了对土壤-水环境中有毒金属分布的准确预测。在这项研究中，我们利用第一性原理计算揭示了多金属在异质粘土矿物表面的竞争性吸附的微观机制，表明金属离子大小在其在粘土矿物表面的络合中起主导作用，金属的竞争性吸附在粘土矿物的吸附过程中起关键的调节作用。通过整合理论和实验得出的</w:t>
      </w:r>
    </w:p>
    <w:p>
      <w:pPr>
        <w:spacing w:before="0" w:after="200" w:lineRule="auto" w:line="276"/>
      </w:pPr>
      <w:r>
        <w:rPr>
          <w:b/>
        </w:rPr>
        <w:t xml:space="preserve">Abstract (EN): </w:t>
      </w:r>
      <w:r>
        <w:t>Multiple toxic metal elements usually coexist and thus their competitive adsorption always occurs in natural and engineered clay-rich systems. Currently, however, the competitive adsorption mechanisms of multicomponent metal systems on clay mineral surfaces are still unclear, hindering the accurate prediction of toxic metal distribution in soil-water environments. In this study, we uncovered the microscopic mechanism of competitive adsorption of multimetals on heterogeneous clay mineral surfaces using first principles calculation, which indicates that metal ion size largely dominates their complexation on clay mineral surfaces, and competitive adsorption of metals plays a key modulatory role in the adsorption process on clay minerals. By integrating theoretically and experimentally derived multiscale information, a state-of-the-art surface complexation model (SCM) framework has been developed for modeling competitive adsorption. Extensive tests showed that the SCM framework accurately and efficiently reproduces the toxic metal distribution, which enables the quantitative prediction and understanding in realistic environmental conditions. Our results have wide applications in future fundamental studies and the design of environmental materials for toxic metal removal from aquatic systems.</w:t>
      </w:r>
    </w:p>
    <w:p>
      <w:pPr>
        <w:spacing w:before="120" w:after="120"/>
      </w:pPr>
      <w:r>
        <w:rPr>
          <w:sz w:val="18"/>
        </w:rPr>
        <w:t>——————————————————————————————————————————————————————————————————————</w:t>
      </w:r>
    </w:p>
    <w:p>
      <w:pPr>
        <w:spacing w:before="160" w:after="40" w:line="240" w:lineRule="auto"/>
      </w:pPr>
      <w:r>
        <w:rPr>
          <w:b/>
        </w:rPr>
        <w:t xml:space="preserve">[52] </w:t>
      </w:r>
      <w:hyperlink r:id="rId245">
        <w:r>
          <w:rPr>
            <w:color w:val="1155CC"/>
            <w:u w:val="single"/>
          </w:rPr>
          <w:t>I类肌球蛋白在人类诱导多能干细胞中响应膜张力变化期间的网格蛋白介导的内吞作用</w:t>
        </w:r>
      </w:hyperlink>
    </w:p>
    <w:p>
      <w:pPr>
        <w:spacing w:before="0" w:after="80"/>
      </w:pPr>
      <w:r>
        <w:rPr>
          <w:i/>
          <w:sz w:val="20"/>
        </w:rPr>
        <w:t>EN: Class-I myosin responds to changes in membrane tension during clathrin-mediated endocytosis in human induced pluripotent stem cells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46">
        <w:r>
          <w:rPr>
            <w:color w:val="1155CC"/>
            <w:u w:val="single"/>
          </w:rPr>
          <w:t>10.1073/pnas.2532817123</w:t>
        </w:r>
      </w:hyperlink>
    </w:p>
    <w:p>
      <w:pPr>
        <w:spacing w:before="0" w:after="120"/>
      </w:pPr>
      <w:r>
        <w:rPr>
          <w:b/>
        </w:rPr>
        <w:t xml:space="preserve">Notes: </w:t>
      </w:r>
      <w:r>
        <w:t>abstract_source=crossref</w:t>
      </w:r>
    </w:p>
    <w:p>
      <w:pPr>
        <w:spacing w:before="0" w:after="80" w:lineRule="auto" w:line="276"/>
      </w:pPr>
      <w:r>
        <w:rPr>
          <w:b/>
        </w:rPr>
        <w:t xml:space="preserve">摘要（ZH）: </w:t>
      </w:r>
      <w:r>
        <w:t>网格蛋白介导的内吞作用（CME）是一种必需的细胞过程，需要在各种条件下高效运行。内吞位点的内化涉及由膜结合蛋白和Arp2/3介导的分支肌动蛋白丝组装产生的力，将质膜从平坦状态弯曲成Ω形。在哺乳动物的CME中，分支肌动蛋白丝网络的需求因细胞类型和膜张力的差异而异。然而，尚不清楚肌动蛋白网络如何适应负载变化，以确保在不同膜张力范围内该过程的稳健性。在此，我们结合活细胞成像和基因组编辑的人诱导多能干细胞的超分辨率显微镜研究哺乳动物I类的作用</w:t>
      </w:r>
    </w:p>
    <w:p>
      <w:pPr>
        <w:spacing w:before="0" w:after="200" w:lineRule="auto" w:line="276"/>
      </w:pPr>
      <w:r>
        <w:rPr>
          <w:b/>
        </w:rPr>
        <w:t xml:space="preserve">Abstract (EN): </w:t>
      </w:r>
      <w:r>
        <w:t>Clathrin-mediated endocytosis (CME) is an essential cellular process that needs to operate efficiently across a wide range of conditions. Internalization of the endocytic site involves forces generated by membrane-bound proteins and Arp2/3-mediated branched actin filament assembly to bend the plasma membrane from flat to omega-shaped. In mammalian CME, the requirement for a branched actin filament network varies depending on cell type and differences in membrane tension. However, how the actin network adapts to changes in load in order to ensure robustness of this process over a range of membrane tensions is not understood. Here, we combine live-cell imaging and superresolution microscopy of genome-edited human induced pluripotent stem cells to investigate the role of the mammalian class-I myosin, Myosin1E (Myo1E), in load adaptation. Under normal conditions, sites that recruit Myo1E are rare and exhibit slow CME dynamics. However, as membrane tension increases and CME dynamics are slowed globally, Myo1E is recruited to more sites, likely to increase actin assembly and motor activity, resulting in increased force generation to rescue stalled sites and promote internalization. Loss of Myo1E results in increased Arp2/3 complex lifetime at CME sites under normal conditions, and at high membrane tension, these sites fail to recruit as many Arp2/3 molecules. We propose that Myo1E is recruited to CME sites that have stalled due to increased membrane tension, where it helps build a more effective branched actin network by generating force through motor activity and recruiting additional Arp2/3 complexes to rescue stalled sites.</w:t>
      </w:r>
    </w:p>
    <w:p>
      <w:pPr>
        <w:spacing w:before="120" w:after="120"/>
      </w:pPr>
      <w:r>
        <w:rPr>
          <w:sz w:val="18"/>
        </w:rPr>
        <w:t>——————————————————————————————————————————————————————————————————————</w:t>
      </w:r>
    </w:p>
    <w:p>
      <w:pPr>
        <w:spacing w:before="160" w:after="40" w:line="240" w:lineRule="auto"/>
      </w:pPr>
      <w:r>
        <w:rPr>
          <w:b/>
        </w:rPr>
        <w:t xml:space="preserve">[53] </w:t>
      </w:r>
      <w:hyperlink r:id="rId247">
        <w:r>
          <w:rPr>
            <w:color w:val="1155CC"/>
            <w:u w:val="single"/>
          </w:rPr>
          <w:t>人类致癌疱疹病毒潜伏蛋白激活NEK2以促进染色体不稳定性和肿瘤发生</w:t>
        </w:r>
      </w:hyperlink>
    </w:p>
    <w:p>
      <w:pPr>
        <w:spacing w:before="0" w:after="80"/>
      </w:pPr>
      <w:r>
        <w:rPr>
          <w:i/>
          <w:sz w:val="20"/>
        </w:rPr>
        <w:t>EN: Human oncogenic herpesvirus latency proteins activate NEK2 to promote chromosomal instability and tumorigenesis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48">
        <w:r>
          <w:rPr>
            <w:color w:val="1155CC"/>
            <w:u w:val="single"/>
          </w:rPr>
          <w:t>10.1073/pnas.2535073123</w:t>
        </w:r>
      </w:hyperlink>
    </w:p>
    <w:p>
      <w:pPr>
        <w:spacing w:before="0" w:after="120"/>
      </w:pPr>
      <w:r>
        <w:rPr>
          <w:b/>
        </w:rPr>
        <w:t xml:space="preserve">Notes: </w:t>
      </w:r>
      <w:r>
        <w:t>abstract_source=crossref</w:t>
      </w:r>
    </w:p>
    <w:p>
      <w:pPr>
        <w:spacing w:before="0" w:after="80" w:lineRule="auto" w:line="276"/>
      </w:pPr>
      <w:r>
        <w:rPr>
          <w:b/>
        </w:rPr>
        <w:t xml:space="preserve">摘要（ZH）: </w:t>
      </w:r>
      <w:r>
        <w:t>有丝分裂中从未出现A（NIMA）相关激酶2（NEK2）是一种丝氨酸/苏氨酸激酶，在细胞周期调控中起关键作用，并在多种癌症类型中经常被诱导，其升高水平与预后不良相关。已知驱动多种恶性肿瘤的Epstein-Barr病毒（EBV）和卡波西肉瘤相关疱疹病毒（KSHV）在初次感染和潜伏感染阶段均被观察到诱导NEK2表达。NEK2表达的增加通过促进不分离导致染色体不稳定，导致非整倍体细胞群体增加并促进不受控制的细胞增殖。在机制上，EBV潜伏蛋白EBNA2和KSHV潜伏抗原LANA被确定为NEK2上调的主要调节因子，作用于</w:t>
      </w:r>
    </w:p>
    <w:p>
      <w:pPr>
        <w:spacing w:before="0" w:after="200" w:lineRule="auto" w:line="276"/>
      </w:pPr>
      <w:r>
        <w:rPr>
          <w:b/>
        </w:rPr>
        <w:t xml:space="preserve">Abstract (EN): </w:t>
      </w:r>
      <w:r>
        <w:t>Never in mitosis A (NIMA)-related kinase 2 (NEK2) is a serine/threonine kinase that plays a crucial role in cell cycle regulation and is frequently induced across multiple cancer types, where its elevated levels are associated with poor prognosis. Epstein–Barr virus (EBV) and Kaposi’s sarcoma–associated herpesvirus (KSHV), both known to drive various malignancies, were observed to induce NEK2 expression during both primary infection and latent phases of infection. Increased NEK2 expression contributes to chromosomal instability by promoting nondisjunction, leading to a rise in aneuploid cell populations and fostering uncontrolled cell proliferation. Mechanistically, EBV latent protein EBNA2 and KSHV latent antigen LANA were identified as principal regulators of NEK2 upregulation, acting through modulation of RBP-Jκ activities at the NEK2 promoter region. Additionally, we demonstrated that targeting NEK2 impaired EBV- and KSHV-mediated tumor progression, highlighting its potential as a critical driver of virus-induced oncogenesis and a promising therapeutic target.</w:t>
      </w:r>
    </w:p>
    <w:p>
      <w:pPr>
        <w:spacing w:before="120" w:after="120"/>
      </w:pPr>
      <w:r>
        <w:rPr>
          <w:sz w:val="18"/>
        </w:rPr>
        <w:t>——————————————————————————————————————————————————————————————————————</w:t>
      </w:r>
    </w:p>
    <w:p>
      <w:pPr>
        <w:spacing w:before="160" w:after="40" w:line="240" w:lineRule="auto"/>
      </w:pPr>
      <w:r>
        <w:rPr>
          <w:b/>
        </w:rPr>
        <w:t xml:space="preserve">[54] </w:t>
      </w:r>
      <w:hyperlink r:id="rId249">
        <w:r>
          <w:rPr>
            <w:color w:val="1155CC"/>
            <w:u w:val="single"/>
          </w:rPr>
          <w:t>双语语言处理依赖于由每种语言调节的共享语义表示</w:t>
        </w:r>
      </w:hyperlink>
    </w:p>
    <w:p>
      <w:pPr>
        <w:spacing w:before="0" w:after="80"/>
      </w:pPr>
      <w:r>
        <w:rPr>
          <w:i/>
          <w:sz w:val="20"/>
        </w:rPr>
        <w:t>EN: Bilingual language processing relies on shared semantic representations that are modulated by each language</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50">
        <w:r>
          <w:rPr>
            <w:color w:val="1155CC"/>
            <w:u w:val="single"/>
          </w:rPr>
          <w:t>10.1073/pnas.2503721123</w:t>
        </w:r>
      </w:hyperlink>
    </w:p>
    <w:p>
      <w:pPr>
        <w:spacing w:before="0" w:after="120"/>
      </w:pPr>
      <w:r>
        <w:rPr>
          <w:b/>
        </w:rPr>
        <w:t xml:space="preserve">Notes: </w:t>
      </w:r>
      <w:r>
        <w:t>abstract_source=crossref</w:t>
      </w:r>
    </w:p>
    <w:p>
      <w:pPr>
        <w:spacing w:before="0" w:after="80" w:lineRule="auto" w:line="276"/>
      </w:pPr>
      <w:r>
        <w:rPr>
          <w:b/>
        </w:rPr>
        <w:t xml:space="preserve">摘要（ZH）: </w:t>
      </w:r>
      <w:r>
        <w:t>全世界有数十亿人是双语者，他们可以从多种语言中提取意义。虽然有证据表明人脑中存在一个共享系统来处理母语和非母语的语义信息，但也有证据表明语义处理是语言特定的。我们进行了一项研究，以确定双语者大脑中不同语言的语义信息是如何表示的。功能性磁共振成像（fMRI）用于记录参与者在阅读母语（中文）和非母语（英语）的自然叙述时的大脑反应。然后使用这些数据比较两种语言之间的语义表示。我们发现语义表示在很大程度上</w:t>
      </w:r>
    </w:p>
    <w:p>
      <w:pPr>
        <w:spacing w:before="0" w:after="200" w:lineRule="auto" w:line="276"/>
      </w:pPr>
      <w:r>
        <w:rPr>
          <w:b/>
        </w:rPr>
        <w:t xml:space="preserve">Abstract (EN): </w:t>
      </w:r>
      <w:r>
        <w:t>Billions of people throughout the world are bilingual, and they can extract meaning from multiple languages. While some evidence suggests that there is a shared system in the human brain for processing semantic information from native and non-native languages, other evidence suggests that semantic processing is language specific. We conducted a study to determine how semantic information for different languages is represented in the brains of bilinguals. Functional magnetic resonance imaging (fMRI) was used to record brain responses while participants read several hours of natural narratives in their native (Chinese) and non-native (English) languages. These data were then used to compare semantic representations between the two languages. We find that semantic representations are largely shared between languages, while there are fine-grained differences in the representation of some semantic categories across languages. These results reconcile current competing theories of bilingual language processing.</w:t>
      </w:r>
    </w:p>
    <w:p>
      <w:pPr>
        <w:spacing w:before="120" w:after="120"/>
      </w:pPr>
      <w:r>
        <w:rPr>
          <w:sz w:val="18"/>
        </w:rPr>
        <w:t>——————————————————————————————————————————————————————————————————————</w:t>
      </w:r>
    </w:p>
    <w:p>
      <w:pPr>
        <w:spacing w:before="160" w:after="40" w:line="240" w:lineRule="auto"/>
      </w:pPr>
      <w:r>
        <w:rPr>
          <w:b/>
        </w:rPr>
        <w:t xml:space="preserve">[55] </w:t>
      </w:r>
      <w:hyperlink r:id="rId251">
        <w:r>
          <w:rPr>
            <w:color w:val="1155CC"/>
            <w:u w:val="single"/>
          </w:rPr>
          <w:t>差异性疾病耐受性介导了败血症中性别偏倚的疾病严重程度</w:t>
        </w:r>
      </w:hyperlink>
    </w:p>
    <w:p>
      <w:pPr>
        <w:spacing w:before="0" w:after="80"/>
      </w:pPr>
      <w:r>
        <w:rPr>
          <w:i/>
          <w:sz w:val="20"/>
        </w:rPr>
        <w:t>EN: Differential disease tolerance mediates sex-biased illness severity in sepsis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252">
        <w:r>
          <w:rPr>
            <w:color w:val="1155CC"/>
            <w:u w:val="single"/>
          </w:rPr>
          <w:t>10.1073/pnas.2522764123</w:t>
        </w:r>
      </w:hyperlink>
    </w:p>
    <w:p>
      <w:pPr>
        <w:spacing w:before="0" w:after="120"/>
      </w:pPr>
      <w:r>
        <w:rPr>
          <w:b/>
        </w:rPr>
        <w:t xml:space="preserve">Notes: </w:t>
      </w:r>
      <w:r>
        <w:t>abstract_source=crossref</w:t>
      </w:r>
    </w:p>
    <w:p>
      <w:pPr>
        <w:spacing w:before="0" w:after="80" w:lineRule="auto" w:line="276"/>
      </w:pPr>
      <w:r>
        <w:rPr>
          <w:b/>
        </w:rPr>
        <w:t xml:space="preserve">摘要（ZH）: </w:t>
      </w:r>
      <w:r>
        <w:t>人类败血症以及小鼠感染模型显示出性别偏倚的结果，其中男性的发病率、严重程度和死亡率均高于女性。尽管败血症结果中存在这种重要的性别偏倚，但关于其机制驱动因素和治疗意义知之甚少。许多关于败血症发病机制的基础数据来自仅包括雄性个体的动物研究，这可能导致了败血症治疗从小鼠到人类的显著翻译成功率不足。在这项研究中，我们证明了小鼠细菌败血症模型中男性偏向的疾病严重程度和器官功能障碍是由男性疾病耐受性受损介导的，涉及线粒体氧化代谢中耐受性转变的受损。</w:t>
      </w:r>
    </w:p>
    <w:p>
      <w:pPr>
        <w:spacing w:before="0" w:after="200" w:lineRule="auto" w:line="276"/>
      </w:pPr>
      <w:r>
        <w:rPr>
          <w:b/>
        </w:rPr>
        <w:t xml:space="preserve">Abstract (EN): </w:t>
      </w:r>
      <w:r>
        <w:t>Sepsis in humans, as well as mouse models of infection, demonstrates sex-biased outcomes in which males tend to have a higher incidence, higher severity, and higher mortality compared to females. Despite this important sex-bias in sepsis outcomes, little is known about its mechanistic drivers nor therapeutic implications. Much of the foundational data on sepsis pathogenesis is derived from animal studies that included only male subjects, potentially contributing to the notable paucity of successful mouse-to-human translation of sepsis therapeutics. In this study, we demonstrate that male-biased illness severity and organ dysfunction in mouse models of bacterial sepsis are mediated by impaired disease tolerance in males, involving impaired tolerogenic shifts in mitochondrial oxidative metabolism compared to females. Microbiological and immunological analyses of sepsis between males and females revealed that sex-biased disease tolerance was independent of infection resistance mechanisms, as well as canonical immune/inflammatory dysregulation. Therapeutic potentiation of mitochondrial tolerance with doxycycline neutralized sexual dimorphism of illness severity and organ dysfunction through a male-predominant treatment effect. These data reveal that biological sex is a fundamental determinant of illness severity and treatment responsiveness in sepsis through modulation of disease tolerance, which may be harnessed therapeutically to address sex-biased outcomes in sepsis.</w:t>
      </w:r>
    </w:p>
    <w:p>
      <w:pPr>
        <w:spacing w:before="120" w:after="120"/>
      </w:pPr>
      <w:r>
        <w:rPr>
          <w:sz w:val="18"/>
        </w:rPr>
        <w:t>——————————————————————————————————————————————————————————————————————</w:t>
      </w:r>
    </w:p>
    <w:p>
      <w:pPr>
        <w:spacing w:before="160" w:after="40" w:line="240" w:lineRule="auto"/>
      </w:pPr>
      <w:r>
        <w:rPr>
          <w:b/>
        </w:rPr>
        <w:t xml:space="preserve">[56] </w:t>
      </w:r>
      <w:hyperlink r:id="rId253">
        <w:r>
          <w:rPr>
            <w:color w:val="1155CC"/>
            <w:u w:val="single"/>
          </w:rPr>
          <w:t>[ASAP] 通过超快空穴转移在II型二维钙钛矿中实现相干电子自旋进动</w:t>
        </w:r>
      </w:hyperlink>
    </w:p>
    <w:p>
      <w:pPr>
        <w:spacing w:before="0" w:after="80"/>
      </w:pPr>
      <w:r>
        <w:rPr>
          <w:i/>
          <w:sz w:val="20"/>
        </w:rPr>
        <w:t>EN: [ASAP] Coherent Electron Spin Precession Enabled by Ultrafast Hole Transfer in Type-II Two-Dimensional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2026-02-24 09:34:41+00:00</w:t>
      </w:r>
      <w:r>
        <w:t xml:space="preserve">    </w:t>
      </w:r>
      <w:r>
        <w:rPr>
          <w:b/>
        </w:rPr>
        <w:t xml:space="preserve">DOI: </w:t>
      </w:r>
      <w:hyperlink r:id="rId254">
        <w:r>
          <w:rPr>
            <w:color w:val="1155CC"/>
            <w:u w:val="single"/>
          </w:rPr>
          <w:t>10.1021/jacs.6c00769</w:t>
        </w:r>
      </w:hyperlink>
    </w:p>
    <w:p>
      <w:pPr>
        <w:spacing w:before="0" w:after="120"/>
      </w:pPr>
      <w:r>
        <w:rPr>
          <w:b/>
        </w:rPr>
        <w:t xml:space="preserve">Notes: </w:t>
      </w:r>
      <w:r>
        <w:t>abstract_source=pubmed</w:t>
      </w:r>
    </w:p>
    <w:p>
      <w:pPr>
        <w:spacing w:before="0" w:after="80" w:lineRule="auto" w:line="276"/>
      </w:pPr>
      <w:r>
        <w:rPr>
          <w:b/>
        </w:rPr>
        <w:t xml:space="preserve">摘要（ZH）: </w:t>
      </w:r>
      <w:r>
        <w:t>二维（2D）卤化铅钙钛矿构成了一个多功能平台，用于探索电子自旋、光螺旋性和结构手性之间的有趣相互作用，以实现新型量子和自旋电子学应用。然而，强电子-空穴交换相互作用限制了典型2D单层钙钛矿中的自旋寿命，短至亚皮秒。尽管最近的研究采用有机间隔层工程将自旋寿命在室温下延长至超过10皮秒，但在这些系统中尚未实现自旋的相干进动，这是一种利用光学注入自旋的真正量子特性的起点。在此，我们研究了一种具有咔唑基有机间隔层的II型2D钙钛矿中的自旋弛豫和进动动力学。超快空穴转移（约60飞秒）</w:t>
      </w:r>
    </w:p>
    <w:p>
      <w:pPr>
        <w:spacing w:before="0" w:after="200" w:lineRule="auto" w:line="276"/>
      </w:pPr>
      <w:r>
        <w:rPr>
          <w:b/>
        </w:rPr>
        <w:t xml:space="preserve">Abstract (EN): </w:t>
      </w:r>
      <w:r>
        <w:t>Two-dimensional (2D) lead halide perovskites constitute a versatile platform to explore the intriguing interplay between electron spin, light helicity, and structural chirality for novel quantum and spintronic applications. However, strong electron-hole exchange interaction limits the spin lifetime in typical 2D monolayer perovskites to be as short as subps. While recent studies employed organic spacer engineering to extend the spin lifetime to above 10 ps at room temperature, coherent spin precession, which is a starting point to exploit the genuine quantum nature of the optically injected spins, has not been realized in these systems. Here, we study spin relaxation and precession dynamics in a type-II 2D perovskite with carbazole-based organic spacers. Ultrafast hole transfer (ca. 60 fs) from the inorganic layer to the organic layer decouples electron-hole interaction, giving rise to a room-temperature electron spin lifetime of 40 ps that is 200-fold longer than typical 2D perovskites. The spin lifetime is further prolonged to 260 ps at 60 K, with the temperature dependence well described by scattering with phonon modes of ca. 22 meV. Most importantly, coherent electron spin precession under a transverse magnetic field is directly observed. Dephasing time is also limited by phonon scattering, but the phonon modes of ca. 11 meV are distinct from those responsible for spin depolarization. This work not only provides key mechanistic insights into spin relaxation and precession dynamics in 2D perovskites but also establishes the viability of these materials as a novel platform for spin quantum manipulation.</w:t>
      </w:r>
    </w:p>
    <w:p>
      <w:pPr>
        <w:spacing w:before="120" w:after="120"/>
      </w:pPr>
      <w:r>
        <w:rPr>
          <w:sz w:val="18"/>
        </w:rPr>
        <w:t>——————————————————————————————————————————————————————————————————————</w:t>
      </w:r>
    </w:p>
    <w:p>
      <w:pPr>
        <w:spacing w:before="160" w:after="40" w:line="240" w:lineRule="auto"/>
      </w:pPr>
      <w:r>
        <w:rPr>
          <w:b/>
        </w:rPr>
        <w:t xml:space="preserve">[57] </w:t>
      </w:r>
      <w:hyperlink r:id="rId255">
        <w:r>
          <w:rPr>
            <w:color w:val="1155CC"/>
            <w:u w:val="single"/>
          </w:rPr>
          <w:t>用于倒置钙钛矿太阳能电池的多功能相变盐</w:t>
        </w:r>
      </w:hyperlink>
    </w:p>
    <w:p>
      <w:pPr>
        <w:spacing w:before="0" w:after="80"/>
      </w:pPr>
      <w:r>
        <w:rPr>
          <w:i/>
          <w:sz w:val="20"/>
        </w:rPr>
        <w:t>EN: Multi‐functional Phase‐Changeable Salt for Inverted Perovskite Solar Cells</w:t>
      </w:r>
    </w:p>
    <w:p>
      <w:pPr>
        <w:spacing w:before="0" w:after="120"/>
      </w:pPr>
      <w:r>
        <w:rPr>
          <w:b/>
        </w:rPr>
        <w:t xml:space="preserve">Source: </w:t>
      </w:r>
      <w:r>
        <w:t>Wiley: Advanced Materials: Table of Contents</w:t>
      </w:r>
      <w:r>
        <w:t xml:space="preserve">    </w:t>
      </w:r>
      <w:r>
        <w:rPr>
          <w:b/>
        </w:rPr>
        <w:t xml:space="preserve">Pub date: </w:t>
      </w:r>
      <w:r>
        <w:t>2026-02-24 09:58:05+00:00</w:t>
      </w:r>
      <w:r>
        <w:t xml:space="preserve">    </w:t>
      </w:r>
      <w:r>
        <w:rPr>
          <w:b/>
        </w:rPr>
        <w:t xml:space="preserve">DOI: </w:t>
      </w:r>
      <w:hyperlink r:id="rId256">
        <w:r>
          <w:rPr>
            <w:color w:val="1155CC"/>
            <w:u w:val="single"/>
          </w:rPr>
          <w:t>10.1002/adma.202520030</w:t>
        </w:r>
      </w:hyperlink>
    </w:p>
    <w:p>
      <w:pPr>
        <w:spacing w:before="0" w:after="120"/>
      </w:pPr>
      <w:r>
        <w:rPr>
          <w:b/>
        </w:rPr>
        <w:t xml:space="preserve">Notes: </w:t>
      </w:r>
      <w:r>
        <w:t>abstract_source=pubmed</w:t>
      </w:r>
    </w:p>
    <w:p>
      <w:pPr>
        <w:spacing w:before="0" w:after="80" w:lineRule="auto" w:line="276"/>
      </w:pPr>
      <w:r>
        <w:rPr>
          <w:b/>
        </w:rPr>
        <w:t xml:space="preserve">摘要（ZH）: </w:t>
      </w:r>
      <w:r>
        <w:t>非辐射复合和埋藏钙钛矿界面的不受控结晶仍然是实现高效和稳定的钙钛矿太阳能电池（PSCs）的关键障碍。在此，我们引入了一种多功能相变盐，2-(二苯基膦)乙胺四氟硼酸盐（DPPEABF4），作为功能性界面调节剂。DPPEA+通过配位和氢键与钙钛矿前体（FAI和PbI2）相互作用，抑制过度成核并降低成核密度。在退火过程中，DPPEABF4经历可逆的固-液相变，缓冲热传递，确保更均匀的加热和更慢、更可控的结晶。这些效应共同产生了具有增大晶粒的钙钛矿薄膜，</w:t>
      </w:r>
    </w:p>
    <w:p>
      <w:pPr>
        <w:spacing w:before="0" w:after="200" w:lineRule="auto" w:line="276"/>
      </w:pPr>
      <w:r>
        <w:rPr>
          <w:b/>
        </w:rPr>
        <w:t xml:space="preserve">Abstract (EN): </w:t>
      </w:r>
      <w:r>
        <w:t>Non-radiative recombination and uncontrolled crystallization at the buried perovskite interface remain key barriers to achieving highly efficient and stable perovskite solar cells (PSCs). Herein, we introduce a multi-functional phase-changeable salt, 2-(diphenylphosphino)ethanaminium tetrafluoroborate (DPPEABF4), as a functional interfacial modulator. DPPEA+ interacts with perovskite precursors (FAI and PbI2) through coordination and hydrogen bonding, suppressing excessive nucleation and reducing nucleation density. During annealing, DPPEABF4 undergoes a reversible solid-to-liquid phase transition that buffers heat transfer, ensuring more uniform heating and slower, more controlled crystallization across the substrate. These effects collectively yield perovskite films with enlarged grains, reduced defect densities, and improved crystallinity. Concurrently, π-π stacking between DPPEA+ and Me-4PACz establishes an interfacial dipole that increases the work function and tunes the energy-level alignment at the buried interface, facilitating efficient hole transport. As a result, the optimized devices achieve a champion power conversion efficiency of 26.52% (certified 26.46%) and retain over 90% of their initial efficiency after more than 2000 h of storage under 30-40% relative humidity. This work provides a new paradigm for designing dynamic interfacial materials for high-performance optoelectronic devices.</w:t>
      </w:r>
    </w:p>
    <w:p>
      <w:pPr>
        <w:spacing w:before="120" w:after="120"/>
      </w:pPr>
      <w:r>
        <w:rPr>
          <w:sz w:val="18"/>
        </w:rPr>
        <w:t>——————————————————————————————————————————————————————————————————————</w:t>
      </w:r>
    </w:p>
    <w:p>
      <w:pPr>
        <w:spacing w:before="160" w:after="40" w:line="240" w:lineRule="auto"/>
      </w:pPr>
      <w:r>
        <w:rPr>
          <w:b/>
        </w:rPr>
        <w:t xml:space="preserve">[58] </w:t>
      </w:r>
      <w:hyperlink r:id="rId257">
        <w:r>
          <w:rPr>
            <w:color w:val="1155CC"/>
            <w:u w:val="single"/>
          </w:rPr>
          <w:t>碳基量子点中的自旋依赖光致发光</w:t>
        </w:r>
      </w:hyperlink>
    </w:p>
    <w:p>
      <w:pPr>
        <w:spacing w:before="0" w:after="80"/>
      </w:pPr>
      <w:r>
        <w:rPr>
          <w:i/>
          <w:sz w:val="20"/>
        </w:rPr>
        <w:t>EN: Spin‐Dependent Photoluminescence in Carbon‐Based Quantum Dots</w:t>
      </w:r>
    </w:p>
    <w:p>
      <w:pPr>
        <w:spacing w:before="0" w:after="120"/>
      </w:pPr>
      <w:r>
        <w:rPr>
          <w:b/>
        </w:rPr>
        <w:t xml:space="preserve">Source: </w:t>
      </w:r>
      <w:r>
        <w:t>Wiley: Advanced Materials: Table of Contents</w:t>
      </w:r>
      <w:r>
        <w:t xml:space="preserve">    </w:t>
      </w:r>
      <w:r>
        <w:rPr>
          <w:b/>
        </w:rPr>
        <w:t xml:space="preserve">Pub date: </w:t>
      </w:r>
      <w:r>
        <w:t>2026-02-24 10:09:27+00:00</w:t>
      </w:r>
      <w:r>
        <w:t xml:space="preserve">    </w:t>
      </w:r>
      <w:r>
        <w:rPr>
          <w:b/>
        </w:rPr>
        <w:t xml:space="preserve">DOI: </w:t>
      </w:r>
      <w:hyperlink r:id="rId258">
        <w:r>
          <w:rPr>
            <w:color w:val="1155CC"/>
            <w:u w:val="single"/>
          </w:rPr>
          <w:t>10.1002/adma.202518572</w:t>
        </w:r>
      </w:hyperlink>
    </w:p>
    <w:p>
      <w:pPr>
        <w:spacing w:before="0" w:after="120"/>
      </w:pPr>
      <w:r>
        <w:rPr>
          <w:b/>
        </w:rPr>
        <w:t xml:space="preserve">Notes: </w:t>
      </w:r>
      <w:r>
        <w:t>abstract_source=semanticscholar</w:t>
      </w:r>
    </w:p>
    <w:p>
      <w:pPr>
        <w:spacing w:before="0" w:after="80" w:lineRule="auto" w:line="276"/>
      </w:pPr>
      <w:r>
        <w:rPr>
          <w:b/>
        </w:rPr>
        <w:t xml:space="preserve">摘要（ZH）: </w:t>
      </w:r>
      <w:r>
        <w:t>通过自旋相关效应调节纳米材料的光致发光（PL）的能力对于许多新兴的量子技术至关重要，尤其是在纳米尺度的量子传感和成像领域。基于碳的量子点（CQDs）是最常见的发光纳米材料形式之一，因其合成简便、可通过有机化学调节、高亮度和天然生物相容性而备受青睐。然而，在室温下观察到自旋依赖的PL仍然难以实现。在此，我们报告了在环境条件下通过磁场（∼10 $\sim 10$ mT）调制CQDs的PL的观察。我们使用热解法合成了一系列以19种不同氨基酸为起始材料的CQDs。这些样品提供了范围广泛的PL e</w:t>
      </w:r>
    </w:p>
    <w:p>
      <w:pPr>
        <w:spacing w:before="0" w:after="200" w:lineRule="auto" w:line="276"/>
      </w:pPr>
      <w:r>
        <w:rPr>
          <w:b/>
        </w:rPr>
        <w:t xml:space="preserve">Abstract (EN): </w:t>
      </w:r>
      <w:r>
        <w:t>The ability to modulate the photoluminescence (PL) of nanomaterials via spin-related effects is vital for many emerging quantum technologies, with nanoscale quantum sensing and imaging being particular areas of focus. Carbon-based quantum dots (CQDs) are among the most common forms of luminescent nanomaterials, appealing due to their ease of synthesis, tunability through organic chemistry, high brightness, and natural biocompatibility. However, the observation of room-temperature, spin-dependent PL has remained elusive. Here, we report on the observation of PL modulation of CQDs by magnetic fields ( ∼ 10 $\sim 10$  mT) under ambient conditions. Using pyrolysis, we synthesize a series of CQDs using 19 different amino acids as the starting material. These provide samples with a range of PL emission spectra. Surprisingly, the vast majority of them exhibit a clear magneto-PL effect (up to ∼ 1 % $\sim 1\%$ change) in dry form, which generally persists in solution. Furthermore, an electron spin resonance is detected in the PL with a g $g$ -factor of g ≈ 2 $g\approx 2$ , suggesting a process similar to the radical pair mechanism is responsible for the spin-dependent PL. Finally, we show that the magneto-PL contrast decreases in the presence of paramagnetic species, which we attribute to an increase in magnetic noise-induced spin relaxation in the CQDs. Our work brings new functionalities to these commonly used and biocompatible luminescent nanoparticles, opening new opportunities for in situ quantum sensing and imaging of biological samples.</w:t>
      </w:r>
    </w:p>
    <w:p>
      <w:pPr>
        <w:spacing w:before="120" w:after="120"/>
      </w:pPr>
      <w:r>
        <w:rPr>
          <w:sz w:val="18"/>
        </w:rPr>
        <w:t>——————————————————————————————————————————————————————————————————————</w:t>
      </w:r>
    </w:p>
    <w:p>
      <w:pPr>
        <w:spacing w:before="160" w:after="40" w:line="240" w:lineRule="auto"/>
      </w:pPr>
      <w:r>
        <w:rPr>
          <w:b/>
        </w:rPr>
        <w:t xml:space="preserve">[59] </w:t>
      </w:r>
      <w:hyperlink r:id="rId259">
        <w:r>
          <w:rPr>
            <w:color w:val="1155CC"/>
            <w:u w:val="single"/>
          </w:rPr>
          <w:t>[ASAP] 用于高效氨基酸对映体分离的稳健同手性氢键生物杂化纳米通道膜</w:t>
        </w:r>
      </w:hyperlink>
    </w:p>
    <w:p>
      <w:pPr>
        <w:spacing w:before="0" w:after="80"/>
      </w:pPr>
      <w:r>
        <w:rPr>
          <w:i/>
          <w:sz w:val="20"/>
        </w:rPr>
        <w:t>EN: [ASAP] Robust Homochiral Hydrogen-Bonded Biohybrid Nanochannel Membranes for High-Efficiency Enantioseparation of Amino Acids</w:t>
      </w:r>
    </w:p>
    <w:p>
      <w:pPr>
        <w:spacing w:before="0" w:after="120"/>
      </w:pPr>
      <w:r>
        <w:rPr>
          <w:b/>
        </w:rPr>
        <w:t xml:space="preserve">Source: </w:t>
      </w:r>
      <w:r>
        <w:t>Journal of the American Chemical Society: Latest Articles (ACS Publications)</w:t>
      </w:r>
      <w:r>
        <w:t xml:space="preserve">    </w:t>
      </w:r>
      <w:r>
        <w:rPr>
          <w:b/>
        </w:rPr>
        <w:t xml:space="preserve">Pub date: </w:t>
      </w:r>
      <w:r>
        <w:t>2026-02-24 10:29:06+00:00</w:t>
      </w:r>
      <w:r>
        <w:t xml:space="preserve">    </w:t>
      </w:r>
      <w:r>
        <w:rPr>
          <w:b/>
        </w:rPr>
        <w:t xml:space="preserve">DOI: </w:t>
      </w:r>
      <w:hyperlink r:id="rId260">
        <w:r>
          <w:rPr>
            <w:color w:val="1155CC"/>
            <w:u w:val="single"/>
          </w:rPr>
          <w:t>10.1021/jacs.5c22150</w:t>
        </w:r>
      </w:hyperlink>
    </w:p>
    <w:p>
      <w:pPr>
        <w:spacing w:before="0" w:after="120"/>
      </w:pPr>
      <w:r>
        <w:rPr>
          <w:b/>
        </w:rPr>
        <w:t xml:space="preserve">Notes: </w:t>
      </w:r>
      <w:r>
        <w:t>abstract_source=pubmed</w:t>
      </w:r>
    </w:p>
    <w:p>
      <w:pPr>
        <w:spacing w:before="0" w:after="80" w:lineRule="auto" w:line="276"/>
      </w:pPr>
      <w:r>
        <w:rPr>
          <w:b/>
        </w:rPr>
        <w:t xml:space="preserve">摘要（ZH）: </w:t>
      </w:r>
      <w:r>
        <w:t>同手性纳米通道膜在可扩展的对映体分离中具有前景，但由于结构不稳定性和异质活性位点，实现高对映选择性和稳健的通量仍然具有挑战性。在此，我们首次报告了一种电压驱动的原位组装策略，以在聚对苯二甲酸乙二醇酯（PET）纳米通道内构建同手性氢键生物杂化框架（HBF）（HBF@PET）。利用牛血清白蛋白与1,3,6,8-四（对苯二甲酸）芘（H4TBAPy）之间的定向氢键，膜继承了BSA的手性微环境，同时实现了卓越的结构稳定性。HBF@PET膜能够以创纪录的通量几乎完全分离消旋组氨酸（ee &gt;99%），d-His优先传输</w:t>
      </w:r>
    </w:p>
    <w:p>
      <w:pPr>
        <w:spacing w:before="0" w:after="200" w:lineRule="auto" w:line="276"/>
      </w:pPr>
      <w:r>
        <w:rPr>
          <w:b/>
        </w:rPr>
        <w:t xml:space="preserve">Abstract (EN): </w:t>
      </w:r>
      <w:r>
        <w:t>Homochiral nanochannel membranes hold promise for scalable enantiomer separation, yet achieving high enantioselectivity with robust flux remains challenging due to structural instability and heterogeneous active sites. Here, we report for the first time a voltage-driven in situ assembly strategy to construct a homochiral hydrogen-bonded biohybrid framework (HBF) within poly(ethylene terephthalate) (PET) nanochannels (HBF@PET). Leveraging directional hydrogen bonding between bovine serum albumin and 1,3,6,8-tetra (terephthalic acid) pyrene (H4TBAPy), the membrane inherits BSA's chiral microenvironment while achieving exceptional structural stability. The HBF@PET membrane enables near-complete resolution of racemic histidine (ee &gt;99%) with d-His preferentially transported at a record flux of 4.52 ± 0.04 mmol m-2 h-1, surpassing state-of-the-art nanochannel systems. Mechanistic studies reveal stronger binding affinity of HBF for l-His, hindering its diffusion while facilitating d-His permeation. The membrane further demonstrates broad applicability to tryptophan and arginine enantiomers. This work pioneers the development of protein-guided hydrogen-bonded frameworks within nanochannels, offering a scalable platform for high-efficiency chiral separations in pharmaceuticals.</w:t>
      </w:r>
    </w:p>
    <w:p>
      <w:pPr>
        <w:spacing w:before="120" w:after="120"/>
      </w:pPr>
      <w:r>
        <w:rPr>
          <w:sz w:val="18"/>
        </w:rPr>
        <w:t>——————————————————————————————————————————————————————————————————————</w:t>
      </w:r>
    </w:p>
    <w:p>
      <w:pPr>
        <w:spacing w:before="160" w:after="40" w:line="240" w:lineRule="auto"/>
      </w:pPr>
      <w:r>
        <w:rPr>
          <w:b/>
        </w:rPr>
        <w:t xml:space="preserve">[60] </w:t>
      </w:r>
      <w:hyperlink r:id="rId261">
        <w:r>
          <w:rPr>
            <w:color w:val="1155CC"/>
            <w:u w:val="single"/>
          </w:rPr>
          <w:t>[ASAP] 具有暴露不饱和Cu–N2位点的缺陷单位点纳米酶通过先天免疫检查点阻断进行抗肿瘤免疫治疗</w:t>
        </w:r>
      </w:hyperlink>
    </w:p>
    <w:p>
      <w:pPr>
        <w:spacing w:before="0" w:after="80"/>
      </w:pPr>
      <w:r>
        <w:rPr>
          <w:i/>
          <w:sz w:val="20"/>
        </w:rPr>
        <w:t>EN: [ASAP] Defective Single-Site Nanozymes with Exposed Unsaturated Cu–N2 Sites for Antitumor Immunotherapy via Innate Immune-Checkpoint Blockade</w:t>
      </w:r>
    </w:p>
    <w:p>
      <w:pPr>
        <w:spacing w:before="0" w:after="120"/>
      </w:pPr>
      <w:r>
        <w:rPr>
          <w:b/>
        </w:rPr>
        <w:t xml:space="preserve">Source: </w:t>
      </w:r>
      <w:r>
        <w:t>Journal of the American Chemical Society: Latest Articles (ACS Publications)</w:t>
      </w:r>
      <w:r>
        <w:t xml:space="preserve">    </w:t>
      </w:r>
      <w:r>
        <w:rPr>
          <w:b/>
        </w:rPr>
        <w:t xml:space="preserve">Pub date: </w:t>
      </w:r>
      <w:r>
        <w:t>2026-02-24 10:51:05+00:00</w:t>
      </w:r>
      <w:r>
        <w:t xml:space="preserve">    </w:t>
      </w:r>
      <w:r>
        <w:rPr>
          <w:b/>
        </w:rPr>
        <w:t xml:space="preserve">DOI: </w:t>
      </w:r>
      <w:hyperlink r:id="rId262">
        <w:r>
          <w:rPr>
            <w:color w:val="1155CC"/>
            <w:u w:val="single"/>
          </w:rPr>
          <w:t>10.1021/jacs.5c13802</w:t>
        </w:r>
      </w:hyperlink>
    </w:p>
    <w:p>
      <w:pPr>
        <w:spacing w:before="0" w:after="120"/>
      </w:pPr>
      <w:r>
        <w:rPr>
          <w:b/>
        </w:rPr>
        <w:t xml:space="preserve">Notes: </w:t>
      </w:r>
      <w:r>
        <w:t>abstract_source=pubmed</w:t>
      </w:r>
    </w:p>
    <w:p>
      <w:pPr>
        <w:spacing w:before="0" w:after="80" w:lineRule="auto" w:line="276"/>
      </w:pPr>
      <w:r>
        <w:rPr>
          <w:b/>
        </w:rPr>
        <w:t xml:space="preserve">摘要（ZH）: </w:t>
      </w:r>
      <w:r>
        <w:t>破坏肿瘤细胞的氧化还原平衡，同时阻断MER原癌基因酪氨酸激酶（MerTK）介导的巨噬细胞凋亡清除，可以同时唤醒和增强先天和适应性抗肿瘤免疫。在此，我们开发了一种MRX-2843（MerTK抑制剂）和Mn2+共递送的缺陷金属有机框架（铜-2,3,6,7,10,11-六亚胺基三苯（Cu-HITP））基单位点纳米酶（Ir@D-Cu-HITP-MMP），通过先天免疫检查点阻断进行抗肿瘤免疫治疗。高度暴露的不饱和Cu-N2位点具有不对称的电子分布，诱导局部电子极化，并表现出优异的类酶催化性能以生成活性氧（ROS）。ROS激增破坏氧化还原稳态，损害线粒体功能和腺苷</w:t>
      </w:r>
    </w:p>
    <w:p>
      <w:pPr>
        <w:spacing w:before="0" w:after="200" w:lineRule="auto" w:line="276"/>
      </w:pPr>
      <w:r>
        <w:rPr>
          <w:b/>
        </w:rPr>
        <w:t xml:space="preserve">Abstract (EN): </w:t>
      </w:r>
      <w:r>
        <w:t>Disrupting the redox balance of tumor cells while blocking MER proto-oncogene tyrosine kinase (MerTK)-mediated macrophage efferocytosis can simultaneously awaken and enhance innate and adaptive antitumor immunity. Herein, we develop an MRX-2843 (MerTK inhibitor) and Mn2+ codelivered defective metal-organic framework (copper-2,3,6,7,10,11-hexaiminotriphenylene (Cu-HITP))-based single-site nanozyme (Ir@D-Cu-HITP-MMP) for antitumor immunotherapy via innate immune-checkpoint blockade. Highly exposed unsaturated Cu-N2 sites feature asymmetric electron distribution, inducing localized electron polarization and exhibiting excellent enzyme-like catalytic performance for reactive oxygen species (ROS) generation. The ROS surge disrupts redox homeostasis, impairing mitochondrial function and adenosine triphosphate production, while affecting copper transport for cuproptosis and suppressing heat shock protein expression to facilitate mild photothermal therapy. Furthermore, the tumor microenvironment-triggered release of MRX-2843 inhibits macrophage efferocytosis, increasing tumor immunogenicity and promoting prolonged cyclic GMP-AMP (cGAMP) transport. This synergizes with Mn2+ to enhance the stimulator of interferon genes (STING) activation, triggering robust immune responses. Overall, Ir@D-Cu-HITP-MMP demonstrates potent antitumor effects by activating powerful innate and adaptive immune responses.</w:t>
      </w:r>
    </w:p>
    <w:p>
      <w:pPr>
        <w:spacing w:before="120" w:after="120"/>
      </w:pPr>
      <w:r>
        <w:rPr>
          <w:sz w:val="18"/>
        </w:rPr>
        <w:t>——————————————————————————————————————————————————————————————————————</w:t>
      </w:r>
    </w:p>
    <w:p>
      <w:pPr>
        <w:spacing w:before="160" w:after="40" w:line="240" w:lineRule="auto"/>
      </w:pPr>
      <w:r>
        <w:rPr>
          <w:b/>
        </w:rPr>
        <w:t xml:space="preserve">[61] </w:t>
      </w:r>
      <w:hyperlink r:id="rId263">
        <w:r>
          <w:rPr>
            <w:color w:val="1155CC"/>
            <w:u w:val="single"/>
          </w:rPr>
          <w:t>由非环状亚氨基(硅基)硅烯介导的异腈和一氧化碳的顺序均偶联和异偶联</w:t>
        </w:r>
      </w:hyperlink>
    </w:p>
    <w:p>
      <w:pPr>
        <w:spacing w:before="0" w:after="80"/>
      </w:pPr>
      <w:r>
        <w:rPr>
          <w:i/>
          <w:sz w:val="20"/>
        </w:rPr>
        <w:t>EN: Sequential Homo‐ and Hetero‐Coupling of Isocyanide and Carbon Monoxide Mediated by Acyclic Imino(silyl)Silylene</w:t>
      </w:r>
    </w:p>
    <w:p>
      <w:pPr>
        <w:spacing w:before="0" w:after="120"/>
      </w:pPr>
      <w:r>
        <w:rPr>
          <w:b/>
        </w:rPr>
        <w:t xml:space="preserve">Source: </w:t>
      </w:r>
      <w:r>
        <w:t>Wiley: Angewandte Chemie International Edition: Table of Contents</w:t>
      </w:r>
      <w:r>
        <w:t xml:space="preserve">    </w:t>
      </w:r>
      <w:r>
        <w:rPr>
          <w:b/>
        </w:rPr>
        <w:t xml:space="preserve">Pub date: </w:t>
      </w:r>
      <w:r>
        <w:t>2026-02-24 11:25:11+00:00</w:t>
      </w:r>
      <w:r>
        <w:t xml:space="preserve">    </w:t>
      </w:r>
      <w:r>
        <w:rPr>
          <w:b/>
        </w:rPr>
        <w:t xml:space="preserve">DOI: </w:t>
      </w:r>
      <w:hyperlink r:id="rId264">
        <w:r>
          <w:rPr>
            <w:color w:val="1155CC"/>
            <w:u w:val="single"/>
          </w:rPr>
          <w:t>10.1002/anie.9929509</w:t>
        </w:r>
      </w:hyperlink>
    </w:p>
    <w:p>
      <w:pPr>
        <w:spacing w:before="0" w:after="120"/>
      </w:pPr>
      <w:r>
        <w:rPr>
          <w:b/>
        </w:rPr>
        <w:t xml:space="preserve">Notes: </w:t>
      </w:r>
      <w:r>
        <w:t>abstract_source=pubmed</w:t>
      </w:r>
    </w:p>
    <w:p>
      <w:pPr>
        <w:spacing w:before="0" w:after="80" w:lineRule="auto" w:line="276"/>
      </w:pPr>
      <w:r>
        <w:rPr>
          <w:b/>
        </w:rPr>
        <w:t xml:space="preserve">摘要（ZH）: </w:t>
      </w:r>
      <w:r>
        <w:t>一氧化碳（CO）及其等电子体异腈（RNC）已被广泛用作模型底物，以阐明费托（F-T）过程的基本步骤，特别是那些控制C-C键构建的步骤。在此概念的基础上，我们展示了通过与CO和异腈的连续反应，由非环状亚胺（超硅基）硅烯介导的碳链增长，最终提供由四个异腈和两个CO单元组成的明确的C6框架。基于实验观察并通过量子化学计算验证的同偶和异偶联过程的拟议机制揭示，硅烯作为引发剂，通过连续形成亲电性</w:t>
      </w:r>
    </w:p>
    <w:p>
      <w:pPr>
        <w:spacing w:before="0" w:after="200" w:lineRule="auto" w:line="276"/>
      </w:pPr>
      <w:r>
        <w:rPr>
          <w:b/>
        </w:rPr>
        <w:t xml:space="preserve">Abstract (EN): </w:t>
      </w:r>
      <w:r>
        <w:t>Carbon monoxide (CO) and its isoelectronic analogues, isocyanides (RNC), have been extensively employed as model substrates to elucidate elementary steps of the Fischer-Tropsch (F-T) process, particularly those governing C-C bond construction. Building on this concept, we demonstrate carbon chain growth mediated by an acyclic imino(hypersilyl)silylene through sequential reactions with CO and isocyanides, ultimately affording well-defined C6 frameworks composed of four isocyanide and two CO units. A proposed mechanism for the homo- and hetero-coupling processes, derived from experimental observations and corroborated by quantum chemical calculations, reveals that the silylene functions as an initiator, inducing the stepwise homocoupling of RNC through consecutive formation of electrophilic sites, as well as promoting heterocoupling reactions with CO.</w:t>
      </w:r>
    </w:p>
    <w:p>
      <w:pPr>
        <w:spacing w:before="120" w:after="120"/>
      </w:pPr>
      <w:r>
        <w:rPr>
          <w:sz w:val="18"/>
        </w:rPr>
        <w:t>——————————————————————————————————————————————————————————————————————</w:t>
      </w:r>
    </w:p>
    <w:p>
      <w:pPr>
        <w:spacing w:before="160" w:after="40" w:line="240" w:lineRule="auto"/>
      </w:pPr>
      <w:r>
        <w:rPr>
          <w:b/>
        </w:rPr>
        <w:t xml:space="preserve">[62] </w:t>
      </w:r>
      <w:hyperlink r:id="rId265">
        <w:r>
          <w:rPr>
            <w:color w:val="1155CC"/>
            <w:u w:val="single"/>
          </w:rPr>
          <w:t>纤维化肽共聚物中的多阶段相编程</w:t>
        </w:r>
      </w:hyperlink>
    </w:p>
    <w:p>
      <w:pPr>
        <w:spacing w:before="0" w:after="80"/>
      </w:pPr>
      <w:r>
        <w:rPr>
          <w:i/>
          <w:sz w:val="20"/>
        </w:rPr>
        <w:t>EN: Multistage Phase Programming in Fibrillated Peptide Coacervates</w:t>
      </w:r>
    </w:p>
    <w:p>
      <w:pPr>
        <w:spacing w:before="0" w:after="120"/>
      </w:pPr>
      <w:r>
        <w:rPr>
          <w:b/>
        </w:rPr>
        <w:t xml:space="preserve">Source: </w:t>
      </w:r>
      <w:r>
        <w:t>Wiley: Advanced Materials: Table of Contents</w:t>
      </w:r>
      <w:r>
        <w:t xml:space="preserve">    </w:t>
      </w:r>
      <w:r>
        <w:rPr>
          <w:b/>
        </w:rPr>
        <w:t xml:space="preserve">Pub date: </w:t>
      </w:r>
      <w:r>
        <w:t>2026-02-24 12:02:57+00:00</w:t>
      </w:r>
      <w:r>
        <w:t xml:space="preserve">    </w:t>
      </w:r>
      <w:r>
        <w:rPr>
          <w:b/>
        </w:rPr>
        <w:t xml:space="preserve">DOI: </w:t>
      </w:r>
      <w:hyperlink r:id="rId266">
        <w:r>
          <w:rPr>
            <w:color w:val="1155CC"/>
            <w:u w:val="single"/>
          </w:rPr>
          <w:t>10.1002/adma.202517594</w:t>
        </w:r>
      </w:hyperlink>
    </w:p>
    <w:p>
      <w:pPr>
        <w:spacing w:before="0" w:after="120"/>
      </w:pPr>
      <w:r>
        <w:rPr>
          <w:b/>
        </w:rPr>
        <w:t xml:space="preserve">Notes: </w:t>
      </w:r>
      <w:r>
        <w:t>abstract_source=pubmed</w:t>
      </w:r>
    </w:p>
    <w:p>
      <w:pPr>
        <w:spacing w:before="0" w:after="80" w:lineRule="auto" w:line="276"/>
      </w:pPr>
      <w:r>
        <w:rPr>
          <w:b/>
        </w:rPr>
        <w:t xml:space="preserve">摘要（ZH）: </w:t>
      </w:r>
      <w:r>
        <w:t>天然蛋白质凝聚体通过刺激触发的多阶段相变对外部压力作出反应。在合成系统中重新编程这种转变对于理性设计具有精确调节刺激响应性的自适应材料至关重要。然而，内在无序蛋白质（IDPs）的序列复杂性及其竞争的组装途径常常阻碍在生理条件下有效编程多阶段转变。在此，通过整合从IDPs的低复杂性域衍生的内在无序和瞬时有序基序，合成了一类短肽合成子（Mw≈1500 Dalton）。值得注意的是，这些肽合成子在单体、自凝聚体、液体之间表现出热可逆的四重相变。</w:t>
      </w:r>
    </w:p>
    <w:p>
      <w:pPr>
        <w:spacing w:before="0" w:after="200" w:lineRule="auto" w:line="276"/>
      </w:pPr>
      <w:r>
        <w:rPr>
          <w:b/>
        </w:rPr>
        <w:t xml:space="preserve">Abstract (EN): </w:t>
      </w:r>
      <w:r>
        <w:t>Natural protein condensates respond to external stresses through stimuli-triggered multistage phase transitions. Reprogramming such transitions in synthetic systems is critical for rational design of self-adaptive materials with precisely regulated stimuli-responsiveness. Nevertheless, the sequence complexity of intrinsically disordered proteins (IDPs) and their competing assembly pathways often impede effective programing of multistage transitions in physiological conditions. Here, a class of short peptide synthons (Mw≈1500 Dalton) is synthesized by integrating intrinsically disordered and transiently ordered motifs derived from the low-complexity domain of IDPs. Remarkably, these peptide synthons exhibit thermoreversible quadruple phase transitions among monomers, self-coacervates, liquid crystals, and semi-crystallized solid gels. Mechanistic study reveals that the phase transitions are governed by two distinct assembly pathways, namely coacervation and fibrillization, which interact in both collaborative and competitive manners. Modifying the peptide sequence or molecular decorations allows for precise control over the phase transition temperatures, enabling sequential, multi-stage transitions to be activated by dose-dependent pathological cues (e.g., lactic acid) at the body temperature (37°C). These findings establish a highly versatile and programmable material platform to sequentially encode multistage phase behaviors into synthetic peptide assemblies, inspiring the development of next-generation disease biosensors, drug-delivery vehicles, and self-adaptive microrobots.</w:t>
      </w:r>
    </w:p>
    <w:p>
      <w:pPr>
        <w:spacing w:before="120" w:after="120"/>
      </w:pPr>
      <w:r>
        <w:rPr>
          <w:sz w:val="18"/>
        </w:rPr>
        <w:t>——————————————————————————————————————————————————————————————————————</w:t>
      </w:r>
    </w:p>
    <w:p>
      <w:pPr>
        <w:spacing w:before="160" w:after="40" w:line="240" w:lineRule="auto"/>
      </w:pPr>
      <w:r>
        <w:rPr>
          <w:b/>
        </w:rPr>
        <w:t xml:space="preserve">[63] </w:t>
      </w:r>
      <w:hyperlink r:id="rId267">
        <w:r>
          <w:rPr>
            <w:color w:val="1155CC"/>
            <w:u w:val="single"/>
          </w:rPr>
          <w:t>从晶体结构中快速分配化学位移在固态NMR中</w:t>
        </w:r>
      </w:hyperlink>
    </w:p>
    <w:p>
      <w:pPr>
        <w:spacing w:before="0" w:after="80"/>
      </w:pPr>
      <w:r>
        <w:rPr>
          <w:i/>
          <w:sz w:val="20"/>
        </w:rPr>
        <w:t>EN: Rapid Assignment of Chemical Shifts From Crystal Structures in Solid‐State NMR</w:t>
      </w:r>
    </w:p>
    <w:p>
      <w:pPr>
        <w:spacing w:before="0" w:after="120"/>
      </w:pPr>
      <w:r>
        <w:rPr>
          <w:b/>
        </w:rPr>
        <w:t xml:space="preserve">Source: </w:t>
      </w:r>
      <w:r>
        <w:t>Wiley: Angewandte Chemie International Edition: Table of Contents</w:t>
      </w:r>
      <w:r>
        <w:t xml:space="preserve">    </w:t>
      </w:r>
      <w:r>
        <w:rPr>
          <w:b/>
        </w:rPr>
        <w:t xml:space="preserve">Pub date: </w:t>
      </w:r>
      <w:r>
        <w:t>2026-02-24 12:33:49+00:00</w:t>
      </w:r>
      <w:r>
        <w:t xml:space="preserve">    </w:t>
      </w:r>
      <w:r>
        <w:rPr>
          <w:b/>
        </w:rPr>
        <w:t xml:space="preserve">DOI: </w:t>
      </w:r>
      <w:hyperlink r:id="rId268">
        <w:r>
          <w:rPr>
            <w:color w:val="1155CC"/>
            <w:u w:val="single"/>
          </w:rPr>
          <w:t>10.1002/anie.202525558</w:t>
        </w:r>
      </w:hyperlink>
    </w:p>
    <w:p>
      <w:pPr>
        <w:spacing w:before="0" w:after="120"/>
      </w:pPr>
      <w:r>
        <w:rPr>
          <w:b/>
        </w:rPr>
        <w:t xml:space="preserve">Notes: </w:t>
      </w:r>
      <w:r>
        <w:t>abstract_source=pubmed</w:t>
      </w:r>
    </w:p>
    <w:p>
      <w:pPr>
        <w:spacing w:before="0" w:after="80" w:lineRule="auto" w:line="276"/>
      </w:pPr>
      <w:r>
        <w:rPr>
          <w:b/>
        </w:rPr>
        <w:t xml:space="preserve">摘要（ZH）: </w:t>
      </w:r>
      <w:r>
        <w:t>固态核磁共振（NMR）中的化学位移归属是一个具有挑战性的过程，通常依赖于一组1D和2D实验，通过建立共价骨架上的连接性来确定归属。最近引入了一种基于化学位移数据库的片段分析的贝叶斯概率归属方法。在此，我们提出了一种快速的3D结构验证方法，该方法利用晶体结构的预测作为贝叶斯概率化学位移归属的起点。我们通过对可卡因和Atuliflapon的结构以及Z' = 2的Lorlatinib的1H和13C归属的改进信心来展示这一方法。</w:t>
      </w:r>
    </w:p>
    <w:p>
      <w:pPr>
        <w:spacing w:before="0" w:after="200" w:lineRule="auto" w:line="276"/>
      </w:pPr>
      <w:r>
        <w:rPr>
          <w:b/>
        </w:rPr>
        <w:t xml:space="preserve">Abstract (EN): </w:t>
      </w:r>
      <w:r>
        <w:t>Chemical shift assignment in solid-state nuclear magnetic resonance (NMR) is a challenging process that usually relies on a set of 1D and 2D experiments to determine the assignment by establishing connectivities along the covalent backbone. A Bayesian probabilistic assignment method was recently introduced based on a fragment analysis using a database of chemical shifts. Here, we propose a fast 3D structure validation method that utilizes predictions from a crystal structure as a starting point for Bayesian probabilistic chemical shift assignment. We demonstrate the approach with improved confidence in the 1H and 13C assignments for the structures of cocaine and Atuliflapon, and finally Lorlatinib which has Z' = 2.</w:t>
      </w:r>
    </w:p>
    <w:p>
      <w:pPr>
        <w:spacing w:before="120" w:after="120"/>
      </w:pPr>
      <w:r>
        <w:rPr>
          <w:sz w:val="18"/>
        </w:rPr>
        <w:t>——————————————————————————————————————————————————————————————————————</w:t>
      </w:r>
    </w:p>
    <w:p>
      <w:pPr>
        <w:spacing w:before="160" w:after="40" w:line="240" w:lineRule="auto"/>
      </w:pPr>
      <w:r>
        <w:rPr>
          <w:b/>
        </w:rPr>
        <w:t xml:space="preserve">[64] </w:t>
      </w:r>
      <w:hyperlink r:id="rId269">
        <w:r>
          <w:rPr>
            <w:color w:val="1155CC"/>
            <w:u w:val="single"/>
          </w:rPr>
          <w:t>微孔限域的ROS响应3D打印壳核支架用于长期NO释放以协调免疫调节和血管生成在糖尿病骨缺损修复中</w:t>
        </w:r>
      </w:hyperlink>
    </w:p>
    <w:p>
      <w:pPr>
        <w:spacing w:before="0" w:after="80"/>
      </w:pPr>
      <w:r>
        <w:rPr>
          <w:i/>
          <w:sz w:val="20"/>
        </w:rPr>
        <w:t>EN: Micropore‐Confined ROS‐Responsive 3D‐Printed Shell‐Core Scaffolds for Long‐Term NO Release to Orchestrate Immunomodulation and Angiogenesis in Diabetic Bone Defect Repair</w:t>
      </w:r>
    </w:p>
    <w:p>
      <w:pPr>
        <w:spacing w:before="0" w:after="120"/>
      </w:pPr>
      <w:r>
        <w:rPr>
          <w:b/>
        </w:rPr>
        <w:t xml:space="preserve">Source: </w:t>
      </w:r>
      <w:r>
        <w:t>Wiley: Advanced Materials: Table of Contents</w:t>
      </w:r>
      <w:r>
        <w:t xml:space="preserve">    </w:t>
      </w:r>
      <w:r>
        <w:rPr>
          <w:b/>
        </w:rPr>
        <w:t xml:space="preserve">Pub date: </w:t>
      </w:r>
      <w:r>
        <w:t>2026-02-24 12:36:20+00:00</w:t>
      </w:r>
      <w:r>
        <w:t xml:space="preserve">    </w:t>
      </w:r>
      <w:r>
        <w:rPr>
          <w:b/>
        </w:rPr>
        <w:t xml:space="preserve">DOI: </w:t>
      </w:r>
      <w:hyperlink r:id="rId270">
        <w:r>
          <w:rPr>
            <w:color w:val="1155CC"/>
            <w:u w:val="single"/>
          </w:rPr>
          <w:t>10.1002/adma.202521475</w:t>
        </w:r>
      </w:hyperlink>
    </w:p>
    <w:p>
      <w:pPr>
        <w:spacing w:before="0" w:after="120"/>
      </w:pPr>
      <w:r>
        <w:rPr>
          <w:b/>
        </w:rPr>
        <w:t xml:space="preserve">Notes: </w:t>
      </w:r>
      <w:r>
        <w:t>abstract_source=pubmed</w:t>
      </w:r>
    </w:p>
    <w:p>
      <w:pPr>
        <w:spacing w:before="0" w:after="80" w:lineRule="auto" w:line="276"/>
      </w:pPr>
      <w:r>
        <w:rPr>
          <w:b/>
        </w:rPr>
        <w:t xml:space="preserve">摘要（ZH）: </w:t>
      </w:r>
      <w:r>
        <w:t>糖尿病骨缺损的愈合受到多方面病理因素的严重影响，包括免疫失调、持续性炎症、过量的活性氧（ROS）以及血管-成骨耦合受损。尽管一氧化氮（NO）因其抗炎和再生特性而备受期待，但其临床转化受到半衰期短和释放不受控的限制，无法满足慢性糖尿病骨修复的需求。在此，我们提出了一种基于微孔限制策略的MP-LAS支架，将释放动力学从“爆发-耗竭”模式转变为持续、按需输出。该支架通过3D打印结合相分离制备，具有一个装载L-精氨酸（L-Arg）的ROS可降解水凝胶核心和一个s</w:t>
      </w:r>
    </w:p>
    <w:p>
      <w:pPr>
        <w:spacing w:before="0" w:after="200" w:lineRule="auto" w:line="276"/>
      </w:pPr>
      <w:r>
        <w:rPr>
          <w:b/>
        </w:rPr>
        <w:t xml:space="preserve">Abstract (EN): </w:t>
      </w:r>
      <w:r>
        <w:t>The healing of diabetic bone defects is critically impaired by multifaceted pathological factors, including immune dysregulation, persistent inflammation, excessive reactive oxygen species (ROS), and impaired vascular-osteogenic coupling. Although nitric oxide (NO) holds promise for its anti-inflammatory and regenerative properties, its clinical translation is limited by a short half-life and uncontrolled release, failing to match chronic diabetic bone repair. Herein, we present an MP-LAS scaffold based on a micropore-confinement strategy, which transforms release kinetics from a "burst-exhaustion" mode to a sustained, on-demand output. The scaffold is fabricated by 3D printing coupled with phase separation, featuring a core of ROS-degradable hydrogel loaded with L-arginine (L-Arg) and a shell of nano-hydroxyapatite/polycaprolactone (nHA/PCL) with interconnected microporosity. The well-designed micropores precisely confine the ROS/L-Arg reaction, triggering localized degradation of the core and controllable L-Arg release for subsequent in situ NO generation. This system maintains a stable NO supply for 3 months, avoiding burst-release toxicity while continuously neutralizing pathological ROS. Both in vitro and in vivo evaluations demonstrate that this dual action synergistically modulates macrophage M2 polarization, angiogenesis, and osteogenic differentiation, ultimately facilitating diabetic bone regeneration via NO-mediated vascular-osteogenic coupling. This work offers a novel, versatile micropore-confined platform for precise molecule delivery in complex pathological microenvironments.</w:t>
      </w:r>
    </w:p>
    <w:p>
      <w:pPr>
        <w:spacing w:before="120" w:after="120"/>
      </w:pPr>
      <w:r>
        <w:rPr>
          <w:sz w:val="18"/>
        </w:rPr>
        <w:t>——————————————————————————————————————————————————————————————————————</w:t>
      </w:r>
    </w:p>
    <w:p>
      <w:pPr>
        <w:spacing w:before="160" w:after="40" w:line="240" w:lineRule="auto"/>
      </w:pPr>
      <w:r>
        <w:rPr>
          <w:b/>
        </w:rPr>
        <w:t xml:space="preserve">[65] </w:t>
      </w:r>
      <w:hyperlink r:id="rId271">
        <w:r>
          <w:rPr>
            <w:color w:val="1155CC"/>
            <w:u w:val="single"/>
          </w:rPr>
          <w:t>47/49Ti NMR晶体学在28.2特斯拉下对钛硅沸石-1中Ti位点的物种化、结构精炼和分布</w:t>
        </w:r>
      </w:hyperlink>
    </w:p>
    <w:p>
      <w:pPr>
        <w:spacing w:before="0" w:after="80"/>
      </w:pPr>
      <w:r>
        <w:rPr>
          <w:i/>
          <w:sz w:val="20"/>
        </w:rPr>
        <w:t>EN: Speciation, Structural Refinement, and Distribution of Ti Sites in Titanium Silicalite‐1 From 47/49Ti NMR Crystallography at 28.2 Tesla</w:t>
      </w:r>
    </w:p>
    <w:p>
      <w:pPr>
        <w:spacing w:before="0" w:after="120"/>
      </w:pPr>
      <w:r>
        <w:rPr>
          <w:b/>
        </w:rPr>
        <w:t xml:space="preserve">Source: </w:t>
      </w:r>
      <w:r>
        <w:t>Wiley: Angewandte Chemie International Edition: Table of Contents</w:t>
      </w:r>
      <w:r>
        <w:t xml:space="preserve">    </w:t>
      </w:r>
      <w:r>
        <w:rPr>
          <w:b/>
        </w:rPr>
        <w:t xml:space="preserve">Pub date: </w:t>
      </w:r>
      <w:r>
        <w:t>2026-02-24 12:43:06+00:00</w:t>
      </w:r>
      <w:r>
        <w:t xml:space="preserve">    </w:t>
      </w:r>
      <w:r>
        <w:rPr>
          <w:b/>
        </w:rPr>
        <w:t xml:space="preserve">DOI: </w:t>
      </w:r>
      <w:hyperlink r:id="rId272">
        <w:r>
          <w:rPr>
            <w:color w:val="1155CC"/>
            <w:u w:val="single"/>
          </w:rPr>
          <w:t>10.1002/anie.202524232</w:t>
        </w:r>
      </w:hyperlink>
    </w:p>
    <w:p>
      <w:pPr>
        <w:spacing w:before="0" w:after="120"/>
      </w:pPr>
      <w:r>
        <w:rPr>
          <w:b/>
        </w:rPr>
        <w:t xml:space="preserve">Notes: </w:t>
      </w:r>
      <w:r>
        <w:t>abstract_source=pubmed</w:t>
      </w:r>
    </w:p>
    <w:p>
      <w:pPr>
        <w:spacing w:before="0" w:after="80" w:lineRule="auto" w:line="276"/>
      </w:pPr>
      <w:r>
        <w:rPr>
          <w:b/>
        </w:rPr>
        <w:t xml:space="preserve">摘要（ZH）: </w:t>
      </w:r>
      <w:r>
        <w:t>钛硅沸石-1（TS-1）在工业上用于选择性氧化过程。尽管在40多年前被发现，TS-1在化学工业中的使用正在增加。催化剂结构，特别是沸石框架中的Ti物种和局部环境，以及原始沸石材料中Ti位点的核性，仍然存在争议。在此，我们通过应用高场（28.2 T）47/49Ti NMR和17O NMR光谱来研究一系列TS-1催化剂。对于无额外框架的TS-1催化剂，Ti位点与一个独特的NMR特征相关联-δiso (49Ti) = -900 ppm; CQ,0(49Ti) = 7.2 MHz-这可以转化为结构参数和根据扩展的Czjzek模型的主要第一配位环境。随着</w:t>
      </w:r>
    </w:p>
    <w:p>
      <w:pPr>
        <w:spacing w:before="0" w:after="200" w:lineRule="auto" w:line="276"/>
      </w:pPr>
      <w:r>
        <w:rPr>
          <w:b/>
        </w:rPr>
        <w:t xml:space="preserve">Abstract (EN): </w:t>
      </w:r>
      <w:r>
        <w:t>Titanium silicalite-1 (TS-1) is industrially used for selective oxidation processes. Despite being discovered over 40 years ago, TS-1 is seeing an increase in use in the chemical industry. The catalyst structure, especially the Ti speciation and local environment in the zeolitic framework, as well as the nuclearity of the Ti sites in the pristine zeolite material, are still debated. Here, we address this issue by applying high field (28.2 T) 47/49Ti NMR and 17O NMR spectroscopy for an array of TS-1 catalysts. For extra-framework-free TS-1 catalysts, the Ti sites are associated with a distinct NMR signature-δiso (49Ti) = -900 ppm; CQ,0(49Ti) = 7.2 MHz-which can be translated into structural parameters and a dominant first coordination environment according to an extended Czjzek model. With the implementation of a 47/49Ti NMR crystallography protocol, benchmarked on molecular models, this signature was assigned to the presence of mononuclear Ti framework sites in pristine TS-1 structures. The observed distribution of the NMR parameters presumably originates from variations of mononuclear Ti framework sites in the first and second coordination sphere, likely due to the occupancy of several T-sites.</w:t>
      </w:r>
    </w:p>
    <w:p>
      <w:pPr>
        <w:spacing w:before="120" w:after="120"/>
      </w:pPr>
      <w:r>
        <w:rPr>
          <w:sz w:val="18"/>
        </w:rPr>
        <w:t>——————————————————————————————————————————————————————————————————————</w:t>
      </w:r>
    </w:p>
    <w:p>
      <w:pPr>
        <w:spacing w:before="160" w:after="40" w:line="240" w:lineRule="auto"/>
      </w:pPr>
      <w:r>
        <w:rPr>
          <w:b/>
        </w:rPr>
        <w:t xml:space="preserve">[66] </w:t>
      </w:r>
      <w:hyperlink r:id="rId273">
        <w:r>
          <w:rPr>
            <w:color w:val="1155CC"/>
            <w:u w:val="single"/>
          </w:rPr>
          <w:t>通过机制指导的精确水解早期过渡金属以获取（混合金属）氧簇</w:t>
        </w:r>
      </w:hyperlink>
    </w:p>
    <w:p>
      <w:pPr>
        <w:spacing w:before="0" w:after="80"/>
      </w:pPr>
      <w:r>
        <w:rPr>
          <w:i/>
          <w:sz w:val="20"/>
        </w:rPr>
        <w:t>EN: Mechanism‐Guided Precision Hydrolysis of Early Transition Metals to Access (Mixed‐Metal) Oxo Clusters</w:t>
      </w:r>
    </w:p>
    <w:p>
      <w:pPr>
        <w:spacing w:before="0" w:after="120"/>
      </w:pPr>
      <w:r>
        <w:rPr>
          <w:b/>
        </w:rPr>
        <w:t xml:space="preserve">Source: </w:t>
      </w:r>
      <w:r>
        <w:t>Wiley: Angewandte Chemie International Edition: Table of Contents</w:t>
      </w:r>
      <w:r>
        <w:t xml:space="preserve">    </w:t>
      </w:r>
      <w:r>
        <w:rPr>
          <w:b/>
        </w:rPr>
        <w:t xml:space="preserve">Pub date: </w:t>
      </w:r>
      <w:r>
        <w:t>2026-02-24 12:43:19+00:00</w:t>
      </w:r>
      <w:r>
        <w:t xml:space="preserve">    </w:t>
      </w:r>
      <w:r>
        <w:rPr>
          <w:b/>
        </w:rPr>
        <w:t xml:space="preserve">DOI: </w:t>
      </w:r>
      <w:hyperlink r:id="rId274">
        <w:r>
          <w:rPr>
            <w:color w:val="1155CC"/>
            <w:u w:val="single"/>
          </w:rPr>
          <w:t>10.1002/anie.202525769</w:t>
        </w:r>
      </w:hyperlink>
    </w:p>
    <w:p>
      <w:pPr>
        <w:spacing w:before="0" w:after="120"/>
      </w:pPr>
      <w:r>
        <w:rPr>
          <w:b/>
        </w:rPr>
        <w:t xml:space="preserve">Notes: </w:t>
      </w:r>
      <w:r>
        <w:t>abstract_source=pubmed</w:t>
      </w:r>
    </w:p>
    <w:p>
      <w:pPr>
        <w:spacing w:before="0" w:after="80" w:lineRule="auto" w:line="276"/>
      </w:pPr>
      <w:r>
        <w:rPr>
          <w:b/>
        </w:rPr>
        <w:t xml:space="preserve">摘要（ZH）: </w:t>
      </w:r>
      <w:r>
        <w:t>锆和铪氧簇是催化剂，也是MOFs、3D打印和聚合物复合材料的构建模块。然而，它们的合成往往是试错的过程，新结构很难通过逆合成设计。在此，我们利用最近对Zr6O4 (OH)4 (OOCR)12氧簇形成机制的见解，重新设计其合成，以更高的反应速率、更经济的前体、更可持续的溶剂和更高的原子经济性，在室温下以克规模进行。我们精确加入1.33当量的水，以实现金属向Zr6-羧酸盐或Hf6-羧酸盐氧簇（羧酸盐=乙酸盐、油酸盐和2-甲基丁酸盐）的精确水解。此外，我们使用精确水解来s</w:t>
      </w:r>
    </w:p>
    <w:p>
      <w:pPr>
        <w:spacing w:before="0" w:after="200" w:lineRule="auto" w:line="276"/>
      </w:pPr>
      <w:r>
        <w:rPr>
          <w:b/>
        </w:rPr>
        <w:t xml:space="preserve">Abstract (EN): </w:t>
      </w:r>
      <w:r>
        <w:t>Zirconium and hafnium oxo clusters are catalysts, and building blocks for MOFs, 3D-printing and polymer composites. However, their synthesis is often a matter of trial and error, and new structures are hard to design retrosynthetically. Here, we use our recent insight in the formation mechanism of   Zr 6 O 4  ${\rm Zr}_6{\rm O}_4$  (OH)   4 $_4$  (OOCR)   12 $_{12}$  oxo clusters to redesign their synthesis with higher reaction rates, more economical precursors, more sustainable solvents, and higher atom economy, all at room temperature at gram scale. We add exactly 1.33 equivalents of water for the precision hydrolysis of the metals toward Zr6-carboxylate or Hf6-carboxylate oxo clusters (carboxylate  =  acetate, oleate, and 2-methylbutanoate). Furthermore, we use precision hydrolysis to synthesize the elusive bimetallic Zr/Hf oxo clusters and to expand rational oxo cluster synthesis to the group 5, accessing the new   Nb 8 O 12  ${\rm Nb}_8{\rm O}_{12}$  (OEt)   8 $_8$  (OBz)   8 $_8$  and   Ta 8 O 12  ${\rm Ta}_8{\rm O}_{12}$  (OEt)   8 $_8$  (OBz)   8 $_8$  clusters (OBz = benzoate). Precision hydrolysis allows for a rational design and an economic production of oxo clusters on a multigram scale, with potential to become the workhorse for cluster synthesis.</w:t>
      </w:r>
    </w:p>
    <w:p>
      <w:pPr>
        <w:spacing w:before="120" w:after="120"/>
      </w:pPr>
      <w:r>
        <w:rPr>
          <w:sz w:val="18"/>
        </w:rPr>
        <w:t>——————————————————————————————————————————————————————————————————————</w:t>
      </w:r>
    </w:p>
    <w:p>
      <w:pPr>
        <w:spacing w:before="160" w:after="40" w:line="240" w:lineRule="auto"/>
      </w:pPr>
      <w:r>
        <w:rPr>
          <w:b/>
        </w:rPr>
        <w:t xml:space="preserve">[67] </w:t>
      </w:r>
      <w:hyperlink r:id="rId275">
        <w:r>
          <w:rPr>
            <w:color w:val="1155CC"/>
            <w:u w:val="single"/>
          </w:rPr>
          <w:t>[ASAP] 探索Ni–P催化剂的未知领域：氢气析出反应中的原位探索</w:t>
        </w:r>
      </w:hyperlink>
    </w:p>
    <w:p>
      <w:pPr>
        <w:spacing w:before="0" w:after="80"/>
      </w:pPr>
      <w:r>
        <w:rPr>
          <w:i/>
          <w:sz w:val="20"/>
        </w:rPr>
        <w:t>EN: [ASAP] Probing Terra Incognita of Ni–P Catalysts: Operando Explorations during Hydrogen Evolution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2026-02-24 12:54:47+00:00</w:t>
      </w:r>
      <w:r>
        <w:t xml:space="preserve">    </w:t>
      </w:r>
      <w:r>
        <w:rPr>
          <w:b/>
        </w:rPr>
        <w:t xml:space="preserve">DOI: </w:t>
      </w:r>
      <w:hyperlink r:id="rId276">
        <w:r>
          <w:rPr>
            <w:color w:val="1155CC"/>
            <w:u w:val="single"/>
          </w:rPr>
          <w:t>10.1021/jacs.6c01756</w:t>
        </w:r>
      </w:hyperlink>
    </w:p>
    <w:p>
      <w:pPr>
        <w:spacing w:before="0" w:after="120"/>
      </w:pPr>
      <w:r>
        <w:rPr>
          <w:b/>
        </w:rPr>
        <w:t xml:space="preserve">Notes: </w:t>
      </w:r>
      <w:r>
        <w:t>abstract_source=openalex</w:t>
      </w:r>
    </w:p>
    <w:p>
      <w:pPr>
        <w:spacing w:before="0" w:after="80" w:lineRule="auto" w:line="276"/>
      </w:pPr>
      <w:r>
        <w:rPr>
          <w:b/>
        </w:rPr>
        <w:t xml:space="preserve">摘要（ZH）: </w:t>
      </w:r>
      <w:r>
        <w:t>我们开发了两种Ni磷化物制备方法，允许对定义明确的体系统进行原位XAS表面敏感性研究。对于Ni K边XAS，Ni2P相纯粉末被烧结成高密度颗粒并抛光以进行掠入射XAS。在HER之前，酸性电解质对Ni位点的影响较小，而施加的阴极电位导致Ni表面状态的还原，超出了制备好的Ni2P状态。计算的完全H覆盖的Ni2P [0001]模型很好地描述了原位Ni K边GIXAS光谱的差异。关闭施加的偏压后，Ni位点立即被氧化，在表面形成NiO。因此，HER期间的活性相是接近金属间化合物磷化物中的共价Ni0，而在之后形成Ni2+氧化物</w:t>
      </w:r>
    </w:p>
    <w:p>
      <w:pPr>
        <w:spacing w:before="0" w:after="200" w:lineRule="auto" w:line="276"/>
      </w:pPr>
      <w:r>
        <w:rPr>
          <w:b/>
        </w:rPr>
        <w:t xml:space="preserve">Abstract (EN): </w:t>
      </w:r>
      <w:r>
        <w:t>We have developed two Ni phosphide preparation methods allowing operando XAS surface-sensitive studies of well-defined bulk systems. For Ni K-edge XAS, a Ni2P phase-pure powder was sintered into a high-density pellet and polished for grazing incidence XAS. Ni sites were mildly affected by the acidic electrolyte prior to the HER, while the applied cathodic potential caused the reduction of Ni surface states beyond the states of as-prepared Ni2P. The computed fully H-covered Ni2P [0001] model describes the difference in the operando Ni K-edge GIXAS spectrum well. Upon turning the applied bias off, the Ni sites became immediately oxidized, forming NiO on the surface. Thus, the active phase during the HER is covalent Ni0 close to that in the intermetallic phosphides, and Ni2+ oxides formed after, and not during, the HER. For P K-edge XAS, Ni foam was phosphorized to form a thin Ni3P layer while preserving its high surface area. Upon immersion in the acidic electrolyte, the P sites underwent removal of P5+ phosphates and formed new P coordination, possibly due to the adsorption of protons from the electrolyte. These new P surface states were not affected by turning the cathodic current on and off as soon as the sample was immersed in the acidic electrolyte. However, the removal of the sample from the electrochemical cell and drying in air resulted in substantial depletion and oxidation of surface P. Echoing the observed Ni site chemistry during HER, XAS and XPS suggest that the in situ active P sites are different from the oxidized P states observed under ex situ conditions.</w:t>
      </w:r>
    </w:p>
    <w:p>
      <w:pPr>
        <w:spacing w:before="120" w:after="120"/>
      </w:pPr>
      <w:r>
        <w:rPr>
          <w:sz w:val="18"/>
        </w:rPr>
        <w:t>——————————————————————————————————————————————————————————————————————</w:t>
      </w:r>
    </w:p>
    <w:p>
      <w:pPr>
        <w:spacing w:before="160" w:after="40" w:line="240" w:lineRule="auto"/>
      </w:pPr>
      <w:r>
        <w:rPr>
          <w:b/>
        </w:rPr>
        <w:t xml:space="preserve">[68] </w:t>
      </w:r>
      <w:hyperlink r:id="rId277">
        <w:r>
          <w:rPr>
            <w:color w:val="1155CC"/>
            <w:u w:val="single"/>
          </w:rPr>
          <w:t>[ASAP] 对“具有全碳季碳中心的氮杂环丁烷：将接力催化与应力释放功能化相结合”的更正</w:t>
        </w:r>
      </w:hyperlink>
    </w:p>
    <w:p>
      <w:pPr>
        <w:spacing w:before="0" w:after="80"/>
      </w:pPr>
      <w:r>
        <w:rPr>
          <w:i/>
          <w:sz w:val="20"/>
        </w:rPr>
        <w:t>EN: [ASAP] Correction to “Azetidines with All-Carbon Quaternary Centers: Merging Relay Catalysis with Strain Release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2026-02-24 12:58:35+00:00</w:t>
      </w:r>
      <w:r>
        <w:t xml:space="preserve">    </w:t>
      </w:r>
      <w:r>
        <w:rPr>
          <w:b/>
        </w:rPr>
        <w:t xml:space="preserve">DOI: </w:t>
      </w:r>
      <w:hyperlink r:id="rId278">
        <w:r>
          <w:rPr>
            <w:color w:val="1155CC"/>
            <w:u w:val="single"/>
          </w:rPr>
          <w:t>10.1021/jacs.6c02114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279">
        <w:r>
          <w:rPr>
            <w:color w:val="1155CC"/>
            <w:u w:val="single"/>
          </w:rPr>
          <w:t>[ASAP] 氧化物和碳酸盐加速CO2电还原中铜的不稳定性</w:t>
        </w:r>
      </w:hyperlink>
    </w:p>
    <w:p>
      <w:pPr>
        <w:spacing w:before="0" w:after="80"/>
      </w:pPr>
      <w:r>
        <w:rPr>
          <w:i/>
          <w:sz w:val="20"/>
        </w:rPr>
        <w:t>EN: [ASAP] Oxides and Carbonates Accelerate Copper Instability in CO2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2026-02-24 13:38:12+00:00</w:t>
      </w:r>
      <w:r>
        <w:t xml:space="preserve">    </w:t>
      </w:r>
      <w:r>
        <w:rPr>
          <w:b/>
        </w:rPr>
        <w:t xml:space="preserve">DOI: </w:t>
      </w:r>
      <w:hyperlink r:id="rId280">
        <w:r>
          <w:rPr>
            <w:color w:val="1155CC"/>
            <w:u w:val="single"/>
          </w:rPr>
          <w:t>10.1021/jacs.5c21287</w:t>
        </w:r>
      </w:hyperlink>
    </w:p>
    <w:p>
      <w:pPr>
        <w:spacing w:before="0" w:after="120"/>
      </w:pPr>
      <w:r>
        <w:rPr>
          <w:b/>
        </w:rPr>
        <w:t xml:space="preserve">Notes: </w:t>
      </w:r>
      <w:r>
        <w:t>abstract_source=pubmed</w:t>
      </w:r>
    </w:p>
    <w:p>
      <w:pPr>
        <w:spacing w:before="0" w:after="80" w:lineRule="auto" w:line="276"/>
      </w:pPr>
      <w:r>
        <w:rPr>
          <w:b/>
        </w:rPr>
        <w:t xml:space="preserve">摘要（ZH）: </w:t>
      </w:r>
      <w:r>
        <w:t>电化学CO2还原反应（CO2RR）是促进从化石燃料能源系统向可再生系统过渡的关键化学转化之一。铜（Cu）基材料独特地催化CO2生成多碳（C2+）产品。然而，铜的操作不稳定性限制了长期性能。在此，我们研究了初始Cu表面的化学性质，特别是氧化态和碳酸盐形成对Cu催化剂结构和操作稳定性的影响，以及催化剂重构动力学。我们结合最先进的定义明确的催化剂与准原位电化学液相透射电子显微镜（ec-LPTEM）以及电化学表征来了解</w:t>
      </w:r>
    </w:p>
    <w:p>
      <w:pPr>
        <w:spacing w:before="0" w:after="200" w:lineRule="auto" w:line="276"/>
      </w:pPr>
      <w:r>
        <w:rPr>
          <w:b/>
        </w:rPr>
        <w:t xml:space="preserve">Abstract (EN): </w:t>
      </w:r>
      <w:r>
        <w:t>The electrochemical CO2 reduction reaction (CO2RR) is one of the key chemical transformations promoting the transition from fossil fuel-based energy systems to renewable systems. Copper (Cu)-based materials uniquely catalyze the production of multicarbon (C2+) products from CO2. Yet, copper operational instability limits long-term performance. Herein, we investigate the impact of the chemical nature of the initial Cu surface, particularly oxidation state and carbonate formation, on the structural and operational stability of Cu catalysts along with the reconstruction kinetics of the catalyst. We combine state-of-the-art well-defined catalysts with quasi-operando electrochemical liquid-phase transmission electron microscopy (ec-LPTEM) along with electrochemical characterization to learn about underlying differences. We demonstrate that catalysts with higher initial oxide content undergo faster structural reconstruction and suffer from faster operational deactivation. Interestingly, we find that Cu carbonates further exacerbate structural instability while also suppressing the CO2RR activity. Our results highlight the critical role of oxides and carbonates in dictating the reconstruction pathways and durability of Cu under CO2RR conditions, offering insights into tuning the Cu-based catalyst design for enhanced CO2RR stability and efficiency.</w:t>
      </w:r>
    </w:p>
    <w:p>
      <w:pPr>
        <w:spacing w:before="120" w:after="120"/>
      </w:pPr>
      <w:r>
        <w:rPr>
          <w:sz w:val="18"/>
        </w:rPr>
        <w:t>——————————————————————————————————————————————————————————————————————</w:t>
      </w:r>
    </w:p>
    <w:p>
      <w:pPr>
        <w:spacing w:before="160" w:after="40" w:line="240" w:lineRule="auto"/>
      </w:pPr>
      <w:r>
        <w:rPr>
          <w:b/>
        </w:rPr>
        <w:t xml:space="preserve">[70] </w:t>
      </w:r>
      <w:hyperlink r:id="rId281">
        <w:r>
          <w:rPr>
            <w:color w:val="1155CC"/>
            <w:u w:val="single"/>
          </w:rPr>
          <w:t>[ASAP] 通过精确靶向病变巨噬细胞的空间提示、顺序激活的DNA纳米装置用于动脉粥样硬化治疗诊断</w:t>
        </w:r>
      </w:hyperlink>
    </w:p>
    <w:p>
      <w:pPr>
        <w:spacing w:before="0" w:after="80"/>
      </w:pPr>
      <w:r>
        <w:rPr>
          <w:i/>
          <w:sz w:val="20"/>
        </w:rPr>
        <w:t>EN: [ASAP] A Spatially Cued, Sequentially Activated DNA Nanodevice for Atherosclerosis Theranostics via Precise Targeting of Lesional Macrophages</w:t>
      </w:r>
    </w:p>
    <w:p>
      <w:pPr>
        <w:spacing w:before="0" w:after="120"/>
      </w:pPr>
      <w:r>
        <w:rPr>
          <w:b/>
        </w:rPr>
        <w:t xml:space="preserve">Source: </w:t>
      </w:r>
      <w:r>
        <w:t>Journal of the American Chemical Society: Latest Articles (ACS Publications)</w:t>
      </w:r>
      <w:r>
        <w:t xml:space="preserve">    </w:t>
      </w:r>
      <w:r>
        <w:rPr>
          <w:b/>
        </w:rPr>
        <w:t xml:space="preserve">Pub date: </w:t>
      </w:r>
      <w:r>
        <w:t>2026-02-24 13:54:10+00:00</w:t>
      </w:r>
      <w:r>
        <w:t xml:space="preserve">    </w:t>
      </w:r>
      <w:r>
        <w:rPr>
          <w:b/>
        </w:rPr>
        <w:t xml:space="preserve">DOI: </w:t>
      </w:r>
      <w:hyperlink r:id="rId282">
        <w:r>
          <w:rPr>
            <w:color w:val="1155CC"/>
            <w:u w:val="single"/>
          </w:rPr>
          <w:t>10.1021/jacs.5c19539</w:t>
        </w:r>
      </w:hyperlink>
    </w:p>
    <w:p>
      <w:pPr>
        <w:spacing w:before="0" w:after="120"/>
      </w:pPr>
      <w:r>
        <w:rPr>
          <w:b/>
        </w:rPr>
        <w:t xml:space="preserve">Notes: </w:t>
      </w:r>
      <w:r>
        <w:t>abstract_source=pubmed</w:t>
      </w:r>
    </w:p>
    <w:p>
      <w:pPr>
        <w:spacing w:before="0" w:after="80" w:lineRule="auto" w:line="276"/>
      </w:pPr>
      <w:r>
        <w:rPr>
          <w:b/>
        </w:rPr>
        <w:t xml:space="preserve">摘要（ZH）: </w:t>
      </w:r>
      <w:r>
        <w:t>动脉粥样硬化（AS）是心血管疾病的主要原因之一，其中巨噬细胞是其发病机制的关键驱动因素。开发能够有效缓解AS且最小化全身影响的巨噬细胞靶向疗法仍然是一个挑战。在此，我们提出了一种智能诊疗方法，使用精确的时空特异性响应DNA纳米结构（ASfindaCure）来治疗AS。为了精确靶向致动脉粥样硬化的巨噬细胞，我们利用了由膜蛋白（SIRPα）、微环境线索（凝血酶）和两个细胞内生物标志物（APE1和microRNA-155）组成的空间特异性表达模式。通过利用结构和动态DNA纳米技术，ASfindaCure在时间上协调这些空间分布的生物标志物的识别事件通过</w:t>
      </w:r>
    </w:p>
    <w:p>
      <w:pPr>
        <w:spacing w:before="0" w:after="200" w:lineRule="auto" w:line="276"/>
      </w:pPr>
      <w:r>
        <w:rPr>
          <w:b/>
        </w:rPr>
        <w:t xml:space="preserve">Abstract (EN): </w:t>
      </w:r>
      <w:r>
        <w:t>Atherosclerosis (AS), a major contributor to cardiovascular diseases, involves macrophages as a pivotal driver of its pathogenesis. Developing macrophage-targeted therapies that effectively mitigate AS while minimizing systemic effects remains a challenge. Here, we present an intelligent theranostic method for AS using an accurate spatiotemporal-specifically responsive DNA nanostructure (ASfindaCure). To precisely target atherogenic macrophages, we leverage a spatially distinctive expression pattern comprising a membrane protein (SIRPα), a microenvironmental cue (thrombin), and two intracellular biomarkers (APE1 and microRNA-155). By harnessing structural and dynamic DNA nanotechnologies, ASfindaCure temporally orchestrates recognition events for these spatially distributed biomarkers via programmable reactive ion cascades. Utilizing fluorescence and photoacoustic dual-modality imaging, we demonstrate that ASfindaCure accurately targets AS-causing macrophages, providing a noninvasive imaging method to assess AS progression. In both cellular and mouse models, ASfindaCure demonstrated effective delivery of microRNA-33 antisense oligonucleotides to targeted cells, significantly mitigating plaque progression and inflammation. This intelligent theranostic nanoplatform holds great promise for the development of next-generation treatments for AS and has potential applications in other disease conditions.</w:t>
      </w:r>
    </w:p>
    <w:p>
      <w:pPr>
        <w:spacing w:before="120" w:after="120"/>
      </w:pPr>
      <w:r>
        <w:rPr>
          <w:sz w:val="18"/>
        </w:rPr>
        <w:t>——————————————————————————————————————————————————————————————————————</w:t>
      </w:r>
    </w:p>
    <w:p>
      <w:pPr>
        <w:spacing w:before="160" w:after="40" w:line="240" w:lineRule="auto"/>
      </w:pPr>
      <w:r>
        <w:rPr>
          <w:b/>
        </w:rPr>
        <w:t xml:space="preserve">[71] </w:t>
      </w:r>
      <w:hyperlink r:id="rId283">
        <w:r>
          <w:rPr>
            <w:color w:val="1155CC"/>
            <w:u w:val="single"/>
          </w:rPr>
          <w:t>[ASAP] 在原子分散的钛-铝-硼纳米粉末上进行低温非氧化甲烷偶联</w:t>
        </w:r>
      </w:hyperlink>
    </w:p>
    <w:p>
      <w:pPr>
        <w:spacing w:before="0" w:after="80"/>
      </w:pPr>
      <w:r>
        <w:rPr>
          <w:i/>
          <w:sz w:val="20"/>
        </w:rPr>
        <w:t>EN: [ASAP] Low-Temperature Non-Oxidative Coupling of Methane on Atomically Dispersed Titanium–Aluminum–Boron Nanopowder</w:t>
      </w:r>
    </w:p>
    <w:p>
      <w:pPr>
        <w:spacing w:before="0" w:after="120"/>
      </w:pPr>
      <w:r>
        <w:rPr>
          <w:b/>
        </w:rPr>
        <w:t xml:space="preserve">Source: </w:t>
      </w:r>
      <w:r>
        <w:t>Journal of the American Chemical Society: Latest Articles (ACS Publications)</w:t>
      </w:r>
      <w:r>
        <w:t xml:space="preserve">    </w:t>
      </w:r>
      <w:r>
        <w:rPr>
          <w:b/>
        </w:rPr>
        <w:t xml:space="preserve">Pub date: </w:t>
      </w:r>
      <w:r>
        <w:t>2026-02-24 14:23:58+00:00</w:t>
      </w:r>
      <w:r>
        <w:t xml:space="preserve">    </w:t>
      </w:r>
      <w:r>
        <w:rPr>
          <w:b/>
        </w:rPr>
        <w:t xml:space="preserve">DOI: </w:t>
      </w:r>
      <w:hyperlink r:id="rId284">
        <w:r>
          <w:rPr>
            <w:color w:val="1155CC"/>
            <w:u w:val="single"/>
          </w:rPr>
          <w:t>10.1021/jacs.6c01503</w:t>
        </w:r>
      </w:hyperlink>
    </w:p>
    <w:p>
      <w:pPr>
        <w:spacing w:before="0" w:after="120"/>
      </w:pPr>
      <w:r>
        <w:rPr>
          <w:b/>
        </w:rPr>
        <w:t xml:space="preserve">Notes: </w:t>
      </w:r>
      <w:r>
        <w:t>abstract_source=openalex</w:t>
      </w:r>
    </w:p>
    <w:p>
      <w:pPr>
        <w:spacing w:before="0" w:after="80" w:lineRule="auto" w:line="276"/>
      </w:pPr>
      <w:r>
        <w:rPr>
          <w:b/>
        </w:rPr>
        <w:t xml:space="preserve">摘要（ZH）: </w:t>
      </w:r>
      <w:r>
        <w:t>甲烷的非氧化偶联在多相催化中一直是一个长期挑战，因为它需要活化碳-氢（C–H）键、控制碳-碳（C–C）键的形成，并在不依赖氧化剂的情况下有效管理氢。在此，我们报告了一种低温C–H活化和甲烷的非氧化C–C偶联，使用原子分散的钛-铝-硼纳米粉末（Ti–Al–B NP）在催化微反应器中进行，并结合同步辐射单光子光电离反射飞行时间质谱。该软电离原位探测方法在操作条件下检测到新生反应产物和自由基中间体，包括甲基自由基、C2烃类和分子氢。甲烷活化是由</w:t>
      </w:r>
    </w:p>
    <w:p>
      <w:pPr>
        <w:spacing w:before="0" w:after="200" w:lineRule="auto" w:line="276"/>
      </w:pPr>
      <w:r>
        <w:rPr>
          <w:b/>
        </w:rPr>
        <w:t xml:space="preserve">Abstract (EN): </w:t>
      </w:r>
      <w:r>
        <w:t>Nonoxidative coupling of methane represents a long-standing challenge in heterogeneous catalysis, as it requires activation of the carbon–hydrogen (C–H) bond, controlled carbon–carbon (C–C) bond formation, and effective hydrogen management without relying on oxidants. Here, we report a low-temperature C–H activation and nonoxidative C–C coupling of methane over atomically dispersed titanium–aluminum–boron nanopowder (Ti–Al–B NP) utilizing a catalytic microreactor coupled to synchrotron single-photon photoionization reflectron time-of-flight mass spectrometry. The soft-ionization, in situ probing method detects the nascent reaction products and radical intermediates under operando conditions, including methyl radical, C2 hydrocarbons, and molecular hydrogen. Methane activation is initiated at 800 K, approximately 700 K below the gas-phase decomposition threshold, leading predominantly to ethylene formation with selectivity reaching up to 78% among the C–C coupled products. Electronic structure calculations on model Ti–Al–B clusters elucidate a cooperative catalytic mechanism in which titanium enables methane adsorption and C–H activation, boron acts as a reversible hydrogen reservoir, and aluminum stabilizes methylene intermediates, thereby facilitating selective C–C coupling and dehydrogenation. These findings establish a distinct catalyst architecture for nonoxidative methane coupling based on earth abundant elements alternative to expensive platinum and other noble metal-containing conventional catalysts and provide molecular-level design principles for controlling dehydrogenation and subsequent C–C bond formation in challenging light alkane conversions.</w:t>
      </w:r>
    </w:p>
    <w:p>
      <w:pPr>
        <w:spacing w:before="120" w:after="120"/>
      </w:pPr>
      <w:r>
        <w:rPr>
          <w:sz w:val="18"/>
        </w:rPr>
        <w:t>——————————————————————————————————————————————————————————————————————</w:t>
      </w:r>
    </w:p>
    <w:p>
      <w:pPr>
        <w:spacing w:before="160" w:after="40" w:line="240" w:lineRule="auto"/>
      </w:pPr>
      <w:r>
        <w:rPr>
          <w:b/>
        </w:rPr>
        <w:t xml:space="preserve">[72] </w:t>
      </w:r>
      <w:hyperlink r:id="rId285">
        <w:r>
          <w:rPr>
            <w:color w:val="1155CC"/>
            <w:u w:val="single"/>
          </w:rPr>
          <w:t>[ASAP] 用于mRNA递送和碱基编辑的安全且高效的脂质-前药-地塞米松纳米颗粒</w:t>
        </w:r>
      </w:hyperlink>
    </w:p>
    <w:p>
      <w:pPr>
        <w:spacing w:before="0" w:after="80"/>
      </w:pPr>
      <w:r>
        <w:rPr>
          <w:i/>
          <w:sz w:val="20"/>
        </w:rPr>
        <w:t>EN: [ASAP] Safe and Highly Efficient Lipid-Pro-Dexamethasone Nanoparticles for mRNA Delivery and Base Editing</w:t>
      </w:r>
    </w:p>
    <w:p>
      <w:pPr>
        <w:spacing w:before="0" w:after="120"/>
      </w:pPr>
      <w:r>
        <w:rPr>
          <w:b/>
        </w:rPr>
        <w:t xml:space="preserve">Source: </w:t>
      </w:r>
      <w:r>
        <w:t>Journal of the American Chemical Society: Latest Articles (ACS Publications)</w:t>
      </w:r>
      <w:r>
        <w:t xml:space="preserve">    </w:t>
      </w:r>
      <w:r>
        <w:rPr>
          <w:b/>
        </w:rPr>
        <w:t xml:space="preserve">Pub date: </w:t>
      </w:r>
      <w:r>
        <w:t>2026-02-24 15:19:39+00:00</w:t>
      </w:r>
      <w:r>
        <w:t xml:space="preserve">    </w:t>
      </w:r>
      <w:r>
        <w:rPr>
          <w:b/>
        </w:rPr>
        <w:t xml:space="preserve">DOI: </w:t>
      </w:r>
      <w:hyperlink r:id="rId286">
        <w:r>
          <w:rPr>
            <w:color w:val="1155CC"/>
            <w:u w:val="single"/>
          </w:rPr>
          <w:t>10.1021/jacs.6c01708</w:t>
        </w:r>
      </w:hyperlink>
    </w:p>
    <w:p>
      <w:pPr>
        <w:spacing w:before="0" w:after="120"/>
      </w:pPr>
      <w:r>
        <w:rPr>
          <w:b/>
        </w:rPr>
        <w:t xml:space="preserve">Notes: </w:t>
      </w:r>
      <w:r>
        <w:t>abstract_source=openalex</w:t>
      </w:r>
    </w:p>
    <w:p>
      <w:pPr>
        <w:spacing w:before="0" w:after="80" w:lineRule="auto" w:line="276"/>
      </w:pPr>
      <w:r>
        <w:rPr>
          <w:b/>
        </w:rPr>
        <w:t xml:space="preserve">摘要（ZH）: </w:t>
      </w:r>
      <w:r>
        <w:t>mRNA脂质纳米颗粒（LNPs）的固有免疫原性对其在疾病治疗中的应用构成了重大挑战。在这项研究中，我们开发了一系列创新的地塞米松（DEX）前药可离子化脂质（DPILs），以满足安全有效的mRNA递送需求，从而建立了安全高效的脂质-地塞米松（SHIELD）LNP平台。主要配方DEX-SPM-CP10 SHIELD LNP不仅显著降低了多种促炎细胞因子的水平，还实现了与FDA批准的SM-102 LNP相当的mRNA递送效率。此外，SHIELD平台展示了普遍性，因为将特定比例的DPILs整合到针对不同器官（如肝脏、肺、脾脏）的各种LNPs中，</w:t>
      </w:r>
    </w:p>
    <w:p>
      <w:pPr>
        <w:spacing w:before="0" w:after="200" w:lineRule="auto" w:line="276"/>
      </w:pPr>
      <w:r>
        <w:rPr>
          <w:b/>
        </w:rPr>
        <w:t xml:space="preserve">Abstract (EN): </w:t>
      </w:r>
      <w:r>
        <w:t>The inherent immunogenicity of mRNA lipid nanoparticles (LNPs) poses a major challenge to their application in disease treatment. In this study, we developed a series of innovative dexamethasone (DEX) prodrug ionizable lipids (DPILs) to address the need for safe and effective mRNA delivery, leading to the establishment of the Safe and Highly Efficient Lipid-pro-dexamethasone (SHIELD) LNP platform. The lead formulation, DEX-SPM-CP10 SHIELD LNP, not only markedly decreased the levels of multiple proinflammatory cytokines but also achieved mRNA delivery efficiency comparable to that of the FDA-approved SM-102 LNP. Furthermore, the SHIELD platform demonstrated universality, as incorporating specific ratios of DPILs into various LNPs targeting different organs (such as the liver, lungs, spleen, and pancreas) led to notable reductions in inflammatory responses and enhancements in mRNA expression, highlighting its superiority over strategies that incorporate free DEX. Subsequently, we investigated its application in gene editing therapy by codelivering ABEmax mRNA and sgRNA to edit the EGFP reporter gene and endogenous PCSK9 gene, as well as in protein replacement therapy through multiple injections of mRNA-SHIELD LNPs. All of these results demonstrated excellent delivery efficacy with minimal immunogenicity, fully illustrating the therapeutic potential of this platform. Taken together, the SHIELD platform offers safe and efficient mRNA delivery and has the potential to expand the therapeutic applications of mRNA-based therapies.</w:t>
      </w:r>
    </w:p>
    <w:p>
      <w:pPr>
        <w:spacing w:before="120" w:after="120"/>
      </w:pPr>
      <w:r>
        <w:rPr>
          <w:sz w:val="18"/>
        </w:rPr>
        <w:t>——————————————————————————————————————————————————————————————————————</w:t>
      </w:r>
    </w:p>
    <w:p>
      <w:pPr>
        <w:spacing w:before="160" w:after="40" w:line="240" w:lineRule="auto"/>
      </w:pPr>
      <w:r>
        <w:rPr>
          <w:b/>
        </w:rPr>
        <w:t xml:space="preserve">[73] </w:t>
      </w:r>
      <w:hyperlink r:id="rId287">
        <w:r>
          <w:rPr>
            <w:color w:val="1155CC"/>
            <w:u w:val="single"/>
          </w:rPr>
          <w:t>[ASAP] 对“经典和量子计算机的多参考嵌入和碎片化方法：从模型系统到实际应用”的更正</w:t>
        </w:r>
      </w:hyperlink>
    </w:p>
    <w:p>
      <w:pPr>
        <w:spacing w:before="0" w:after="80"/>
      </w:pPr>
      <w:r>
        <w:rPr>
          <w:i/>
          <w:sz w:val="20"/>
        </w:rPr>
        <w:t>EN: [ASAP] Correction to “Multireference Embedding and Fragmentation Methods for Classical and Quantum Computers: From Model Systems to Realistic Applications”</w:t>
      </w:r>
    </w:p>
    <w:p>
      <w:pPr>
        <w:spacing w:before="0" w:after="120"/>
      </w:pPr>
      <w:r>
        <w:rPr>
          <w:b/>
        </w:rPr>
        <w:t xml:space="preserve">Source: </w:t>
      </w:r>
      <w:r>
        <w:t>Chemical Reviews: Latest Articles (ACS Publications)</w:t>
      </w:r>
      <w:r>
        <w:t xml:space="preserve">    </w:t>
      </w:r>
      <w:r>
        <w:rPr>
          <w:b/>
        </w:rPr>
        <w:t xml:space="preserve">Pub date: </w:t>
      </w:r>
      <w:r>
        <w:t>2026-02-24 16:01:55+00:00</w:t>
      </w:r>
      <w:r>
        <w:t xml:space="preserve">    </w:t>
      </w:r>
      <w:r>
        <w:rPr>
          <w:b/>
        </w:rPr>
        <w:t xml:space="preserve">DOI: </w:t>
      </w:r>
      <w:hyperlink r:id="rId288">
        <w:r>
          <w:rPr>
            <w:color w:val="1155CC"/>
            <w:u w:val="single"/>
          </w:rPr>
          <w:t>10.1021/acs.chemrev.6c00071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289">
        <w:r>
          <w:rPr>
            <w:color w:val="1155CC"/>
            <w:u w:val="single"/>
          </w:rPr>
          <w:t>[ASAP] 具有3-羟基氮杂环丁烷的三维杂化钙钛矿中的局部对称性破坏</w:t>
        </w:r>
      </w:hyperlink>
    </w:p>
    <w:p>
      <w:pPr>
        <w:spacing w:before="0" w:after="80"/>
      </w:pPr>
      <w:r>
        <w:rPr>
          <w:i/>
          <w:sz w:val="20"/>
        </w:rPr>
        <w:t>EN: [ASAP] Local Symmetry Breaking in 3D Hybrid Perovskites with 3-Hydroxyazetidinium</w:t>
      </w:r>
    </w:p>
    <w:p>
      <w:pPr>
        <w:spacing w:before="0" w:after="120"/>
      </w:pPr>
      <w:r>
        <w:rPr>
          <w:b/>
        </w:rPr>
        <w:t xml:space="preserve">Source: </w:t>
      </w:r>
      <w:r>
        <w:t>Journal of the American Chemical Society: Latest Articles (ACS Publications)</w:t>
      </w:r>
      <w:r>
        <w:t xml:space="preserve">    </w:t>
      </w:r>
      <w:r>
        <w:rPr>
          <w:b/>
        </w:rPr>
        <w:t xml:space="preserve">Pub date: </w:t>
      </w:r>
      <w:r>
        <w:t>2026-02-24 16:44:49+00:00</w:t>
      </w:r>
      <w:r>
        <w:t xml:space="preserve">    </w:t>
      </w:r>
      <w:r>
        <w:rPr>
          <w:b/>
        </w:rPr>
        <w:t xml:space="preserve">DOI: </w:t>
      </w:r>
      <w:hyperlink r:id="rId290">
        <w:r>
          <w:rPr>
            <w:color w:val="1155CC"/>
            <w:u w:val="single"/>
          </w:rPr>
          <w:t>10.1021/jacs.5c21300</w:t>
        </w:r>
      </w:hyperlink>
    </w:p>
    <w:p>
      <w:pPr>
        <w:spacing w:before="0" w:after="120"/>
      </w:pPr>
      <w:r>
        <w:rPr>
          <w:b/>
        </w:rPr>
        <w:t xml:space="preserve">Notes: </w:t>
      </w:r>
      <w:r>
        <w:t>abstract_source=openalex</w:t>
      </w:r>
    </w:p>
    <w:p>
      <w:pPr>
        <w:spacing w:before="0" w:after="80" w:lineRule="auto" w:line="276"/>
      </w:pPr>
      <w:r>
        <w:rPr>
          <w:b/>
        </w:rPr>
        <w:t xml:space="preserve">摘要（ZH）: </w:t>
      </w:r>
      <w:r>
        <w:t>由于其晶体结构中的对称性破坏变形，具有非主要铵阳离子（NPACs）的二维（2D）杂化钙钛矿半导体最近因自旋光电子学而受到关注。然而，在三维（3D）类似物中实施这一设计策略仍然很少被探索，主要是由于对阳离子尺寸的更严格限制。在此，我们介绍了一系列3D杂化钙钛矿（3DHPs），ASnX3，其中A = 3-羟基氮杂环丁烷（AzOH; +NH2(CH2)2CHOH）和X = Cl, Br, 和I。选择一个笨重的NPAC，并结合引入一个极性基团（−OH），以在3D框架内实现破对称性。虽然单晶X射线衍射分析显示空间平均的中心对称立方（即Pm-3m空间群）晶胞</w:t>
      </w:r>
    </w:p>
    <w:p>
      <w:pPr>
        <w:spacing w:before="0" w:after="200" w:lineRule="auto" w:line="276"/>
      </w:pPr>
      <w:r>
        <w:rPr>
          <w:b/>
        </w:rPr>
        <w:t xml:space="preserve">Abstract (EN): </w:t>
      </w:r>
      <w:r>
        <w:t>Two-dimensional (2D) hybrid perovskite semiconductors with nonprimary ammonium cations (NPACs) have recently attracted interest for spin-optoelectronics owing to the symmetry-breaking distortions in their crystal structures. However, implementing this design strategy in three-dimensional (3D) analogs remains largely unexplored, primarily due to stricter restrictions on cation size. Here, we introduce a family of 3D hybrid perovskites (3DHPs), ASnX3, where A = 3-hydroxyazetidinium (AzOH; +NH2(CH2)2CHOH) and X = Cl, Br, and I. The choice of a bulky NPAC, coupled with the incorporation of a polar group (−OH), targets broken symmetry within the 3D frameworks. While single-crystal X-ray diffraction analysis reveals spatially averaged centrosymmetric cubic (i.e., Pm-3m space group) unit cells, with the largest lattice parameters among existing ASnX3 analogs, first-principles molecular dynamics and electronic structure calculations indicate that the relatively fixed dipoles of AzOH within the SnX6-derived framework introduce local inversion asymmetry and spin polarization. By incorporating a polar cation with limited mobility into the 3D perovskite framework, (AzOH)SnX3 unlocks potential for spin-optoelectronics, photovoltaics, ferroelectrics, and nonlinear optics.</w:t>
      </w:r>
    </w:p>
    <w:p>
      <w:pPr>
        <w:spacing w:before="120" w:after="120"/>
      </w:pPr>
      <w:r>
        <w:rPr>
          <w:sz w:val="18"/>
        </w:rPr>
        <w:t>——————————————————————————————————————————————————————————————————————</w:t>
      </w:r>
    </w:p>
    <w:p>
      <w:pPr>
        <w:spacing w:before="160" w:after="40" w:line="240" w:lineRule="auto"/>
      </w:pPr>
      <w:r>
        <w:rPr>
          <w:b/>
        </w:rPr>
        <w:t xml:space="preserve">[75] </w:t>
      </w:r>
      <w:hyperlink r:id="rId291">
        <w:r>
          <w:rPr>
            <w:color w:val="1155CC"/>
            <w:u w:val="single"/>
          </w:rPr>
          <w:t>[ASAP] 链式材料：定义、理解和应用</w:t>
        </w:r>
      </w:hyperlink>
    </w:p>
    <w:p>
      <w:pPr>
        <w:spacing w:before="0" w:after="80"/>
      </w:pPr>
      <w:r>
        <w:rPr>
          <w:i/>
          <w:sz w:val="20"/>
        </w:rPr>
        <w:t>EN: [ASAP] Chained Materials: Definition, Understandings, and Applications</w:t>
      </w:r>
    </w:p>
    <w:p>
      <w:pPr>
        <w:spacing w:before="0" w:after="120"/>
      </w:pPr>
      <w:r>
        <w:rPr>
          <w:b/>
        </w:rPr>
        <w:t xml:space="preserve">Source: </w:t>
      </w:r>
      <w:r>
        <w:t>Chemical Reviews: Latest Articles (ACS Publications)</w:t>
      </w:r>
      <w:r>
        <w:t xml:space="preserve">    </w:t>
      </w:r>
      <w:r>
        <w:rPr>
          <w:b/>
        </w:rPr>
        <w:t xml:space="preserve">Pub date: </w:t>
      </w:r>
      <w:r>
        <w:t>2026-02-24 16:46:13+00:00</w:t>
      </w:r>
      <w:r>
        <w:t xml:space="preserve">    </w:t>
      </w:r>
      <w:r>
        <w:rPr>
          <w:b/>
        </w:rPr>
        <w:t xml:space="preserve">DOI: </w:t>
      </w:r>
      <w:hyperlink r:id="rId292">
        <w:r>
          <w:rPr>
            <w:color w:val="1155CC"/>
            <w:u w:val="single"/>
          </w:rPr>
          <w:t>10.1021/acs.chemrev.5c00527</w:t>
        </w:r>
      </w:hyperlink>
    </w:p>
    <w:p>
      <w:pPr>
        <w:spacing w:before="0" w:after="120"/>
      </w:pPr>
      <w:r>
        <w:rPr>
          <w:b/>
        </w:rPr>
        <w:t xml:space="preserve">Notes: </w:t>
      </w:r>
      <w:r>
        <w:t>abstract_source=openalex</w:t>
      </w:r>
    </w:p>
    <w:p>
      <w:pPr>
        <w:spacing w:before="0" w:after="80" w:lineRule="auto" w:line="276"/>
      </w:pPr>
      <w:r>
        <w:rPr>
          <w:b/>
        </w:rPr>
        <w:t xml:space="preserve">摘要（ZH）: </w:t>
      </w:r>
      <w:r>
        <w:t>材料的晶体结构直接决定其性能及其应用。链状材料，即由一维（1D）原子链组成的晶体材料，由于其独特的性能和有前景的器件性能，在过去十年中引起了广泛关注。到目前为止，传统的三维（3D）和二维（2D）晶体结构材料已被系统地研究；而对1D链状材料的探索和理解则少得多。本综述旨在提供对1D晶体结构的独特性和链状材料特性的全面理解，并期望揭示更多非凡的性能和创新机会。在本综述中，我们展示了链</w:t>
      </w:r>
    </w:p>
    <w:p>
      <w:pPr>
        <w:spacing w:before="0" w:after="200" w:lineRule="auto" w:line="276"/>
      </w:pPr>
      <w:r>
        <w:rPr>
          <w:b/>
        </w:rPr>
        <w:t xml:space="preserve">Abstract (EN): </w:t>
      </w:r>
      <w:r>
        <w:t>The crystal structures of materials directly determine their properties and thus their applications. Chained materials, namely crystalline materials composed of one-dimensional (1D) atomic chains, have attracted a lot of attentions in the last ten years due to their unique properties and promising device performance. By now, traditional three-dimensional (3D) and two-dimensional (2D) crystal structural materials have been systematically investigated; exploration and understanding of 1D chained materials are much less. This review aims to provide a comprehensive understanding on the uniqueness of 1D crystal structure and characteristics of chained materials, and expect to unveil more extraordinary properties and innovative opportunities. In this review, we present the current status of chained materials, focusing especially on the theoretical and experimental studies reported to date. The structure features, optoelectronic properties, and growth mechanisms are discussed carefully, in comparison with 3D and 2D crystal structural materials. Main applications and key advances of chained semiconductor materials are then summarized in several different categories. Finally, a brief perspective on the future applications of chained semiconductors ends this review.</w:t>
      </w:r>
    </w:p>
    <w:p>
      <w:pPr>
        <w:spacing w:before="120" w:after="120"/>
      </w:pPr>
      <w:r>
        <w:rPr>
          <w:sz w:val="18"/>
        </w:rPr>
        <w:t>——————————————————————————————————————————————————————————————————————</w:t>
      </w:r>
    </w:p>
    <w:p>
      <w:pPr>
        <w:spacing w:before="160" w:after="40" w:line="240" w:lineRule="auto"/>
      </w:pPr>
      <w:r>
        <w:rPr>
          <w:b/>
        </w:rPr>
        <w:t xml:space="preserve">[76] </w:t>
      </w:r>
      <w:hyperlink r:id="rId293">
        <w:r>
          <w:rPr>
            <w:color w:val="1155CC"/>
            <w:u w:val="single"/>
          </w:rPr>
          <w:t>[ASAP] 用于能源应用的半导体胶体纳米晶体的共晶加工</w:t>
        </w:r>
      </w:hyperlink>
    </w:p>
    <w:p>
      <w:pPr>
        <w:spacing w:before="0" w:after="80"/>
      </w:pPr>
      <w:r>
        <w:rPr>
          <w:i/>
          <w:sz w:val="20"/>
        </w:rPr>
        <w:t>EN: [ASAP] Eutectic Processing of Semiconductor Colloidal Nanocrystals for Energy Applications</w:t>
      </w:r>
    </w:p>
    <w:p>
      <w:pPr>
        <w:spacing w:before="0" w:after="120"/>
      </w:pPr>
      <w:r>
        <w:rPr>
          <w:b/>
        </w:rPr>
        <w:t xml:space="preserve">Source: </w:t>
      </w:r>
      <w:r>
        <w:t>ACS Energy Letters: Latest Articles (ACS Publications)</w:t>
      </w:r>
      <w:r>
        <w:t xml:space="preserve">    </w:t>
      </w:r>
      <w:r>
        <w:rPr>
          <w:b/>
        </w:rPr>
        <w:t xml:space="preserve">Pub date: </w:t>
      </w:r>
      <w:r>
        <w:t>2026-02-24 16:52:17+00:00</w:t>
      </w:r>
      <w:r>
        <w:t xml:space="preserve">    </w:t>
      </w:r>
      <w:r>
        <w:rPr>
          <w:b/>
        </w:rPr>
        <w:t xml:space="preserve">DOI: </w:t>
      </w:r>
      <w:hyperlink r:id="rId294">
        <w:r>
          <w:rPr>
            <w:color w:val="1155CC"/>
            <w:u w:val="single"/>
          </w:rPr>
          <w:t>10.1021/acsenergylett.6c00100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 </w:t>
      </w:r>
      <w:hyperlink r:id="rId295">
        <w:r>
          <w:rPr>
            <w:color w:val="1155CC"/>
            <w:u w:val="single"/>
          </w:rPr>
          <w:t>[ASAP] 光氧化还原/镍双催化炔烃双功能化的机制洞察：揭示非无辜P-配体的作用和选择性的起源</w:t>
        </w:r>
      </w:hyperlink>
    </w:p>
    <w:p>
      <w:pPr>
        <w:spacing w:before="0" w:after="80"/>
      </w:pPr>
      <w:r>
        <w:rPr>
          <w:i/>
          <w:sz w:val="20"/>
        </w:rPr>
        <w:t>EN: [ASAP] Mechanistic Insights into Photoredox/Nickel Dual-Catalyzed Difunctionalization of Alkynes: Revealing Roles of Noninnocent P-Ligand and Origins of Selectivities</w:t>
      </w:r>
    </w:p>
    <w:p>
      <w:pPr>
        <w:spacing w:before="0" w:after="120"/>
      </w:pPr>
      <w:r>
        <w:rPr>
          <w:b/>
        </w:rPr>
        <w:t xml:space="preserve">Source: </w:t>
      </w:r>
      <w:r>
        <w:t>Journal of the American Chemical Society: Latest Articles (ACS Publications)</w:t>
      </w:r>
      <w:r>
        <w:t xml:space="preserve">    </w:t>
      </w:r>
      <w:r>
        <w:rPr>
          <w:b/>
        </w:rPr>
        <w:t xml:space="preserve">Pub date: </w:t>
      </w:r>
      <w:r>
        <w:t>2026-02-24 16:52:29+00:00</w:t>
      </w:r>
      <w:r>
        <w:t xml:space="preserve">    </w:t>
      </w:r>
      <w:r>
        <w:rPr>
          <w:b/>
        </w:rPr>
        <w:t xml:space="preserve">DOI: </w:t>
      </w:r>
      <w:hyperlink r:id="rId296">
        <w:r>
          <w:rPr>
            <w:color w:val="1155CC"/>
            <w:u w:val="single"/>
          </w:rPr>
          <w:t>10.1021/jacs.5c20533</w:t>
        </w:r>
      </w:hyperlink>
    </w:p>
    <w:p>
      <w:pPr>
        <w:spacing w:before="0" w:after="120"/>
      </w:pPr>
      <w:r>
        <w:rPr>
          <w:b/>
        </w:rPr>
        <w:t xml:space="preserve">Notes: </w:t>
      </w:r>
      <w:r>
        <w:t>abstract_source=openalex</w:t>
      </w:r>
    </w:p>
    <w:p>
      <w:pPr>
        <w:spacing w:before="0" w:after="80" w:lineRule="auto" w:line="276"/>
      </w:pPr>
      <w:r>
        <w:rPr>
          <w:b/>
        </w:rPr>
        <w:t xml:space="preserve">摘要（ZH）: </w:t>
      </w:r>
      <w:r>
        <w:t>光氧化还原/镍协同催化在实现许多具有挑战性的交叉偶联反应方面取得了很大进展。然而，光氧化还原/镍双催化的详细机制路径可能在镍配合物的氧化态转化以及产物的化学和区域选择性来源方面较为复杂，值得进一步澄清。在此，我们进行了一项结合计算和实验的研究，以获得对光氧化还原/镍双催化炔烃双官能化的机制见解。首先，提出了一种在光氧化还原条件下将NiCl2(PCy3)2预催化剂转化为Ni(0)物种的新路线。非无辜的PCy3配体可能在通过单电子转移淬灭激发态Ir(III)光催化剂中起重要作用。</w:t>
      </w:r>
    </w:p>
    <w:p>
      <w:pPr>
        <w:spacing w:before="0" w:after="200" w:lineRule="auto" w:line="276"/>
      </w:pPr>
      <w:r>
        <w:rPr>
          <w:b/>
        </w:rPr>
        <w:t xml:space="preserve">Abstract (EN): </w:t>
      </w:r>
      <w:r>
        <w:t>Photoredox/nickel cooperative catalysis has advanced greatly to accomplish many challenging cross-coupling reactions. Nevertheless, the detailed mechanistic pathways of photoredox/nickel dual catalysis could be complicated in terms of conversions of oxidation states of the Ni complex and origins of chemo- and regioselectivities of products, which deserve further clarification. Herein, we conduct a combined computational and experimental study to gain mechanistic insights into the photoredox/Ni dual-catalyzed difunctionalization of alkynes. First, a novel route to transform the NiCl2(PCy3)2 precatalyst to a Ni(0) species is proposed under photoredox conditions. The noninnocent PCy3 ligand could play an important role in quenching the excited Ir(III) photocatalyst via a single-electron transfer (SET) step to yield a PCy3•+ species + Ir(II). Then, the reduced Ir(II) species could undergo a second SET with Ni(II) to afford a Ni(I) species. Meanwhile, the formed PCy3•+ species could combine with the hydroxide anion to yield a Cy3P(OH)• radical, which subsequently undergoes an H atom transfer step with the formed Ni(I) to furnish a Ni(0) species. In addition, the single-electron oxidation of Ni(II)ArCl by the excited photocatalyst to form a Ni(III)ArCl+ intermediate and the coordination of the alkynyl moiety of the substrate with the Ni(III) species are important factors to account for the chemoselective generation of Cl•, instead of Ar•, in the photoinduced ligand-to-metal charge transfer (LMCT) process. The generated Cl• could then undergo radical attack to the alkynyl moiety of the substrate, and a radical sorting mechanism is proposed to rationalize the origin of regioselectivity of the product.</w:t>
      </w:r>
    </w:p>
    <w:p>
      <w:pPr>
        <w:spacing w:before="120" w:after="120"/>
      </w:pPr>
      <w:r>
        <w:rPr>
          <w:sz w:val="18"/>
        </w:rPr>
        <w:t>——————————————————————————————————————————————————————————————————————</w:t>
      </w:r>
    </w:p>
    <w:p>
      <w:pPr>
        <w:spacing w:before="160" w:after="40" w:line="240" w:lineRule="auto"/>
      </w:pPr>
      <w:r>
        <w:rPr>
          <w:b/>
        </w:rPr>
        <w:t xml:space="preserve">[78] </w:t>
      </w:r>
      <w:hyperlink r:id="rId297">
        <w:r>
          <w:rPr>
            <w:color w:val="1155CC"/>
            <w:u w:val="single"/>
          </w:rPr>
          <w:t>[ASAP] 为氟化物结合和传递而构象调节的肽催化剂</w:t>
        </w:r>
      </w:hyperlink>
    </w:p>
    <w:p>
      <w:pPr>
        <w:spacing w:before="0" w:after="80"/>
      </w:pPr>
      <w:r>
        <w:rPr>
          <w:i/>
          <w:sz w:val="20"/>
        </w:rPr>
        <w:t>EN: [ASAP] Peptidic Catalysts Conformationally Tuned for Fluoride Binding and Delivery</w:t>
      </w:r>
    </w:p>
    <w:p>
      <w:pPr>
        <w:spacing w:before="0" w:after="120"/>
      </w:pPr>
      <w:r>
        <w:rPr>
          <w:b/>
        </w:rPr>
        <w:t xml:space="preserve">Source: </w:t>
      </w:r>
      <w:r>
        <w:t>Journal of the American Chemical Society: Latest Articles (ACS Publications)</w:t>
      </w:r>
      <w:r>
        <w:t xml:space="preserve">    </w:t>
      </w:r>
      <w:r>
        <w:rPr>
          <w:b/>
        </w:rPr>
        <w:t xml:space="preserve">Pub date: </w:t>
      </w:r>
      <w:r>
        <w:t>2026-02-24 18:12:38+00:00</w:t>
      </w:r>
      <w:r>
        <w:t xml:space="preserve">    </w:t>
      </w:r>
      <w:r>
        <w:rPr>
          <w:b/>
        </w:rPr>
        <w:t xml:space="preserve">DOI: </w:t>
      </w:r>
      <w:hyperlink r:id="rId298">
        <w:r>
          <w:rPr>
            <w:color w:val="1155CC"/>
            <w:u w:val="single"/>
          </w:rPr>
          <w:t>10.1021/jacs.6c01667</w:t>
        </w:r>
      </w:hyperlink>
    </w:p>
    <w:p>
      <w:pPr>
        <w:spacing w:before="0" w:after="120"/>
      </w:pPr>
      <w:r>
        <w:rPr>
          <w:b/>
        </w:rPr>
        <w:t xml:space="preserve">Notes: </w:t>
      </w:r>
      <w:r>
        <w:t>abstract_source=openalex</w:t>
      </w:r>
    </w:p>
    <w:p>
      <w:pPr>
        <w:spacing w:before="0" w:after="80" w:lineRule="auto" w:line="276"/>
      </w:pPr>
      <w:r>
        <w:rPr>
          <w:b/>
        </w:rPr>
        <w:t xml:space="preserve">摘要（ZH）: </w:t>
      </w:r>
      <w:r>
        <w:t>关于氟化物与肽相互作用的知识目前仅限于计算机模拟研究。在此，我们报告了一项实验研究，探讨肽骨架使用TBAF·3H2O或CsF结合氟化物的能力。对于CsF，深入的NMR和GOAT-DFT研究揭示了肽作为螯合剂结合氟化物和铯离子的作用。这一发现促成了首个肽催化氟化反应的发展。这些进展为使用肽基催化剂研究氟化反应化学开辟了新途径，这些催化剂被认为是酶的可能祖先。</w:t>
      </w:r>
    </w:p>
    <w:p>
      <w:pPr>
        <w:spacing w:before="0" w:after="200" w:lineRule="auto" w:line="276"/>
      </w:pPr>
      <w:r>
        <w:rPr>
          <w:b/>
        </w:rPr>
        <w:t xml:space="preserve">Abstract (EN): </w:t>
      </w:r>
      <w:r>
        <w:t>Knowledge on how fluoride interacts with peptides is currently limited to in silico studies. Here, we report an experimental investigation on the ability of peptidic scaffolds to bind fluoride using TBAF·3H2O or CsF. For CsF, in-depth NMR and GOAT-DFT studies shed light on peptides acting as chelators to both fluoride and cesium ions. This finding led to the development of the first peptide-catalyzed fluorination reactions. These advances open a new avenue to investigate fluorination chemistry with peptide-based catalysts that are considered as the possible ancestors to enzymes.</w:t>
      </w:r>
    </w:p>
    <w:p>
      <w:pPr>
        <w:spacing w:before="120" w:after="120"/>
      </w:pPr>
      <w:r>
        <w:rPr>
          <w:sz w:val="18"/>
        </w:rPr>
        <w:t>——————————————————————————————————————————————————————————————————————</w:t>
      </w:r>
    </w:p>
    <w:p>
      <w:pPr>
        <w:spacing w:before="160" w:after="40" w:line="240" w:lineRule="auto"/>
      </w:pPr>
      <w:r>
        <w:rPr>
          <w:b/>
        </w:rPr>
        <w:t xml:space="preserve">[79] </w:t>
      </w:r>
      <w:hyperlink r:id="rId299">
        <w:r>
          <w:rPr>
            <w:color w:val="1155CC"/>
            <w:u w:val="single"/>
          </w:rPr>
          <w:t>[ASAP] 通过增强的*OH生成和定向溢流在中性电解质中将乙二醇电氧化为羟基乙酸</w:t>
        </w:r>
      </w:hyperlink>
    </w:p>
    <w:p>
      <w:pPr>
        <w:spacing w:before="0" w:after="80"/>
      </w:pPr>
      <w:r>
        <w:rPr>
          <w:i/>
          <w:sz w:val="20"/>
        </w:rPr>
        <w:t>EN: [ASAP] Electrooxidation of Ethylene Glycol to Glycolic Acid in a Neutral Electrolyte via Enhanced *OH Generation and Directional Spillover</w:t>
      </w:r>
    </w:p>
    <w:p>
      <w:pPr>
        <w:spacing w:before="0" w:after="120"/>
      </w:pPr>
      <w:r>
        <w:rPr>
          <w:b/>
        </w:rPr>
        <w:t xml:space="preserve">Source: </w:t>
      </w:r>
      <w:r>
        <w:t>Journal of the American Chemical Society: Latest Articles (ACS Publications)</w:t>
      </w:r>
      <w:r>
        <w:t xml:space="preserve">    </w:t>
      </w:r>
      <w:r>
        <w:rPr>
          <w:b/>
        </w:rPr>
        <w:t xml:space="preserve">Pub date: </w:t>
      </w:r>
      <w:r>
        <w:t>2026-02-24 18:49:56+00:00</w:t>
      </w:r>
      <w:r>
        <w:t xml:space="preserve">    </w:t>
      </w:r>
      <w:r>
        <w:rPr>
          <w:b/>
        </w:rPr>
        <w:t xml:space="preserve">DOI: </w:t>
      </w:r>
      <w:hyperlink r:id="rId300">
        <w:r>
          <w:rPr>
            <w:color w:val="1155CC"/>
            <w:u w:val="single"/>
          </w:rPr>
          <w:t>10.1021/jacs.6c01709</w:t>
        </w:r>
      </w:hyperlink>
    </w:p>
    <w:p>
      <w:pPr>
        <w:spacing w:before="0" w:after="120"/>
      </w:pPr>
      <w:r>
        <w:rPr>
          <w:b/>
        </w:rPr>
        <w:t xml:space="preserve">Notes: </w:t>
      </w:r>
      <w:r>
        <w:t>abstract_source=openalex</w:t>
      </w:r>
    </w:p>
    <w:p>
      <w:pPr>
        <w:spacing w:before="0" w:after="80" w:lineRule="auto" w:line="276"/>
      </w:pPr>
      <w:r>
        <w:rPr>
          <w:b/>
        </w:rPr>
        <w:t xml:space="preserve">摘要（ZH）: </w:t>
      </w:r>
      <w:r>
        <w:t>聚对苯二甲酸乙二醇酯（PET）衍生的乙二醇（EG）通过电化学升级转化为羟基乙酸（GA）提供了一种可持续的循环塑料经济途径。尽管最近的进展提高了碱性介质中EG氧化反应（EGOR）的性能，但GA的下游分离仍然繁琐，并不可避免地产生废盐。中性介质提供了一个有前景的替代方案，但受限于生成和利用*OH这一关键EGOR中间体的困难。尽管已有报道表明Ir可以促进H2O解离为活性*OH物种，但主要挑战在于确保生成的*OH有效参与EGOR，而不是发生自脱氢（*OH → *O）。为了解决这个问题，我们设计了一种原子级分散的Ir装饰</w:t>
      </w:r>
    </w:p>
    <w:p>
      <w:pPr>
        <w:spacing w:before="0" w:after="200" w:lineRule="auto" w:line="276"/>
      </w:pPr>
      <w:r>
        <w:rPr>
          <w:b/>
        </w:rPr>
        <w:t xml:space="preserve">Abstract (EN): </w:t>
      </w:r>
      <w:r>
        <w:t>Electrochemical upcycling of polyethylene terephthalate (PET)-derived ethylene glycol (EG) into glycolic acid (GA) presents a sustainable route toward circular plastic economy. While recent advances have improved EG oxidation reaction (EGOR) performance in alkaline media, the downstream separation of GA remains cumbersome and inevitably coproduces waste salts. Neutral media offer a promising alternative but are constrained by the difficulty in generating and utilizing *OH, a pivotal EGOR intermediate. Although Ir has been reported to promote H2O dissociation into active *OH species, a major challenge lies in ensuring that the generated *OH effectively participates in EGOR, rather than undergoing self-dehydrogenation (*OH → *O). To address this, we designed an atomically isolated Ir decorated Pd alloy with high-density Ir–Pd interfaces, which establishes an *OH transfer network that promotes *OH-mediated EGOR while suppressing *OH self-dehydrogenation. In situ spectroscopic characterizations reveal that Ir1Pd-SAA facilitates the efficient dissociation of H2O into *OH at Ir single-atom sites, followed by *OH spillover to adjacent Pd sites within an atomic scale, thus triggering EGOR. Ir1Pd-SAA delivers a peak current of 56.2 mA cm–2 at 0.89 V vs RHE, outperforming pure Pd (10.7 mA cm–2 at 0.95 V vs RHE) and IrNPPd (7.3 mA cm–2 0.92 V vs RHE), along with high GA selectivity (80.1%), FE (76.3%), and stability over 330 h. Theoretical calculations confirm the Ir–Pd synergistic effect, where Ir promotes *OH generation and optimizes the electronic structure of Pd to initiate EGOR. This work provides fundamental insights for rational catalyst design for alcohol-to-organic acid conversion in neutral media.</w:t>
      </w:r>
    </w:p>
    <w:p>
      <w:pPr>
        <w:spacing w:before="120" w:after="120"/>
      </w:pPr>
      <w:r>
        <w:rPr>
          <w:sz w:val="18"/>
        </w:rPr>
        <w:t>——————————————————————————————————————————————————————————————————————</w:t>
      </w:r>
    </w:p>
    <w:p>
      <w:pPr>
        <w:spacing w:before="160" w:after="40" w:line="240" w:lineRule="auto"/>
      </w:pPr>
      <w:r>
        <w:rPr>
          <w:b/>
        </w:rPr>
        <w:t xml:space="preserve">[80] </w:t>
      </w:r>
      <w:hyperlink r:id="rId301">
        <w:r>
          <w:rPr>
            <w:color w:val="1155CC"/>
            <w:u w:val="single"/>
          </w:rPr>
          <w:t>[ASAP] 以氧化还原控制的硫属键合作为ZnCl2螯合和传输的调节器</w:t>
        </w:r>
      </w:hyperlink>
    </w:p>
    <w:p>
      <w:pPr>
        <w:spacing w:before="0" w:after="80"/>
      </w:pPr>
      <w:r>
        <w:rPr>
          <w:i/>
          <w:sz w:val="20"/>
        </w:rPr>
        <w:t>EN: [ASAP] Redox-Controlled Chalcogen Bonding as a Modulator of ZnCl2 Chelation and Transport</w:t>
      </w:r>
    </w:p>
    <w:p>
      <w:pPr>
        <w:spacing w:before="0" w:after="120"/>
      </w:pPr>
      <w:r>
        <w:rPr>
          <w:b/>
        </w:rPr>
        <w:t xml:space="preserve">Source: </w:t>
      </w:r>
      <w:r>
        <w:t>Journal of the American Chemical Society: Latest Articles (ACS Publications)</w:t>
      </w:r>
      <w:r>
        <w:t xml:space="preserve">    </w:t>
      </w:r>
      <w:r>
        <w:rPr>
          <w:b/>
        </w:rPr>
        <w:t xml:space="preserve">Pub date: </w:t>
      </w:r>
      <w:r>
        <w:t>2026-02-24 20:15:01+00:00</w:t>
      </w:r>
      <w:r>
        <w:t xml:space="preserve">    </w:t>
      </w:r>
      <w:r>
        <w:rPr>
          <w:b/>
        </w:rPr>
        <w:t xml:space="preserve">DOI: </w:t>
      </w:r>
      <w:hyperlink r:id="rId302">
        <w:r>
          <w:rPr>
            <w:color w:val="1155CC"/>
            <w:u w:val="single"/>
          </w:rPr>
          <w:t>10.1021/jacs.5c19650</w:t>
        </w:r>
      </w:hyperlink>
    </w:p>
    <w:p>
      <w:pPr>
        <w:spacing w:before="0" w:after="120"/>
      </w:pPr>
      <w:r>
        <w:rPr>
          <w:b/>
        </w:rPr>
        <w:t xml:space="preserve">Notes: </w:t>
      </w:r>
      <w:r>
        <w:t>abstract_source=openalex</w:t>
      </w:r>
    </w:p>
    <w:p>
      <w:pPr>
        <w:spacing w:before="0" w:after="80" w:lineRule="auto" w:line="276"/>
      </w:pPr>
      <w:r>
        <w:rPr>
          <w:b/>
        </w:rPr>
        <w:t xml:space="preserve">摘要（ZH）: </w:t>
      </w:r>
      <w:r>
        <w:t>锌是生物系统中无处不在的金属，其中复杂的锌转运蛋白阵列参与维持其稳态水平。由于调节这些水平可能定义新的治疗方法，选择性转运Zn2+离子的策略变得越来越受欢迎。在此，我们描述了一种独特的刺激响应型Zn2+转运蛋白，其活性可以通过位于构造核心的氧化还原控制的分子内硫属元素键合基序进行调节。该系统具有一个二吡啶胺（DPA）锌螯合剂，通过其氨基与相邻的二芳基碲基团形成N–Te硫属元素键。我们的研究表明，由于碲中心氧化到四价状态，DPA单元的Zn2+亲和力降低，因为</w:t>
      </w:r>
    </w:p>
    <w:p>
      <w:pPr>
        <w:spacing w:before="0" w:after="200" w:lineRule="auto" w:line="276"/>
      </w:pPr>
      <w:r>
        <w:rPr>
          <w:b/>
        </w:rPr>
        <w:t xml:space="preserve">Abstract (EN): </w:t>
      </w:r>
      <w:r>
        <w:t>Zinc is a ubiquitous metal in biological systems where an elaborate array of zinc transporters is involved in maintaining its homeostatic levels. Because toggling these levels may define new therapeutic approaches, strategies for the selective transport of Zn2+ ions are becoming increasingly coveted. Here, we describe a unique stimulus-responsive Zn2+ transporter, the activity of which can be adjusted by a redox-controlled intramolecular chalcogen bonding motif positioned at the heart of the construct. This system features a dipicolylamine (DPA) zinc chelator engaged, through its amino group, in a N–Te chalcogen bond with an adjacent diaryl tellurium moiety. Our work shows that oxidation of the tellurium center to the tetravalent state decreases the Zn2+ affinity of the DPA unit because of strengthened N–Te chalcogen bonding. We exploited this property for the differentiated transport of Zn2+ ions across phospholipid bilayers while also demonstrating the stimulus-responsive nature of this system in a set of experiments where transport is initiated in situ through reduction of the TeIV form of the transporter into its divalent counterpart using glutathione.</w:t>
      </w:r>
    </w:p>
    <w:p>
      <w:pPr>
        <w:spacing w:before="120" w:after="120"/>
      </w:pPr>
      <w:r>
        <w:rPr>
          <w:sz w:val="18"/>
        </w:rPr>
        <w:t>——————————————————————————————————————————————————————————————————————</w:t>
      </w:r>
    </w:p>
    <w:p>
      <w:pPr>
        <w:spacing w:before="160" w:after="40" w:line="240" w:lineRule="auto"/>
      </w:pPr>
      <w:r>
        <w:rPr>
          <w:b/>
        </w:rPr>
        <w:t xml:space="preserve">[81] </w:t>
      </w:r>
      <w:hyperlink r:id="rId303">
        <w:r>
          <w:rPr>
            <w:color w:val="1155CC"/>
            <w:u w:val="single"/>
          </w:rPr>
          <w:t>[ASAP] 氟介导的去质子化路径在氧化钌上用于稳定的水电解</w:t>
        </w:r>
      </w:hyperlink>
    </w:p>
    <w:p>
      <w:pPr>
        <w:spacing w:before="0" w:after="80"/>
      </w:pPr>
      <w:r>
        <w:rPr>
          <w:i/>
          <w:sz w:val="20"/>
        </w:rPr>
        <w:t>EN: [ASAP] Fluorine Mediates the Deprotonation Pathway over Ruthenium Oxide for Stable Water Electrolysis</w:t>
      </w:r>
    </w:p>
    <w:p>
      <w:pPr>
        <w:spacing w:before="0" w:after="120"/>
      </w:pPr>
      <w:r>
        <w:rPr>
          <w:b/>
        </w:rPr>
        <w:t xml:space="preserve">Source: </w:t>
      </w:r>
      <w:r>
        <w:t>Journal of the American Chemical Society: Latest Articles (ACS Publications)</w:t>
      </w:r>
      <w:r>
        <w:t xml:space="preserve">    </w:t>
      </w:r>
      <w:r>
        <w:rPr>
          <w:b/>
        </w:rPr>
        <w:t xml:space="preserve">Pub date: </w:t>
      </w:r>
      <w:r>
        <w:t>2026-02-24 20:41:26+00:00</w:t>
      </w:r>
      <w:r>
        <w:t xml:space="preserve">    </w:t>
      </w:r>
      <w:r>
        <w:rPr>
          <w:b/>
        </w:rPr>
        <w:t xml:space="preserve">DOI: </w:t>
      </w:r>
      <w:hyperlink r:id="rId304">
        <w:r>
          <w:rPr>
            <w:color w:val="1155CC"/>
            <w:u w:val="single"/>
          </w:rPr>
          <w:t>10.1021/jacs.6c00523</w:t>
        </w:r>
      </w:hyperlink>
    </w:p>
    <w:p>
      <w:pPr>
        <w:spacing w:before="0" w:after="120"/>
      </w:pPr>
      <w:r>
        <w:rPr>
          <w:b/>
        </w:rPr>
        <w:t xml:space="preserve">Notes: </w:t>
      </w:r>
      <w:r>
        <w:t>abstract_source=openalex</w:t>
      </w:r>
    </w:p>
    <w:p>
      <w:pPr>
        <w:spacing w:before="0" w:after="80" w:lineRule="auto" w:line="276"/>
      </w:pPr>
      <w:r>
        <w:rPr>
          <w:b/>
        </w:rPr>
        <w:t xml:space="preserve">摘要（ZH）: </w:t>
      </w:r>
      <w:r>
        <w:t>氧化钌（RuO2）是质子交换膜水电解（PEMWE）中铱氧化物的有前途的替代阳极催化剂。然而，RuO2的不满意稳定性和氧化反应（OER）的缓慢质子耦合电子转移动力学阻碍了实际应用。我们在此报告了一种通过末端氟（Fter）和桥接氟（Fbri）位点调节的RuO2，成功解决了Ru基催化剂面临的活性-稳定性悖论。综合实验和理论研究揭示了一种非常规的氟辅助去质子化机制，其中质子转移在OER过程中与电子转移解耦。Fter作为质子中继，加速中间体的去质子化，而Fbri</w:t>
      </w:r>
    </w:p>
    <w:p>
      <w:pPr>
        <w:spacing w:before="0" w:after="200" w:lineRule="auto" w:line="276"/>
      </w:pPr>
      <w:r>
        <w:rPr>
          <w:b/>
        </w:rPr>
        <w:t xml:space="preserve">Abstract (EN): </w:t>
      </w:r>
      <w:r>
        <w:t>Ruthenium oxide (RuO2) is a promising alternative anode catalyst to iridium oxide in proton exchange membrane water electrolysis (PEMWE). However, the unsatisfactory stability of RuO2 and the sluggish proton-coupled electron transfer kinetics of the oxygen evolution reaction (OER) hinder practical application. We report here a fluorine-tuned RuO2 with terminal fluorine (Fter) and bridging fluorine (Fbri) sites that successfully tackles the activity-stability paradox faced by Ru-based catalysts. Comprehensive experimental and theoretical studies reveal an unconventional fluorine-assisted deprotonation mechanism by which the proton transfer is decoupled from the electron transfer during the OER. The Fter acts as a proton relay that accelerates deprotonation of intermediates, while Fbri contributes to suppressing the lattice oxygen oxidation route. The catalyst exhibited a low overpotential of 191 millivolts at 10 mA per square centimeter and maintained this current density over 2000 h. A practical PEMWE based on this catalyst delivered a current density of 1000 mA per square centimeter at a mere 1.72 V and operated stably over 300 h with a voltage degradation rate of 84 microvolts per hour.</w:t>
      </w:r>
    </w:p>
    <w:p>
      <w:pPr>
        <w:spacing w:before="120" w:after="120"/>
      </w:pPr>
      <w:r>
        <w:rPr>
          <w:sz w:val="18"/>
        </w:rPr>
        <w:t>——————————————————————————————————————————————————————————————————————</w:t>
      </w:r>
    </w:p>
    <w:p>
      <w:pPr>
        <w:spacing w:before="160" w:after="40" w:line="240" w:lineRule="auto"/>
      </w:pPr>
      <w:r>
        <w:rPr>
          <w:b/>
        </w:rPr>
        <w:t xml:space="preserve">[82] </w:t>
      </w:r>
      <w:hyperlink r:id="rId305">
        <w:r>
          <w:rPr>
            <w:color w:val="1155CC"/>
            <w:u w:val="single"/>
          </w:rPr>
          <w:t>[ASAP] 通过孤对电子的诱导获得的极性杂化钙钛矿用于高效和稳定的自供电X射线检测</w:t>
        </w:r>
      </w:hyperlink>
    </w:p>
    <w:p>
      <w:pPr>
        <w:spacing w:before="0" w:after="80"/>
      </w:pPr>
      <w:r>
        <w:rPr>
          <w:i/>
          <w:sz w:val="20"/>
        </w:rPr>
        <w:t>EN: [ASAP] Polar Hybrid Perovskite Obtained by Induction of Lone Pair Electrons toward Efficient and Stable Self-Powered X-ray Detection</w:t>
      </w:r>
    </w:p>
    <w:p>
      <w:pPr>
        <w:spacing w:before="0" w:after="120"/>
      </w:pPr>
      <w:r>
        <w:rPr>
          <w:b/>
        </w:rPr>
        <w:t xml:space="preserve">Source: </w:t>
      </w:r>
      <w:r>
        <w:t>ACS Energy Letters: Latest Articles (ACS Publications)</w:t>
      </w:r>
      <w:r>
        <w:t xml:space="preserve">    </w:t>
      </w:r>
      <w:r>
        <w:rPr>
          <w:b/>
        </w:rPr>
        <w:t xml:space="preserve">Pub date: </w:t>
      </w:r>
      <w:r>
        <w:t>2026-02-24 20:56:38+00:00</w:t>
      </w:r>
      <w:r>
        <w:t xml:space="preserve">    </w:t>
      </w:r>
      <w:r>
        <w:rPr>
          <w:b/>
        </w:rPr>
        <w:t xml:space="preserve">DOI: </w:t>
      </w:r>
      <w:hyperlink r:id="rId306">
        <w:r>
          <w:rPr>
            <w:color w:val="1155CC"/>
            <w:u w:val="single"/>
          </w:rPr>
          <w:t>10.1021/acsenergylett.5c03797</w:t>
        </w:r>
      </w:hyperlink>
    </w:p>
    <w:p>
      <w:pPr>
        <w:spacing w:before="0" w:after="120"/>
      </w:pPr>
      <w:r>
        <w:rPr>
          <w:b/>
        </w:rPr>
        <w:t xml:space="preserve">Notes: </w:t>
      </w:r>
      <w:r>
        <w:t>abstract_source=openalex</w:t>
      </w:r>
    </w:p>
    <w:p>
      <w:pPr>
        <w:spacing w:before="0" w:after="80" w:lineRule="auto" w:line="276"/>
      </w:pPr>
      <w:r>
        <w:rPr>
          <w:b/>
        </w:rPr>
        <w:t xml:space="preserve">摘要（ZH）: </w:t>
      </w:r>
      <w:r>
        <w:t>极性杂化钙钛矿（HPs）可以通过体光伏效应（BPVE）实现稳态自供电X射线检测，但诱导BPVE的有效策略仍然稀缺。在此，以一维非极性HP (4-MeP)4Pb3Br10 (1, 4-MeP = 4-甲基苯胺)为模板，我们通过用具有孤对电子的S原子替换4-MeP配体中的C原子，成功合成了一种前所未有的二维（2D）极性HP (4-SP)4Pb3Br10·2H2O (2, 4-SP = 4-氨基苯硫酚)。具体来说，S上的孤对电子导致结构扭曲，最终在2中诱导BPVE。因此，2在22 keV平均X射线能量下实现了高灵敏度271.8 μC Gy–1 cm–2的高效自供电X射线检测。同时，它还表现出创纪录的灵敏度</w:t>
      </w:r>
    </w:p>
    <w:p>
      <w:pPr>
        <w:spacing w:before="0" w:after="200" w:lineRule="auto" w:line="276"/>
      </w:pPr>
      <w:r>
        <w:rPr>
          <w:b/>
        </w:rPr>
        <w:t xml:space="preserve">Abstract (EN): </w:t>
      </w:r>
      <w:r>
        <w:t>Polar hybrid perovskites (HPs) can achieve steady-state self-powered X-ray detection via the bulk photovoltaic effect (BPVE), but effective strategies to induce BPVE remain scarce. Herein, using one-dimensional nonpolar HP (4-MeP)4Pb3Br10 (1, 4-MeP = 4-methylaniline) as a template, we successfully synthesized an unprecedented two-dimensional (2D) polar HP (4-SP)4Pb3Br10·2H2O (2, 4-SP = 4-aminothiophenol) by replacing the C atom in the 4-MeP ligand with an S atom possessing lone pair electrons. Specifically, lone pair electrons on S cause structural distortion and ultimately induce BPVE in 2. Therefore, 2 achieves efficient self-powered X-ray detection with a high sensitivity of 271.8 μC Gy–1 cm–2 under 22 keV average X-ray energy. Meanwhile, it also exhibits a record-breaking sensitivity of 1.1 × 104 μC Gy–1 cm–2 under 31.8 V mm–1 in all 2D single-layer HPs. Importantly, 2 possesses strong ion-migration inhibition, high radiation resistance, and excellent storage stability. Our work provides a strategy for the development and application of HPs with BPVE.</w:t>
      </w:r>
    </w:p>
    <w:p>
      <w:pPr>
        <w:spacing w:before="120" w:after="120"/>
      </w:pPr>
      <w:r>
        <w:rPr>
          <w:sz w:val="18"/>
        </w:rPr>
        <w:t>——————————————————————————————————————————————————————————————————————</w:t>
      </w:r>
    </w:p>
    <w:p>
      <w:pPr>
        <w:spacing w:before="160" w:after="40" w:line="240" w:lineRule="auto"/>
      </w:pPr>
      <w:r>
        <w:rPr>
          <w:b/>
        </w:rPr>
        <w:t xml:space="preserve">[83] </w:t>
      </w:r>
      <w:hyperlink r:id="rId307">
        <w:r>
          <w:rPr>
            <w:color w:val="1155CC"/>
            <w:u w:val="single"/>
          </w:rPr>
          <w:t>科学家因过去与爱泼斯坦的关联面临后果</w:t>
        </w:r>
      </w:hyperlink>
    </w:p>
    <w:p>
      <w:pPr>
        <w:spacing w:before="0" w:after="80"/>
      </w:pPr>
      <w:r>
        <w:rPr>
          <w:i/>
          <w:sz w:val="20"/>
        </w:rPr>
        <w:t>EN: Scientists face fallout for past associations with Epstein</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[84] </w:t>
      </w:r>
      <w:hyperlink r:id="rId308">
        <w:r>
          <w:rPr>
            <w:color w:val="1155CC"/>
            <w:u w:val="single"/>
          </w:rPr>
          <w:t>腔体改变的超导性</w:t>
        </w:r>
      </w:hyperlink>
    </w:p>
    <w:p>
      <w:pPr>
        <w:spacing w:before="0" w:after="80"/>
      </w:pPr>
      <w:r>
        <w:rPr>
          <w:i/>
          <w:sz w:val="20"/>
        </w:rPr>
        <w:t>EN: Cavity-altered superconductivity</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通过工程化材料的电磁环境来改变其基态性质是否可行？受到理论预测的启发1,2,3,4,5,6,7,8,9,10,11,12，这种无需光学激发的腔体控制性质的实验实现开始出现13,14,15,16,17,18,19。我们在此设计并实施了一个实现腔体改变材料的新平台。双曲面范德华（vdW）化合物的单晶提供了一个共振电磁环境，具有增强的光子态密度和显著的模式限制20,21,22,23,24。我们将六方氮化硼（hBN）与分子超导体κ-(BEDT-TTF)2Cu[N(CN)2]Br (κ-ET)进行接口。hBN的红外双曲模式（HMs）的频率（参考文献25,26）与红外活性</w:t>
      </w:r>
    </w:p>
    <w:p>
      <w:pPr>
        <w:spacing w:before="0" w:after="200" w:lineRule="auto" w:line="276"/>
      </w:pPr>
      <w:r>
        <w:rPr>
          <w:b/>
        </w:rPr>
        <w:t xml:space="preserve">Abstract (EN): </w:t>
      </w:r>
      <w:r>
        <w:t>Is it feasible to alter the ground-state properties of a material by engineering its electromagnetic environment? Inspired by theoretical predictions1,2,3,4,5,6,7,8,9,10,11,12, experimental realizations of such cavity-controlled properties without optical excitation are beginning to emerge13,14,15,16,17,18,19. Here we devised and implemented a new platform to realize cavity-altered materials. Single crystals of hyperbolic van der Waals (vdW) compounds provide a resonant electromagnetic environment with enhanced density of photonic states and prominent mode confinement20,21,22,23,24. We interfaced hexagonal boron nitride (hBN) with the molecular superconductor κ-(BEDT-TTF)2Cu[N(CN)2]Br (κ-ET). The frequencies of infrared hyperbolic modes (HMs) of hBN (refs. 25,26) match the infrared-active carbon–carbon (C=C) stretching molecular resonance of κ-ET implicated in superconductivity27. Nano-optical data supported by first-principles molecular Langevin dynamics simulations confirm the presence of resonant coupling between the hBN hyperbolic cavity modes and the C=C stretching mode in κ-ET. Meissner-effect measurements using magnetic force microscopy (MFM) demonstrate a strong suppression of superfluid density near the hBN/κ-ET interface. Non-resonant control heterostructures, including RuCl3/κ-ET and hBN/Bi2Sr2CaCu2O8+x (BSCCO), do not show the pronounced superfluid suppression. These observations suggest that hBN/κ-ET realizes a cavity-altered superconducting ground state. Our work highlights the potential of dark cavities devoid of external photons for engineering electronic ground-state properties of complex quantum materials.</w:t>
      </w:r>
    </w:p>
    <w:p>
      <w:pPr>
        <w:spacing w:before="120" w:after="120"/>
      </w:pPr>
      <w:r>
        <w:rPr>
          <w:sz w:val="18"/>
        </w:rPr>
        <w:t>——————————————————————————————————————————————————————————————————————</w:t>
      </w:r>
    </w:p>
    <w:p>
      <w:pPr>
        <w:spacing w:before="160" w:after="40" w:line="240" w:lineRule="auto"/>
      </w:pPr>
      <w:r>
        <w:rPr>
          <w:b/>
        </w:rPr>
        <w:t xml:space="preserve">[85] </w:t>
      </w:r>
      <w:hyperlink r:id="rId309">
        <w:r>
          <w:rPr>
            <w:color w:val="1155CC"/>
            <w:u w:val="single"/>
          </w:rPr>
          <w:t>改变研究领域的最佳方法是什么？这三位科学家有想法</w:t>
        </w:r>
      </w:hyperlink>
    </w:p>
    <w:p>
      <w:pPr>
        <w:spacing w:before="0" w:after="80"/>
      </w:pPr>
      <w:r>
        <w:rPr>
          <w:i/>
          <w:sz w:val="20"/>
        </w:rPr>
        <w:t>EN: What's the best way to change research fields? These three scientists have ideas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310">
        <w:r>
          <w:rPr>
            <w:color w:val="1155CC"/>
            <w:u w:val="single"/>
          </w:rPr>
          <w:t>通过噬菌体裂解蛋白抑制趋同的MurJ翻转酶</w:t>
        </w:r>
      </w:hyperlink>
    </w:p>
    <w:p>
      <w:pPr>
        <w:spacing w:before="0" w:after="80"/>
      </w:pPr>
      <w:r>
        <w:rPr>
          <w:i/>
          <w:sz w:val="20"/>
        </w:rPr>
        <w:t>EN: Convergent MurJ flippase inhibition by phage lysis proteins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抗菌药物耐药性构成了全球健康挑战，迫切需要识别新的可药物化靶点1,2,3。必需的脂质II翻转酶MurJ是细菌细胞壁生物合成中一个有前景但尚未充分探索的抗菌靶点4,5,6,7。已知的革兰氏阴性（双膜）MurJ抑制剂仅有来自溶菌单链RNA噬菌体M（SglM）和PP7（SglPP7）的单基因裂解蛋白（Sgls）8,9。SglM和SglPP7具有不同的进化起源且不共享序列相似性。我们在此描述了这些噬菌体编码的Sgls对MurJ抑制的共同机制。我们确定了MurJ结合的SglM和SglPP7的结构，并发现了一个来自预测噬菌体长江3（SglCJ3）的第三种不同的MurJ靶向Sgl，我们也对其进行了结构表征。</w:t>
      </w:r>
    </w:p>
    <w:p>
      <w:pPr>
        <w:spacing w:before="0" w:after="200" w:lineRule="auto" w:line="276"/>
      </w:pPr>
      <w:r>
        <w:rPr>
          <w:b/>
        </w:rPr>
        <w:t xml:space="preserve">Abstract (EN): </w:t>
      </w:r>
      <w:r>
        <w:t>Antimicrobial drug resistance poses a global health challenge that necessitates the identification of new druggable targets1,2,3. The essential lipid II flippase MurJ is a promising yet underexplored antimicrobial target in bacterial cell wall biosynthesis4,5,6,7. The only known inhibitors of Gram-negative (diderm) MurJ are the single-gene lysis proteins (Sgls) from the lytic single-strand RNA phages M (SglM) and PP7 (SglPP7)8,9. SglM and SglPP7 have distinct evolutionary origins and share no sequence similarity. Here we describe a common mechanism of MurJ inhibition by these phage-encoded Sgls. We determined the structures of MurJ-bound SglM and SglPP7 and discovered a third distinct MurJ-targeting Sgl from the predicted phage Changjiang3 (SglCJ3) that we also characterized structurally. Our findings demonstrate that all three Sgls evolved convergently to trap MurJ in a periplasm-open conformation through a common MurJ interface, revealing a pathway for drug design.</w:t>
      </w:r>
    </w:p>
    <w:p>
      <w:pPr>
        <w:spacing w:before="120" w:after="120"/>
      </w:pPr>
      <w:r>
        <w:rPr>
          <w:sz w:val="18"/>
        </w:rPr>
        <w:t>——————————————————————————————————————————————————————————————————————</w:t>
      </w:r>
    </w:p>
    <w:p>
      <w:pPr>
        <w:spacing w:before="160" w:after="40" w:line="240" w:lineRule="auto"/>
      </w:pPr>
      <w:r>
        <w:rPr>
          <w:b/>
        </w:rPr>
        <w:t xml:space="preserve">[87] </w:t>
      </w:r>
      <w:hyperlink r:id="rId311">
        <w:r>
          <w:rPr>
            <w:color w:val="1155CC"/>
            <w:u w:val="single"/>
          </w:rPr>
          <w:t>OR7A10 GPCR工程增强CAR-NK疗法对抗实体肿瘤</w:t>
        </w:r>
      </w:hyperlink>
    </w:p>
    <w:p>
      <w:pPr>
        <w:spacing w:before="0" w:after="80"/>
      </w:pPr>
      <w:r>
        <w:rPr>
          <w:i/>
          <w:sz w:val="20"/>
        </w:rPr>
        <w:t>EN: OR7A10 GPCR engineering boosts CAR-NK therapy against solid tumours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嵌合抗原受体（CAR）-自然杀伤（NK）细胞疗法对实体肿瘤具有潜力，但由于肿瘤浸润、持久性和肿瘤微环境中的抗性较差而受到限制1,2,3,4。在此，为了识别增强CAR-NK细胞疗效的功能增益靶点，我们进行了无偏见的体内CRISPR激活筛选，随后在初级人类CAR-NK细胞中进行了条形码靶向体内开放阅读框筛选。我们识别并全面验证了OR7A10，一个G蛋白偶联受体（GPCR），作为最佳候选。通过OR7A10 cDNA（CRISPR独立方法，具有简单的制造策略）工程化CAR-NK细胞，增强了它们的增殖、激活、脱颗粒、细胞因子生产、死亡配体表达、趋化因子受体表达</w:t>
      </w:r>
    </w:p>
    <w:p>
      <w:pPr>
        <w:spacing w:before="0" w:after="200" w:lineRule="auto" w:line="276"/>
      </w:pPr>
      <w:r>
        <w:rPr>
          <w:b/>
        </w:rPr>
        <w:t xml:space="preserve">Abstract (EN): </w:t>
      </w:r>
      <w:r>
        <w:t>Chimeric antigen receptor (CAR)-natural killer (NK) cell therapies hold promise for solid tumours but remain limited because of poor tumour infiltration, persistence and resistance in the tumour microenvironment1,2,3,4. Here, to identify gain-of-function targets that enhance CAR-NK cell efficacy, we performed an unbiased in vivo CRISPR activation screen followed by a barcoded targeted in vivo open reading frame screen in primary human CAR-NK cells. We identified and comprehensively validated OR7A10, a G protein-coupled receptor (GPCR), as the top candidate. Engineering CAR-NK cells with OR7A10 cDNA (a CRISPR-independent method with a simple manufacturing strategy) enhanced their proliferation, activation, degranulation, cytokine production, death ligand expression, chemokine receptor expression, cytotoxicity, persistence, metabolic fitness and tumour microenvironment resistance. Moreover, exhaustion in primary human NK cells derived from multiple peripheral blood and cord blood donors was reduced. OR7A10 gain-of-function CAR-NK cells displayed strong in vivo efficacy across multiple solid tumour models. For example, 100% complete response with long-term tumour control and survival benefit in an orthotopic breast cancer mouse model were achieved. These findings establish OR7A10-engineered CAR-NK cells as a highly potent and scalable off-the-shelf therapeutic for solid tumours.</w:t>
      </w:r>
    </w:p>
    <w:p>
      <w:pPr>
        <w:spacing w:before="120" w:after="120"/>
      </w:pPr>
      <w:r>
        <w:rPr>
          <w:sz w:val="18"/>
        </w:rPr>
        <w:t>——————————————————————————————————————————————————————————————————————</w:t>
      </w:r>
    </w:p>
    <w:p>
      <w:pPr>
        <w:spacing w:before="160" w:after="40" w:line="240" w:lineRule="auto"/>
      </w:pPr>
      <w:r>
        <w:rPr>
          <w:b/>
        </w:rPr>
        <w:t xml:space="preserve">[88] </w:t>
      </w:r>
      <w:hyperlink r:id="rId312">
        <w:r>
          <w:rPr>
            <w:color w:val="1155CC"/>
            <w:u w:val="single"/>
          </w:rPr>
          <w:t>疾病模型资源揭示组织特异性癌症演化的核心原理</w:t>
        </w:r>
      </w:hyperlink>
    </w:p>
    <w:p>
      <w:pPr>
        <w:spacing w:before="0" w:after="80"/>
      </w:pPr>
      <w:r>
        <w:rPr>
          <w:i/>
          <w:sz w:val="20"/>
        </w:rPr>
        <w:t>EN: A disease model resource reveals core principles of tissue-specific cancer evolution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KRAS等癌基因在其致癌潜力、遗传相互作用和表型效应方面表现出显著的组织特异性，但其潜在决定因素仍然在很大程度上未解决1,2,3,4,5。为了解决这些问题，我们开发了小鼠癌细胞系图谱，这是一个广泛实用的资源，涵盖了590个全面表征的模型，跨越广泛的实体（www.mcca.tum.de）。使用该平台、人类队列和小鼠进行的比较和功能研究确定了KRAS启动癌症的组织特异性演化的核心原则。首先，我们展示了通过等位基因失衡获得的突变KRAS剂量增益对细胞类型特异性效应的影响，定义了其在各实体中的时机，正如在胰腺癌中的剂量敏感性发育重编程所示</w:t>
      </w:r>
    </w:p>
    <w:p>
      <w:pPr>
        <w:spacing w:before="0" w:after="200" w:lineRule="auto" w:line="276"/>
      </w:pPr>
      <w:r>
        <w:rPr>
          <w:b/>
        </w:rPr>
        <w:t xml:space="preserve">Abstract (EN): </w:t>
      </w:r>
      <w:r>
        <w:t>Oncogenes such as KRAS display marked tissue specificity in their oncogenic potential, genetic interactions and phenotypic effects, but the underlying determinants remain largely unresolved1,2,3,4,5. Here, to address these questions, we developed the Mouse Cancer Cell line Atlas, a broad-utility resource of 590 comprehensively characterized models across a wide range of entities (www.mcca.tum.de). Comparative and functional studies using this platform, human cohorts and mice identified core principles underlying tissue-specific evolution of KRAS-initiated cancers. First, we show that mutant KRAS dosage gain through allelic imbalance exerts cell-type-specific effects, defining its timing across entities, as exemplified by dosage-sensitive developmental reprogramming during pancreatic cancer initiation. Second, we highlight how tissue- and stage-specific evolutionary requirements, such as block of differentiation in the intestine, select for KRAS-collaborating alterations. Third, we identified context-dependent epistatic KRAS–tumour suppressor interactions and show that reciprocal dosage sensitivities dictate the entity-specific patterns of cancer gene alterations, explaining their frequency, zygosity and acquisition chronology. These findings highlight how intrinsic and acquired determinants instruct cancer evolution in different tissues, with predictable molecular patterns, temporal dynamics and phenotypic outcomes. Our study provides major advances towards a mechanistic understanding of cancer genomes.</w:t>
      </w:r>
    </w:p>
    <w:p>
      <w:pPr>
        <w:spacing w:before="120" w:after="120"/>
      </w:pPr>
      <w:r>
        <w:rPr>
          <w:sz w:val="18"/>
        </w:rPr>
        <w:t>——————————————————————————————————————————————————————————————————————</w:t>
      </w:r>
    </w:p>
    <w:p>
      <w:pPr>
        <w:spacing w:before="160" w:after="40" w:line="240" w:lineRule="auto"/>
      </w:pPr>
      <w:r>
        <w:rPr>
          <w:b/>
        </w:rPr>
        <w:t xml:space="preserve">[89] </w:t>
      </w:r>
      <w:hyperlink r:id="rId313">
        <w:r>
          <w:rPr>
            <w:color w:val="1155CC"/>
            <w:u w:val="single"/>
          </w:rPr>
          <w:t>重组E3连接酶增强玉米的耐寒性和磷利用</w:t>
        </w:r>
      </w:hyperlink>
    </w:p>
    <w:p>
      <w:pPr>
        <w:spacing w:before="0" w:after="80"/>
      </w:pPr>
      <w:r>
        <w:rPr>
          <w:i/>
          <w:sz w:val="20"/>
        </w:rPr>
        <w:t>EN: Rewiring an E3 ligase enhances cold resilience and phosphate use in maize</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冷胁迫限制了植物生长和无机磷酸盐（Pi）吸收，降低了产量并增加了肥料需求1,2,3。提高冷耐性和磷利用效率（PUE）对于可持续作物生产力至关重要。在此，我们识别了含SPX结构域的E3泛素连接酶氮限制适应（NLA）作为连接冷信号与玉米（Zea mays L.）中Pi稳态的中心调节因子。在冷条件下，NLA促进转录抑制因子JAZ11的降解，激活茉莉酸信号以增强冷耐性；然而，NLA也同时通过肌醇多磷酸（InsP）依赖的Pi转运蛋白PT4的泛素化抑制Pi吸收。一个基于泛素组的全基因组关联研究识别了一个自然</w:t>
      </w:r>
    </w:p>
    <w:p>
      <w:pPr>
        <w:spacing w:before="0" w:after="200" w:lineRule="auto" w:line="276"/>
      </w:pPr>
      <w:r>
        <w:rPr>
          <w:b/>
        </w:rPr>
        <w:t xml:space="preserve">Abstract (EN): </w:t>
      </w:r>
      <w:r>
        <w:t>Cold stress restricts plant growth and inorganic phosphate (Pi) uptake, reducing yield and increasing fertilizer demand1,2,3. Enhancing both cold tolerance and phosphorus use efficiency (PUE) is crucial for sustainable crop productivity. Here we identify the SPX-domain-containing E3 ubiquitin ligase NITROGEN LIMITATION ADAPTATION (NLA) as a central regulator that links cold signalling to Pi homeostasis in maize (Zea mays L.). Under cold conditions, NLA promotes the degradation of the transcriptional repressor JAZ11, activating jasmonate signalling to enhance cold tolerance; however, NLA also simultaneously represses Pi uptake, through inositol polyphosphate (InsP)-dependent ubiquitination of the Pi transporter PT4. A ubiquitinome-informed genome-wide association study identified a natural PT4(K267A) (lysine-to-alanine substitution) variant that attenuates NLA-mediated degradation and increases Pi uptake in cold conditions. To overcome this nutrient–stress trade-off, we combined artificial-intelligence-guided structural modelling and ligand docking with genome editing to generate the nlaΔ12 allele, which encodes an NLA variant in which binding to InsP is impaired but JAZ11 targeting is retained. The Δ12 modification selectively redirects the activity of NLA towards jasmonate signalling, resulting in improved cold resilience, higher PUE and increased yield in multi-site field trials. These findings reveal a tunable SPX regulatory module that integrates environmental and nutrient signals, and provide a molecular framework for engineering climate-resilient, nutrient-efficient crops.</w:t>
      </w:r>
    </w:p>
    <w:p>
      <w:pPr>
        <w:spacing w:before="120" w:after="120"/>
      </w:pPr>
      <w:r>
        <w:rPr>
          <w:sz w:val="18"/>
        </w:rPr>
        <w:t>——————————————————————————————————————————————————————————————————————</w:t>
      </w:r>
    </w:p>
    <w:p>
      <w:pPr>
        <w:spacing w:before="160" w:after="40" w:line="240" w:lineRule="auto"/>
      </w:pPr>
      <w:r>
        <w:rPr>
          <w:b/>
        </w:rPr>
        <w:t xml:space="preserve">[90] </w:t>
      </w:r>
      <w:hyperlink r:id="rId314">
        <w:r>
          <w:rPr>
            <w:color w:val="1155CC"/>
            <w:u w:val="single"/>
          </w:rPr>
          <w:t>无场全切换手性反铁磁有序</w:t>
        </w:r>
      </w:hyperlink>
    </w:p>
    <w:p>
      <w:pPr>
        <w:spacing w:before="0" w:after="80"/>
      </w:pPr>
      <w:r>
        <w:rPr>
          <w:i/>
          <w:sz w:val="20"/>
        </w:rPr>
        <w:t>EN: Field-free full switching of chiral antiferromagnetic order</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手性反铁磁体1,2具有八极矩序3,4，并结合了反铁磁体和铁磁体的优点。尽管开发了许多切换策略5,6,7,8,9，但无场全切换仍然未知，这对其在存储技术中的实际应用构成了重要障碍。在此，我们制备了由Mn3Sn(0001)底层和多晶Mn3Sn顶层构成的同质结。多晶Mn3Sn中的倾斜Kagomé几何将Mn3Sn(0001)层10,11的面外自旋极化分为Kagomé面外和Kagomé面内分量，分别产生对称（反铁磁型）和不对称（铁磁型）驱动力。前者加速八极矩旋转，而后者决定切换c</w:t>
      </w:r>
    </w:p>
    <w:p>
      <w:pPr>
        <w:spacing w:before="0" w:after="200" w:lineRule="auto" w:line="276"/>
      </w:pPr>
      <w:r>
        <w:rPr>
          <w:b/>
        </w:rPr>
        <w:t xml:space="preserve">Abstract (EN): </w:t>
      </w:r>
      <w:r>
        <w:t>Chiral antiferromagnets1,2 host octupole order3,4 and combine the advantages of antiferromagnets and ferromagnets. Despite the development of numerous switching strategies5,6,7,8,9, the field-free full switching remains unknown, posing an important obstacle to their practical application in memory technology. Here we prepared a homo-junction constituted of Mn3Sn(0001) bottom layer and polycrystalline Mn3Sn top layer. The tilted Kagomé geometry in polycrystalline Mn3Sn divides the out-of-plane spin polarization from Mn3Sn(0001) layer10,11 into the out-of-Kagomé-plane and in-Kagomé-plane components, generating the symmetric (antiferromagnet-type) and asymmetric (ferromagnet-type) driving forces, respectively. The former accelerates octupole rotation, whereas the latter determines switching chirality. Field-free full switching is realized in the unconventional protocol that integrates the advantages of both antiferromagnetic and ferromagnetic switching. It goes beyond the conventional full-switching framework requiring perpendicular uniaxial anisotropy7,12. An unprecedented switching efficiency is achieved, with both current density and power consumption an order of magnitude lower than in previous configurations, by virtue of the highly efficient driving forces due to spin-torque characteristics of octupole order and the ultralow energy barrier arising from easy-plane anisotropy, overcoming their trade-off in conventional protocols. The zero-field switching also shows the advantages of octupole-programmable chirality and robustness to external magnetic field.</w:t>
      </w:r>
    </w:p>
    <w:p>
      <w:pPr>
        <w:spacing w:before="120" w:after="120"/>
      </w:pPr>
      <w:r>
        <w:rPr>
          <w:sz w:val="18"/>
        </w:rPr>
        <w:t>——————————————————————————————————————————————————————————————————————</w:t>
      </w:r>
    </w:p>
    <w:p>
      <w:pPr>
        <w:spacing w:before="160" w:after="40" w:line="240" w:lineRule="auto"/>
      </w:pPr>
      <w:r>
        <w:rPr>
          <w:b/>
        </w:rPr>
        <w:t xml:space="preserve">[91] </w:t>
      </w:r>
      <w:hyperlink r:id="rId315">
        <w:r>
          <w:rPr>
            <w:color w:val="1155CC"/>
            <w:u w:val="single"/>
          </w:rPr>
          <w:t>阿根廷化石重写一个令人困惑的恐龙类群的进化历史</w:t>
        </w:r>
      </w:hyperlink>
    </w:p>
    <w:p>
      <w:pPr>
        <w:spacing w:before="0" w:after="80"/>
      </w:pPr>
      <w:r>
        <w:rPr>
          <w:i/>
          <w:sz w:val="20"/>
        </w:rPr>
        <w:t>EN: Argentine fossil rewrites evolutionary history of a baffling dinosaur clade</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阿尔瓦雷斯龙类是一个神秘的类群，主要由小体型兽脚类恐龙组成，主要分布在亚洲和南美洲的侏罗纪至白垩纪时期1,2,3。晚白垩世的阿尔瓦雷斯龙类具有适应挖掘的特化前肢4,5、微小的多余牙齿和增强的感官能力6，并被解释为食蚁动物。它们被假设为表现出与其饮食特化相关的进化微型化2。南美洲的零散分类群传统上被排列为相对于晚白垩世亚洲亚类Parvicursorinae的并系等级2,3，借此解释其分布不连续性。在此，我们描述了阿尔瓦雷斯龙类Alnashetri cerropoliciensis的一个骨架7，据我们所知</w:t>
      </w:r>
    </w:p>
    <w:p>
      <w:pPr>
        <w:spacing w:before="0" w:after="200" w:lineRule="auto" w:line="276"/>
      </w:pPr>
      <w:r>
        <w:rPr>
          <w:b/>
        </w:rPr>
        <w:t xml:space="preserve">Abstract (EN): </w:t>
      </w:r>
      <w:r>
        <w:t>Alvarezsauroids are an enigmatic clade of predominantly small-bodied theropod dinosaurs that are known mainly from the Jurassic to Cretaceous periods of Asia and South America1,2,3. Late Cretaceous alvarezsauroids possess specialized forelimbs adapted for digging4,5, minute supernumerary teeth and heightened sensory capacities6, and are interpreted as myrmecophagous. They are hypothesized to exhibit evolutionary miniaturization coupled to their dietary specialization2. Fragmentary South American taxa are traditionally arrayed as a paraphyletic grade with respect to the Late Cretaceous Asian subclade Parvicursorinae2,3, invoking dispersal to explain their disjunct distributions. Here we describe a skeleton of the alvarezsauroid Alnashetri cerropoliciensis7 representing to our knowledge the most complete and smallest South American taxon to date. We also recognize two alvarezsauroids among historic taxa from the Northern Hemisphere. Phylogenetic analysis recovers Alnashetri among basal non-alvarezsaurids, rendering South American taxa polyphyletic. Combined with the new taxa recognized here, our biogeographical analyses infer a Pangaean ancestral distribution for Alvarezsauroidea, with vicariance dominating the early history of the clade. The early branching position of Alnashetri among larger-bodied relatives revises best-fit models of body size evolution in alvarezsauroids—we find no support for evolutionary miniaturization but, rather, find support for repeated evolution within a narrow body size range.</w:t>
      </w:r>
    </w:p>
    <w:p>
      <w:pPr>
        <w:spacing w:before="120" w:after="120"/>
      </w:pPr>
      <w:r>
        <w:rPr>
          <w:sz w:val="18"/>
        </w:rPr>
        <w:t>——————————————————————————————————————————————————————————————————————</w:t>
      </w:r>
    </w:p>
    <w:p>
      <w:pPr>
        <w:spacing w:before="160" w:after="40" w:line="240" w:lineRule="auto"/>
      </w:pPr>
      <w:r>
        <w:rPr>
          <w:b/>
        </w:rPr>
        <w:t xml:space="preserve">[92] </w:t>
      </w:r>
      <w:hyperlink r:id="rId316">
        <w:r>
          <w:rPr>
            <w:color w:val="1155CC"/>
            <w:u w:val="single"/>
          </w:rPr>
          <w:t>珊瑚微生物组作为未知基因组和生物合成多样性的储库</w:t>
        </w:r>
      </w:hyperlink>
    </w:p>
    <w:p>
      <w:pPr>
        <w:spacing w:before="0" w:after="80"/>
      </w:pPr>
      <w:r>
        <w:rPr>
          <w:i/>
          <w:sz w:val="20"/>
        </w:rPr>
        <w:t>EN: Coral microbiomes as reservoirs of unknown genomic and biosynthetic diversity</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珊瑚礁是海洋生物多样性热点，提供广泛的生态系统服务1。它们是生物活性代谢物的储库，许多由与礁无脊椎动物宿主相关的微生物产生2。然而，对于珊瑚礁的关键物种——造礁珊瑚，我们仍然缺乏对其微生物编码的生物合成潜力和由于礁生物多样性急剧下降而面临的分子资源的系统评估。在此，我们分析了从太平洋32个岛屿的99个珊瑚礁中收集的三种代表性珊瑚属的820个造礁珊瑚样本中重建的微生物基因组（Tara Pacific远征）3。通过将我们的分析与其他礁物种的微生物组进行背景化，我们发现4,224个mi中只有10%</w:t>
      </w:r>
    </w:p>
    <w:p>
      <w:pPr>
        <w:spacing w:before="0" w:after="200" w:lineRule="auto" w:line="276"/>
      </w:pPr>
      <w:r>
        <w:rPr>
          <w:b/>
        </w:rPr>
        <w:t xml:space="preserve">Abstract (EN): </w:t>
      </w:r>
      <w:r>
        <w:t>Coral reefs are marine biodiversity hotspots that provide a wide range of ecosystem services1. They are reservoirs of bioactive metabolites, many produced by microorganisms associated with reef invertebrate hosts2. However, for the keystone species of coral reefs—the reef-building corals—we still lack a systematic assessment of their microbially encoded biosynthetic potential and the molecular resources at stake due to the alarming decline in reef biodiversity. Here we analysed microbial genomes reconstructed from 820 reef-building coral samples of three representative coral genera collected at 99 reefs across 32 islands throughout the Pacific Ocean (Tara Pacific expedition)3. By contextualizing our analyses with the microbiomes of other reef species, we found that only 10% of the 4,224 microbial species and less than 1% of the 645 species exclusively identified in Tara Pacific samples had genomic information available. Furthermore, the biosynthetic potential of reef-building coral microbiomes rivalled or surpassed that of traditional natural product sources such as sponges. Among the biosynthetically rich bacteria in the reef microbiome, we identified new groups of Acidobacteriota that encode previously unknown enzymology, in turn opening promising avenues for functional protein engineering. Together, this study underscores the importance of conserving coral reefs as vital reservoirs of molecular diversity.</w:t>
      </w:r>
    </w:p>
    <w:p>
      <w:pPr>
        <w:spacing w:before="120" w:after="120"/>
      </w:pPr>
      <w:r>
        <w:rPr>
          <w:sz w:val="18"/>
        </w:rPr>
        <w:t>——————————————————————————————————————————————————————————————————————</w:t>
      </w:r>
    </w:p>
    <w:p>
      <w:pPr>
        <w:spacing w:before="160" w:after="40" w:line="240" w:lineRule="auto"/>
      </w:pPr>
      <w:r>
        <w:rPr>
          <w:b/>
        </w:rPr>
        <w:t xml:space="preserve">[93] </w:t>
      </w:r>
      <w:hyperlink r:id="rId317">
        <w:r>
          <w:rPr>
            <w:color w:val="1155CC"/>
            <w:u w:val="single"/>
          </w:rPr>
          <w:t>帕金森病影响控制全身动作的脑区网络</w:t>
        </w:r>
      </w:hyperlink>
    </w:p>
    <w:p>
      <w:pPr>
        <w:spacing w:before="0" w:after="80"/>
      </w:pPr>
      <w:r>
        <w:rPr>
          <w:i/>
          <w:sz w:val="20"/>
        </w:rPr>
        <w:t>EN: Parkinson’s disease affects network of brain regions that controls whole-body action</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318">
        <w:r>
          <w:rPr>
            <w:color w:val="1155CC"/>
            <w:u w:val="single"/>
          </w:rPr>
          <w:t>靶向新生嘧啶合成赋予对铜介导的ATR失活在PARP抑制剂耐药卵巢癌中的脆弱性</w:t>
        </w:r>
      </w:hyperlink>
    </w:p>
    <w:p>
      <w:pPr>
        <w:spacing w:before="0" w:after="80"/>
      </w:pPr>
      <w:r>
        <w:rPr>
          <w:i/>
          <w:sz w:val="20"/>
        </w:rPr>
        <w:t>EN: Targeting de novo pyrimidine synthesis confers vulnerability to copper-mediated ATR inactivation in PARP inhibitor-resistant ovarian cancer</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尽管聚(ADP-核糖)聚合酶（PARP）抑制剂（PARPi）作为单药或与其他DNA损伤剂联合使用表现出有前景的临床疗效，但治疗反应通常是短暂的，随后获得性耐药的发展构成了重大挑战。在此，通过小分子化合物筛选，我们发现了elesclomol，一种有效的铜离子载体，它通过抑制ATR-CHK1通路的激活，使BRCA功能正常的卵巢癌细胞对PARPi敏感。从机制上讲，我们证明铜直接结合ATRIP，ATR激活的关键辅因子，破坏ATR-ATRIP相互作用，进一步损害ATR介导的DNA损伤修复信号并增强PARPi敏感性。重要的是，我们揭示了一个次级代谢脆弱性</w:t>
      </w:r>
    </w:p>
    <w:p>
      <w:pPr>
        <w:spacing w:before="0" w:after="200" w:lineRule="auto" w:line="276"/>
      </w:pPr>
      <w:r>
        <w:rPr>
          <w:b/>
        </w:rPr>
        <w:t xml:space="preserve">Abstract (EN): </w:t>
      </w:r>
      <w:r>
        <w:t>Although poly(ADP-ribose) polymerase (PARP) inhibitors (PARPi) as monotherapy or in combination with other DNA-damaging agents exhibit promising clinical efficacy, the therapeutic responses are usually transient, with subsequent development of acquired resistance posing a significant challenge. Here, through a small-molecule compound screening, we identify elesclomol, a potent copper ionophore, which sensitizes BRCA-proficient ovarian cancer cells to PARPi by inhibiting activation of the ATR-CHK1 pathway. Mechanistically, we demonstrate that copper directly binds to ATRIP, a critical cofactor of ATR activation, disrupting the ATR-ATRIP interaction, further impairing ATR-mediated DNA damage repair signaling and potentiating PARPi sensitivity. Importantly, we reveal a secondary metabolic vulnerability in PARPi-resistant ovarian cancer associated with de novo pyrimidine synthesis, suggesting that targeting this pathway as an effective strategy to eradicate drug-adaptive residual tumors and resistant patient-derived xenograft models following ATR and PARP co-inhibition. These findings propose de novo pyrimidine synthesis as an adaptive metabolic vulnerability that can be therapeutically targeted to overcome PARPi resistance in BRCA-proficient ovarian cancer.</w:t>
      </w:r>
    </w:p>
    <w:p>
      <w:pPr>
        <w:spacing w:before="120" w:after="120"/>
      </w:pPr>
      <w:r>
        <w:rPr>
          <w:sz w:val="18"/>
        </w:rPr>
        <w:t>——————————————————————————————————————————————————————————————————————</w:t>
      </w:r>
    </w:p>
    <w:p>
      <w:pPr>
        <w:spacing w:before="160" w:after="40" w:line="240" w:lineRule="auto"/>
      </w:pPr>
      <w:r>
        <w:rPr>
          <w:b/>
        </w:rPr>
        <w:t xml:space="preserve">[95] </w:t>
      </w:r>
      <w:hyperlink r:id="rId319">
        <w:r>
          <w:rPr>
            <w:color w:val="1155CC"/>
            <w:u w:val="single"/>
          </w:rPr>
          <w:t>CLCC1促进肝脏中性脂质流动和核孔复合体组装</w:t>
        </w:r>
      </w:hyperlink>
    </w:p>
    <w:p>
      <w:pPr>
        <w:spacing w:before="0" w:after="80"/>
      </w:pPr>
      <w:r>
        <w:rPr>
          <w:i/>
          <w:sz w:val="20"/>
        </w:rPr>
        <w:t>EN: CLCC1 promotes hepatic neutral lipid flux and nuclear pore complex assembly</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脂质储存和分泌的不平衡导致肝脂肪变性，即肝细胞中脂质滴的积累1,2。我们对控制肝细胞中中性脂质向胞质脂质滴或分泌脂蛋白的通道机制的理解仍不完整3,4。在此，我们在不同代谢状态下进行了一系列CRISPR-Cas9筛选，识别出CLCC1是肝细胞中性脂质储存和分泌的关键调节因子。CLCC1的缺失导致肝癌细胞中大脂质滴的积累，Clcc1敲除小鼠导致肝脂肪变性。脂质滴存在于Clcc1敲除肝细胞的内质网腔中，并表现出脂蛋白的特性，表明深远的</w:t>
      </w:r>
    </w:p>
    <w:p>
      <w:pPr>
        <w:spacing w:before="0" w:after="200" w:lineRule="auto" w:line="276"/>
      </w:pPr>
      <w:r>
        <w:rPr>
          <w:b/>
        </w:rPr>
        <w:t xml:space="preserve">Abstract (EN): </w:t>
      </w:r>
      <w:r>
        <w:t>Imbalances in lipid storage and secretion lead to hepatic steatosis, the accumulation of lipid droplets in hepatocytes1,2. Our understanding of the mechanisms that govern the channelling of neutral lipids in hepatocytes towards cytosolic lipid droplets or secreted lipoproteins remains incomplete3,4. Here we performed a series of CRISPR–Cas9 screens under different metabolic states that led to the identification of CLCC1 as a critical regulator of neutral lipid storage and secretion in hepatocytes. Loss of CLCC1 resulted in the buildup of large lipid droplets in hepatoma cells and Clcc1 knockout in mice caused liver steatosis. Lipid droplets were present in the lumen of the endoplasmic reticulum of the Clcc1-knockout hepatocytes and exhibited properties of lipoproteins, indicating a profound shift in neutral lipid flux. The loss of CLCC1 also led to the accumulation of nuclear membrane herniations accompanied by a reduction in nuclear pores. Remote homology searches identified a domain in CLCC1 that is homologous to yeast Brl1 and Brr6, factors that promote nuclear envelope fusion during nuclear pore complex assembly. Molecular dynamics simulations and mutagenesis studies support a model in which CLCC1 mediates membrane bending and fusion. We propose that CLCC1 mediates membrane fusion to promote hepatic neutral lipid flux and nuclear pore complex assembly.</w:t>
      </w:r>
    </w:p>
    <w:p>
      <w:pPr>
        <w:spacing w:before="120" w:after="120"/>
      </w:pPr>
      <w:r>
        <w:rPr>
          <w:sz w:val="18"/>
        </w:rPr>
        <w:t>——————————————————————————————————————————————————————————————————————</w:t>
      </w:r>
    </w:p>
    <w:p>
      <w:pPr>
        <w:spacing w:before="160" w:after="40" w:line="240" w:lineRule="auto"/>
      </w:pPr>
      <w:r>
        <w:rPr>
          <w:b/>
        </w:rPr>
        <w:t xml:space="preserve">[96] </w:t>
      </w:r>
      <w:hyperlink r:id="rId320">
        <w:r>
          <w:rPr>
            <w:color w:val="1155CC"/>
            <w:u w:val="single"/>
          </w:rPr>
          <w:t>在单核苷酸分辨率下对复杂性状变体的功能解析</w:t>
        </w:r>
      </w:hyperlink>
    </w:p>
    <w:p>
      <w:pPr>
        <w:spacing w:before="0" w:after="80"/>
      </w:pPr>
      <w:r>
        <w:rPr>
          <w:i/>
          <w:sz w:val="20"/>
        </w:rPr>
        <w:t>EN: Functional dissection of complex trait variants at single-nucleotide resolution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识别驱动复杂性状和疾病的因果变异和机制仍然是人类遗传学中的核心问题1,2,3,4,5。这些变异中的大多数单独具有微弱的效应6，并位于非编码基因调控元件中7,8,9,10，我们尚未完全理解单核苷酸改变如何调节转录过程以影响人类表型5,11,12,13,14,15。为了解决这个问题，我们使用大规模平行报告基因测定16,17,18,19,20在5种不同的细胞类型中测量了221,412个精细定位的性状相关变异的活性。我们表明，这种测定有效地区分了可能的因果变异和对照，并以高精度识别了13,121个调控变异。尽管这些变异的效应在很大程度上与</w:t>
      </w:r>
    </w:p>
    <w:p>
      <w:pPr>
        <w:spacing w:before="0" w:after="200" w:lineRule="auto" w:line="276"/>
      </w:pPr>
      <w:r>
        <w:rPr>
          <w:b/>
        </w:rPr>
        <w:t xml:space="preserve">Abstract (EN): </w:t>
      </w:r>
      <w:r>
        <w:t>Identifying the causal variants and mechanisms that drive complex traits and diseases remains a core problem in human genetics1,2,3,4,5. Most of these variants individually have weak effects6 and lie in non-coding gene-regulatory elements7,8,9,10, for which we lack a complete understanding of how single-nucleotide alterations modulate transcriptional processes to affect human phenotypes5,11,12,13,14,15. To address this problem, we measured the activity of 221,412 fine-mapped trait-associated variants using a massively parallel reporter assay16,17,18,19,20 in 5 diverse cell types. We show that this assay effectively discriminates between likely causal variants and controls, and identified 13,121 regulatory variants with high precision. Although the effects of these variants largely agree with orthogonal measures of function, only 69% of them can plausibly be explained by the disruption of a known transcription factor binding motif. We investigated the mechanisms of 136 variants using saturation mutagenesis and assigned affected transcription factors for 91% of variants without a clear canonical mechanism. Finally, we detected regulatory epistasis at 11% of tested regulatory variants in close proximity and identified multiple functional variants on the same haplotype at a small, but important, subset of trait-associated loci. Overall, our study provides a systematic functional characterization of likely causal common variants that underlie complex and molecular human traits, enabling new insights into the regulatory grammar underlying disease risk.</w:t>
      </w:r>
    </w:p>
    <w:p>
      <w:pPr>
        <w:spacing w:before="120" w:after="120"/>
      </w:pPr>
      <w:r>
        <w:rPr>
          <w:sz w:val="18"/>
        </w:rPr>
        <w:t>——————————————————————————————————————————————————————————————————————</w:t>
      </w:r>
    </w:p>
    <w:p>
      <w:pPr>
        <w:spacing w:before="160" w:after="40" w:line="240" w:lineRule="auto"/>
      </w:pPr>
      <w:r>
        <w:rPr>
          <w:b/>
        </w:rPr>
        <w:t xml:space="preserve">[97] </w:t>
      </w:r>
      <w:hyperlink r:id="rId321">
        <w:r>
          <w:rPr>
            <w:color w:val="1155CC"/>
            <w:u w:val="single"/>
          </w:rPr>
          <w:t>成人期、衰老和阿尔茨海默病中的人类海马体神经发生</w:t>
        </w:r>
      </w:hyperlink>
    </w:p>
    <w:p>
      <w:pPr>
        <w:spacing w:before="0" w:after="80"/>
      </w:pPr>
      <w:r>
        <w:rPr>
          <w:i/>
          <w:sz w:val="20"/>
        </w:rPr>
        <w:t>EN: Human hippocampal neurogenesis in adulthood, ageing and Alzheimer’s disease</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人类海马体神经发生的存在长期以来一直存在争议1,2,3,4,5,6,7,8,9,10,11,12，其在认知中的相关性仍然未知。最近的研究已经确定了增殖的祖细胞和未成熟神经元的存在，并在阿尔茨海默病（AD）中观察到后者的减少11,13。然而，它们的起源以及调节神经发生和功能的分子网络尚不清楚。在这里，我们研究了从不同队列中获得的人类死后海马体：记忆完好的年轻成年人、无认知障碍的老年成年人、具有非凡记忆能力的老年成年人（超级记忆者）14,15、具有临床前中间病理的成年人或患有AD的成年人。使用多组学单细胞测序（单核RNA测序和单核测定</w:t>
      </w:r>
    </w:p>
    <w:p>
      <w:pPr>
        <w:spacing w:before="0" w:after="200" w:lineRule="auto" w:line="276"/>
      </w:pPr>
      <w:r>
        <w:rPr>
          <w:b/>
        </w:rPr>
        <w:t xml:space="preserve">Abstract (EN): </w:t>
      </w:r>
      <w:r>
        <w:t>The existence of human hippocampal neurogenesis has long been disputed1,2,3,4,5,6,7,8,9,10,11,12 and its relevance in cognition remains unknown. Recent studies have established the presence of proliferating progenitors and immature neurons and a reduction in the latter in Alzheimer’s disease (AD)11,13. However, their origin and the molecular networks that regulate neurogenesis and function are poorly understood. Here we studied human post-mortem hippocampi obtained from different cohorts: young adults with intact memory, aged adults with no cognitive impairments, aged adults with extraordinary memory capacity (SuperAgers)14,15, adults with preclinical intermediate pathology or adults with AD. Using multiomic single-cell sequencing (single-nucleus RNA sequencing and single-nuclei assay for transposase-accessible chromatin with sequencing), we analysed the profiles of 355,997 nuclei isolated from the hippocampus samples and identified neural stem cells, neuroblasts and immature granule neurons. Dysregulated neurogenesis was largely associated with changes in chromatin accessibility. Analyses of transcription factors and target gene signatures that distinguished each of the groups revealed early alterations in chromatin accessibility of neurogenic cells from individuals with preclinical AD, and such changes were even more evident in samples from individuals with AD. We identified a distinct profile of neurogenesis in SuperAgers that may reflect a ‘resilience signature’. Finally, alterations in the profile of astrocytes and CA1 neurons govern cognitive function in the ageing hippocampus. Together, our study points to a multiomic molecular signature of the hippocampus that distinguishes cognitive resilience and deterioration with ageing.</w:t>
      </w:r>
    </w:p>
    <w:p>
      <w:pPr>
        <w:spacing w:before="120" w:after="120"/>
      </w:pPr>
      <w:r>
        <w:rPr>
          <w:sz w:val="18"/>
        </w:rPr>
        <w:t>——————————————————————————————————————————————————————————————————————</w:t>
      </w:r>
    </w:p>
    <w:p>
      <w:pPr>
        <w:spacing w:before="160" w:after="40" w:line="240" w:lineRule="auto"/>
      </w:pPr>
      <w:r>
        <w:rPr>
          <w:b/>
        </w:rPr>
        <w:t xml:space="preserve">[98] </w:t>
      </w:r>
      <w:hyperlink r:id="rId322">
        <w:r>
          <w:rPr>
            <w:color w:val="1155CC"/>
            <w:u w:val="single"/>
          </w:rPr>
          <w:t>量子网络中的纠缠辅助非局部光学干涉测量</w:t>
        </w:r>
      </w:hyperlink>
    </w:p>
    <w:p>
      <w:pPr>
        <w:spacing w:before="0" w:after="80"/>
      </w:pPr>
      <w:r>
        <w:rPr>
          <w:i/>
          <w:sz w:val="20"/>
        </w:rPr>
        <w:t>EN: Entanglement-assisted non-local optical interferometry in a quantum network</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在低光强度下的非局部光学测量的灵敏度，例如那些涉及长基线望远镜阵列的测量1,2，受到基本量子噪声和光子损失的限制3。分布式量子纠缠被提议作为克服这些限制并进入非局部光学传感新领域的一种途径4,5,6。在这里，我们展示了在硅-空位中心的金刚石纳米腔中的量子网络中使用纠缠量子存储器来实验性地执行这种非局部相位测量。具体来说，我们结合了事件就绪的远程量子纠缠的生成、隐藏时间和空间分离的入射光学模式的“路径信息”的光子模式擦除以及非局部、非破坏性的光子探测</w:t>
      </w:r>
    </w:p>
    <w:p>
      <w:pPr>
        <w:spacing w:before="0" w:after="200" w:lineRule="auto" w:line="276"/>
      </w:pPr>
      <w:r>
        <w:rPr>
          <w:b/>
        </w:rPr>
        <w:t xml:space="preserve">Abstract (EN): </w:t>
      </w:r>
      <w:r>
        <w:t>The sensitivity of non-local optical measurements at low light intensities, such as those involved in long-baseline telescope arrays1,2, is limited by fundamental quantum noise and photon losses3. Distributed quantum entanglement has been proposed as a route towards overcoming these limitations and accessing new regimes of non-local optical sensing4,5,6. Here we demonstrate the use of entangled quantum memories in a quantum network of silicon–vacancy centres in diamond nanocavities7,8,9 to experimentally perform such non-local phase measurements. Specifically, we combine the generation of event-ready remote quantum entanglement, photon mode erasure that hides the ‘which-path’ information of temporally and spatially separated incoming optical modes and non-local, non-destructive photon heralding enabled by remote entanglement to perform a proof-of-concept entanglement-assisted differential phase measurement of weak incident light between two spatially separate stations. Demonstrating successful operation of the remote phase sensing protocol with a fibre link baseline up to 1.55 km, our results provide an opportunity for a new class of quantum-enhanced optical imaging methods with potential applications ranging from long-baseline interferometry and astronomy to microscopy10,11.</w:t>
      </w:r>
    </w:p>
    <w:p>
      <w:pPr>
        <w:spacing w:before="120" w:after="120"/>
      </w:pPr>
      <w:r>
        <w:rPr>
          <w:sz w:val="18"/>
        </w:rPr>
        <w:t>——————————————————————————————————————————————————————————————————————</w:t>
      </w:r>
    </w:p>
    <w:p>
      <w:pPr>
        <w:spacing w:before="160" w:after="40" w:line="240" w:lineRule="auto"/>
      </w:pPr>
      <w:r>
        <w:rPr>
          <w:b/>
        </w:rPr>
        <w:t xml:space="preserve">[99] </w:t>
      </w:r>
      <w:hyperlink r:id="rId323">
        <w:r>
          <w:rPr>
            <w:color w:val="1155CC"/>
            <w:u w:val="single"/>
          </w:rPr>
          <w:t>干细胞为衰弱提供了一种有效的治疗方法</w:t>
        </w:r>
      </w:hyperlink>
    </w:p>
    <w:p>
      <w:pPr>
        <w:spacing w:before="0" w:after="80"/>
      </w:pPr>
      <w:r>
        <w:rPr>
          <w:i/>
          <w:sz w:val="20"/>
        </w:rPr>
        <w:t>EN: Stem cells provide a potent treatment for frailty</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324">
        <w:r>
          <w:rPr>
            <w:color w:val="1155CC"/>
            <w:u w:val="single"/>
          </w:rPr>
          <w:t>我们需要对可避免的气候变化风险进行全球评估</w:t>
        </w:r>
      </w:hyperlink>
    </w:p>
    <w:p>
      <w:pPr>
        <w:spacing w:before="0" w:after="80"/>
      </w:pPr>
      <w:r>
        <w:rPr>
          <w:i/>
          <w:sz w:val="20"/>
        </w:rPr>
        <w:t>EN: We need a global assessment of avoidable climate-change risks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[101] </w:t>
      </w:r>
      <w:hyperlink r:id="rId325">
        <w:r>
          <w:rPr>
            <w:color w:val="1155CC"/>
            <w:u w:val="single"/>
          </w:rPr>
          <w:t>动物实验的时代正在消退。科学的下一步将走向何方？</w:t>
        </w:r>
      </w:hyperlink>
    </w:p>
    <w:p>
      <w:pPr>
        <w:spacing w:before="0" w:after="80"/>
      </w:pPr>
      <w:r>
        <w:rPr>
          <w:i/>
          <w:sz w:val="20"/>
        </w:rPr>
        <w:t>EN: The age of animal experiments is waning. Where will science go next?</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326">
        <w:r>
          <w:rPr>
            <w:color w:val="1155CC"/>
            <w:u w:val="single"/>
          </w:rPr>
          <w:t>数百种脂质的蛋白质载体已被识别</w:t>
        </w:r>
      </w:hyperlink>
    </w:p>
    <w:p>
      <w:pPr>
        <w:spacing w:before="0" w:after="80"/>
      </w:pPr>
      <w:r>
        <w:rPr>
          <w:i/>
          <w:sz w:val="20"/>
        </w:rPr>
        <w:t>EN: The protein carriers of hundreds of lipids have been identified</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327">
        <w:r>
          <w:rPr>
            <w:color w:val="1155CC"/>
            <w:u w:val="single"/>
          </w:rPr>
          <w:t>通向多细胞性的灵活路径</w:t>
        </w:r>
      </w:hyperlink>
    </w:p>
    <w:p>
      <w:pPr>
        <w:spacing w:before="0" w:after="80"/>
      </w:pPr>
      <w:r>
        <w:rPr>
          <w:i/>
          <w:sz w:val="20"/>
        </w:rPr>
        <w:t>EN: Flexible paths to multicellularity</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328">
        <w:r>
          <w:rPr>
            <w:color w:val="1155CC"/>
            <w:u w:val="single"/>
          </w:rPr>
          <w:t>‘超级老人’的大脑仍然是新神经元的强大生产者</w:t>
        </w:r>
      </w:hyperlink>
    </w:p>
    <w:p>
      <w:pPr>
        <w:spacing w:before="0" w:after="80"/>
      </w:pPr>
      <w:r>
        <w:rPr>
          <w:i/>
          <w:sz w:val="20"/>
        </w:rPr>
        <w:t>EN: Brains of ‘super agers’ are still strong producers of new neurons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 </w:t>
      </w:r>
      <w:hyperlink r:id="rId329">
        <w:r>
          <w:rPr>
            <w:color w:val="1155CC"/>
            <w:u w:val="single"/>
          </w:rPr>
          <w:t>环境暴露训练免疫系统以减弱过敏反应</w:t>
        </w:r>
      </w:hyperlink>
    </w:p>
    <w:p>
      <w:pPr>
        <w:spacing w:before="0" w:after="80"/>
      </w:pPr>
      <w:r>
        <w:rPr>
          <w:i/>
          <w:sz w:val="20"/>
        </w:rPr>
        <w:t>EN: Environmental exposure trains the immune system to dampen allergic responses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[106] </w:t>
      </w:r>
      <w:hyperlink r:id="rId330">
        <w:r>
          <w:rPr>
            <w:color w:val="1155CC"/>
            <w:u w:val="single"/>
          </w:rPr>
          <w:t>CLCC1调节ER双层平衡以维持脂质稳态</w:t>
        </w:r>
      </w:hyperlink>
    </w:p>
    <w:p>
      <w:pPr>
        <w:spacing w:before="0" w:after="80"/>
      </w:pPr>
      <w:r>
        <w:rPr>
          <w:i/>
          <w:sz w:val="20"/>
        </w:rPr>
        <w:t>EN: CLCC1 governs ER bilayer equilibration to maintain lipid homeostasis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脂质的生产、储存和动员的协调对于细胞和系统的稳态至关重要1,2。血浆脂质控制功能失调是心脏代谢疾病的主要风险因素——人类死亡的主要原因3,4。在细胞环境中，内质网（ER）是脂质合成和分泌的中心枢纽，特别是在肝脏中的代谢活跃的肝细胞或肠道中的肠上皮细胞5,6。最初在ER腔内组装的脂质运输脂蛋白需要将中性脂质和磷脂通过膜转移到腔内载脂蛋白B（APOB）上，这一过程尚不明确7,8,9,10。我们在此展示ER蛋白CLCC1通过调节细胞脂质分配，从而影响系统脂质稳态</w:t>
      </w:r>
    </w:p>
    <w:p>
      <w:pPr>
        <w:spacing w:before="0" w:after="200" w:lineRule="auto" w:line="276"/>
      </w:pPr>
      <w:r>
        <w:rPr>
          <w:b/>
        </w:rPr>
        <w:t xml:space="preserve">Abstract (EN): </w:t>
      </w:r>
      <w:r>
        <w:t>Orchestration of lipid production, storage and mobilization is vital for cellular and systemic homeostasis1,2. Dysfunctional plasma lipid control represents the major risk factor for cardiometabolic diseases—the leading cause of human mortality3,4. Within the cellular landscape, the endoplasmic reticulum (ER) is the central hub of lipid synthesis and secretion, particularly in metabolically active hepatocytes in the liver or enterocytes in the gut5,6. Initially assembled in the ER lumen, lipid-ferrying lipoproteins necessitate the cross-membrane transfer of both neutral and phospholipids onto the lumenal apolipoprotein B (APOB), in a poorly defined process7,8,9,10. Here we show that the ER protein CLCC1 regulates cellular lipid partition and, consequently, systemic lipid homeostasis by participating in trans-bilayer equilibration of phospholipids. CLCC1 partners with the phospholipid scramblase TMEM41B11,12 to recognize imbalanced bilayers and promote lipid scrambling, thereby supporting lipoprotein biogenesis and the subsequent bulk lipid transport. Loss of CLCC1 or TMEM41B leads to the emergence of giant lumenal lipid droplets enclosed by imbalanced ER bilayers and, consequently, accelerated pathogenesis of metabolic-dysfunction-associated liver steatohepatitis. The results reveal that phospholipid scrambling at the ER is essential for establishing a dynamic equilibrium. Considering the requirement of trans-bilayer phospholipid equilibration in numerous biological processes, ranging from catabolic autophagy to viral infection13,14,15,16, we anticipate that future work will elucidate a homeostatic control mechanism intrinsic to ER function in lipid biogenesis and distribution.</w:t>
      </w:r>
    </w:p>
    <w:p>
      <w:pPr>
        <w:spacing w:before="120" w:after="120"/>
      </w:pPr>
      <w:r>
        <w:rPr>
          <w:sz w:val="18"/>
        </w:rPr>
        <w:t>——————————————————————————————————————————————————————————————————————</w:t>
      </w:r>
    </w:p>
    <w:p>
      <w:pPr>
        <w:spacing w:before="160" w:after="40" w:line="240" w:lineRule="auto"/>
      </w:pPr>
      <w:r>
        <w:rPr>
          <w:b/>
        </w:rPr>
        <w:t xml:space="preserve">[107] </w:t>
      </w:r>
      <w:hyperlink r:id="rId331">
        <w:r>
          <w:rPr>
            <w:color w:val="1155CC"/>
            <w:u w:val="single"/>
          </w:rPr>
          <w:t>蛋白质工程解决了主要作物的权衡问题</w:t>
        </w:r>
      </w:hyperlink>
    </w:p>
    <w:p>
      <w:pPr>
        <w:spacing w:before="0" w:after="80"/>
      </w:pPr>
      <w:r>
        <w:rPr>
          <w:i/>
          <w:sz w:val="20"/>
        </w:rPr>
        <w:t>EN: Protein engineering fixes a major crop trade-off</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332">
        <w:r>
          <w:rPr>
            <w:color w:val="1155CC"/>
            <w:u w:val="single"/>
          </w:rPr>
          <w:t>双酶逻辑驱动氮杂环丁烷的生物合成</w:t>
        </w:r>
      </w:hyperlink>
    </w:p>
    <w:p>
      <w:pPr>
        <w:spacing w:before="0" w:after="80"/>
      </w:pPr>
      <w:r>
        <w:rPr>
          <w:i/>
          <w:sz w:val="20"/>
        </w:rPr>
        <w:t>EN: Dual-enzyme logic powers azetidine biosynthesis</w:t>
      </w:r>
    </w:p>
    <w:p>
      <w:pPr>
        <w:spacing w:before="0" w:after="120"/>
      </w:pPr>
      <w:r>
        <w:rPr>
          <w:b/>
        </w:rPr>
        <w:t xml:space="preserve">Source: </w:t>
      </w:r>
      <w:r>
        <w:t>Nature Chemistry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333">
        <w:r>
          <w:rPr>
            <w:color w:val="1155CC"/>
            <w:u w:val="single"/>
          </w:rPr>
          <w:t>环境空气操作</w:t>
        </w:r>
      </w:hyperlink>
    </w:p>
    <w:p>
      <w:pPr>
        <w:spacing w:before="0" w:after="80"/>
      </w:pPr>
      <w:r>
        <w:rPr>
          <w:i/>
          <w:sz w:val="20"/>
        </w:rPr>
        <w:t>EN: Ambient air operation</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[110] </w:t>
      </w:r>
      <w:hyperlink r:id="rId334">
        <w:r>
          <w:rPr>
            <w:color w:val="1155CC"/>
            <w:u w:val="single"/>
          </w:rPr>
          <w:t>吱吱作响的篮球鞋的秘密</w:t>
        </w:r>
      </w:hyperlink>
    </w:p>
    <w:p>
      <w:pPr>
        <w:spacing w:before="0" w:after="80"/>
      </w:pPr>
      <w:r>
        <w:rPr>
          <w:i/>
          <w:sz w:val="20"/>
        </w:rPr>
        <w:t>EN: The secret of squeaky basketball shoes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[111] </w:t>
      </w:r>
      <w:hyperlink r:id="rId335">
        <w:r>
          <w:rPr>
            <w:color w:val="1155CC"/>
            <w:u w:val="single"/>
          </w:rPr>
          <w:t>通信感知的内存无线神经网络</w:t>
        </w:r>
      </w:hyperlink>
    </w:p>
    <w:p>
      <w:pPr>
        <w:spacing w:before="0" w:after="80"/>
      </w:pPr>
      <w:r>
        <w:rPr>
          <w:i/>
          <w:sz w:val="20"/>
        </w:rPr>
        <w:t>EN: Communication-aware in-memory wireless neural networks</w:t>
      </w:r>
    </w:p>
    <w:p>
      <w:pPr>
        <w:spacing w:before="0" w:after="120"/>
      </w:pPr>
      <w:r>
        <w:rPr>
          <w:b/>
        </w:rPr>
        <w:t xml:space="preserve">Source: </w:t>
      </w:r>
      <w:r>
        <w:t>Nature Electronics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边缘设备与云服务器之间通过无线通信进行协作计算对于能量受限的边缘设备执行超出其处理能力的复杂任务至关重要。然而，当前的无线协作系统在能效和延迟方面面临挑战，因为存在内存与计算的分离、信号处理与传输和/或接收的分离，以及神经网络与无线通信的分离。我们在此报告了一种通信感知的内存无线神经网络。该方法使用模拟内存计算技术实现边缘计算和无线通信，并将无线通信集成为无线神经网络的可学习模块。我们构建了一个原型</w:t>
      </w:r>
    </w:p>
    <w:p>
      <w:pPr>
        <w:spacing w:before="0" w:after="200" w:lineRule="auto" w:line="276"/>
      </w:pPr>
      <w:r>
        <w:rPr>
          <w:b/>
        </w:rPr>
        <w:t xml:space="preserve">Abstract (EN): </w:t>
      </w:r>
      <w:r>
        <w:t>Collaborative computing between edge devices and cloud servers over wireless communication is critical for energy-constrained edge devices to perform complex tasks that exceed their processing capacities. However, current wireless collaborative systems face challenges in terms of energy efficiency and latency due to the separation of memory and computing, the separation of signal processing and transmission and/or reception, and the separation of neural networks and wireless communication. Here we report communication-aware in-memory wireless neural networks. The approach uses analogue in-memory computing technology to implement both edge computing and wireless communication, and integrates wireless communication as a learnable module of the wireless neural network. We build a prototype that comprises an edge inference accelerator and a wireless communication system. The prototype exhibits an experimental inference accuracy of 93.71% on the Street View House Numbers dataset, and can maintain inference accuracy when using low-resolution analogue-to-digital converters in wireless communication. We also show that the approach can adapt to various wireless conditions and can reduce communication costs.</w:t>
      </w:r>
    </w:p>
    <w:p>
      <w:pPr>
        <w:spacing w:before="120" w:after="120"/>
      </w:pPr>
      <w:r>
        <w:rPr>
          <w:sz w:val="18"/>
        </w:rPr>
        <w:t>——————————————————————————————————————————————————————————————————————</w:t>
      </w:r>
    </w:p>
    <w:p>
      <w:pPr>
        <w:spacing w:before="160" w:after="40" w:line="240" w:lineRule="auto"/>
      </w:pPr>
      <w:r>
        <w:rPr>
          <w:b/>
        </w:rPr>
        <w:t xml:space="preserve">[112] </w:t>
      </w:r>
      <w:hyperlink r:id="rId336">
        <w:r>
          <w:rPr>
            <w:color w:val="1155CC"/>
            <w:u w:val="single"/>
          </w:rPr>
          <w:t>每日简报：动物测试的新替代品</w:t>
        </w:r>
      </w:hyperlink>
    </w:p>
    <w:p>
      <w:pPr>
        <w:spacing w:before="0" w:after="80"/>
      </w:pPr>
      <w:r>
        <w:rPr>
          <w:i/>
          <w:sz w:val="20"/>
        </w:rPr>
        <w:t>EN: Daily briefing: The new alternatives to animal testing</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337">
        <w:r>
          <w:rPr>
            <w:color w:val="1155CC"/>
            <w:u w:val="single"/>
          </w:rPr>
          <w:t>光限制装置可以控制超导性——即使在黑暗中</w:t>
        </w:r>
      </w:hyperlink>
    </w:p>
    <w:p>
      <w:pPr>
        <w:spacing w:before="0" w:after="80"/>
      </w:pPr>
      <w:r>
        <w:rPr>
          <w:i/>
          <w:sz w:val="20"/>
        </w:rPr>
        <w:t>EN: Light-confining device can control superconductivity — even in the dark</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[114] </w:t>
      </w:r>
      <w:hyperlink r:id="rId338">
        <w:r>
          <w:rPr>
            <w:color w:val="1155CC"/>
            <w:u w:val="single"/>
          </w:rPr>
          <w:t>海胆刺在流动的水中产生电信号</w:t>
        </w:r>
      </w:hyperlink>
    </w:p>
    <w:p>
      <w:pPr>
        <w:spacing w:before="0" w:after="80"/>
      </w:pPr>
      <w:r>
        <w:rPr>
          <w:i/>
          <w:sz w:val="20"/>
        </w:rPr>
        <w:t>EN: Sea-urchin spines generate electrical signals in flowing water</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339">
        <w:r>
          <w:rPr>
            <w:color w:val="1155CC"/>
            <w:u w:val="single"/>
          </w:rPr>
          <w:t>脂质纳米颗粒被设计用于将治疗性RNA靶向至胰腺</w:t>
        </w:r>
      </w:hyperlink>
    </w:p>
    <w:p>
      <w:pPr>
        <w:spacing w:before="0" w:after="80"/>
      </w:pPr>
      <w:r>
        <w:rPr>
          <w:i/>
          <w:sz w:val="20"/>
        </w:rPr>
        <w:t>EN: Lipid nanoparticles engineered to target therapeutic RNA to the pancreas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[116] </w:t>
      </w:r>
      <w:hyperlink r:id="rId340">
        <w:r>
          <w:rPr>
            <w:color w:val="1155CC"/>
            <w:u w:val="single"/>
          </w:rPr>
          <w:t>在软-硬摩擦界面上的吱吱声</w:t>
        </w:r>
      </w:hyperlink>
    </w:p>
    <w:p>
      <w:pPr>
        <w:spacing w:before="0" w:after="80"/>
      </w:pPr>
      <w:r>
        <w:rPr>
          <w:i/>
          <w:sz w:val="20"/>
        </w:rPr>
        <w:t>EN: Squeaking at soft–rigid frictional interfaces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吱吱声是我们日常生活中各个方面的常伴现象，无论是橡胶底鞋在硬木地板上滑动1，粉笔在黑板上刮擦2，自行车刹车3，还是髋关节置换术后行走4,5。当两个刚体相互滑动时，普遍认为吱吱声是由自激粘滑振荡引起的，这种振荡是由于摩擦系数随滑动速度增加而降低所触发的6,7,8,9,10。然而，扩展界面的滑动可能涉及裂纹或滑动脉冲传播11,12,13,14,15,16,17,18,19,20,21。当软体在刚体上滑动时，这一区别更加明显，因为大变形和材料不匹配可能导致通过打开滑动脉冲而脱离22,23,24,25,26,27。先前的研究主要集中在慢速滑动</w:t>
      </w:r>
    </w:p>
    <w:p>
      <w:pPr>
        <w:spacing w:before="0" w:after="200" w:lineRule="auto" w:line="276"/>
      </w:pPr>
      <w:r>
        <w:rPr>
          <w:b/>
        </w:rPr>
        <w:t xml:space="preserve">Abstract (EN): </w:t>
      </w:r>
      <w:r>
        <w:t>Squeaking is a constant companion in various aspects of our daily lives, whether we slide rubber-soled shoes across hardwood floors1, scrape chalk on a blackboard2, engage the brakes on a bicycle3 or walk with a hip replacement4,5. When two rigid bodies slide over each other, squeaking is widely understood to result from self-excited stick–slip oscillations, triggered by a decrease in the friction coefficient with increasing slip velocity6,7,8,9,10. However, sliding of extended interfaces can involve crack or slip-pulse propagation11,12,13,14,15,16,17,18,19,20,21. This distinction is amplified when a soft body slides on a rigid one, in which large deformations and material mismatch can cause detachment by opening slip pulses22,23,24,25,26,27. Previous studies focused mainly on slow sliding17,26,28,29,30,31,32,33,34, in which pulses are slow and squeaking is absent. Although squeaking at soft–rigid interfaces has been linked to stick–slip oscillations35,36,37, the mechanisms remain unclear. Here we experimentally investigate soft–rigid interfaces sliding at velocities that produce squeaking. High-speed imaging and acoustic analysis show that opening pulses propagate at approximately the shear wave speed of the soft material, mediating local slip across diverse materials. In flat samples, these pulses are irregular and generate broadband acoustic emissions. Introducing thin surface ridges confines pulse propagation, yielding a consistent repetition frequency matching the first shear mode of the sliding block and squeaking at that frequency. These findings show a structure-driven mechanism that stabilizes rupture in bimaterial friction. Geometric confinement suppresses competing modes, transforming irregular two-dimensional dynamics into coherent one-dimensional pulse trains, offering new insights into frictional rupture from engineered surfaces to geological faults.</w:t>
      </w:r>
    </w:p>
    <w:p>
      <w:pPr>
        <w:spacing w:before="120" w:after="120"/>
      </w:pPr>
      <w:r>
        <w:rPr>
          <w:sz w:val="18"/>
        </w:rPr>
        <w:t>——————————————————————————————————————————————————————————————————————</w:t>
      </w:r>
    </w:p>
    <w:p>
      <w:pPr>
        <w:spacing w:before="160" w:after="40" w:line="240" w:lineRule="auto"/>
      </w:pPr>
      <w:r>
        <w:rPr>
          <w:b/>
        </w:rPr>
        <w:t xml:space="preserve">[117] </w:t>
      </w:r>
      <w:hyperlink r:id="rId341">
        <w:r>
          <w:rPr>
            <w:color w:val="1155CC"/>
            <w:u w:val="single"/>
          </w:rPr>
          <w:t>异构[3.1.1]推进烷</w:t>
        </w:r>
      </w:hyperlink>
    </w:p>
    <w:p>
      <w:pPr>
        <w:spacing w:before="0" w:after="80"/>
      </w:pPr>
      <w:r>
        <w:rPr>
          <w:i/>
          <w:sz w:val="20"/>
        </w:rPr>
        <w:t>EN: Hetero[3.1.1]propellanes</w:t>
      </w:r>
    </w:p>
    <w:p>
      <w:pPr>
        <w:spacing w:before="0" w:after="120"/>
      </w:pPr>
      <w:r>
        <w:rPr>
          <w:b/>
        </w:rPr>
        <w:t xml:space="preserve">Source: </w:t>
      </w:r>
      <w:r>
        <w:t>Nature Chemistry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n.1.1]螺烷是双环[n.1.1]烷烃的重要前体，这些刚性小环烃作为二取代苯环的生物等排体在现代药物设计中已成为重要的构建模块。具有杂环的[n.1.1]螺烷可以实现多种桥接双环杂环的直接合成，与其已知的碳环类似物相比，这些杂环应表现出更优越的物理化学特性。在此，我们报道了一类含氧、氮和硫杂原子的杂环[3.1.1]螺烷的统一合成。我们开发的方法与已知的碳环螺烷合成路线明显不同，并利用了一个方便组装的通用前体</w:t>
      </w:r>
    </w:p>
    <w:p>
      <w:pPr>
        <w:spacing w:before="0" w:after="200" w:lineRule="auto" w:line="276"/>
      </w:pPr>
      <w:r>
        <w:rPr>
          <w:b/>
        </w:rPr>
        <w:t xml:space="preserve">Abstract (EN): </w:t>
      </w:r>
      <w:r>
        <w:t>[n.1.1]Propellanes are key precursors to bicyclo[n.1.1]alkanes, rigid small-ring hydrocarbons that have emerged as important building blocks in contemporary drug design as bioisosteres for disubstituted benzene rings. [n.1.1]Propellanes featuring heterocyclic rings could enable the direct synthesis of a wide diversity of bridged bicyclic heterocycles, which should exhibit superior physicochemical profiles compared to their established carbocyclic analogues. Here we report the unified synthesis of a family of heterocyclic [3.1.1]propellanes featuring oxygen, nitrogen and sulfur heteroatoms in the three-carbon bridge. The approaches we have developed are necessarily distinct from the established routes to carbocyclic propellanes, and utilize a common precursor that is conveniently assembled on a multigram scale via rhodium-catalysed cyclopropanation. These hetero[3.1.1]propellanes undergo a range of radical ring-opening reactions, affording bridged heterocycles that are of high utility in drug-discovery programmes.</w:t>
      </w:r>
    </w:p>
    <w:p>
      <w:pPr>
        <w:spacing w:before="120" w:after="120"/>
      </w:pPr>
      <w:r>
        <w:rPr>
          <w:sz w:val="18"/>
        </w:rPr>
        <w:t>——————————————————————————————————————————————————————————————————————</w:t>
      </w:r>
    </w:p>
    <w:p>
      <w:pPr>
        <w:spacing w:before="160" w:after="40" w:line="240" w:lineRule="auto"/>
      </w:pPr>
      <w:r>
        <w:rPr>
          <w:b/>
        </w:rPr>
        <w:t xml:space="preserve">[118] </w:t>
      </w:r>
      <w:hyperlink r:id="rId342">
        <w:r>
          <w:rPr>
            <w:color w:val="1155CC"/>
            <w:u w:val="single"/>
          </w:rPr>
          <w:t>基于器官胶囊过滤的胰腺靶向脂质纳米颗粒</w:t>
        </w:r>
      </w:hyperlink>
    </w:p>
    <w:p>
      <w:pPr>
        <w:spacing w:before="0" w:after="80"/>
      </w:pPr>
      <w:r>
        <w:rPr>
          <w:i/>
          <w:sz w:val="20"/>
        </w:rPr>
        <w:t>EN: Pancreatic-targeted lipid nanoparticles based on organ capsule filtration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实现胰腺靶向递送标志着治疗胰腺疾病的突破，但精确递送仍然具有挑战性。在此，我们确定了胰腺选择性递送的明确和普遍原则，并提出了一种用于mRNA递送的胰腺靶向脂质纳米颗粒（AH-LNP）。AH-LNP在与蛋白质组装后表现出尺寸增大，促进胶囊过滤介导的胰腺选择性积累和受体介导的内吞作用，从而增强了胰腺靶向能力。得益于此，AH-LNP通过递送Cas9 mRNA和单导向RNA（sgRNA）实现了胰腺的精确和高效基因组编辑，在治疗自身免疫性胰腺疾病方面展现出潜在的前景。此外，胰腺靶向递送</w:t>
      </w:r>
    </w:p>
    <w:p>
      <w:pPr>
        <w:spacing w:before="0" w:after="200" w:lineRule="auto" w:line="276"/>
      </w:pPr>
      <w:r>
        <w:rPr>
          <w:b/>
        </w:rPr>
        <w:t xml:space="preserve">Abstract (EN): </w:t>
      </w:r>
      <w:r>
        <w:t>Achieving pancreatic-targeted delivery marks a breakthrough in treating pancreatic diseases, yet precise delivery remains challenging1. Here we identify an explicit and universal principle for pancreatic-selective delivery and propose a pancreatic-targeted lipid nanoparticle (AH-LNP) for mRNA delivery. AH-LNP exhibits size enlargement after assembly with proteins, facilitating capsule-filter-mediated pancreas-selective accumulation and receptor-mediated endocytosis, thereby boosting the pancreatic-targeted ability. Benefiting from this, AH-LNP enables precise and efficient genome editing in the pancreas through the delivery of Cas9 mRNA and single guide RNA (sgRNA), exhibiting promising potential in the treatment of autoimmune pancreatic diseases. Furthermore, pancreatic-targeted delivery of mRNA encoding therapeutic cytokines through AH-LNP demonstrates superior antitumour efficacy when combined with a cancer vaccine or chimeric antigen receptor T cell therapy in multiple pancreatic cancer models. The safety and pancreatic mRNA delivery of AH-LNP were verified in multiple animal models, including non-human primates, demonstrating great promise for clinical translation. Our findings highlight the transformative potential of this pancreatic-targeted mechanism and the derived LNP platform, opening avenues for developing precision therapeutics against diverse pancreatic diseases.</w:t>
      </w:r>
    </w:p>
    <w:p>
      <w:pPr>
        <w:spacing w:before="120" w:after="120"/>
      </w:pPr>
      <w:r>
        <w:rPr>
          <w:sz w:val="18"/>
        </w:rPr>
        <w:t>——————————————————————————————————————————————————————————————————————</w:t>
      </w:r>
    </w:p>
    <w:p>
      <w:pPr>
        <w:spacing w:before="160" w:after="40" w:line="240" w:lineRule="auto"/>
      </w:pPr>
      <w:r>
        <w:rPr>
          <w:b/>
        </w:rPr>
        <w:t xml:space="preserve">[119] </w:t>
      </w:r>
      <w:hyperlink r:id="rId343">
        <w:r>
          <w:rPr>
            <w:color w:val="1155CC"/>
            <w:u w:val="single"/>
          </w:rPr>
          <w:t>纳米酶能否实现比酶更多的功能？</w:t>
        </w:r>
      </w:hyperlink>
    </w:p>
    <w:p>
      <w:pPr>
        <w:spacing w:before="0" w:after="80"/>
      </w:pPr>
      <w:r>
        <w:rPr>
          <w:i/>
          <w:sz w:val="20"/>
        </w:rPr>
        <w:t>EN: Can nanozymes achieve more than enzymes?</w:t>
      </w:r>
    </w:p>
    <w:p>
      <w:pPr>
        <w:spacing w:before="0" w:after="120"/>
      </w:pPr>
      <w:r>
        <w:rPr>
          <w:b/>
        </w:rPr>
        <w:t xml:space="preserve">Source: </w:t>
      </w:r>
      <w:r>
        <w:t>Nature Reviews Materials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纳米酶已从简单的酶模拟物发展为一种多功能的人工催化剂类别，其功能扩展超出了天然酶的范围。在这篇观点文章中，我们探讨了纳米酶的材料设计如何实现生物系统无法获得的催化行为，包括在非生物环境中的活性、促进非天然反应以及在单一纳米结构中整合多种催化功能。通过对物理化学参数的纳米级控制和对关键酶结构的模拟，纳米酶可以实现精细可调的活性和选择性。简便的表面功能化和固有的电连接性进一步增强了其在复杂系统中的性能。总体而言，这些属性扩展了</w:t>
      </w:r>
    </w:p>
    <w:p>
      <w:pPr>
        <w:spacing w:before="0" w:after="200" w:lineRule="auto" w:line="276"/>
      </w:pPr>
      <w:r>
        <w:rPr>
          <w:b/>
        </w:rPr>
        <w:t xml:space="preserve">Abstract (EN): </w:t>
      </w:r>
      <w:r>
        <w:t>Nanozymes have progressed from simple enzyme mimics to a versatile class of artificial catalysts that expand functionality beyond the reach of natural enzymes. In this Perspective, we examine how the materials design of nanozymes enables catalytic behaviours that are inaccessible to biological systems, including activity in non-biological environments, promotion of non-natural reactions and the integration of multiple catalytic functions within a single nanostructure. Through nanoscale control over physicochemical parameters and emulation of key enzyme architectures, nanozymes can achieve finely tunable activity and selectivity. Facile surface functionalization and inherent electrical connectivity further enhance their performance in complex systems. Collectively, these attributes extend catalysis beyond the constraints of natural enzymes, driving innovations in an array of different fields, including biomedicine, agriculture, environmental remediation and energy conversion.</w:t>
      </w:r>
    </w:p>
    <w:p>
      <w:pPr>
        <w:spacing w:before="120" w:after="120"/>
      </w:pPr>
      <w:r>
        <w:rPr>
          <w:sz w:val="18"/>
        </w:rPr>
        <w:t>——————————————————————————————————————————————————————————————————————</w:t>
      </w:r>
    </w:p>
    <w:p>
      <w:pPr>
        <w:spacing w:before="160" w:after="40" w:line="240" w:lineRule="auto"/>
      </w:pPr>
      <w:r>
        <w:rPr>
          <w:b/>
        </w:rPr>
        <w:t xml:space="preserve">[120] </w:t>
      </w:r>
      <w:hyperlink r:id="rId344">
        <w:r>
          <w:rPr>
            <w:color w:val="1155CC"/>
            <w:u w:val="single"/>
          </w:rPr>
          <w:t>外周免疫诱导树突状细胞驱动早期过敏性炎症</w:t>
        </w:r>
      </w:hyperlink>
    </w:p>
    <w:p>
      <w:pPr>
        <w:spacing w:before="0" w:after="80"/>
      </w:pPr>
      <w:r>
        <w:rPr>
          <w:i/>
          <w:sz w:val="20"/>
        </w:rPr>
        <w:t>EN: Peripheral immune-inducer dendritic cells drive early-life allergic inflammation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与过敏原相关的特应性疾病以及过敏性疾病通常在生命早期出现；然而，调节对过敏原免疫反应的年龄依赖机制仍然知之甚少1。在此，我们发现生命早期暴露于常见过敏原会触发一种独特的分叉免疫反应，同时在皮肤中触发17型炎症，并在淋巴结中启动经典的T辅助2型致敏。这种早期的γδ 17型介导的皮炎在二次过敏原暴露时引发了夸大的过敏性肺炎症。从机制上讲，我们发现树突状细胞（DC）介导的17型激活直接发生在皮肤中，而不需要迁移到淋巴结；我们将这种状态称为‘外周免疫诱导’（pii）DC。CD301b+常规型</w:t>
      </w:r>
    </w:p>
    <w:p>
      <w:pPr>
        <w:spacing w:before="0" w:after="200" w:lineRule="auto" w:line="276"/>
      </w:pPr>
      <w:r>
        <w:rPr>
          <w:b/>
        </w:rPr>
        <w:t xml:space="preserve">Abstract (EN): </w:t>
      </w:r>
      <w:r>
        <w:t>Atopic diseases associated with allergens, as well as allergic diseases, frequently arise early in life; however, the age-dependent mechanisms governing immune responses to allergens remain poorly understood1. Here we find that in early life, exposure to common allergens triggers a distinct bifurcated immune response, simultaneously triggering type 17 inflammation in the skin and initiating canonical T helper 2 sensitization in the lymph nodes. This early-life γδ type 17-mediated dermatitis primes the exaggerated allergic lung inflammation upon secondary allergen exposure. Mechanistically, we find dendritic cell (DC)-mediated type 17 activation directly in the skin without requiring migration to lymph nodes; we term this state ‘peripheral immune inducer’ (pii) DC. CD301b+ conventional type 2 DCs acquire allergen, adopt the pii-DC state, produce IL-23 and activate local γδ type 17 cells independently of lymph-node engagement. The pii-DC state is enabled by the immature hypothalamic–pituitary–adrenal axis and physiologically low systemic glucocorticoids characteristic of early life2,3; DC-specific deletion of the glucocorticoid receptor recapitulates the pii-DC phenotype. These findings define a developmental checkpoint, set by neuroendocrine maturation, that enables in situ DC activation and immune induction, thereby shaping age-dependent responses to allergens.</w:t>
      </w:r>
    </w:p>
    <w:p>
      <w:pPr>
        <w:spacing w:before="120" w:after="120"/>
      </w:pPr>
      <w:r>
        <w:rPr>
          <w:sz w:val="18"/>
        </w:rPr>
        <w:t>——————————————————————————————————————————————————————————————————————</w:t>
      </w:r>
    </w:p>
    <w:p>
      <w:pPr>
        <w:spacing w:before="160" w:after="40" w:line="240" w:lineRule="auto"/>
      </w:pPr>
      <w:r>
        <w:rPr>
          <w:b/>
        </w:rPr>
        <w:t xml:space="preserve">[121] </w:t>
      </w:r>
      <w:hyperlink r:id="rId345">
        <w:r>
          <w:rPr>
            <w:color w:val="1155CC"/>
            <w:u w:val="single"/>
          </w:rPr>
          <w:t>DESI DR2之后的暗能量Quintom理论</w:t>
        </w:r>
      </w:hyperlink>
    </w:p>
    <w:p>
      <w:pPr>
        <w:spacing w:before="0" w:after="80"/>
      </w:pPr>
      <w:r>
        <w:rPr>
          <w:i/>
          <w:sz w:val="20"/>
        </w:rPr>
        <w:t>EN: The Quintom theory of dark energy after DESI DR2</w:t>
      </w:r>
    </w:p>
    <w:p>
      <w:pPr>
        <w:spacing w:before="0" w:after="120"/>
      </w:pPr>
      <w:r>
        <w:rPr>
          <w:b/>
        </w:rPr>
        <w:t xml:space="preserve">Source: </w:t>
      </w:r>
      <w:r>
        <w:t>National Science Review Advance Access</w:t>
      </w:r>
      <w:r>
        <w:t xml:space="preserve">    </w:t>
      </w:r>
      <w:r>
        <w:rPr>
          <w:b/>
        </w:rPr>
        <w:t xml:space="preserve">Pub date: </w:t>
      </w:r>
      <w:r>
        <w:t>2026-02-25 00:00:00+00:00</w:t>
      </w:r>
      <w:r>
        <w:t xml:space="preserve">    </w:t>
      </w:r>
      <w:r>
        <w:rPr>
          <w:b/>
        </w:rPr>
        <w:t xml:space="preserve">DOI: </w:t>
      </w:r>
      <w:hyperlink r:id="rId346">
        <w:r>
          <w:rPr>
            <w:color w:val="1155CC"/>
            <w:u w:val="single"/>
          </w:rPr>
          <w:t>10.1093/nsr/nwag115/8497412</w:t>
        </w:r>
      </w:hyperlink>
    </w:p>
    <w:p>
      <w:pPr>
        <w:spacing w:before="0" w:after="120"/>
      </w:pPr>
      <w:r>
        <w:rPr>
          <w:b/>
        </w:rPr>
        <w:t xml:space="preserve">Notes: </w:t>
      </w:r>
      <w:r>
        <w:t>abstract_source=rss_oup</w:t>
      </w:r>
    </w:p>
    <w:p>
      <w:pPr>
        <w:spacing w:before="0" w:after="80" w:lineRule="auto" w:line="276"/>
      </w:pPr>
      <w:r>
        <w:rPr>
          <w:b/>
        </w:rPr>
        <w:t xml:space="preserve">摘要（ZH）: </w:t>
      </w:r>
      <w:r>
        <w:t>来自暗能量光谱仪数据发布2（DESI DR2）的观测结果正在挑战Λ冷暗物质（ΛCDM）范式，暗示暗能量的状态方程参数在w中演变</w:t>
      </w:r>
    </w:p>
    <w:p>
      <w:pPr>
        <w:spacing w:before="0" w:after="200" w:lineRule="auto" w:line="276"/>
      </w:pPr>
      <w:r>
        <w:rPr>
          <w:b/>
        </w:rPr>
        <w:t xml:space="preserve">Abstract (EN): </w:t>
      </w:r>
      <w:r>
        <w:t>Observations from The Dark Energy Spectroscopic Instrument Data Release 2 (DESI DR2) are challenging the Λ Cold Dark Matter (ΛCDM) paradigm by suggesting that the equation-of-state parameter of dark energy evolves across w</w:t>
      </w:r>
    </w:p>
    <w:p>
      <w:pPr>
        <w:spacing w:before="120" w:after="120"/>
      </w:pPr>
      <w:r>
        <w:rPr>
          <w:sz w:val="18"/>
        </w:rPr>
        <w:t>——————————————————————————————————————————————————————————————————————</w:t>
      </w:r>
    </w:p>
    <w:p>
      <w:pPr>
        <w:spacing w:before="160" w:after="40" w:line="240" w:lineRule="auto"/>
      </w:pPr>
      <w:r>
        <w:rPr>
          <w:b/>
        </w:rPr>
        <w:t xml:space="preserve">[122] </w:t>
      </w:r>
      <w:hyperlink r:id="rId347">
        <w:r>
          <w:rPr>
            <w:color w:val="1155CC"/>
            <w:u w:val="single"/>
          </w:rPr>
          <w:t>性别多样性增强韧性</w:t>
        </w:r>
      </w:hyperlink>
    </w:p>
    <w:p>
      <w:pPr>
        <w:spacing w:before="0" w:after="80"/>
      </w:pPr>
      <w:r>
        <w:rPr>
          <w:i/>
          <w:sz w:val="20"/>
        </w:rPr>
        <w:t>EN: Gender diversity for enhanced resilience</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348">
        <w:r>
          <w:rPr>
            <w:color w:val="1155CC"/>
            <w:u w:val="single"/>
          </w:rPr>
          <w:t>海拔高环境中海藻糖生物合成基因的跨域转移有助于适应</w:t>
        </w:r>
      </w:hyperlink>
    </w:p>
    <w:p>
      <w:pPr>
        <w:spacing w:before="0" w:after="80"/>
      </w:pPr>
      <w:r>
        <w:rPr>
          <w:i/>
          <w:sz w:val="20"/>
        </w:rPr>
        <w:t>EN: Cross-domain transfer of trehalose biosynthesis genes contributes to adaptation in high-altitude environments</w:t>
      </w:r>
    </w:p>
    <w:p>
      <w:pPr>
        <w:spacing w:before="0" w:after="120"/>
      </w:pPr>
      <w:r>
        <w:rPr>
          <w:b/>
        </w:rPr>
        <w:t xml:space="preserve">Source: </w:t>
      </w:r>
      <w:r>
        <w:t>National Science Review Advance Access</w:t>
      </w:r>
      <w:r>
        <w:t xml:space="preserve">    </w:t>
      </w:r>
      <w:r>
        <w:rPr>
          <w:b/>
        </w:rPr>
        <w:t xml:space="preserve">Pub date: </w:t>
      </w:r>
      <w:r>
        <w:t>2026-02-25 00:00:00+00:00</w:t>
      </w:r>
      <w:r>
        <w:t xml:space="preserve">    </w:t>
      </w:r>
      <w:r>
        <w:rPr>
          <w:b/>
        </w:rPr>
        <w:t xml:space="preserve">DOI: </w:t>
      </w:r>
      <w:hyperlink r:id="rId349">
        <w:r>
          <w:rPr>
            <w:color w:val="1155CC"/>
            <w:u w:val="single"/>
          </w:rPr>
          <w:t>10.1093/nsr/nwag117/8497410</w:t>
        </w:r>
      </w:hyperlink>
    </w:p>
    <w:p>
      <w:pPr>
        <w:spacing w:before="0" w:after="120"/>
      </w:pPr>
      <w:r>
        <w:rPr>
          <w:b/>
        </w:rPr>
        <w:t xml:space="preserve">Notes: </w:t>
      </w:r>
      <w:r>
        <w:t>abstract_source=rss_oup</w:t>
      </w:r>
    </w:p>
    <w:p>
      <w:pPr>
        <w:spacing w:before="0" w:after="80" w:lineRule="auto" w:line="276"/>
      </w:pPr>
      <w:r>
        <w:rPr>
          <w:b/>
        </w:rPr>
        <w:t xml:space="preserve">摘要（ZH）: </w:t>
      </w:r>
      <w:r>
        <w:t>高海拔对生物体构成极端生存挑战，但其适应力的起源和分子策略仍然知之甚少。在此，我们报告了Apourosomoida中应激适应力的分子和进化机制</w:t>
      </w:r>
    </w:p>
    <w:p>
      <w:pPr>
        <w:spacing w:before="0" w:after="200" w:lineRule="auto" w:line="276"/>
      </w:pPr>
      <w:r>
        <w:rPr>
          <w:b/>
        </w:rPr>
        <w:t xml:space="preserve">Abstract (EN): </w:t>
      </w:r>
      <w:r>
        <w:t>High altitudes pose extreme survival challenges for organisms, yet the origins and molecular strategies underlying their resilience remain poorly understood. Here, we report the molecular and evolutionary mechanisms underlying stress resilience in Apourosomoida</w:t>
      </w:r>
    </w:p>
    <w:p>
      <w:pPr>
        <w:spacing w:before="120" w:after="120"/>
      </w:pPr>
      <w:r>
        <w:rPr>
          <w:sz w:val="18"/>
        </w:rPr>
        <w:t>——————————————————————————————————————————————————————————————————————</w:t>
      </w:r>
    </w:p>
    <w:p>
      <w:pPr>
        <w:spacing w:before="160" w:after="40" w:line="240" w:lineRule="auto"/>
      </w:pPr>
      <w:r>
        <w:rPr>
          <w:b/>
        </w:rPr>
        <w:t xml:space="preserve">[124] </w:t>
      </w:r>
      <w:hyperlink r:id="rId350">
        <w:r>
          <w:rPr>
            <w:color w:val="1155CC"/>
            <w:u w:val="single"/>
          </w:rPr>
          <w:t>引入杂环[3.1.1]推进烷</w:t>
        </w:r>
      </w:hyperlink>
    </w:p>
    <w:p>
      <w:pPr>
        <w:spacing w:before="0" w:after="80"/>
      </w:pPr>
      <w:r>
        <w:rPr>
          <w:i/>
          <w:sz w:val="20"/>
        </w:rPr>
        <w:t>EN: Introducing the heterocyclic[3.1.1]propellanes</w:t>
      </w:r>
    </w:p>
    <w:p>
      <w:pPr>
        <w:spacing w:before="0" w:after="120"/>
      </w:pPr>
      <w:r>
        <w:rPr>
          <w:b/>
        </w:rPr>
        <w:t xml:space="preserve">Source: </w:t>
      </w:r>
      <w:r>
        <w:t>Nature Chemistry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351">
        <w:r>
          <w:rPr>
            <w:color w:val="1155CC"/>
            <w:u w:val="single"/>
          </w:rPr>
          <w:t>识别论文造假的五种方法</w:t>
        </w:r>
      </w:hyperlink>
    </w:p>
    <w:p>
      <w:pPr>
        <w:spacing w:before="0" w:after="80"/>
      </w:pPr>
      <w:r>
        <w:rPr>
          <w:i/>
          <w:sz w:val="20"/>
        </w:rPr>
        <w:t>EN: Five ways to spot when a paper is a fraud</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[126] </w:t>
      </w:r>
      <w:hyperlink r:id="rId352">
        <w:r>
          <w:rPr>
            <w:color w:val="1155CC"/>
            <w:u w:val="single"/>
          </w:rPr>
          <w:t>双分子互补掺杂策略用于阴极界面材料，使有机太阳能电池效率超过20.7%</w:t>
        </w:r>
      </w:hyperlink>
    </w:p>
    <w:p>
      <w:pPr>
        <w:spacing w:before="0" w:after="80"/>
      </w:pPr>
      <w:r>
        <w:rPr>
          <w:i/>
          <w:sz w:val="20"/>
        </w:rPr>
        <w:t>EN: Dual-molecule Reciprocal Doping Strategy for Cathode Interfacial Materials Enabling Over 20.7% Efficiency in Organic Solar Cells</w:t>
      </w:r>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有机太阳能电池（OSCs）中的溶液可加工阴极界面材料（CIMs）固有地存在导电性和电荷转移能力有限的问题，从而限制了器件效率。在本研究中，我们报告了一种双掺杂CIMs，PDINN-CNT2N，它通过互补掺杂策略将有机PDINN与氨基化碳纳米管结合。这一策略利用了两种成分之间的分子内自掺杂和分子间互补掺杂，显著提高了CIMs的电子密度和电荷传输性能。同时，分子间相互作用有效优化了分子组装，从而增强了薄膜内的电子迁移率。使用PDINN-CNT2N CIM的OSCs表现出改进的导电性和电子迁移率，</w:t>
      </w:r>
    </w:p>
    <w:p>
      <w:pPr>
        <w:spacing w:before="0" w:after="200" w:lineRule="auto" w:line="276"/>
      </w:pPr>
      <w:r>
        <w:rPr>
          <w:b/>
        </w:rPr>
        <w:t xml:space="preserve">Abstract (EN): </w:t>
      </w:r>
      <w:r>
        <w:t>Solution-processabled cathode interfacial materials (CIMs) in organic solar cells (OSCs) inherently suffer from limited conductivity and charge transfer capabilities, which in turn restrict device efficiency. In this study, we report a double-doped CIMs, PDINN-CNT2N, which combines organic PDINN with aminated carbon nanotubes through reciprocal doping strategy. This strategy leverages intramolecular self-doping and intermolecular reciprocal doping between the two components to markedly enhance the electron density and charge transport properties of CIMs. Simultaneously, the intermolecular interactions effectively optimize molecular assembly, thereby reinforcing the electron mobility within the films. OSCs utilizing PDINN-CNT2N CIM demonstrate improved conductivity and electron mobility, while also reducing the charge recombination. Consequently, OSCs based on binary D18:L8-BO achieve an efficiency of 20.05% with superior stability. The widespread applicability of this strategy is further confirmed across additional CNT2N-based CIMs and various active layer systems, significantly enhancing the efficiency to 20.72% (certified as 20.33%) in the ternary system. The study provides essential insights into molecular synergistic doping and presents a universal approach for designing high-performance CIMs that are suitable for scalable solution processing.</w:t>
      </w:r>
    </w:p>
    <w:p>
      <w:pPr>
        <w:spacing w:before="120" w:after="120"/>
      </w:pPr>
      <w:r>
        <w:rPr>
          <w:sz w:val="18"/>
        </w:rPr>
        <w:t>——————————————————————————————————————————————————————————————————————</w:t>
      </w:r>
    </w:p>
    <w:p>
      <w:pPr>
        <w:spacing w:before="160" w:after="40" w:line="240" w:lineRule="auto"/>
      </w:pPr>
      <w:r>
        <w:rPr>
          <w:b/>
        </w:rPr>
        <w:t xml:space="preserve">[127] </w:t>
      </w:r>
      <w:hyperlink r:id="rId353">
        <w:r>
          <w:rPr>
            <w:color w:val="1155CC"/>
            <w:u w:val="single"/>
          </w:rPr>
          <w:t>膜结合核酸酶在基因组注入过程中直接切割噬菌体DNA</w:t>
        </w:r>
      </w:hyperlink>
    </w:p>
    <w:p>
      <w:pPr>
        <w:spacing w:before="0" w:after="80"/>
      </w:pPr>
      <w:r>
        <w:rPr>
          <w:i/>
          <w:sz w:val="20"/>
        </w:rPr>
        <w:t>EN: A membrane-bound nuclease directly cleaves phage DNA during genome injection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从哺乳动物到细菌，直接识别和切割病毒核酸是一种有效的抗病毒感染防御策略，但这需要区分自我与非自我的机制1,2。在细菌中，CRISPR–Cas和限制修饰系统通过识别特定的DNA序列或DNA修饰来实现这种区分。可能仍有待发现的替代机制。在此，我们表征了SNIPE，这是一种抗噬菌体防御系统，持续定位于大肠杆菌的细胞膜以阻止噬菌体λ感染。使用放射性标记的噬菌体DNA和时间推移显微镜追踪噬菌体基因组，我们证明了SNIPE在基因组注入期间直接切割噬菌体DNA。基于邻近标记，我们发现</w:t>
      </w:r>
    </w:p>
    <w:p>
      <w:pPr>
        <w:spacing w:before="0" w:after="200" w:lineRule="auto" w:line="276"/>
      </w:pPr>
      <w:r>
        <w:rPr>
          <w:b/>
        </w:rPr>
        <w:t xml:space="preserve">Abstract (EN): </w:t>
      </w:r>
      <w:r>
        <w:t>From mammals to bacteria, the direct recognition and cleavage of viral nucleic acids is a potent defence strategy against viral infection, but it requires mechanisms for distinguishing self from non-self1,2. In bacteria, CRISPR–Cas and restriction-modification systems achieve this discrimination by recognizing specific DNA sequences or DNA modifications, respectively. Alternative mechanisms probably remain to be discovered. Here, we characterize SNIPE, an anti-bacteriophage defence system that constitutively localizes to the bacterial cell membrane in Escherichia coli to block phage λ infection. Using radiolabelled phage DNA and time-lapse microscopy to track phage genomes, we demonstrate that SNIPE directly cleaves phage DNA during genome injection. Based on proximity labelling, we find that SNIPE associates with host proteins essential for λ genome entry and with the λ tape measure protein, which facilitates λ genome injection across the inner membrane. SNIPE also defends against diverse siphoviruses, probably through direct interactions with their tape measure proteins. Our findings establish SNIPE as a widespread bacterial defence system that exploits the spatial organization of phage genome injection to specifically target viral DNA, representing a previously unknown strategy for distinguishing self from non-self in prokaryotic immune systems.</w:t>
      </w:r>
    </w:p>
    <w:p>
      <w:pPr>
        <w:spacing w:before="120" w:after="120"/>
      </w:pPr>
      <w:r>
        <w:rPr>
          <w:sz w:val="18"/>
        </w:rPr>
        <w:t>——————————————————————————————————————————————————————————————————————</w:t>
      </w:r>
    </w:p>
    <w:p>
      <w:pPr>
        <w:spacing w:before="160" w:after="40" w:line="240" w:lineRule="auto"/>
      </w:pPr>
      <w:r>
        <w:rPr>
          <w:b/>
        </w:rPr>
        <w:t xml:space="preserve">[128] </w:t>
      </w:r>
      <w:hyperlink r:id="rId354">
        <w:r>
          <w:rPr>
            <w:color w:val="1155CC"/>
            <w:u w:val="single"/>
          </w:rPr>
          <w:t>棘皮动物立体结构梯度使机械电感知成为可能</w:t>
        </w:r>
      </w:hyperlink>
    </w:p>
    <w:p>
      <w:pPr>
        <w:spacing w:before="0" w:after="80"/>
      </w:pPr>
      <w:r>
        <w:rPr>
          <w:i/>
          <w:sz w:val="20"/>
        </w:rPr>
        <w:t>EN: Echinoderm stereom gradient structures enable mechanoelectrical perception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细胞固体普遍存在于自然系统中，对生物体至关重要1,2。它们独特的光滑分支和节点形态通常被视为增强机械性能的适应3,4。探索替代的进化功能可以丰富对细胞固体的理解，但常常被忽视。在此，我们展示了海胆骨骼中的生物矿化细胞固体（例如，海胆刺）具有意想不到的机电感知，其响应电位和响应时间均比海胆视觉高出一到三个数量级5。这种特殊的感知源于沿[001]刺轴的梯度细胞固体（具有不同的空隙或固体相直径），产生差异</w:t>
      </w:r>
    </w:p>
    <w:p>
      <w:pPr>
        <w:spacing w:before="0" w:after="200" w:lineRule="auto" w:line="276"/>
      </w:pPr>
      <w:r>
        <w:rPr>
          <w:b/>
        </w:rPr>
        <w:t xml:space="preserve">Abstract (EN): </w:t>
      </w:r>
      <w:r>
        <w:t>Cellular solids ubiquitously exist in natural systems and are crucial for living organisms1,2. Their unique smooth branch and node morphologies are often seen as adaptations for enhanced mechanical performance3,4. Exploring alternative evolutionary functions can enrich the understanding of cellular solids, but it is frequently neglected. Here we show that the biomineralized cellular solids in echinoderm stereom (for example, sea urchin spine) have unexpected mechanoelectrical perception with response potential and response time, both of which are one to three orders of magnitude greater than those of echinoderm vision5. This exceptional perception originates from the gradient cellular solids (with varying void- or solid-phase diameters) along the [001] spine axis, generating a differential charge density across the stereom surface during liquid flow. Inspired by this natural wisdom, we create artificial spine-like structures using three-dimensional printing technology that exhibit three-fold higher voltage output and eight-fold greater amplitude differential than gradient-free samples, as well as a nature-inspired metamaterial mechanoreceptor capable of time-resolved self-monitoring information underwater. Our findings advance the understanding of load-sensitive biomimetic cellular solids (such as wood, sponge and trabecular bone), with the potential to develop functional gradient cellular materials towards underwater spatiotemporal sensing and water resource utilization.</w:t>
      </w:r>
    </w:p>
    <w:p>
      <w:pPr>
        <w:spacing w:before="120" w:after="120"/>
      </w:pPr>
      <w:r>
        <w:rPr>
          <w:sz w:val="18"/>
        </w:rPr>
        <w:t>——————————————————————————————————————————————————————————————————————</w:t>
      </w:r>
    </w:p>
    <w:p>
      <w:pPr>
        <w:spacing w:before="160" w:after="40" w:line="240" w:lineRule="auto"/>
      </w:pPr>
      <w:r>
        <w:rPr>
          <w:b/>
        </w:rPr>
        <w:t xml:space="preserve">[129] </w:t>
      </w:r>
      <w:hyperlink r:id="rId355">
        <w:r>
          <w:rPr>
            <w:color w:val="1155CC"/>
            <w:u w:val="single"/>
          </w:rPr>
          <w:t>晶圆级光电器件解锁单片3D集成</w:t>
        </w:r>
      </w:hyperlink>
    </w:p>
    <w:p>
      <w:pPr>
        <w:spacing w:before="0" w:after="80"/>
      </w:pPr>
      <w:r>
        <w:rPr>
          <w:i/>
          <w:sz w:val="20"/>
        </w:rPr>
        <w:t>EN: A wafer-scale optoelectronic device unlocks monolithic 3D integration</w:t>
      </w:r>
    </w:p>
    <w:p>
      <w:pPr>
        <w:spacing w:before="0" w:after="120"/>
      </w:pPr>
      <w:r>
        <w:rPr>
          <w:b/>
        </w:rPr>
        <w:t xml:space="preserve">Source: </w:t>
      </w:r>
      <w:r>
        <w:t>Nature Nanotechnology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[130] </w:t>
      </w:r>
      <w:hyperlink r:id="rId356">
        <w:r>
          <w:rPr>
            <w:color w:val="1155CC"/>
            <w:u w:val="single"/>
          </w:rPr>
          <w:t>视觉皮层的紧凑深度神经网络模型</w:t>
        </w:r>
      </w:hyperlink>
    </w:p>
    <w:p>
      <w:pPr>
        <w:spacing w:before="0" w:after="80"/>
      </w:pPr>
      <w:r>
        <w:rPr>
          <w:i/>
          <w:sz w:val="20"/>
        </w:rPr>
        <w:t>EN: Compact deep neural network models of the visual cortex</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理解视觉皮层所进行计算的一种强大方法是建立能够预测神经对任意图像反应的模型。深度神经网络（DNNs）已成为领先的预测模型1,2，但其底层计算仍隐藏在数百万个参数之下。在此，我们通过寻找灵活且简约的灵长类视觉皮层DNN模型，挑战这种规模模型的必要性。我们首先通过在自适应闭环实验中交替数据收集和模型训练，构建了一个对猕猴视觉区V4神经反应高度预测的DNN模型。然后，我们压缩了这个由6000万个参数组成的大型黑箱DNN模型，以识别具有5000倍更少参数但精度相当的紧凑模型。</w:t>
      </w:r>
    </w:p>
    <w:p>
      <w:pPr>
        <w:spacing w:before="0" w:after="200" w:lineRule="auto" w:line="276"/>
      </w:pPr>
      <w:r>
        <w:rPr>
          <w:b/>
        </w:rPr>
        <w:t xml:space="preserve">Abstract (EN): </w:t>
      </w:r>
      <w:r>
        <w:t>A powerful approach to understand the computations carried out by the visual cortex is to build models that predict neural responses to any arbitrary image. Deep neural networks (DNNs) have emerged as the leading predictive models1,2, yet their underlying computations remain buried beneath millions of parameters. Here we challenge the need for models at this scale by seeking predictive and parsimonious DNN models of the primate visual cortex. We first built a highly predictive DNN model of neural responses in macaque visual area V4 by alternating data collection and model training in adaptive closed-loop experiments. We then compressed this large, black-box DNN model, which comprised 60 million parameters, to identify compact models with 5,000 times fewer parameters yet comparable accuracy. This dramatic compression enabled us to investigate the inner workings of the compact models. We discovered a salient computational motif: compact models share similar filters in early processing, but individual models then specialize their feature selectivity by ‘consolidating’ this shared high-dimensional representation in distinct ways. We examined this consolidation step in a dot-detecting model neuron, revealing a computational mechanism that leads to a testable circuit hypothesis for dot-selective V4 neurons. Beyond V4, we found strong model compression for macaque visual areas V1 and IT (inferior temporal cortex), revealing a general computational principle of the visual cortex. Overall, our work challenges the notion that large DNNs are necessary to predict individual neurons and establishes a modelling framework that balances prediction and parsimony.</w:t>
      </w:r>
    </w:p>
    <w:p>
      <w:pPr>
        <w:spacing w:before="120" w:after="120"/>
      </w:pPr>
      <w:r>
        <w:rPr>
          <w:sz w:val="18"/>
        </w:rPr>
        <w:t>——————————————————————————————————————————————————————————————————————</w:t>
      </w:r>
    </w:p>
    <w:p>
      <w:pPr>
        <w:spacing w:before="160" w:after="40" w:line="240" w:lineRule="auto"/>
      </w:pPr>
      <w:r>
        <w:rPr>
          <w:b/>
        </w:rPr>
        <w:t xml:space="preserve">[131] </w:t>
      </w:r>
      <w:hyperlink r:id="rId357">
        <w:r>
          <w:rPr>
            <w:color w:val="1155CC"/>
            <w:u w:val="single"/>
          </w:rPr>
          <w:t>平衡吸附</w:t>
        </w:r>
      </w:hyperlink>
    </w:p>
    <w:p>
      <w:pPr>
        <w:spacing w:before="0" w:after="80"/>
      </w:pPr>
      <w:r>
        <w:rPr>
          <w:i/>
          <w:sz w:val="20"/>
        </w:rPr>
        <w:t>EN: Balancing adsorption</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[132] </w:t>
      </w:r>
      <w:hyperlink r:id="rId358">
        <w:r>
          <w:rPr>
            <w:color w:val="1155CC"/>
            <w:u w:val="single"/>
          </w:rPr>
          <w:t>固-气界面</w:t>
        </w:r>
      </w:hyperlink>
    </w:p>
    <w:p>
      <w:pPr>
        <w:spacing w:before="0" w:after="80"/>
      </w:pPr>
      <w:r>
        <w:rPr>
          <w:i/>
          <w:sz w:val="20"/>
        </w:rPr>
        <w:t>EN: The solid–gas interphase</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[133] </w:t>
      </w:r>
      <w:hyperlink r:id="rId359">
        <w:r>
          <w:rPr>
            <w:color w:val="1155CC"/>
            <w:u w:val="single"/>
          </w:rPr>
          <w:t>皮层树突中的矢量化指导信号</w:t>
        </w:r>
      </w:hyperlink>
    </w:p>
    <w:p>
      <w:pPr>
        <w:spacing w:before="0" w:after="80"/>
      </w:pPr>
      <w:r>
        <w:rPr>
          <w:i/>
          <w:sz w:val="20"/>
        </w:rPr>
        <w:t>EN: Vectorized instructive signals in cortical dendrites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教学信号的向量化是几乎所有现代机器学习算法的关键元素，包括反向传播、目标传播和强化学习。向量化通过为个体神经元量身定制指导信号，提供了一个可扩展且计算效率高的解决信贷分配问题的解决方案。最近的理论模型建议，神经回路可以通过在单独的树突隔室中处理前馈和反馈信息流，在细胞水平上实现单相向量化学习1,2,3,4,5。这提出了一个引人注目但未经测试的假设，即皮层回路如何在大脑中解决信贷分配问题。在此，我们使用了一个神经反馈脑-计算机接口任务，具有实验者定义的奖励函数t</w:t>
      </w:r>
    </w:p>
    <w:p>
      <w:pPr>
        <w:spacing w:before="0" w:after="200" w:lineRule="auto" w:line="276"/>
      </w:pPr>
      <w:r>
        <w:rPr>
          <w:b/>
        </w:rPr>
        <w:t xml:space="preserve">Abstract (EN): </w:t>
      </w:r>
      <w:r>
        <w:t>Vectorization of teaching signals is a key element of almost all modern machine learning algorithms, including backpropagation, target propagation and reinforcement learning. Vectorization allows a scalable and computationally efficient solution to the credit assignment problem by tailoring instructive signals to individual neurons. Recent theoretical models have suggested that neural circuits could implement single-phase vectorized learning at the cellular level by processing feedforward and feedback information streams in separate dendritic compartments1,2,3,4,5. This presents a compelling, but untested, hypothesis for how cortical circuits could solve credit assignment in the brain. Here we used a neurofeedback brain–computer interface task with an experimenter-defined reward function to test for vectorized instructive signals in dendrites. We trained mice to modulate the activity of two spatially intermingled populations (four or five neurons each) of layer 5 pyramidal neurons in the retrosplenial cortex to rotate a visual grating towards a target orientation while we recorded GCaMP activity from somas and corresponding distal apical dendrites. We observed that the relative magnitudes of somatic and dendritic signals could be predicted using the activity of the surrounding network and contained information about task-related variables that could serve as instructive signals, including reward and error. The signs of these putative teaching signals depended on the causal role of individual neurons in the task and predicted changes in overall activity over the course of learning. Furthermore, targeted optogenetic perturbation of these signals disrupted learning. These results demonstrate a vectorized instructive signal in the brain, implemented via semi-independent computation in cortical dendrites, unveiling a potential mechanism for solving credit assignment in the brain.</w:t>
      </w:r>
    </w:p>
    <w:p>
      <w:pPr>
        <w:spacing w:before="120" w:after="120"/>
      </w:pPr>
      <w:r>
        <w:rPr>
          <w:sz w:val="18"/>
        </w:rPr>
        <w:t>——————————————————————————————————————————————————————————————————————</w:t>
      </w:r>
    </w:p>
    <w:p>
      <w:pPr>
        <w:spacing w:before="160" w:after="40" w:line="240" w:lineRule="auto"/>
      </w:pPr>
      <w:r>
        <w:rPr>
          <w:b/>
        </w:rPr>
        <w:t xml:space="preserve">[134] </w:t>
      </w:r>
      <w:hyperlink r:id="rId360">
        <w:r>
          <w:rPr>
            <w:color w:val="1155CC"/>
            <w:u w:val="single"/>
          </w:rPr>
          <w:t>将来完成进行被动语态和其他心灵的及物性障碍</w:t>
        </w:r>
      </w:hyperlink>
    </w:p>
    <w:p>
      <w:pPr>
        <w:spacing w:before="0" w:after="80"/>
      </w:pPr>
      <w:r>
        <w:rPr>
          <w:i/>
          <w:sz w:val="20"/>
        </w:rPr>
        <w:t>EN: The future perfect continuous passive and other transitive disorders of the mind</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[135] </w:t>
      </w:r>
      <w:hyperlink r:id="rId361">
        <w:r>
          <w:rPr>
            <w:color w:val="1155CC"/>
            <w:u w:val="single"/>
          </w:rPr>
          <w:t>一种新颖的MIC-BOA-TiDE融合框架，结合核密度估计用于锂离子电池的点和概率剩余使用寿命预测</w:t>
        </w:r>
      </w:hyperlink>
    </w:p>
    <w:p>
      <w:pPr>
        <w:spacing w:before="0" w:after="80"/>
      </w:pPr>
      <w:r>
        <w:rPr>
          <w:i/>
          <w:sz w:val="20"/>
        </w:rPr>
        <w:t>EN: A novel MIC-BOA-TiDE fusion framework with kernel density estimation for point and probabilistic remaining useful life prediction of lithium-ion batteries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[136] </w:t>
      </w:r>
      <w:hyperlink r:id="rId362">
        <w:r>
          <w:rPr>
            <w:color w:val="1155CC"/>
            <w:u w:val="single"/>
          </w:rPr>
          <w:t>使用镜面设置实现放大的X射线激光脉冲</w:t>
        </w:r>
      </w:hyperlink>
    </w:p>
    <w:p>
      <w:pPr>
        <w:spacing w:before="0" w:after="80"/>
      </w:pPr>
      <w:r>
        <w:rPr>
          <w:i/>
          <w:sz w:val="20"/>
        </w:rPr>
        <w:t>EN: Amplified X-ray laser pulses achieved using mirror set-up</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363">
        <w:r>
          <w:rPr>
            <w:color w:val="1155CC"/>
            <w:u w:val="single"/>
          </w:rPr>
          <w:t>用于等离子体和表面增强传感的人工智能和机器学习</w:t>
        </w:r>
      </w:hyperlink>
    </w:p>
    <w:p>
      <w:pPr>
        <w:spacing w:before="0" w:after="80"/>
      </w:pPr>
      <w:r>
        <w:rPr>
          <w:i/>
          <w:sz w:val="20"/>
        </w:rPr>
        <w:t>EN: Artificial intelligence and machine learning for plasmonic and surface-enhanced sensing</w:t>
      </w:r>
    </w:p>
    <w:p>
      <w:pPr>
        <w:spacing w:before="0" w:after="120"/>
      </w:pPr>
      <w:r>
        <w:rPr>
          <w:b/>
        </w:rPr>
        <w:t xml:space="preserve">Source: </w:t>
      </w:r>
      <w:r>
        <w:t>RSC - Chem. Soc. Rev.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等离子体传感是一个充满活力的领域，其中表面等离子体的光学特性被利用来创建用于生物医学、环境和食品安全应用的分析传感器。在等离子体活性纳米材料上照射光后，电场的增强导致分子在表面增强拉曼散射（SERS）、表面增强红外吸收（SEIRA）和金属增强荧光（MEF）中分别增强散射、吸收和发光，并通过表面等离子体共振（SPR）和局部表面等离子体共振（LSPR）实现高灵敏度折射率传感器。新一代人工智能（AI）和机器学习（ML）工具的出现为进一步推进设计提供了机会，sy</w:t>
      </w:r>
    </w:p>
    <w:p>
      <w:pPr>
        <w:spacing w:before="0" w:after="200" w:lineRule="auto" w:line="276"/>
      </w:pPr>
      <w:r>
        <w:rPr>
          <w:b/>
        </w:rPr>
        <w:t xml:space="preserve">Abstract (EN): </w:t>
      </w:r>
      <w:r>
        <w:t>Plasmonic sensing is a vibrant field where the optical properties of surface plasmons are exploited to create analytical sensors for biomedical, environmental and food safety applications, among others. Upon irradiation of light on a plasmon-active nanomaterial, the enhancement of the electric field leads to augmented scattering, absorption and luminescence of molecules in, respectively, surface-enhanced Raman scattering (SERS), surface-enhanced infrared absorption (SEIRA) and metal-enhanced fluorescence (MEF) and to highly sensitive refractometric sensors with surface plasmon resonance (SPR) and localised surface plasmon resonance (LSPR). The advent of a new generation of artificial intelligence (AI) and machine learning (ML) tools provides an opportunity to further advance the design, synthesis and characterisation of plasmonic materials, improve signal processing and image analysis in plasmonic sensing experiments and to design sensors with better sensitivity, selectivity and robustness. The review will first build basic knowledge in plasmonic sensing and AI/ML, before discussing opportunities for AI/ML-augmented sensor design and data analysis, and then discuss applications where AI/ML provided added benefits in plasmonic sensing. The review will conclude with a perspective on where the field is trending.</w:t>
      </w:r>
    </w:p>
    <w:p>
      <w:pPr>
        <w:spacing w:before="120" w:after="120"/>
      </w:pPr>
      <w:r>
        <w:rPr>
          <w:sz w:val="18"/>
        </w:rPr>
        <w:t>——————————————————————————————————————————————————————————————————————</w:t>
      </w:r>
    </w:p>
    <w:p>
      <w:pPr>
        <w:spacing w:before="160" w:after="40" w:line="240" w:lineRule="auto"/>
      </w:pPr>
      <w:r>
        <w:rPr>
          <w:b/>
        </w:rPr>
        <w:t xml:space="preserve">[138] </w:t>
      </w:r>
      <w:hyperlink r:id="rId364">
        <w:r>
          <w:rPr>
            <w:color w:val="1155CC"/>
            <w:u w:val="single"/>
          </w:rPr>
          <w:t>一种运动激活的酶如何帮助保持大脑年轻</w:t>
        </w:r>
      </w:hyperlink>
    </w:p>
    <w:p>
      <w:pPr>
        <w:spacing w:before="0" w:after="80"/>
      </w:pPr>
      <w:r>
        <w:rPr>
          <w:i/>
          <w:sz w:val="20"/>
        </w:rPr>
        <w:t>EN: How an exercise-activated enzyme helps to keep the brain young</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[139] </w:t>
      </w:r>
      <w:hyperlink r:id="rId365">
        <w:r>
          <w:rPr>
            <w:color w:val="1155CC"/>
            <w:u w:val="single"/>
          </w:rPr>
          <w:t>吱吱作响的运动鞋的惊人科学</w:t>
        </w:r>
      </w:hyperlink>
    </w:p>
    <w:p>
      <w:pPr>
        <w:spacing w:before="0" w:after="80"/>
      </w:pPr>
      <w:r>
        <w:rPr>
          <w:i/>
          <w:sz w:val="20"/>
        </w:rPr>
        <w:t>EN: The surprising science of squeaky sneakers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[140] </w:t>
      </w:r>
      <w:hyperlink r:id="rId366">
        <w:r>
          <w:rPr>
            <w:color w:val="1155CC"/>
            <w:u w:val="single"/>
          </w:rPr>
          <w:t>回复：用STM探测场诱导响应的局限性</w:t>
        </w:r>
      </w:hyperlink>
    </w:p>
    <w:p>
      <w:pPr>
        <w:spacing w:before="0" w:after="80"/>
      </w:pPr>
      <w:r>
        <w:rPr>
          <w:i/>
          <w:sz w:val="20"/>
        </w:rPr>
        <w:t>EN: Reply to: Limitations of probing field-induced response with STM</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[141] </w:t>
      </w:r>
      <w:hyperlink r:id="rId367">
        <w:r>
          <w:rPr>
            <w:color w:val="1155CC"/>
            <w:u w:val="single"/>
          </w:rPr>
          <w:t>季铵阳离子的选择性识别</w:t>
        </w:r>
      </w:hyperlink>
    </w:p>
    <w:p>
      <w:pPr>
        <w:spacing w:before="0" w:after="80"/>
      </w:pPr>
      <w:r>
        <w:rPr>
          <w:i/>
          <w:sz w:val="20"/>
        </w:rPr>
        <w:t>EN: Selective recognition of quaternary ammonium cations</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传统的相互作用模型预测，由于增强的氢键供体和阳离子-π相互作用，取代较少的铵阳离子应更容易被合成受体识别。在此，我们通过将超分子识别与固相提取相结合，推翻了这一范式，实现了四级铵阳离子的热力学控制和高度选择性分离。我们的自适应BINOL·对离子网络在多样的骨架和水环境中运行，重新定义了铵识别中的取代依赖性选择性。</w:t>
      </w:r>
    </w:p>
    <w:p>
      <w:pPr>
        <w:spacing w:before="0" w:after="200" w:lineRule="auto" w:line="276"/>
      </w:pPr>
      <w:r>
        <w:rPr>
          <w:b/>
        </w:rPr>
        <w:t xml:space="preserve">Abstract (EN): </w:t>
      </w:r>
      <w:r>
        <w:t>Conventional interaction models predict that less substituted ammonium cations should be more strongly recognized by synthetic receptors because of their enhanced hydrogen-bond donation and cation-π interactions. Here, we overturn this paradigm by integrating supramolecular recognition with solid-phase abstraction to achieve thermodynamically controlled and highly selective isolation of quaternary ammonium cations. Our adaptive BINOL·counterion networks operate across diverse scaffolds and in aqueous environments, redefining substitution-dependent selectivity in ammonium recognition.</w:t>
      </w:r>
    </w:p>
    <w:p>
      <w:pPr>
        <w:spacing w:before="120" w:after="120"/>
      </w:pPr>
      <w:r>
        <w:rPr>
          <w:sz w:val="18"/>
        </w:rPr>
        <w:t>——————————————————————————————————————————————————————————————————————</w:t>
      </w:r>
    </w:p>
    <w:p>
      <w:pPr>
        <w:spacing w:before="160" w:after="40" w:line="240" w:lineRule="auto"/>
      </w:pPr>
      <w:r>
        <w:rPr>
          <w:b/>
        </w:rPr>
        <w:t xml:space="preserve">[142] </w:t>
      </w:r>
      <w:hyperlink r:id="rId368">
        <w:r>
          <w:rPr>
            <w:color w:val="1155CC"/>
            <w:u w:val="single"/>
          </w:rPr>
          <w:t>催化、复制和非平衡行为：使用短肽实现类生命复杂性的关键决定因素</w:t>
        </w:r>
      </w:hyperlink>
    </w:p>
    <w:p>
      <w:pPr>
        <w:spacing w:before="0" w:after="80"/>
      </w:pPr>
      <w:r>
        <w:rPr>
          <w:i/>
          <w:sz w:val="20"/>
        </w:rPr>
        <w:t>EN: Catalysis, replication, and non-equilibrium behavior: Key determinants for life-like complexity realized using short peptides</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展示了一种短肽基系统，可以将自我复制与催化能力结合起来，表现出复杂的非平衡行为。底物驱动的自我复制体展示了一种对抗关系，其中一个复制集合的催化自我降解使系统能够适应并选择出非平衡状态下更适合的继任复制体。</w:t>
      </w:r>
    </w:p>
    <w:p>
      <w:pPr>
        <w:spacing w:before="0" w:after="200" w:lineRule="auto" w:line="276"/>
      </w:pPr>
      <w:r>
        <w:rPr>
          <w:b/>
        </w:rPr>
        <w:t xml:space="preserve">Abstract (EN): </w:t>
      </w:r>
      <w:r>
        <w:t>A short peptide-based system is shown that can integrate self-replication with catalytic competence to exhibit complex non-equilibrium behavior. Substrate-driven self-replicators demonstrate an antagonistic relationship where the catalytic self-degradation of one replicating set enables the system to adapt and select a new set of fitter successor replicators exclusively out of equilibrium.</w:t>
      </w:r>
    </w:p>
    <w:p>
      <w:pPr>
        <w:spacing w:before="120" w:after="120"/>
      </w:pPr>
      <w:r>
        <w:rPr>
          <w:sz w:val="18"/>
        </w:rPr>
        <w:t>——————————————————————————————————————————————————————————————————————</w:t>
      </w:r>
    </w:p>
    <w:p>
      <w:pPr>
        <w:spacing w:before="160" w:after="40" w:line="240" w:lineRule="auto"/>
      </w:pPr>
      <w:r>
        <w:rPr>
          <w:b/>
        </w:rPr>
        <w:t xml:space="preserve">[143] </w:t>
      </w:r>
      <w:hyperlink r:id="rId369">
        <w:r>
          <w:rPr>
            <w:color w:val="1155CC"/>
            <w:u w:val="single"/>
          </w:rPr>
          <w:t>光控胶体结晶</w:t>
        </w:r>
      </w:hyperlink>
    </w:p>
    <w:p>
      <w:pPr>
        <w:spacing w:before="0" w:after="80"/>
      </w:pPr>
      <w:r>
        <w:rPr>
          <w:i/>
          <w:sz w:val="20"/>
        </w:rPr>
        <w:t>EN: Light-controlled colloidal crystallization</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使用光敏分子来控制微观粒子之间的吸引和排斥。这种光控制使得局部自组装成有序的晶体状微结构成为可能，并且通过控制光强度和局部照明可以实现高精度的“胶体结晶”。</w:t>
      </w:r>
    </w:p>
    <w:p>
      <w:pPr>
        <w:spacing w:before="0" w:after="200" w:lineRule="auto" w:line="276"/>
      </w:pPr>
      <w:r>
        <w:rPr>
          <w:b/>
        </w:rPr>
        <w:t xml:space="preserve">Abstract (EN): </w:t>
      </w:r>
      <w:r>
        <w:t>Light-sensitive molecules are used for controlling both the attraction and repulsion between microscopic particles. This light control enables the local self-assembly of well-ordered crystal-like microstructures, and controlling light intensity and local illumination can achieve “colloidal crystallization” with excellent precision.</w:t>
      </w:r>
    </w:p>
    <w:p>
      <w:pPr>
        <w:spacing w:before="120" w:after="120"/>
      </w:pPr>
      <w:r>
        <w:rPr>
          <w:sz w:val="18"/>
        </w:rPr>
        <w:t>——————————————————————————————————————————————————————————————————————</w:t>
      </w:r>
    </w:p>
    <w:p>
      <w:pPr>
        <w:spacing w:before="160" w:after="40" w:line="240" w:lineRule="auto"/>
      </w:pPr>
      <w:r>
        <w:rPr>
          <w:b/>
        </w:rPr>
        <w:t xml:space="preserve">[144] </w:t>
      </w:r>
      <w:hyperlink r:id="rId370">
        <w:r>
          <w:rPr>
            <w:color w:val="1155CC"/>
            <w:u w:val="single"/>
          </w:rPr>
          <w:t>数据驱动的铜催化实现立体选择性氟环丙烷化</w:t>
        </w:r>
      </w:hyperlink>
    </w:p>
    <w:p>
      <w:pPr>
        <w:spacing w:before="0" w:after="80"/>
      </w:pPr>
      <w:r>
        <w:rPr>
          <w:i/>
          <w:sz w:val="20"/>
        </w:rPr>
        <w:t>EN: Data-driven copper catalysis enables stereoselective fluorocyclopropanation</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立体选择性构建含氟环丙烷历来是困难的。我们提出了一种数据驱动的铜催化平台，该平台将自动化高通量实验与由卡宾机理描述符指导的机器学习相结合。该工作流程可靠地产生高对映选择性和非对映选择性的含氟环丙烷，可扩展至克级数量，并加速获得含氟药物样骨架——展示了人工智能和自动化如何使立体化学优化更快、更具预测性。</w:t>
      </w:r>
    </w:p>
    <w:p>
      <w:pPr>
        <w:spacing w:before="0" w:after="200" w:lineRule="auto" w:line="276"/>
      </w:pPr>
      <w:r>
        <w:rPr>
          <w:b/>
        </w:rPr>
        <w:t xml:space="preserve">Abstract (EN): </w:t>
      </w:r>
      <w:r>
        <w:t>Stereoselective construction of fluorinated cyclopropanes is historically difficult. We present a data-driven copper-catalyzed platform that pairs automated high-throughput experiments with machine learning informed by carbene mechanistic descriptors. The workflow reliably produces highly enantio- and diastereoselective fluorocyclopropanes, scales to gram quantities, and accelerates access to fluorinated drug-like scaffolds—showing how AI and automation can make stereochemical optimization faster and more predictive.</w:t>
      </w:r>
    </w:p>
    <w:p>
      <w:pPr>
        <w:spacing w:before="120" w:after="120"/>
      </w:pPr>
      <w:r>
        <w:rPr>
          <w:sz w:val="18"/>
        </w:rPr>
        <w:t>——————————————————————————————————————————————————————————————————————</w:t>
      </w:r>
    </w:p>
    <w:p>
      <w:pPr>
        <w:spacing w:before="160" w:after="40" w:line="240" w:lineRule="auto"/>
      </w:pPr>
      <w:r>
        <w:rPr>
          <w:b/>
        </w:rPr>
        <w:t xml:space="preserve">[145] </w:t>
      </w:r>
      <w:hyperlink r:id="rId371">
        <w:r>
          <w:rPr>
            <w:color w:val="1155CC"/>
            <w:u w:val="single"/>
          </w:rPr>
          <w:t>重新设计的醛脱氢酶实现醛和胺的分子间生物催化酰胺形成</w:t>
        </w:r>
      </w:hyperlink>
    </w:p>
    <w:p>
      <w:pPr>
        <w:spacing w:before="0" w:after="80"/>
      </w:pPr>
      <w:r>
        <w:rPr>
          <w:i/>
          <w:sz w:val="20"/>
        </w:rPr>
        <w:t>EN: A redesigned aldehyde dehydrogenase enables intermolecular biocatalytic amide formation from aldehydes and amines</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酰胺形成是药物合成中的关键反应，人们正在寻找更环保的方法。在《科学》杂志中，Gao等人报道了一种生物催化氧化策略，利用重新设计的醛脱氢酶，在氧化剂[NAD(P)+，分子氧]的作用下实现醛与胺的偶联。</w:t>
      </w:r>
    </w:p>
    <w:p>
      <w:pPr>
        <w:spacing w:before="0" w:after="200" w:lineRule="auto" w:line="276"/>
      </w:pPr>
      <w:r>
        <w:rPr>
          <w:b/>
        </w:rPr>
        <w:t xml:space="preserve">Abstract (EN): </w:t>
      </w:r>
      <w:r>
        <w:t>Amide formation represents a key reaction in pharmaceutical synthesis, for which more environmentally friendly methods are sought. In Science, Gao et al. report a biocatalytic oxidative strategy exploiting a redesigned aldehyde dehydrogenase that allows the coupling of aldehydes with amines at the expense of an oxidant [NAD(P)+, molecular oxygen].</w:t>
      </w:r>
    </w:p>
    <w:p>
      <w:pPr>
        <w:spacing w:before="120" w:after="120"/>
      </w:pPr>
      <w:r>
        <w:rPr>
          <w:sz w:val="18"/>
        </w:rPr>
        <w:t>——————————————————————————————————————————————————————————————————————</w:t>
      </w:r>
    </w:p>
    <w:p>
      <w:pPr>
        <w:spacing w:before="160" w:after="40" w:line="240" w:lineRule="auto"/>
      </w:pPr>
      <w:r>
        <w:rPr>
          <w:b/>
        </w:rPr>
        <w:t xml:space="preserve">[146] </w:t>
      </w:r>
      <w:hyperlink r:id="rId372">
        <w:r>
          <w:rPr>
            <w:color w:val="1155CC"/>
            <w:u w:val="single"/>
          </w:rPr>
          <w:t>可再生能源枢纽的显性需求响应提供的日前优化调度与热水准备</w:t>
        </w:r>
      </w:hyperlink>
    </w:p>
    <w:p>
      <w:pPr>
        <w:spacing w:before="0" w:after="80"/>
      </w:pPr>
      <w:r>
        <w:rPr>
          <w:i/>
          <w:sz w:val="20"/>
        </w:rPr>
        <w:t>EN: Optimal day-ahead scheduling for explicit demand response provision of a renewable energy hub with hot water preparation</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[147] </w:t>
      </w:r>
      <w:hyperlink r:id="rId373">
        <w:r>
          <w:rPr>
            <w:color w:val="1155CC"/>
            <w:u w:val="single"/>
          </w:rPr>
          <w:t>跨领域见解</w:t>
        </w:r>
      </w:hyperlink>
    </w:p>
    <w:p>
      <w:pPr>
        <w:spacing w:before="0" w:after="80"/>
      </w:pPr>
      <w:r>
        <w:rPr>
          <w:i/>
          <w:sz w:val="20"/>
        </w:rPr>
        <w:t>EN: Cross‑field insights</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[148] </w:t>
      </w:r>
      <w:hyperlink r:id="rId374">
        <w:r>
          <w:rPr>
            <w:color w:val="1155CC"/>
            <w:u w:val="single"/>
          </w:rPr>
          <w:t>由盐度调节的领鞭虫克隆聚集多细胞性</w:t>
        </w:r>
      </w:hyperlink>
    </w:p>
    <w:p>
      <w:pPr>
        <w:spacing w:before="0" w:after="80"/>
      </w:pPr>
      <w:r>
        <w:rPr>
          <w:i/>
          <w:sz w:val="20"/>
        </w:rPr>
        <w:t>EN: Clonal-aggregative multicellularity tuned by salinity in a choanoflagellate</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多细胞性在真核生物中多次独立进化1,2,3,4。两种不同的机制支撑多细胞性5：克隆性（连续细胞分裂而不分离姐妹细胞）和聚集性（独立细胞组装成多细胞实体）。克隆性和聚集性多细胞性传统上被认为是互斥的1,6,7,8，极少例外9，进化假说已探讨为何多细胞性可能向一个或另一个极端分化3,4。目前已知动物及其姐妹群体领鞭虫仅通过克隆性获得多细胞性4,10,11。在此我们展示领鞭虫Choanoeca flexa12通过多种机制形成可运动和可收缩的细胞单层（片）——C. flexa片</w:t>
      </w:r>
    </w:p>
    <w:p>
      <w:pPr>
        <w:spacing w:before="0" w:after="200" w:lineRule="auto" w:line="276"/>
      </w:pPr>
      <w:r>
        <w:rPr>
          <w:b/>
        </w:rPr>
        <w:t xml:space="preserve">Abstract (EN): </w:t>
      </w:r>
      <w:r>
        <w:t>Multicellularity evolved independently multiple times in eukaryotes1,2,3,4. Two distinct mechanisms underpin multicellularity5: clonality (serial cell division without sister-cell separation) and aggregation (whereby independent cells assemble into a multicellular entity). Clonal and aggregative multicellularity are traditionally considered to be mutually exclusive1,6,7,8, with rare exceptions9, and evolutionary hypotheses have addressed why multicellularity might diverge towards one or the other extreme3,4. Both animals and their sister group, the choanoflagellates, are currently known to acquire multicellularity only clonally4,10,11. Here we show that the choanoflagellate Choanoeca flexa12 forms motile and contractile cell monolayers (sheets) through multiple mechanisms—C. flexa sheets can form purely clonally, purely aggregatively or through a combination of both processes. We characterize the life history of C. flexa in its natural environment—ephemeral splash pools on the island of Curaçao—and show that C. flexa undergoes reversible transitions between unicellularity and multicellularity during evaporation–refilling cycles. Different splash pools house genetically distinct strains of C. flexa and kin recognition constrains aggregation between them. We show that clonal-aggregative multicellularity is a versatile strategy for the robust establishment of multicellularity in this variable and fast-fluctuating environment. Our findings challenge former generalizations about choanoflagellates and expand the option space of choanozoan multicellularity.</w:t>
      </w:r>
    </w:p>
    <w:p>
      <w:pPr>
        <w:spacing w:before="120" w:after="120"/>
      </w:pPr>
      <w:r>
        <w:rPr>
          <w:sz w:val="18"/>
        </w:rPr>
        <w:t>——————————————————————————————————————————————————————————————————————</w:t>
      </w:r>
    </w:p>
    <w:p>
      <w:pPr>
        <w:spacing w:before="160" w:after="40" w:line="240" w:lineRule="auto"/>
      </w:pPr>
      <w:r>
        <w:rPr>
          <w:b/>
        </w:rPr>
        <w:t xml:space="preserve">[149] </w:t>
      </w:r>
      <w:hyperlink r:id="rId375">
        <w:r>
          <w:rPr>
            <w:color w:val="1155CC"/>
            <w:u w:val="single"/>
          </w:rPr>
          <w:t>Ångström尺度的Janus孔作为气体流动整流器</w:t>
        </w:r>
      </w:hyperlink>
    </w:p>
    <w:p>
      <w:pPr>
        <w:spacing w:before="0" w:after="80"/>
      </w:pPr>
      <w:r>
        <w:rPr>
          <w:i/>
          <w:sz w:val="20"/>
        </w:rPr>
        <w:t>EN: An ångström-scale Janus aperture as a gas flow rectifier</w:t>
      </w:r>
    </w:p>
    <w:p>
      <w:pPr>
        <w:spacing w:before="0" w:after="120"/>
      </w:pPr>
      <w:r>
        <w:rPr>
          <w:b/>
        </w:rPr>
        <w:t xml:space="preserve">Source: </w:t>
      </w:r>
      <w:r>
        <w:t>Nature Materials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在受限空间中的定向质量传输对生命和水-能源-环境纽带至关重要。尽管在理解生物和设计原子尺度的人工离子二极管方面取得了进展，但整流电中性分子流仍然是一个挑战。在此，我们探索了通过石墨烯中一个埃尺寸的Janus孔径的气体传输，该孔径是通过反馈控制的臭氧蚀刻创建的，并且在边缘不对称分布含氧官能团。测量了十种具有不同组成、形状和大小的分子代表性气体。渗透系数表明能量障碍控制的传输。对于包括氪、氙、氢、氧、氮、碳在内的七种不同物质，始终观察到整流流动。</w:t>
      </w:r>
    </w:p>
    <w:p>
      <w:pPr>
        <w:spacing w:before="0" w:after="200" w:lineRule="auto" w:line="276"/>
      </w:pPr>
      <w:r>
        <w:rPr>
          <w:b/>
        </w:rPr>
        <w:t xml:space="preserve">Abstract (EN): </w:t>
      </w:r>
      <w:r>
        <w:t>Directional mass transport in confined space is crucial to life and the water–energy–environment nexus. Despite progress in understanding biological and designing artificial ionic diodes at the atomic scale, rectifying charge-neutral molecular flow remains a challenge. Here we explore gas transport through an ångström-sized Janus aperture in graphene, which is created by feedback-controlled ozone etching and features oxygen-containing functional groups asymmetrically distributed around the edge. Ten representative gases with molecules of varying compositions, shapes and sizes were measured. The permeation coefficients indicate energy barrier-controlled transport. Rectified flow was consistently observed for seven different species including krypton, xenon, hydrogen, oxygen, nitrogen, carbon dioxide and nitrous oxide, with rectification ratios of up to two orders of magnitude for oxygen. We also performed high-throughput density functional theory calculations, obtaining energy barriers that vary distinctly as the flow direction is flipped, in agreement with experimental measurements and ab initio molecular dynamics simulations. We reveal the impact of the molecular polarizability on the rectified gas flow, while the important role of dipole and higher-order moments remains to be elucidated.</w:t>
      </w:r>
    </w:p>
    <w:p>
      <w:pPr>
        <w:spacing w:before="120" w:after="120"/>
      </w:pPr>
      <w:r>
        <w:rPr>
          <w:sz w:val="18"/>
        </w:rPr>
        <w:t>——————————————————————————————————————————————————————————————————————</w:t>
      </w:r>
    </w:p>
    <w:p>
      <w:pPr>
        <w:spacing w:before="160" w:after="40" w:line="240" w:lineRule="auto"/>
      </w:pPr>
      <w:r>
        <w:rPr>
          <w:b/>
        </w:rPr>
        <w:t xml:space="preserve">[150] </w:t>
      </w:r>
      <w:hyperlink r:id="rId376">
        <w:r>
          <w:rPr>
            <w:color w:val="1155CC"/>
            <w:u w:val="single"/>
          </w:rPr>
          <w:t>在不增加财政负担的情况下实现企业协调：煤炭废物管理的新政策途径</w:t>
        </w:r>
      </w:hyperlink>
    </w:p>
    <w:p>
      <w:pPr>
        <w:spacing w:before="0" w:after="80"/>
      </w:pPr>
      <w:r>
        <w:rPr>
          <w:i/>
          <w:sz w:val="20"/>
        </w:rPr>
        <w:t>EN: Enabling enterprise coordination without fiscal burden: New policy pathways for coal waste management</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[151] </w:t>
      </w:r>
      <w:hyperlink r:id="rId377">
        <w:r>
          <w:rPr>
            <w:color w:val="1155CC"/>
            <w:u w:val="single"/>
          </w:rPr>
          <w:t>评估电池电动重型车辆充电负荷对冰岛输配电系统的影响</w:t>
        </w:r>
      </w:hyperlink>
    </w:p>
    <w:p>
      <w:pPr>
        <w:spacing w:before="0" w:after="80"/>
      </w:pPr>
      <w:r>
        <w:rPr>
          <w:i/>
          <w:sz w:val="20"/>
        </w:rPr>
        <w:t>EN: Impact assessment of battery-electric HDVs charging loads on the transmission and distribution system in Iceland</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[152] </w:t>
      </w:r>
      <w:hyperlink r:id="rId378">
        <w:r>
          <w:rPr>
            <w:color w:val="1155CC"/>
            <w:u w:val="single"/>
          </w:rPr>
          <w:t>居民参与需求响应计划的财务激励和内在动机</w:t>
        </w:r>
      </w:hyperlink>
    </w:p>
    <w:p>
      <w:pPr>
        <w:spacing w:before="0" w:after="80"/>
      </w:pPr>
      <w:r>
        <w:rPr>
          <w:i/>
          <w:sz w:val="20"/>
        </w:rPr>
        <w:t>EN: Financial incentives and intrinsic motives for residents’ participation in demand response programs</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[153] </w:t>
      </w:r>
      <w:hyperlink r:id="rId379">
        <w:r>
          <w:rPr>
            <w:color w:val="1155CC"/>
            <w:u w:val="single"/>
          </w:rPr>
          <w:t>更正：欧洲ETS-2的区域不平等 [能源政策 208 (2026) 114891]</w:t>
        </w:r>
      </w:hyperlink>
    </w:p>
    <w:p>
      <w:pPr>
        <w:spacing w:before="0" w:after="80"/>
      </w:pPr>
      <w:r>
        <w:rPr>
          <w:i/>
          <w:sz w:val="20"/>
        </w:rPr>
        <w:t>EN: Corrigendum to: Regional inequality of the European ETS-2 [Energy policy 208 (2026) 114891]</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[154] </w:t>
      </w:r>
      <w:hyperlink r:id="rId380">
        <w:r>
          <w:rPr>
            <w:color w:val="1155CC"/>
            <w:u w:val="single"/>
          </w:rPr>
          <w:t>旋转胶体组装体表现出机械超材料行为</w:t>
        </w:r>
      </w:hyperlink>
    </w:p>
    <w:p>
      <w:pPr>
        <w:spacing w:before="0" w:after="80"/>
      </w:pPr>
      <w:r>
        <w:rPr>
          <w:i/>
          <w:sz w:val="20"/>
        </w:rPr>
        <w:t>EN: Pivoting colloidal assemblies exhibit mechanical metamaterial behaviour</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生物机器使用可以由布朗运动波动驱动的目标变形。然而，尽管合成微型机器可以类似地利用目标变形，但它们过于刚性，无法由热波动驱动，需要强迫1,2,3。此外，能够通过热波动改变构型的系统要么无法控制4,5，要么需要外部控制6。在此，我们使用基于DNA的滑动接触7,8,9创建胶体枢轴，刚性各向异性物体可以自由地围绕其枢轴点波动，并使用分层策略将这些组装成具有目标变形模式的布朗变形材料。我们实现了典型的旋转菱形和旋转三角形或kagome几何结构，并定量展示了热波动如何影响这些结构。</w:t>
      </w:r>
    </w:p>
    <w:p>
      <w:pPr>
        <w:spacing w:before="0" w:after="200" w:lineRule="auto" w:line="276"/>
      </w:pPr>
      <w:r>
        <w:rPr>
          <w:b/>
        </w:rPr>
        <w:t xml:space="preserve">Abstract (EN): </w:t>
      </w:r>
      <w:r>
        <w:t>Biological machines use targeted deformations that can be actuated by Brownian fluctuations. However, although synthetic micromachines can similarly make use of targeted deformations, they are too stiff to be driven by thermal fluctuations and require strong forcing1,2,3. Furthermore, systems that are able to change their conformation by thermal fluctuations do so uncontrollably4,5 or require external control6. Here we use DNA-based sliding contacts7,8,9 to create colloidal pivots, rigid anisotropic objects that freely fluctuate around their pivot point and use a hierarchical strategy to assemble these into Brownian metamaterials with targeted deformation modes. We realize the archetypical rotating diamond and rotating triangle, or kagome, geometries and quantitatively show how thermal fluctuations drive their predicted auxetic deformations10,11,12,13,14,15. Finally, we implement magnetic particles into the colloidal pivots to achieve colloidal metamaterials that can be controlled externally as well as use Brownian fluctuations for precisely controlled shape changes. Together, our work introduces a strategy for creating Brownian mechanical metamaterials with easily actuatable deformation modes.</w:t>
      </w:r>
    </w:p>
    <w:p>
      <w:pPr>
        <w:spacing w:before="120" w:after="120"/>
      </w:pPr>
      <w:r>
        <w:rPr>
          <w:sz w:val="18"/>
        </w:rPr>
        <w:t>——————————————————————————————————————————————————————————————————————</w:t>
      </w:r>
    </w:p>
    <w:p>
      <w:pPr>
        <w:spacing w:before="160" w:after="40" w:line="240" w:lineRule="auto"/>
      </w:pPr>
      <w:r>
        <w:rPr>
          <w:b/>
        </w:rPr>
        <w:t xml:space="preserve">[155] </w:t>
      </w:r>
      <w:hyperlink r:id="rId381">
        <w:r>
          <w:rPr>
            <w:color w:val="1155CC"/>
            <w:u w:val="single"/>
          </w:rPr>
          <w:t>历史大气氢水平的首个冰芯记录</w:t>
        </w:r>
      </w:hyperlink>
    </w:p>
    <w:p>
      <w:pPr>
        <w:spacing w:before="0" w:after="80"/>
      </w:pPr>
      <w:r>
        <w:rPr>
          <w:i/>
          <w:sz w:val="20"/>
        </w:rPr>
        <w:t>EN: The first ice-core record of historical atmospheric hydrogen levels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382">
        <w:r>
          <w:rPr>
            <w:color w:val="1155CC"/>
            <w:u w:val="single"/>
          </w:rPr>
          <w:t>布基纳法索家庭使用丁烷气体的决定因素：道路通达性的作用</w:t>
        </w:r>
      </w:hyperlink>
    </w:p>
    <w:p>
      <w:pPr>
        <w:spacing w:before="0" w:after="80"/>
      </w:pPr>
      <w:r>
        <w:rPr>
          <w:i/>
          <w:sz w:val="20"/>
        </w:rPr>
        <w:t>EN: Determinants of butane gas use by households in Burkina Faso: the role of road access</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[157] </w:t>
      </w:r>
      <w:hyperlink r:id="rId383">
        <w:r>
          <w:rPr>
            <w:color w:val="1155CC"/>
            <w:u w:val="single"/>
          </w:rPr>
          <w:t>自发失效在活性向列型固体中的拓扑控制</w:t>
        </w:r>
      </w:hyperlink>
    </w:p>
    <w:p>
      <w:pPr>
        <w:spacing w:before="0" w:after="80"/>
      </w:pPr>
      <w:r>
        <w:rPr>
          <w:i/>
          <w:sz w:val="20"/>
        </w:rPr>
        <w:t>EN: Topological control of spontaneous failure in active nematic solids</w:t>
      </w:r>
    </w:p>
    <w:p>
      <w:pPr>
        <w:spacing w:before="0" w:after="120"/>
      </w:pPr>
      <w:r>
        <w:rPr>
          <w:b/>
        </w:rPr>
        <w:t xml:space="preserve">Source: </w:t>
      </w:r>
      <w:r>
        <w:t>Nature Materials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活性固体利用能量流入产生非平衡力会发生自发的机械失效，但拓扑缺陷如何集中内部应力并控制活性材料的破坏仍然未知。在此，我们组装了一个重构的二维肌动蛋白-肌球蛋白网络，该网络缺乏流动性但表现出向列有序和网络弹性。令人惊讶的是，我们发现相互作用的多缺陷配置，特别是具有两个+1/2和两个−1/2缺陷的缺陷四极子，起着关键作用。结合实验数据和活性固体断裂模型，我们证明了具有相互面对的+1/2缺陷的头部四极子可以触发裂纹开启和材料撕裂。同时，具有相互对立的+1/2缺陷的尾部四极子驱动瞬时纤维聚集</w:t>
      </w:r>
    </w:p>
    <w:p>
      <w:pPr>
        <w:spacing w:before="0" w:after="200" w:lineRule="auto" w:line="276"/>
      </w:pPr>
      <w:r>
        <w:rPr>
          <w:b/>
        </w:rPr>
        <w:t xml:space="preserve">Abstract (EN): </w:t>
      </w:r>
      <w:r>
        <w:t>Active solids using energy influx to generate non-equilibrium forces undergo spontaneous mechanical failure, but how topological defects concentrate internal stresses and control breakage in active materials is unknown. Here we assemble a reconstituted two-dimensional actomyosin network that lacks fluidity but exhibits nematic order and network elasticity. Surprisingly, we found that interacting multidefect configurations, especially defect quadrupoles with two +1/2 and two −1/2 defects, play a crucial role. Combining experimental data with an active solid fracture model, we demonstrate that a head quadrupole with mutually facing +1/2 defects can trigger crack opening and material tearing. Meanwhile, tail quadrupoles with mutually opposing +1/2 defects drive transient filament clustering and condenses into asters. We establish a deep learning model to predict the eventual aster formation from the initial topological structures. Our work uncovers a defect-mediated mechanism for spontaneous failure in active solids and provides topological design principles for controlling targeted damage in soft and living systems across scales.</w:t>
      </w:r>
    </w:p>
    <w:p>
      <w:pPr>
        <w:spacing w:before="120" w:after="120"/>
      </w:pPr>
      <w:r>
        <w:rPr>
          <w:sz w:val="18"/>
        </w:rPr>
        <w:t>——————————————————————————————————————————————————————————————————————</w:t>
      </w:r>
    </w:p>
    <w:p>
      <w:pPr>
        <w:spacing w:before="160" w:after="40" w:line="240" w:lineRule="auto"/>
      </w:pPr>
      <w:r>
        <w:rPr>
          <w:b/>
        </w:rPr>
        <w:t xml:space="preserve">[158] </w:t>
      </w:r>
      <w:hyperlink r:id="rId384">
        <w:r>
          <w:rPr>
            <w:color w:val="1155CC"/>
            <w:u w:val="single"/>
          </w:rPr>
          <w:t>出版商更正：通过LaMn1−xCuxO3光催化脱氢乙烷生产乙烯</w:t>
        </w:r>
      </w:hyperlink>
    </w:p>
    <w:p>
      <w:pPr>
        <w:spacing w:before="0" w:after="80"/>
      </w:pPr>
      <w:r>
        <w:rPr>
          <w:i/>
          <w:sz w:val="20"/>
        </w:rPr>
        <w:t>EN: Publisher Correction: Ethylene production via photocatalytic dehydrogenation of ethane using LaMn1−xCuxO3</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[159] </w:t>
      </w:r>
      <w:hyperlink r:id="rId385">
        <w:r>
          <w:rPr>
            <w:color w:val="1155CC"/>
            <w:u w:val="single"/>
          </w:rPr>
          <w:t>特异性CD4+ T细胞慢性刺激自体反应性B细胞在小鼠中发展为B淋巴瘤</w:t>
        </w:r>
      </w:hyperlink>
    </w:p>
    <w:p>
      <w:pPr>
        <w:spacing w:before="0" w:after="80"/>
      </w:pPr>
      <w:r>
        <w:rPr>
          <w:i/>
          <w:sz w:val="20"/>
        </w:rPr>
        <w:t>EN: Idiotype-specific CD4+ T cells chronically stimulate autoreactive B cells to develop into B lymphomas in mice</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自身免疫增加了人类患B淋巴瘤的风险；然而，这一联系背后的分子机制仍未得到解释。在此，我们开发了一种小鼠模型来剖析Id驱动的T-B协作的贡献，并显示B细胞和CD4+ T细胞之间的慢性相互作用首先导致自身免疫，随后导致B（和T）细胞淋巴瘤的发展。我们发现血清自身抗体和淋巴瘤B细胞受体（BCR）相关，并对普遍存在的自身抗原（组蛋白和核小体）具有相同的特异性（信号1）。自反应性B淋巴瘤细胞得到识别淋巴瘤新抗原的CD4+ T细胞的帮助，这是一种MHC II类呈递的特异性Id肽（信号2）。这种机制称为Id驱动的T-B协作，导致无情的mu</w:t>
      </w:r>
    </w:p>
    <w:p>
      <w:pPr>
        <w:spacing w:before="0" w:after="200" w:lineRule="auto" w:line="276"/>
      </w:pPr>
      <w:r>
        <w:rPr>
          <w:b/>
        </w:rPr>
        <w:t xml:space="preserve">Abstract (EN): </w:t>
      </w:r>
      <w:r>
        <w:t>Autoimmunity increases the risk of developing B lymphoma in humans; however, the molecular mechanism(s) underlying this link remain(s) unexplained. Here, we develop a mouse model to dissect the contribution of Id-driven T-B collaboration and show that chronic interaction between B cells and CD4+ T cells first leads to autoimmunity and later to the development of B (and T) cell lymphomas. We find that serum autoantibodies and lymphoma B cell receptor (BCR) are related and have the same specificity for ubiquitous self-antigens (histone and nucleosome) (Signal 1). Self-reactive B lymphoma cells are helped by CD4+ T cells that recognize a lymphoma neoantigen, an MHC class II-presented Idiotypic (Id) peptide (Signal 2). The mechanism, called Id-driven T-B collaboration, results in relentless mutual stimulation of B and T cells with germinal center markers, autoimmunity, and finally, malignant transformation of either B or T cells. Our results thus indicate Id-driven T-B collaboration as a potential mechanism linking autoimmunity and the development of lymphomas.</w:t>
      </w:r>
    </w:p>
    <w:p>
      <w:pPr>
        <w:spacing w:before="120" w:after="120"/>
      </w:pPr>
      <w:r>
        <w:rPr>
          <w:sz w:val="18"/>
        </w:rPr>
        <w:t>——————————————————————————————————————————————————————————————————————</w:t>
      </w:r>
    </w:p>
    <w:p>
      <w:pPr>
        <w:spacing w:before="160" w:after="40" w:line="240" w:lineRule="auto"/>
      </w:pPr>
      <w:r>
        <w:rPr>
          <w:b/>
        </w:rPr>
        <w:t xml:space="preserve">[160] </w:t>
      </w:r>
      <w:hyperlink r:id="rId386">
        <w:r>
          <w:rPr>
            <w:color w:val="1155CC"/>
            <w:u w:val="single"/>
          </w:rPr>
          <w:t>地震和闪电如何帮助解释吱吱作响的运动鞋</w:t>
        </w:r>
      </w:hyperlink>
    </w:p>
    <w:p>
      <w:pPr>
        <w:spacing w:before="0" w:after="80"/>
      </w:pPr>
      <w:r>
        <w:rPr>
          <w:i/>
          <w:sz w:val="20"/>
        </w:rPr>
        <w:t>EN: How earthquakes and lightning help explain squeaky sneakers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387">
        <w:r>
          <w:rPr>
            <w:color w:val="1155CC"/>
            <w:u w:val="single"/>
          </w:rPr>
          <w:t>用STM探测场诱导响应的局限性</w:t>
        </w:r>
      </w:hyperlink>
    </w:p>
    <w:p>
      <w:pPr>
        <w:spacing w:before="0" w:after="80"/>
      </w:pPr>
      <w:r>
        <w:rPr>
          <w:i/>
          <w:sz w:val="20"/>
        </w:rPr>
        <w:t>EN: Limitations of probing field-induced response with STM</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388">
        <w:r>
          <w:rPr>
            <w:color w:val="1155CC"/>
            <w:u w:val="single"/>
          </w:rPr>
          <w:t>在不确定性下建模和解决机组组合约束筛选</w:t>
        </w:r>
      </w:hyperlink>
    </w:p>
    <w:p>
      <w:pPr>
        <w:spacing w:before="0" w:after="80"/>
      </w:pPr>
      <w:r>
        <w:rPr>
          <w:i/>
          <w:sz w:val="20"/>
        </w:rPr>
        <w:t>EN: Modeling and tackling unit commitment constraint screening under uncertainty</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389">
        <w:r>
          <w:rPr>
            <w:color w:val="1155CC"/>
            <w:u w:val="single"/>
          </w:rPr>
          <w:t>高性能锂/钠离子电容器电极的缺陷工程：机制、进展和未来展望</w:t>
        </w:r>
      </w:hyperlink>
    </w:p>
    <w:p>
      <w:pPr>
        <w:spacing w:before="0" w:after="80"/>
      </w:pPr>
      <w:r>
        <w:rPr>
          <w:i/>
          <w:sz w:val="20"/>
        </w:rPr>
        <w:t>EN: Defect engineering for high-performance lithium/sodium-ion capacitor electrodes: mechanisms, advances, and future perspectives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390">
        <w:r>
          <w:rPr>
            <w:color w:val="1155CC"/>
            <w:u w:val="single"/>
          </w:rPr>
          <w:t>铜催化的动态动力学(4+1)环化1,3-炔烃用于手性选择性芳基吡咯合成</w:t>
        </w:r>
      </w:hyperlink>
    </w:p>
    <w:p>
      <w:pPr>
        <w:spacing w:before="0" w:after="80"/>
      </w:pPr>
      <w:r>
        <w:rPr>
          <w:i/>
          <w:sz w:val="20"/>
        </w:rPr>
        <w:t>EN: Copper-catalysed dynamic kinetic (4+1) cyclization of 1,3-enynes for atroposelective arylpyrrole synthesis</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轴向手性芳基吡咯是一类具有广泛应用前景的化合物，在催化、药物化学和材料科学中具有广泛应用。在此，我们报道了一种铜催化的动态动力学不对称(4 + 1)环化反应，用于从1,3-炔烃和胺中对映选择性合成具有单一立体轴或1,2-轴的芳基吡咯。这种动态动力学不对称转化使用手性Cu/Pybox复合物，以空气为氧化剂，DABCO作为碱和质子传递体。一个关键特征是氮杂-Michael加成的可逆性，这使得远端C–N键的动态形成/断裂成为可能。5-endo-dig环化既是速率决定步骤又是立体决定步骤，确保了近端立体中心的精确立体控制</w:t>
      </w:r>
    </w:p>
    <w:p>
      <w:pPr>
        <w:spacing w:before="0" w:after="200" w:lineRule="auto" w:line="276"/>
      </w:pPr>
      <w:r>
        <w:rPr>
          <w:b/>
        </w:rPr>
        <w:t xml:space="preserve">Abstract (EN): </w:t>
      </w:r>
      <w:r>
        <w:t>Axially chiral arylpyrroles are a promising class of compounds with broad applications in catalysis, medicinal chemistry, and materials science. Herein, we report a copper-catalysed dynamic kinetic asymmetric (4 + 1) cyclization for the atroposelective synthesis of arylpyrroles bearing a single stereogenic axis or 1,2-diaxes from 1,3-enynes and amines. This dynamic kinetic asymmetric transformation employs a chiral Cu/Pybox complex, with air as the oxidant and DABCO serving as both a base and a proton shuttle. A key feature is the reversibility of the aza-Michael addition, which enables the dynamic formation/cleavage of distal C–N bonds. The 5-endo-dig cyclization serves as both the rate-determining and stereodetermining step, ensuring precise stereocontrol of the proximal stereocenters by the catalyst. This strategy overcomes long-standing challenges in the stereocontrol of distal C–N bond formation and enables the synthesis of atropisomeric DMAP catalysts with two stereogenic axes. DFT calculations provide insights into the mechanism of stereocontrol.</w:t>
      </w:r>
    </w:p>
    <w:p>
      <w:pPr>
        <w:spacing w:before="120" w:after="120"/>
      </w:pPr>
      <w:r>
        <w:rPr>
          <w:sz w:val="18"/>
        </w:rPr>
        <w:t>——————————————————————————————————————————————————————————————————————</w:t>
      </w:r>
    </w:p>
    <w:p>
      <w:pPr>
        <w:spacing w:before="160" w:after="40" w:line="240" w:lineRule="auto"/>
      </w:pPr>
      <w:r>
        <w:rPr>
          <w:b/>
        </w:rPr>
        <w:t xml:space="preserve">[165] </w:t>
      </w:r>
      <w:hyperlink r:id="rId391">
        <w:r>
          <w:rPr>
            <w:color w:val="1155CC"/>
            <w:u w:val="single"/>
          </w:rPr>
          <w:t>灵活的24/7能源交付的混合电力购买协议——当前实践和研究路径的综合评审</w:t>
        </w:r>
      </w:hyperlink>
    </w:p>
    <w:p>
      <w:pPr>
        <w:spacing w:before="0" w:after="80"/>
      </w:pPr>
      <w:r>
        <w:rPr>
          <w:i/>
          <w:sz w:val="20"/>
        </w:rPr>
        <w:t>EN: Hybrid power purchase agreements for flexible 24/7 Energy delivery – A comprehensive review of current practices and research pathways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392">
        <w:r>
          <w:rPr>
            <w:color w:val="1155CC"/>
            <w:u w:val="single"/>
          </w:rPr>
          <w:t>政策研究的临时期刊：临时标题能否提供答案？</w:t>
        </w:r>
      </w:hyperlink>
    </w:p>
    <w:p>
      <w:pPr>
        <w:spacing w:before="0" w:after="80"/>
      </w:pPr>
      <w:r>
        <w:rPr>
          <w:i/>
          <w:sz w:val="20"/>
        </w:rPr>
        <w:t>EN: Pop-up journals for policy research: can temporary titles deliver answers?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393">
        <w:r>
          <w:rPr>
            <w:color w:val="1155CC"/>
            <w:u w:val="single"/>
          </w:rPr>
          <w:t>动态聚合物注释库：材料科学文献的自动化整理方法</w:t>
        </w:r>
      </w:hyperlink>
    </w:p>
    <w:p>
      <w:pPr>
        <w:spacing w:before="0" w:after="80"/>
      </w:pPr>
      <w:r>
        <w:rPr>
          <w:i/>
          <w:sz w:val="20"/>
        </w:rPr>
        <w:t>EN: The Dynamic Polymer Annotated Library: An automated approach to curating materials science literature</w:t>
      </w:r>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动态聚合物注释库（DPAL）是一个经过同行评审研究注释的库，旨在通过重新设计一种常见的医学领域实践（系统文献检索）来填补材料科学领域的知识空白，使其更适用于材料设计问题。</w:t>
      </w:r>
    </w:p>
    <w:p>
      <w:pPr>
        <w:spacing w:before="0" w:after="200" w:lineRule="auto" w:line="276"/>
      </w:pPr>
      <w:r>
        <w:rPr>
          <w:b/>
        </w:rPr>
        <w:t xml:space="preserve">Abstract (EN): </w:t>
      </w:r>
      <w:r>
        <w:t>Dynamic Polymer Annotated Library (DPAL) is an annotated library of peer-reviewed research that aims to fill a knowledge gap in the materials science field by re-designing a common medical field practice (the systematic literature search) to be more applicable and universal to materials design questions.</w:t>
      </w:r>
    </w:p>
    <w:p>
      <w:pPr>
        <w:spacing w:before="120" w:after="120"/>
      </w:pPr>
      <w:r>
        <w:rPr>
          <w:sz w:val="18"/>
        </w:rPr>
        <w:t>——————————————————————————————————————————————————————————————————————</w:t>
      </w:r>
    </w:p>
    <w:p>
      <w:pPr>
        <w:spacing w:before="160" w:after="40" w:line="240" w:lineRule="auto"/>
      </w:pPr>
      <w:r>
        <w:rPr>
          <w:b/>
        </w:rPr>
        <w:t xml:space="preserve">[168] </w:t>
      </w:r>
      <w:hyperlink r:id="rId394">
        <w:r>
          <w:rPr>
            <w:color w:val="1155CC"/>
            <w:u w:val="single"/>
          </w:rPr>
          <w:t>GrainBot：量化材料中多变量微结构无序</w:t>
        </w:r>
      </w:hyperlink>
    </w:p>
    <w:p>
      <w:pPr>
        <w:spacing w:before="0" w:after="80"/>
      </w:pPr>
      <w:r>
        <w:rPr>
          <w:i/>
          <w:sz w:val="20"/>
        </w:rPr>
        <w:t>EN: GrainBot: Quantifying multi-variable microstructure disorder in materials</w:t>
      </w:r>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本研究提出了一种由人工智能驱动的分析框架，将复杂的多晶材料显微镜图像转化为定量的、机器可读的数据。通过结合深度学习与可解释性分析，该工具包实现了精确的晶粒级表征，并揭示了结构特征之间的隐藏关系。除了推动数据驱动的材料研究外，它还连接了人类观察与自动化实验，为材料科学中的闭环发现和自驱动实验室铺平了道路。</w:t>
      </w:r>
    </w:p>
    <w:p>
      <w:pPr>
        <w:spacing w:before="0" w:after="200" w:lineRule="auto" w:line="276"/>
      </w:pPr>
      <w:r>
        <w:rPr>
          <w:b/>
        </w:rPr>
        <w:t xml:space="preserve">Abstract (EN): </w:t>
      </w:r>
      <w:r>
        <w:t>This study presents an AI-powered analytical framework that transforms complex microscope images of polycrystalline materials into quantitative, machine-readable data. By combining deep learning with interpretable analysis, the toolkit enables precise grain-level characterization and reveals hidden relationships among structural features. Beyond advancing data-driven materials research, it also bridges human observation and automated experimentation, paving the way for closed-loop discovery and self-driving laboratories in materials science.</w:t>
      </w:r>
    </w:p>
    <w:p>
      <w:pPr>
        <w:spacing w:before="120" w:after="120"/>
      </w:pPr>
      <w:r>
        <w:rPr>
          <w:sz w:val="18"/>
        </w:rPr>
        <w:t>——————————————————————————————————————————————————————————————————————</w:t>
      </w:r>
    </w:p>
    <w:p>
      <w:pPr>
        <w:spacing w:before="160" w:after="40" w:line="240" w:lineRule="auto"/>
      </w:pPr>
      <w:r>
        <w:rPr>
          <w:b/>
        </w:rPr>
        <w:t xml:space="preserve">[169] </w:t>
      </w:r>
      <w:hyperlink r:id="rId395">
        <w:r>
          <w:rPr>
            <w:color w:val="1155CC"/>
            <w:u w:val="single"/>
          </w:rPr>
          <w:t>高熵工程的石榴石陶瓷实现3D动态高温成像和热保护</w:t>
        </w:r>
      </w:hyperlink>
    </w:p>
    <w:p>
      <w:pPr>
        <w:spacing w:before="0" w:after="80"/>
      </w:pPr>
      <w:r>
        <w:rPr>
          <w:i/>
          <w:sz w:val="20"/>
        </w:rPr>
        <w:t>EN: High-entropy engineering of garnet ceramics enables 3D dynamic high-temperature imaging and thermal protecting</w:t>
      </w:r>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我们的研究提出了一种高熵工程方法，用于开发具有热传感器和屏障双重功能的陶瓷。经过高熵工程后，它表现出优越的热屏障性能。通过Tb3+到Eu3+的交叉弛豫介导的能量转移过程，突破了超高温下的理论测温灵敏度限制，并展示了其在航空航天工业中进行3D动态高温成像的潜力。</w:t>
      </w:r>
    </w:p>
    <w:p>
      <w:pPr>
        <w:spacing w:before="0" w:after="200" w:lineRule="auto" w:line="276"/>
      </w:pPr>
      <w:r>
        <w:rPr>
          <w:b/>
        </w:rPr>
        <w:t xml:space="preserve">Abstract (EN): </w:t>
      </w:r>
      <w:r>
        <w:t>Our findings present a high-entropy engineering approach to the development of ceramics with dual functions as thermal sensors and barriers. It exhibits superior thermal barrier properties after high-entropy engineering. The cross relaxation-mediated energy transfer process from Tb3+ to Eu3+ breaks the theoretical thermometry sensitivity limitation at ultrahigh temperatures, and its potential for 3D dynamic high-temperature imaging in the aerospace industry was demonstrated.</w:t>
      </w:r>
    </w:p>
    <w:p>
      <w:pPr>
        <w:spacing w:before="120" w:after="120"/>
      </w:pPr>
      <w:r>
        <w:rPr>
          <w:sz w:val="18"/>
        </w:rPr>
        <w:t>——————————————————————————————————————————————————————————————————————</w:t>
      </w:r>
    </w:p>
    <w:p>
      <w:pPr>
        <w:spacing w:before="160" w:after="40" w:line="240" w:lineRule="auto"/>
      </w:pPr>
      <w:r>
        <w:rPr>
          <w:b/>
        </w:rPr>
        <w:t xml:space="preserve">[170] </w:t>
      </w:r>
      <w:hyperlink r:id="rId396">
        <w:r>
          <w:rPr>
            <w:color w:val="1155CC"/>
            <w:u w:val="single"/>
          </w:rPr>
          <w:t>通过Li2SnS3界面调控硫化锌铜铟镓太阳能电池的晶粒生长，认证效率超过15%</w:t>
        </w:r>
      </w:hyperlink>
    </w:p>
    <w:p>
      <w:pPr>
        <w:spacing w:before="0" w:after="80"/>
      </w:pPr>
      <w:r>
        <w:rPr>
          <w:i/>
          <w:sz w:val="20"/>
        </w:rPr>
        <w:t>EN: Regulating grain growth via Li2SnS3 interphase in kesterite solar cells with certified efficiencies exceeding 15%</w:t>
      </w:r>
    </w:p>
    <w:p>
      <w:pPr>
        <w:spacing w:before="0" w:after="120"/>
      </w:pPr>
      <w:r>
        <w:rPr>
          <w:b/>
        </w:rPr>
        <w:t xml:space="preserve">Source: </w:t>
      </w:r>
      <w:r>
        <w:t>Nature Energy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硒化反应过程是决定Cu2ZnSn(S,Se)4薄膜质量的关键步骤。在硒化过程中，金属离子迁移动力学的不平衡导致深能级缺陷的高浓度，导致开路电压的显著损失。在这项工作中，我们报道了一种Li2SnS3界面策略，以修改阳离子迁移路径并平衡Zn2+/Sn4+迁移差异。Li2SnS3界面选择性地包裹Cu2Sn(S,Se)3中间颗粒，作为离子迁移的速率决定层。界面中Zn2+/Sn4+迁移势垒差异从Cu2Sn(S,Se)3中的0.41 eV降低到Li2SnS3中的0.21 eV，这促进了更大、更均匀、高结晶度颗粒的形成。因此，器件效率从13.86%提高到</w:t>
      </w:r>
    </w:p>
    <w:p>
      <w:pPr>
        <w:spacing w:before="0" w:after="200" w:lineRule="auto" w:line="276"/>
      </w:pPr>
      <w:r>
        <w:rPr>
          <w:b/>
        </w:rPr>
        <w:t xml:space="preserve">Abstract (EN): </w:t>
      </w:r>
      <w:r>
        <w:t>The selenization reaction process is the key step in determining the quality of Cu2ZnSn(S,Se)4 thin films. Imbalanced migration kinetics of metal ions during selenization led to high concentrations of deep-level defects, resulting in dramatic open-circuit voltage loss. In this work, we reported a Li2SnS3 interphase strategy to modify cation migration paths and balance Zn2+/Sn4+ migration differences. The Li2SnS3 interphase selectively encapsulates the Cu2Sn(S,Se)3 intermediate grains, serving as the rate-determining layer for ion migration. The Zn2+/Sn4+ migration barrier difference in the interphase decreases from 0.41 eV in Cu2Sn(S,Se)3 to 0.21 eV in Li2SnS3, which promotes the formation of larger, uniform, high-crystallinity grains. As a result, device efficiency improves from 13.86% to 15.45% (certified at 15.04%), and open-circuit voltage reaches 602 mV at a bandgap of 1.10 eV.</w:t>
      </w:r>
    </w:p>
    <w:p>
      <w:pPr>
        <w:spacing w:before="120" w:after="120"/>
      </w:pPr>
      <w:r>
        <w:rPr>
          <w:sz w:val="18"/>
        </w:rPr>
        <w:t>——————————————————————————————————————————————————————————————————————</w:t>
      </w:r>
    </w:p>
    <w:p>
      <w:pPr>
        <w:spacing w:before="160" w:after="40" w:line="240" w:lineRule="auto"/>
      </w:pPr>
      <w:r>
        <w:rPr>
          <w:b/>
        </w:rPr>
        <w:t xml:space="preserve">[171] </w:t>
      </w:r>
      <w:hyperlink r:id="rId397">
        <w:r>
          <w:rPr>
            <w:color w:val="1155CC"/>
            <w:u w:val="single"/>
          </w:rPr>
          <w:t>作者更正：靶向QKI-7在体内恢复糖尿病中的内皮细胞功能</w:t>
        </w:r>
      </w:hyperlink>
    </w:p>
    <w:p>
      <w:pPr>
        <w:spacing w:before="0" w:after="80"/>
      </w:pPr>
      <w:r>
        <w:rPr>
          <w:i/>
          <w:sz w:val="20"/>
        </w:rPr>
        <w:t>EN: Author Correction: Targeting QKI-7 in vivo restores endothelial cell function in diabetes</w:t>
      </w:r>
    </w:p>
    <w:p>
      <w:pPr>
        <w:spacing w:before="0" w:after="120"/>
      </w:pPr>
      <w:r>
        <w:rPr>
          <w:b/>
        </w:rPr>
        <w:t xml:space="preserve">Source: </w:t>
      </w:r>
      <w:r>
        <w:t>Nature Communications</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398">
        <w:r>
          <w:rPr>
            <w:color w:val="1155CC"/>
            <w:u w:val="single"/>
          </w:rPr>
          <w:t>作者更正：调节纳米通道离子信号的真实第一界面的作用</w:t>
        </w:r>
      </w:hyperlink>
    </w:p>
    <w:p>
      <w:pPr>
        <w:spacing w:before="0" w:after="80"/>
      </w:pPr>
      <w:r>
        <w:rPr>
          <w:i/>
          <w:sz w:val="20"/>
        </w:rPr>
        <w:t>EN: Author Correction: Role of the real first interface in regulating ionic signal of nanochannels</w:t>
      </w:r>
    </w:p>
    <w:p>
      <w:pPr>
        <w:spacing w:before="0" w:after="120"/>
      </w:pPr>
      <w:r>
        <w:rPr>
          <w:b/>
        </w:rPr>
        <w:t xml:space="preserve">Source: </w:t>
      </w:r>
      <w:r>
        <w:t>Nature Communications</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[173] </w:t>
      </w:r>
      <w:hyperlink r:id="rId399">
        <w:r>
          <w:rPr>
            <w:color w:val="1155CC"/>
            <w:u w:val="single"/>
          </w:rPr>
          <w:t>离子如何从n型梯形有机混合导体中挤出水分</w:t>
        </w:r>
      </w:hyperlink>
    </w:p>
    <w:p>
      <w:pPr>
        <w:spacing w:before="0" w:after="80"/>
      </w:pPr>
      <w:r>
        <w:rPr>
          <w:i/>
          <w:sz w:val="20"/>
        </w:rPr>
        <w:t>EN: How ions squeeze water out of n-type ladder organic mixed conductors</w:t>
      </w:r>
    </w:p>
    <w:p>
      <w:pPr>
        <w:spacing w:before="0" w:after="120"/>
      </w:pPr>
      <w:r>
        <w:rPr>
          <w:b/>
        </w:rPr>
        <w:t xml:space="preserve">Source: </w:t>
      </w:r>
      <w:r>
        <w:t>Nature Materials</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400">
        <w:r>
          <w:rPr>
            <w:color w:val="1155CC"/>
            <w:u w:val="single"/>
          </w:rPr>
          <w:t>VRAC协调肠上皮细胞在炎症中营养吸收与抗菌防御之间的权衡</w:t>
        </w:r>
      </w:hyperlink>
    </w:p>
    <w:p>
      <w:pPr>
        <w:spacing w:before="0" w:after="80"/>
      </w:pPr>
      <w:r>
        <w:rPr>
          <w:i/>
          <w:sz w:val="20"/>
        </w:rPr>
        <w:t>EN: VRAC coordinates the trade-off between nutrient absorption and antimicrobial defense in enterocytes against inflammation</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肠上皮细胞在不断暴露于渗透波动的同时，介导营养吸收和抗菌肽（AMP）分泌。然而，体积调节阴离子通道（VRAC），一种关键的渗透敏感离子通道，在肠上皮细胞和炎症性肠病（IBD）中的作用仍不清楚。在此，我们表明LRRC8A的肠上皮细胞（IEC）特异性敲除，加剧了结肠炎和炎症相关的结直肠癌。VRAC缺乏症特异性地破坏了肠上皮细胞的成熟和分区，扩大了AMP产生的肠上皮细胞，同时减少了负责营养吸收的肠上皮细胞。视黄酸代谢成为VRAC缺乏IEC中受影响最大的营养途径，伴随着Adh1、Aldh1a2表达和醛脱氢</w:t>
      </w:r>
    </w:p>
    <w:p>
      <w:pPr>
        <w:spacing w:before="0" w:after="200" w:lineRule="auto" w:line="276"/>
      </w:pPr>
      <w:r>
        <w:rPr>
          <w:b/>
        </w:rPr>
        <w:t xml:space="preserve">Abstract (EN): </w:t>
      </w:r>
      <w:r>
        <w:t>Enterocytes mediate both nutrient absorption and antimicrobial peptide (AMP) secretion while constantly exposed to osmotic fluctuations. However, the role of volume-regulated anion channel (VRAC), a key osmo-sensitive ion channel, in enterocytes and inflammatory bowel disease (IBD) remains unclear. Here, we show that intestinal epithelial cell (IEC)-specific knockout of LRRC8A, the essential VRAC subunit, exacerbates colitis and inflammation-associated colorectal cancer. VRAC deficiency specifically disrupts enterocyte maturation and zonation, expanding AMP-producing enterocytes while reducing enterocytes responsible for nutrient absorption. Retinoic acid metabolism emerges as the most affected nutrient pathway in VRAC-deficient IECs, with reduced Adh1, Aldh1a2 expression and aldehyde dehydrogenase activity. Supplementation with retinoic acid reversed inflammation caused by VRAC deficiency. Conversely, VRAC deficiency induced gut microbiota dysbiosis, while administration of Lactobacillus species effectively restored microbial balance and alleviated inflammation. This study delineates the role of VRAC in balancing nutrient absorption and antimicrobial defense in enterocytes to safeguard gut homeostasis.</w:t>
      </w:r>
    </w:p>
    <w:p>
      <w:pPr>
        <w:spacing w:before="120" w:after="120"/>
      </w:pPr>
      <w:r>
        <w:rPr>
          <w:sz w:val="18"/>
        </w:rPr>
        <w:t>——————————————————————————————————————————————————————————————————————</w:t>
      </w:r>
    </w:p>
    <w:p>
      <w:pPr>
        <w:spacing w:before="160" w:after="40" w:line="240" w:lineRule="auto"/>
      </w:pPr>
      <w:r>
        <w:rPr>
          <w:b/>
        </w:rPr>
        <w:t xml:space="preserve">[175] </w:t>
      </w:r>
      <w:hyperlink r:id="rId401">
        <w:r>
          <w:rPr>
            <w:color w:val="1155CC"/>
            <w:u w:val="single"/>
          </w:rPr>
          <w:t>微/纳米尺度3D生物打印：调节细胞/组织生长和功能的变革性方法</w:t>
        </w:r>
      </w:hyperlink>
    </w:p>
    <w:p>
      <w:pPr>
        <w:spacing w:before="0" w:after="80"/>
      </w:pPr>
      <w:r>
        <w:rPr>
          <w:i/>
          <w:sz w:val="20"/>
        </w:rPr>
        <w:t>EN: Micro/Nanoscale 3D Bioprinting: A Transformative Way to Modulate Cell/Tissue Growth and Function</w:t>
      </w:r>
    </w:p>
    <w:p>
      <w:pPr>
        <w:spacing w:before="0" w:after="120"/>
      </w:pPr>
      <w:r>
        <w:rPr>
          <w:b/>
        </w:rPr>
        <w:t xml:space="preserve">Source: </w:t>
      </w:r>
      <w:r>
        <w:t>Wiley: Advanced Materials: Table of Contents</w:t>
      </w:r>
      <w:r>
        <w:t xml:space="preserve">    </w:t>
      </w:r>
      <w:r>
        <w:rPr>
          <w:b/>
        </w:rPr>
        <w:t xml:space="preserve">Pub date: </w:t>
      </w:r>
      <w:r>
        <w:t>2026-02-25 04:08:48+00:00</w:t>
      </w:r>
      <w:r>
        <w:t xml:space="preserve">    </w:t>
      </w:r>
      <w:r>
        <w:rPr>
          <w:b/>
        </w:rPr>
        <w:t xml:space="preserve">DOI: </w:t>
      </w:r>
      <w:hyperlink r:id="rId402">
        <w:r>
          <w:rPr>
            <w:color w:val="1155CC"/>
            <w:u w:val="single"/>
          </w:rPr>
          <w:t>10.1002/adma.202515400</w:t>
        </w:r>
      </w:hyperlink>
    </w:p>
    <w:p>
      <w:pPr>
        <w:spacing w:before="0" w:after="120"/>
      </w:pPr>
      <w:r>
        <w:rPr>
          <w:b/>
        </w:rPr>
        <w:t xml:space="preserve">Notes: </w:t>
      </w:r>
      <w:r>
        <w:t>abstract_source=pubmed</w:t>
      </w:r>
    </w:p>
    <w:p>
      <w:pPr>
        <w:spacing w:before="0" w:after="80" w:lineRule="auto" w:line="276"/>
      </w:pPr>
      <w:r>
        <w:rPr>
          <w:b/>
        </w:rPr>
        <w:t xml:space="preserve">摘要（ZH）: </w:t>
      </w:r>
      <w:r>
        <w:t>天然组织的细胞外基质（ECM）具有高度有序的微/纳米结构，这些结构与细胞复杂地相互作用，以调节组织功能、维持稳态并支持再生。微/纳米三维（3D）生物打印最近作为一种变革性技术出现，能够使用载细胞水凝胶可重复地制造类似ECM的结构。在本综述中，我们系统地概述了微/纳米3D生物打印在活体组织构建方面的最新进展，特别强调这些类似ECM的微/纳米结构对细胞和组织行为的影响。我们首先介绍了主要的微/纳米生物打印技术，包括基于光的、基于挤出的和基于喷射的生物打印</w:t>
      </w:r>
    </w:p>
    <w:p>
      <w:pPr>
        <w:spacing w:before="0" w:after="200" w:lineRule="auto" w:line="276"/>
      </w:pPr>
      <w:r>
        <w:rPr>
          <w:b/>
        </w:rPr>
        <w:t xml:space="preserve">Abstract (EN): </w:t>
      </w:r>
      <w:r>
        <w:t>The extracellular matrix (ECM) of native tissues features highly organized micro/nanoscale structures that intricately interact with cells to regulate tissue function, maintain homeostasis, and support regeneration. Micro/nanoscale three-dimensional (3D) bioprinting has recently emerged as a transformative technology, enabling the reproducible fabrication of ECM-like structures using cell-laden hydrogels. In this review, we provide a systematic overview of recent advances in micro/nanoscale 3D bioprinting for living tissue constructs, with particular emphasis on the effects of these ECM-like micro/nanoscale architectures on cellular and tissue behavior. We begin by introducing the primary micro/nanoscale bioprinting techniques, including light-based, extrusion-based, and jetting-based bioprinting methods. We examine the effects of the high-resolution 3D bioprinting process and/or bioprinting-induced micro/nanostructures on modulating cell growth. Next, we highlight recent innovations that integrate biomechanical stimuli into these micro/nanoscale 3D-bioprinted constructs to further enhance cell and tissue functionality. The key applications of micro/nanoscale bioprinting in tissue regeneration and in vitro models are explored. Finally, current challenges and potential solutions for advancing micro/nanoscale 3D bioprinting toward the realization of functional tissue/organ analogs are discussed.</w:t>
      </w:r>
    </w:p>
    <w:p>
      <w:pPr>
        <w:spacing w:before="120" w:after="120"/>
      </w:pPr>
      <w:r>
        <w:rPr>
          <w:sz w:val="18"/>
        </w:rPr>
        <w:t>——————————————————————————————————————————————————————————————————————</w:t>
      </w:r>
    </w:p>
    <w:p>
      <w:pPr>
        <w:spacing w:before="160" w:after="40" w:line="240" w:lineRule="auto"/>
      </w:pPr>
      <w:r>
        <w:rPr>
          <w:b/>
        </w:rPr>
        <w:t xml:space="preserve">[176] </w:t>
      </w:r>
      <w:hyperlink r:id="rId403">
        <w:r>
          <w:rPr>
            <w:color w:val="1155CC"/>
            <w:u w:val="single"/>
          </w:rPr>
          <w:t>阳离子立体化学活性孤对效应在铁电半导体中触发巨大的Rashba-Dresselhaus自旋分裂，用于圆偏振光检测</w:t>
        </w:r>
      </w:hyperlink>
    </w:p>
    <w:p>
      <w:pPr>
        <w:spacing w:before="0" w:after="80"/>
      </w:pPr>
      <w:r>
        <w:rPr>
          <w:i/>
          <w:sz w:val="20"/>
        </w:rPr>
        <w:t>EN: Stereochemically Active Lone Pair Effect of Cations Triggers Giant Rashba–Dresselhaus Spin Splitting in Ferroelectric Semiconductors for Circularly Polarized Light Detection</w:t>
      </w:r>
    </w:p>
    <w:p>
      <w:pPr>
        <w:spacing w:before="0" w:after="120"/>
      </w:pPr>
      <w:r>
        <w:rPr>
          <w:b/>
        </w:rPr>
        <w:t xml:space="preserve">Source: </w:t>
      </w:r>
      <w:r>
        <w:t>Wiley: Advanced Materials: Table of Contents</w:t>
      </w:r>
      <w:r>
        <w:t xml:space="preserve">    </w:t>
      </w:r>
      <w:r>
        <w:rPr>
          <w:b/>
        </w:rPr>
        <w:t xml:space="preserve">Pub date: </w:t>
      </w:r>
      <w:r>
        <w:t>2026-02-25 04:17:10+00:00</w:t>
      </w:r>
      <w:r>
        <w:t xml:space="preserve">    </w:t>
      </w:r>
      <w:r>
        <w:rPr>
          <w:b/>
        </w:rPr>
        <w:t xml:space="preserve">DOI: </w:t>
      </w:r>
      <w:hyperlink r:id="rId404">
        <w:r>
          <w:rPr>
            <w:color w:val="1155CC"/>
            <w:u w:val="single"/>
          </w:rPr>
          <w:t>10.1002/adma.202519568</w:t>
        </w:r>
      </w:hyperlink>
    </w:p>
    <w:p>
      <w:pPr>
        <w:spacing w:before="0" w:after="120"/>
      </w:pPr>
      <w:r>
        <w:rPr>
          <w:b/>
        </w:rPr>
        <w:t xml:space="preserve">Notes: </w:t>
      </w:r>
      <w:r>
        <w:t>abstract_source=pubmed</w:t>
      </w:r>
    </w:p>
    <w:p>
      <w:pPr>
        <w:spacing w:before="0" w:after="80" w:lineRule="auto" w:line="276"/>
      </w:pPr>
      <w:r>
        <w:rPr>
          <w:b/>
        </w:rPr>
        <w:t xml:space="preserve">摘要（ZH）: </w:t>
      </w:r>
      <w:r>
        <w:t>Rashba-Dresselhaus（RD）自旋分裂源于空间反演不对称半导体中的自旋轨道耦合，对于实现众多先进的自旋电子应用至关重要。然而，由于结构-性质关系不明确，调节RD自旋分裂系数（αRD）具有挑战性。在此，受含有立体化学活性孤对电子（SCALP）的高度扭曲无机硒酸盐的启发，我们选择了含有SCALP电子的4-氨基吗啉阳离子（4AM）合成了一种新的二维（2D）铁电半导体（4AM）2PbBr4，表现出巨大的αRD为2.377 eV Å，ΔERD = 126 meV和Δk0 = 0.106 Å-1，通过自旋依赖的光学跃迁选择在动量空间中区分圆偏振光激发的载流子</w:t>
      </w:r>
    </w:p>
    <w:p>
      <w:pPr>
        <w:spacing w:before="0" w:after="200" w:lineRule="auto" w:line="276"/>
      </w:pPr>
      <w:r>
        <w:rPr>
          <w:b/>
        </w:rPr>
        <w:t xml:space="preserve">Abstract (EN): </w:t>
      </w:r>
      <w:r>
        <w:t>Rashba-Dresselhaus (RD) spin splitting arising from spin-orbit coupling in spatial inversion asymmetric semiconductors is critical for realizing numerous advanced spintronic applications. However, modulating the RD spin splitting coefficient (αRD) is challenging due to the unclear structural-property relationship. Herein, inspired by highly distorted inorganic selenites containing stereochemically active lone pair (SCALP) electrons, we selected 4-aminomorpholine cation (4AM) containing SCALP electrons to synthesize a new two-dimensional (2D) ferroelectric semiconductor (4AM)2PbBr4, exhibiting a giant αRD of 2.377 eV Å with ΔERD = 126 meV and Δk0 = 0.106 Å-1 that differentiates circularly polarized light-excited carriers in the momentum space via spin-dependent optical transition selection rules with an asymmetric factor of 0.65. A geometric structure-property relationship study reveals that incorporating SCALP into the organic cations enhances their net polarity and induces substantial distortions within the inorganic sublattices that enhance the αRD. This work reveals the regulatory mechanism of organic cations on distortion of inorganic octahedron and provides a new approach for efficient synthesis and rapid screening of 2D ferroelectric semiconductors with large αRD.</w:t>
      </w:r>
    </w:p>
    <w:p>
      <w:pPr>
        <w:spacing w:before="120" w:after="120"/>
      </w:pPr>
      <w:r>
        <w:rPr>
          <w:sz w:val="18"/>
        </w:rPr>
        <w:t>——————————————————————————————————————————————————————————————————————</w:t>
      </w:r>
    </w:p>
    <w:p>
      <w:pPr>
        <w:spacing w:before="160" w:after="40" w:line="240" w:lineRule="auto"/>
      </w:pPr>
      <w:r>
        <w:rPr>
          <w:b/>
        </w:rPr>
        <w:t xml:space="preserve">[177] </w:t>
      </w:r>
      <w:hyperlink r:id="rId405">
        <w:r>
          <w:rPr>
            <w:color w:val="1155CC"/>
            <w:u w:val="single"/>
          </w:rPr>
          <w:t>显示放大缠绕和解缠运动的自振荡螺旋</w:t>
        </w:r>
      </w:hyperlink>
    </w:p>
    <w:p>
      <w:pPr>
        <w:spacing w:before="0" w:after="80"/>
      </w:pPr>
      <w:r>
        <w:rPr>
          <w:i/>
          <w:sz w:val="20"/>
        </w:rPr>
        <w:t>EN: Self‐Oscillating Helix Showing Amplified Winding and Unwinding Motions</w:t>
      </w:r>
    </w:p>
    <w:p>
      <w:pPr>
        <w:spacing w:before="0" w:after="120"/>
      </w:pPr>
      <w:r>
        <w:rPr>
          <w:b/>
        </w:rPr>
        <w:t xml:space="preserve">Source: </w:t>
      </w:r>
      <w:r>
        <w:t>Wiley: Advanced Materials: Table of Contents</w:t>
      </w:r>
      <w:r>
        <w:t xml:space="preserve">    </w:t>
      </w:r>
      <w:r>
        <w:rPr>
          <w:b/>
        </w:rPr>
        <w:t xml:space="preserve">Pub date: </w:t>
      </w:r>
      <w:r>
        <w:t>2026-02-25 04:18:11+00:00</w:t>
      </w:r>
      <w:r>
        <w:t xml:space="preserve">    </w:t>
      </w:r>
      <w:r>
        <w:rPr>
          <w:b/>
        </w:rPr>
        <w:t xml:space="preserve">DOI: </w:t>
      </w:r>
      <w:hyperlink r:id="rId406">
        <w:r>
          <w:rPr>
            <w:color w:val="1155CC"/>
            <w:u w:val="single"/>
          </w:rPr>
          <w:t>10.1002/adma.202521736</w:t>
        </w:r>
      </w:hyperlink>
    </w:p>
    <w:p>
      <w:pPr>
        <w:spacing w:before="0" w:after="120"/>
      </w:pPr>
      <w:r>
        <w:rPr>
          <w:b/>
        </w:rPr>
        <w:t xml:space="preserve">Notes: </w:t>
      </w:r>
      <w:r>
        <w:t>abstract_source=pubmed</w:t>
      </w:r>
    </w:p>
    <w:p>
      <w:pPr>
        <w:spacing w:before="0" w:after="80" w:lineRule="auto" w:line="276"/>
      </w:pPr>
      <w:r>
        <w:rPr>
          <w:b/>
        </w:rPr>
        <w:t xml:space="preserve">摘要（ZH）: </w:t>
      </w:r>
      <w:r>
        <w:t>自然界中的螺旋结构通过缠绕-解绕放大运动。我们报告了一种简单、通用的光聚合策略，用于在玻璃毛细管内制造具有精确控制径向聚合物梯度的水凝胶螺旋。螺旋缠绕的光掩模和化学紫外吸收剂（Ru(bpy)3）共同编码纵向和径向不对称性。通过调整光掩模的宽度和间距，其几何形状可以轻松编程，我们的方法是聚合物通用的，包括热响应凝胶和有机凝胶。作为一个代表性例子，低临界溶解温度（LCST）型聚（NIPAAm）螺旋将小的各向同性体积变化转化为放大的单轴变形，显示出在加热下其轴向收缩比总长度收缩大1.6倍。它们对</w:t>
      </w:r>
    </w:p>
    <w:p>
      <w:pPr>
        <w:spacing w:before="0" w:after="200" w:lineRule="auto" w:line="276"/>
      </w:pPr>
      <w:r>
        <w:rPr>
          <w:b/>
        </w:rPr>
        <w:t xml:space="preserve">Abstract (EN): </w:t>
      </w:r>
      <w:r>
        <w:t>Helical architectures in nature amplify motion via winding-unwinding. We report a simple, universal photopolymerization strategy to fabricate hydrogel helices with precisely controlled radial polymer gradients inside glass capillaries. A helically wrapped photomask and a chemical UV absorber (Ru(bpy)3) jointly encode longitudinal and radial asymmetry. Their geometry is readily programmed by adjusting the photomask width and spacing, and our approach is polymer-general, including thermoresponsive gels and organogels. As a representative example, lower critical solution temperature (LCST)-type poly(NIPAAm) helices convert small, isotropic volume change into amplified uniaxial deformation, showing 1.6-fold larger axial shrinkage than their total length shrinkage under heating. They respond to various stimuli, including temperature, acid, and near-infrared (NIR) light. As a proof-of-concept soft robotic actuator, we fabricated a helix with a gradual axial variation in diameter and demonstrated stepwise, unidirectional locomotion along a string under cyclic heating and cooling. Integrating vinyl‑functionalized Ru(bpy)3 as a covalent catalyst yields self‑oscillating helices driven by the Belousov-Zhabotinsky reaction, which autonomously repeat winding-unwinding accompanied by peristaltic waves. Compared with conventional rods, helices exhibit four-fold larger amplitude and 3.4-times faster deswelling kinetics. Our platform establishes a geometry‑driven design rule that harnesses helical coupling to amplify displacement in programmable and autonomous soft actuators.</w:t>
      </w:r>
    </w:p>
    <w:p>
      <w:pPr>
        <w:spacing w:before="120" w:after="120"/>
      </w:pPr>
      <w:r>
        <w:rPr>
          <w:sz w:val="18"/>
        </w:rPr>
        <w:t>——————————————————————————————————————————————————————————————————————</w:t>
      </w:r>
    </w:p>
    <w:p>
      <w:pPr>
        <w:spacing w:before="160" w:after="40" w:line="240" w:lineRule="auto"/>
      </w:pPr>
      <w:r>
        <w:rPr>
          <w:b/>
        </w:rPr>
        <w:t xml:space="preserve">[178] </w:t>
      </w:r>
      <w:hyperlink r:id="rId407">
        <w:r>
          <w:rPr>
            <w:color w:val="1155CC"/>
            <w:u w:val="single"/>
          </w:rPr>
          <w:t>不仅仅是生物化学中的缓冲剂：Tris作为金属-氧化物组装的建筑师和守门人</w:t>
        </w:r>
      </w:hyperlink>
    </w:p>
    <w:p>
      <w:pPr>
        <w:spacing w:before="0" w:after="80"/>
      </w:pPr>
      <w:r>
        <w:rPr>
          <w:i/>
          <w:sz w:val="20"/>
        </w:rPr>
        <w:t>EN: More Than a Buffer in Biochemistry: Tris as an Architect and Gatekeeper of Metal–Oxo Assembly</w:t>
      </w:r>
    </w:p>
    <w:p>
      <w:pPr>
        <w:spacing w:before="0" w:after="120"/>
      </w:pPr>
      <w:r>
        <w:rPr>
          <w:b/>
        </w:rPr>
        <w:t xml:space="preserve">Source: </w:t>
      </w:r>
      <w:r>
        <w:t>Wiley: Angewandte Chemie International Edition: Table of Contents</w:t>
      </w:r>
      <w:r>
        <w:t xml:space="preserve">    </w:t>
      </w:r>
      <w:r>
        <w:rPr>
          <w:b/>
        </w:rPr>
        <w:t xml:space="preserve">Pub date: </w:t>
      </w:r>
      <w:r>
        <w:t>2026-02-25 04:28:29+00:00</w:t>
      </w:r>
      <w:r>
        <w:t xml:space="preserve">    </w:t>
      </w:r>
      <w:r>
        <w:rPr>
          <w:b/>
        </w:rPr>
        <w:t xml:space="preserve">DOI: </w:t>
      </w:r>
      <w:hyperlink r:id="rId408">
        <w:r>
          <w:rPr>
            <w:color w:val="1155CC"/>
            <w:u w:val="single"/>
          </w:rPr>
          <w:t>10.1002/anie.202525355</w:t>
        </w:r>
      </w:hyperlink>
    </w:p>
    <w:p>
      <w:pPr>
        <w:spacing w:before="0" w:after="120"/>
      </w:pPr>
      <w:r>
        <w:rPr>
          <w:b/>
        </w:rPr>
        <w:t xml:space="preserve">Notes: </w:t>
      </w:r>
      <w:r>
        <w:t>abstract_source=pubmed</w:t>
      </w:r>
    </w:p>
    <w:p>
      <w:pPr>
        <w:spacing w:before="0" w:after="80" w:lineRule="auto" w:line="276"/>
      </w:pPr>
      <w:r>
        <w:rPr>
          <w:b/>
        </w:rPr>
        <w:t xml:space="preserve">摘要（ZH）: </w:t>
      </w:r>
      <w:r>
        <w:t>多金属氧酸盐（POMs，分子金属氧簇）通常在水介质中研究和应用，其中常规缓冲液决定了哪些簇形成、存在或反应。三羟甲基氨基甲烷（Tris）是接近生理pH的普遍缓冲液，并产生了pH控制本身无法解释的结果，提出了一个简单但影响深远的问题：Tris对POMs究竟做了什么？对几个POM家族的量化显示，这种松散的缓冲与完整阴离子的较长寿命、Tris特异性加合物的形成以及通过离子强度调整的可调稳定性相关。我们描述了Tris的三种分子作用。首先，Tris作为烷氧基供体，将μ-O─CH2单元嵌入POM骨架中。其次，Tris作为螯合</w:t>
      </w:r>
    </w:p>
    <w:p>
      <w:pPr>
        <w:spacing w:before="0" w:after="200" w:lineRule="auto" w:line="276"/>
      </w:pPr>
      <w:r>
        <w:rPr>
          <w:b/>
        </w:rPr>
        <w:t xml:space="preserve">Abstract (EN): </w:t>
      </w:r>
      <w:r>
        <w:t>Polyoxometalates (POMs, molecular metal-oxo clusters) are typically studied and applied in aqueous media, where routine buffers determine which clusters form, persist, or react. Tris(hydroxymethyl)aminomethane (Tris) is a ubiquitous buffer near physiological pH and has produced outcomes that pH control alone could not explain, prompting a simple question with large consequences: What does Tris actually do to POMs? Quantification across several POM families shows that this loose buffering correlates with longer lifetimes of intact anions, the formation of Tris-specific adducts, and tunable stability through ionic-strength adjustment. We describe three molecular roles of Tris. First, Tris acts as an alkoxy donor that embeds μ-O─CH2 units within POM scaffolds. Second, Tris functions as a chelator that arrests early tungsten-oxo condensation and stabilizes a minimal isopolytungstate. Third, Tris serves as a structure-directing medium, since a chromium-incorporated Keggin forms only in Tris buffer at pH 7.5 and displays single-ion-magnet behavior. We advocate a speciation-first workflow that logs attained pH, reports buffer identity, concentration, and ionic strength, and verifies species by orthogonal spectroscopic, diffraction, and computational methods. The implication extends well beyond POM chemistry: in catalysis, electrochemistry, and biomaterials, buffers and amine additives can redirect speciation, alter redox access, and bias kinetics.</w:t>
      </w:r>
    </w:p>
    <w:p>
      <w:pPr>
        <w:spacing w:before="120" w:after="120"/>
      </w:pPr>
      <w:r>
        <w:rPr>
          <w:sz w:val="18"/>
        </w:rPr>
        <w:t>——————————————————————————————————————————————————————————————————————</w:t>
      </w:r>
    </w:p>
    <w:p>
      <w:pPr>
        <w:spacing w:before="160" w:after="40" w:line="240" w:lineRule="auto"/>
      </w:pPr>
      <w:r>
        <w:rPr>
          <w:b/>
        </w:rPr>
        <w:t xml:space="preserve">[179] </w:t>
      </w:r>
      <w:hyperlink r:id="rId409">
        <w:r>
          <w:rPr>
            <w:color w:val="1155CC"/>
            <w:u w:val="single"/>
          </w:rPr>
          <w:t>层状插层化合物中滑移相变的中尺度建模</w:t>
        </w:r>
      </w:hyperlink>
    </w:p>
    <w:p>
      <w:pPr>
        <w:spacing w:before="0" w:after="80"/>
      </w:pPr>
      <w:r>
        <w:rPr>
          <w:i/>
          <w:sz w:val="20"/>
        </w:rPr>
        <w:t>EN: Meso‐Scale Modeling of Glide Phase Transformations in Layered Intercalation Compounds</w:t>
      </w:r>
    </w:p>
    <w:p>
      <w:pPr>
        <w:spacing w:before="0" w:after="120"/>
      </w:pPr>
      <w:r>
        <w:rPr>
          <w:b/>
        </w:rPr>
        <w:t xml:space="preserve">Source: </w:t>
      </w:r>
      <w:r>
        <w:t>Wiley: Advanced Energy Materials: Table of Contents</w:t>
      </w:r>
      <w:r>
        <w:t xml:space="preserve">    </w:t>
      </w:r>
      <w:r>
        <w:rPr>
          <w:b/>
        </w:rPr>
        <w:t xml:space="preserve">Pub date: </w:t>
      </w:r>
      <w:r>
        <w:t>2026-02-25 04:32:39+00:00</w:t>
      </w:r>
      <w:r>
        <w:t xml:space="preserve">    </w:t>
      </w:r>
      <w:r>
        <w:rPr>
          <w:b/>
        </w:rPr>
        <w:t xml:space="preserve">DOI: </w:t>
      </w:r>
      <w:hyperlink r:id="rId410">
        <w:r>
          <w:rPr>
            <w:color w:val="1155CC"/>
            <w:u w:val="single"/>
          </w:rPr>
          <w:t>10.1002/aenm.202505903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[180] </w:t>
      </w:r>
      <w:hyperlink r:id="rId411">
        <w:r>
          <w:rPr>
            <w:color w:val="1155CC"/>
            <w:u w:val="single"/>
          </w:rPr>
          <w:t>自组织粒子-巨大单层囊泡组装的突现运动（Adv. Mater. 12/2026）</w:t>
        </w:r>
      </w:hyperlink>
    </w:p>
    <w:p>
      <w:pPr>
        <w:spacing w:before="0" w:after="80"/>
      </w:pPr>
      <w:r>
        <w:rPr>
          <w:i/>
          <w:sz w:val="20"/>
        </w:rPr>
        <w:t>EN: Emergent Motility of Self‐Organized Particle‐Giant Unilamellar Vesicle Assembly (Adv. Mater. 12/2026)</w:t>
      </w:r>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412">
        <w:r>
          <w:rPr>
            <w:color w:val="1155CC"/>
            <w:u w:val="single"/>
          </w:rPr>
          <w:t>10.1002/adma.72467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[181] </w:t>
      </w:r>
      <w:hyperlink r:id="rId413">
        <w:r>
          <w:rPr>
            <w:color w:val="1155CC"/>
            <w:u w:val="single"/>
          </w:rPr>
          <w:t>小型机器人和机器中的物理智能（Adv. Mater. 12/2026）</w:t>
        </w:r>
      </w:hyperlink>
    </w:p>
    <w:p>
      <w:pPr>
        <w:spacing w:before="0" w:after="80"/>
      </w:pPr>
      <w:r>
        <w:rPr>
          <w:i/>
          <w:sz w:val="20"/>
        </w:rPr>
        <w:t>EN: Physical Intelligence in Small‐Scale Robots and Machines (Adv. Mater. 12/2026)</w:t>
      </w:r>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414">
        <w:r>
          <w:rPr>
            <w:color w:val="1155CC"/>
            <w:u w:val="single"/>
          </w:rPr>
          <w:t>10.1002/adma.72464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415">
        <w:r>
          <w:rPr>
            <w:color w:val="1155CC"/>
            <w:u w:val="single"/>
          </w:rPr>
          <w:t>耦合地貌和气候驱动的生物地球化学过程调节农业梯田中的土壤有机碳储量</w:t>
        </w:r>
      </w:hyperlink>
    </w:p>
    <w:p>
      <w:pPr>
        <w:spacing w:before="0" w:after="80"/>
      </w:pPr>
      <w:r>
        <w:rPr>
          <w:i/>
          <w:sz w:val="20"/>
        </w:rPr>
        <w:t>EN: Coupled geomorphic and climate-driven biogeochemical processes regulate soil organic carbon stocks in agricultural terraces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16">
        <w:r>
          <w:rPr>
            <w:color w:val="1155CC"/>
            <w:u w:val="single"/>
          </w:rPr>
          <w:t>10.1126/sciadv.aea8560</w:t>
        </w:r>
      </w:hyperlink>
    </w:p>
    <w:p>
      <w:pPr>
        <w:spacing w:before="0" w:after="120"/>
      </w:pPr>
      <w:r>
        <w:rPr>
          <w:b/>
        </w:rPr>
        <w:t xml:space="preserve">Notes: </w:t>
      </w:r>
      <w:r>
        <w:t>abstract_source=crossref</w:t>
      </w:r>
    </w:p>
    <w:p>
      <w:pPr>
        <w:spacing w:before="0" w:after="80" w:lineRule="auto" w:line="276"/>
      </w:pPr>
      <w:r>
        <w:rPr>
          <w:b/>
        </w:rPr>
        <w:t xml:space="preserve">摘要（ZH）: </w:t>
      </w:r>
      <w:r>
        <w:t>农业梯田是最广泛的人造地形之一。它们深刻地重塑了土壤景观并影响碳循环，但其影响的程度和驱动因素仍然高度不确定。通过将来自14个排水良好的梯田地形的实地观测与数据综合相结合，我们表明，梯田后土壤有机碳（SOC）储量的变化由两个耦合的碳周转-地貌过程控制：在侵蚀位置替代丢失的表土碳和在沉积位置稳定埋藏的SOC。气候通过塑造土壤地球化学和植物生产力强烈调节这些过程，进而控制梯田内的SOC替代和稳定。因此，梯田对SOC储量的影响</w:t>
      </w:r>
    </w:p>
    <w:p>
      <w:pPr>
        <w:spacing w:before="0" w:after="200" w:lineRule="auto" w:line="276"/>
      </w:pPr>
      <w:r>
        <w:rPr>
          <w:b/>
        </w:rPr>
        <w:t xml:space="preserve">Abstract (EN): </w:t>
      </w:r>
      <w:r>
        <w:t>Agricultural terraces are among the most widespread human-made landforms. They profoundly reshape soil landscapes and influence the carbon cycle, yet the extent and drivers of their impact remain highly uncertain. By integrating field observations from 14 well-drained terrace landforms across a climatic-geochemical gradient with a data synthesis, we show that changes in soil organic carbon (SOC) stocks after terracing are governed by two coupled C turnover-geomorphic processes: replacement of lost topsoil C at eroding positions and stabilization of buried SOC at depositional positions. Climate strongly modulates these processes by shaping soil geochemistry and plant productivity, which in turn control SOC replacement and stabilization within terraces. Thus, terracing effects on SOC stocks shift from consistently positive in humid regions to mixed (positive and negative) outcomes in dry regions. This study establishes a framework for elucidating SOC dynamics in well-drained terrace systems and provides a scientific basis for targeted management strategies to enhance C sequestration in agricultural terraces globally.</w:t>
      </w:r>
    </w:p>
    <w:p>
      <w:pPr>
        <w:spacing w:before="120" w:after="120"/>
      </w:pPr>
      <w:r>
        <w:rPr>
          <w:sz w:val="18"/>
        </w:rPr>
        <w:t>——————————————————————————————————————————————————————————————————————</w:t>
      </w:r>
    </w:p>
    <w:p>
      <w:pPr>
        <w:spacing w:before="160" w:after="40" w:line="240" w:lineRule="auto"/>
      </w:pPr>
      <w:r>
        <w:rPr>
          <w:b/>
        </w:rPr>
        <w:t xml:space="preserve">[183] </w:t>
      </w:r>
      <w:hyperlink r:id="rId417">
        <w:r>
          <w:rPr>
            <w:color w:val="1155CC"/>
            <w:u w:val="single"/>
          </w:rPr>
          <w:t>基于DNA框架的分子变换器用于逻辑驱动的精密诊断</w:t>
        </w:r>
      </w:hyperlink>
    </w:p>
    <w:p>
      <w:pPr>
        <w:spacing w:before="0" w:after="80"/>
      </w:pPr>
      <w:r>
        <w:rPr>
          <w:i/>
          <w:sz w:val="20"/>
        </w:rPr>
        <w:t>EN: DNA framework–based molecular transformer for logic-driven precision diagnostics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18">
        <w:r>
          <w:rPr>
            <w:color w:val="1155CC"/>
            <w:u w:val="single"/>
          </w:rPr>
          <w:t>10.1126/sciadv.aeb5612</w:t>
        </w:r>
      </w:hyperlink>
    </w:p>
    <w:p>
      <w:pPr>
        <w:spacing w:before="0" w:after="120"/>
      </w:pPr>
      <w:r>
        <w:rPr>
          <w:b/>
        </w:rPr>
        <w:t xml:space="preserve">Notes: </w:t>
      </w:r>
      <w:r>
        <w:t>abstract_source=crossref</w:t>
      </w:r>
    </w:p>
    <w:p>
      <w:pPr>
        <w:spacing w:before="0" w:after="80" w:lineRule="auto" w:line="276"/>
      </w:pPr>
      <w:r>
        <w:rPr>
          <w:b/>
        </w:rPr>
        <w:t xml:space="preserve">摘要（ZH）: </w:t>
      </w:r>
      <w:r>
        <w:t>精确诊断需要逻辑整合多种生物标志物信息，但分子异质性和不一致的识别动力学阻碍了稳健的逻辑分析。为克服这一问题，我们开发了一种通用分子转换器，使用DNA四面体框架（DTFs）作为可编程支架。该系统将包括蛋白质和可变长度核酸在内的多种生物标志物转换为统一的22核苷酸DNA序列，规范化信息维度和识别动力学。这些统一序列作为三个基本布尔逻辑门（AND、OR和INHIBIT）的输入，支持可编程分子决策。在金芯片平台上集成，DTF转换器和逻辑系统实现了统计显著的区分（</w:t>
      </w:r>
    </w:p>
    <w:p>
      <w:pPr>
        <w:spacing w:before="0" w:after="200" w:lineRule="auto" w:line="276"/>
      </w:pPr>
      <w:r>
        <w:rPr>
          <w:b/>
        </w:rPr>
        <w:t xml:space="preserve">Abstract (EN): </w:t>
      </w:r>
      <w:r>
        <w:t>Precision diagnostics requires logical integration of diverse biomarker information, but molecular heterogeneity and inconsistent identification kinetics hinder robust logic analysis. To overcome this, we develop a universal molecular transformer using DNA tetrahedral frameworks (DTFs) as programmable scaffolds. This system converts diverse biomarkers including proteins and variable-length nucleic acids into uniform 22-nucleotide DNA sequences, normalizing information dimensionality and identification kinetics. These uniform sequences serve as inputs for three fundamentals Boolean logic gates (AND, OR, and INHIBIT), enabling programmable molecular decision-making. Integrated on a gold-chip platform, the DTF transformer and logic system achieved statistically significant discrimination (</w:t>
      </w:r>
      <w:r>
        <w:t xml:space="preserve"> </w:t>
      </w:r>
      <w:r>
        <w:t>P</w:t>
      </w:r>
      <w:r>
        <w:t xml:space="preserve"> </w:t>
      </w:r>
      <w:r>
        <w:t>&amp;lt; 0.0001) among patients with prostate cancer, patients with benign prostatic hyperplasia, and healthy individuals using only two biomarkers (prostate-specific antigen and ALU115). By unifying signal transformation for Boolean logic computation, we resolve the critical challenges in molecular heterogeneity and establish a versatile platform for next-generation precision diagnostics.</w:t>
      </w:r>
    </w:p>
    <w:p>
      <w:pPr>
        <w:spacing w:before="120" w:after="120"/>
      </w:pPr>
      <w:r>
        <w:rPr>
          <w:sz w:val="18"/>
        </w:rPr>
        <w:t>——————————————————————————————————————————————————————————————————————</w:t>
      </w:r>
    </w:p>
    <w:p>
      <w:pPr>
        <w:spacing w:before="160" w:after="40" w:line="240" w:lineRule="auto"/>
      </w:pPr>
      <w:r>
        <w:rPr>
          <w:b/>
        </w:rPr>
        <w:t xml:space="preserve">[184] </w:t>
      </w:r>
      <w:hyperlink r:id="rId419">
        <w:r>
          <w:rPr>
            <w:color w:val="1155CC"/>
            <w:u w:val="single"/>
          </w:rPr>
          <w:t>Ampk alpha2 T172激活决定骨骼肌的运动表现和能量转导</w:t>
        </w:r>
      </w:hyperlink>
    </w:p>
    <w:p>
      <w:pPr>
        <w:spacing w:before="0" w:after="80"/>
      </w:pPr>
      <w:r>
        <w:rPr>
          <w:i/>
          <w:sz w:val="20"/>
        </w:rPr>
        <w:t>EN: Ampk alpha2 T172 activation dictates exercise performance and energy transduction in skeletal muscle</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20">
        <w:r>
          <w:rPr>
            <w:color w:val="1155CC"/>
            <w:u w:val="single"/>
          </w:rPr>
          <w:t>10.1126/sciadv.aeb3338</w:t>
        </w:r>
      </w:hyperlink>
    </w:p>
    <w:p>
      <w:pPr>
        <w:spacing w:before="0" w:after="120"/>
      </w:pPr>
      <w:r>
        <w:rPr>
          <w:b/>
        </w:rPr>
        <w:t xml:space="preserve">Notes: </w:t>
      </w:r>
      <w:r>
        <w:t>abstract_source=crossref</w:t>
      </w:r>
    </w:p>
    <w:p>
      <w:pPr>
        <w:spacing w:before="0" w:after="80" w:lineRule="auto" w:line="276"/>
      </w:pPr>
      <w:r>
        <w:rPr>
          <w:b/>
        </w:rPr>
        <w:t xml:space="preserve">摘要（ZH）: </w:t>
      </w:r>
      <w:r>
        <w:t>腺苷5′-单磷酸激活的蛋白激酶（AMPK）是代谢调节和整合的能量传感器。在此，我们使用CRISPR-Cas9生成了不可激活的Ampkα敲入（KI）小鼠，将苏氨酸-172磷酸化位点突变为丙氨酸（T172A），绕过了以往遗传干预破坏蛋白质化学计量的限制。Ampkα2的KI小鼠，而非Ampkα1，表现出表型变化，表现为脂肪与瘦体重比增加、耐力运动能力受损以及骨骼肌线粒体最大呼吸和传导性降低。在静息和运动期间的骨骼肌中进行的综合时间多组学分析（蛋白质组学/磷酸蛋白质组学/代谢组学）确立了Ampkα2 T172激活的多效但重要的角色</w:t>
      </w:r>
    </w:p>
    <w:p>
      <w:pPr>
        <w:spacing w:before="0" w:after="200" w:lineRule="auto" w:line="276"/>
      </w:pPr>
      <w:r>
        <w:rPr>
          <w:b/>
        </w:rPr>
        <w:t xml:space="preserve">Abstract (EN): </w:t>
      </w:r>
      <w:r>
        <w:t>Adenosine 5′-monophosphate–activated protein kinase (AMPK) is an energetic sensor for metabolic regulation and integration. Here, we used CRISPR-Cas9 to generate nonactivatable Ampkα knock-in (KI) mice with mutation of threonine-172 phosphorylation site to alanine (T172A), circumventing the limitations of previous genetic interventions that disrupt the protein stoichiometry. KI mice of Ampkα2, but not Ampkα1, demonstrated phenotypic changes with increased fat-to-lean mass, impaired endurance exercise capacity, and diminished mitochondrial maximal respiration and conductance in skeletal muscle. Integrated temporal multiomics analysis (proteomics/phosphoproteomics/metabolomics) in skeletal muscle at rest and during exercise establishes a pleiotropic yet imperative role of Ampkα2 T172 activation for glycolytic and oxidative metabolism, mitochondrial respiration, and contractile function. There is a substantial overlap of skeletal muscle proteomic changes in Ampkα2 T172A KI mice with that of patients with type 2 diabetes. Our findings suggest that Ampkα2 T172 activation is critical for exercise performance and energy transduction in skeletal muscle and may serve as a therapeutic target for type 2 diabetes.</w:t>
      </w:r>
    </w:p>
    <w:p>
      <w:pPr>
        <w:spacing w:before="120" w:after="120"/>
      </w:pPr>
      <w:r>
        <w:rPr>
          <w:sz w:val="18"/>
        </w:rPr>
        <w:t>——————————————————————————————————————————————————————————————————————</w:t>
      </w:r>
    </w:p>
    <w:p>
      <w:pPr>
        <w:spacing w:before="160" w:after="40" w:line="240" w:lineRule="auto"/>
      </w:pPr>
      <w:r>
        <w:rPr>
          <w:b/>
        </w:rPr>
        <w:t xml:space="preserve">[185] </w:t>
      </w:r>
      <w:hyperlink r:id="rId421">
        <w:r>
          <w:rPr>
            <w:color w:val="1155CC"/>
            <w:u w:val="single"/>
          </w:rPr>
          <w:t>特定的SLC25载体调节线粒体蛋白质合成</w:t>
        </w:r>
      </w:hyperlink>
    </w:p>
    <w:p>
      <w:pPr>
        <w:spacing w:before="0" w:after="80"/>
      </w:pPr>
      <w:r>
        <w:rPr>
          <w:i/>
          <w:sz w:val="20"/>
        </w:rPr>
        <w:t>EN: Specific SLC25 carriers regulate mitochondrial protein synthesis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22">
        <w:r>
          <w:rPr>
            <w:color w:val="1155CC"/>
            <w:u w:val="single"/>
          </w:rPr>
          <w:t>10.1126/sciadv.aeb0049</w:t>
        </w:r>
      </w:hyperlink>
    </w:p>
    <w:p>
      <w:pPr>
        <w:spacing w:before="0" w:after="120"/>
      </w:pPr>
      <w:r>
        <w:rPr>
          <w:b/>
        </w:rPr>
        <w:t xml:space="preserve">Notes: </w:t>
      </w:r>
      <w:r>
        <w:t>abstract_source=crossref</w:t>
      </w:r>
    </w:p>
    <w:p>
      <w:pPr>
        <w:spacing w:before="0" w:after="80" w:lineRule="auto" w:line="276"/>
      </w:pPr>
      <w:r>
        <w:rPr>
          <w:b/>
        </w:rPr>
        <w:t xml:space="preserve">摘要（ZH）: </w:t>
      </w:r>
      <w:r>
        <w:t>全基因组敲除筛选鉴定出SLC25家族的线粒体载体蛋白是新生线粒体蛋白合成速率的重要调节因子。为了阐明这种关系，我们生成了SLC25A25、SLC25A44、SLC25A45和SLC25A48的人类细胞敲除，这些蛋白已被证明分别交换三磷酸腺苷-镁（ATP-Mg）和磷酸盐、支链氨基酸、甲基化碱性氨基酸和胆碱。多组学和功能分析表明，这四种载体对线粒体翻译、氧化磷酸化系统的生物发生和功能以及线粒体形态至关重要。热稳定性筛选显示SLC25A48特异性地被胆碱稳定，并且线粒体中的变化</w:t>
      </w:r>
    </w:p>
    <w:p>
      <w:pPr>
        <w:spacing w:before="0" w:after="200" w:lineRule="auto" w:line="276"/>
      </w:pPr>
      <w:r>
        <w:rPr>
          <w:b/>
        </w:rPr>
        <w:t xml:space="preserve">Abstract (EN): </w:t>
      </w:r>
      <w:r>
        <w:t>A genome-wide knockout screen identified members of the SLC25 family of mitochondrial carrier proteins as important regulators of the rate of de novo mitochondrial protein synthesis. To elucidate this relationship, we generated human cell knockouts for SLC25A25, SLC25A44, SLC25A45, and SLC25A48, which have been shown to exchange adenosine triphosphate-magnesium (ATP-Mg) and phosphate, branched-chain amino acids, methylated basic amino acids, and choline, respectively. Multiomic and functional analyses identified that these four carriers are crucial for mitochondrial translation, biogenesis and function of the oxidative phosphorylation system, as well as mitochondrial morphology. Thermostability screens showed that SLC25A48 is specifically stabilized by choline, and changes in the mitochondrial metabolome and lipidome indicated defects in choline biosynthetic pathways and remodeling of mitochondrial membranes, both consistent with SLC25A48 being a choline transporter. These results highlight the essential roles of specific SLC25 transporters in maintaining mitochondrial structure and function and show that impaired transport of branched-chain amino acids, methylated basic amino acids, ATP-Mg, and choline affects mitochondrial translation.</w:t>
      </w:r>
    </w:p>
    <w:p>
      <w:pPr>
        <w:spacing w:before="120" w:after="120"/>
      </w:pPr>
      <w:r>
        <w:rPr>
          <w:sz w:val="18"/>
        </w:rPr>
        <w:t>——————————————————————————————————————————————————————————————————————</w:t>
      </w:r>
    </w:p>
    <w:p>
      <w:pPr>
        <w:spacing w:before="160" w:after="40" w:line="240" w:lineRule="auto"/>
      </w:pPr>
      <w:r>
        <w:rPr>
          <w:b/>
        </w:rPr>
        <w:t xml:space="preserve">[186] </w:t>
      </w:r>
      <w:hyperlink r:id="rId423">
        <w:r>
          <w:rPr>
            <w:color w:val="1155CC"/>
            <w:u w:val="single"/>
          </w:rPr>
          <w:t>亚2纳米等离子体准二维纳米通道中分子传输的时空拉曼探测</w:t>
        </w:r>
      </w:hyperlink>
    </w:p>
    <w:p>
      <w:pPr>
        <w:spacing w:before="0" w:after="80"/>
      </w:pPr>
      <w:r>
        <w:rPr>
          <w:i/>
          <w:sz w:val="20"/>
        </w:rPr>
        <w:t>EN: Spatiotemporal Raman probing of molecular transport in sub–2-nm plasmonic quasi-2D nanochannels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24">
        <w:r>
          <w:rPr>
            <w:color w:val="1155CC"/>
            <w:u w:val="single"/>
          </w:rPr>
          <w:t>10.1126/sciadv.aec3641</w:t>
        </w:r>
      </w:hyperlink>
    </w:p>
    <w:p>
      <w:pPr>
        <w:spacing w:before="0" w:after="120"/>
      </w:pPr>
      <w:r>
        <w:rPr>
          <w:b/>
        </w:rPr>
        <w:t xml:space="preserve">Notes: </w:t>
      </w:r>
      <w:r>
        <w:t>abstract_source=crossref</w:t>
      </w:r>
    </w:p>
    <w:p>
      <w:pPr>
        <w:spacing w:before="0" w:after="80" w:lineRule="auto" w:line="276"/>
      </w:pPr>
      <w:r>
        <w:rPr>
          <w:b/>
        </w:rPr>
        <w:t xml:space="preserve">摘要（ZH）: </w:t>
      </w:r>
      <w:r>
        <w:t>在纳米限域通道中以高时空分辨率捕捉分子动力学是纳米科学中的一个关键挑战，对于推进催化、能量转换和分子传感至关重要。自下而上的超薄等离子体纳米间隙，如纳米粒子-镜面（NPoM）结构，由于其极端的光限制，是超灵敏探测的理想选择，但其被认为是密封的几何结构对可访问的传输路径的存在产生了怀疑。在此，反直觉地，我们证明了普遍存在的配体封端的NPoM型纳米间隙可以形成自然的准二维纳米通道，支持分子交换和渗透，达到前所未有的长度尺度（≳5微米），具有极高的纵横比（&amp;gt;10</w:t>
      </w:r>
      <w:r>
        <w:rPr>
          <w:vertAlign w:val="subscript"/>
        </w:rPr>
        <w:t>3</w:t>
      </w:r>
      <w:r>
        <w:t>）。使用wa</w:t>
      </w:r>
    </w:p>
    <w:p>
      <w:pPr>
        <w:spacing w:before="0" w:after="200" w:lineRule="auto" w:line="276"/>
      </w:pPr>
      <w:r>
        <w:rPr>
          <w:b/>
        </w:rPr>
        <w:t xml:space="preserve">Abstract (EN): </w:t>
      </w:r>
      <w:r>
        <w:t>Capturing molecular dynamics in nanoconfined channels with high spatiotemporal resolution is a key challenge in nanoscience, crucial for advancing catalysis, energy conversion, and molecular sensing. Bottom-up ultrathin plasmonic nanogaps, such as nanoparticle-on-mirror (NPoM) structures, are ideal for ultrasensitive probing due to their extreme light confinement, but their perceived sealed geometry has cast doubt on the existence of accessible transport pathways. Here, counterintuitively, we demonstrate that ubiquitous ligand-capped NPoM-type nanogaps can form a natural quasi–two-dimensional nanochannel, supporting molecular exchange and infiltration over unprecedented length scales (≳5 micrometers) with an extreme aspect ratio (&amp;gt;10</w:t>
      </w:r>
      <w:r>
        <w:rPr>
          <w:vertAlign w:val="subscript"/>
        </w:rPr>
        <w:t>3</w:t>
      </w:r>
      <w:r>
        <w:t>). Using wavelength-multiplexed Raman spectroscopy, we resolve the underlying centripetal infiltration pathway with a spatial resolving power of ~20 nanometers. This redefines the NPoM architecture as a sensitive and hotspot-accessible platform, enabling in situ, real-time, reusable monitoring of analyte with ~10</w:t>
      </w:r>
      <w:r>
        <w:t xml:space="preserve"> </w:t>
      </w:r>
      <w:r>
        <w:t>−11</w:t>
      </w:r>
      <w:r>
        <w:t xml:space="preserve"> </w:t>
      </w:r>
      <w:r>
        <w:t>molar. This work establishes a versatile platform for advancing super-resolved in situ molecular sensing, nanoscale physicochemical studies, and on-chip nanophotofluidics.</w:t>
      </w:r>
    </w:p>
    <w:p>
      <w:pPr>
        <w:spacing w:before="120" w:after="120"/>
      </w:pPr>
      <w:r>
        <w:rPr>
          <w:sz w:val="18"/>
        </w:rPr>
        <w:t>——————————————————————————————————————————————————————————————————————</w:t>
      </w:r>
    </w:p>
    <w:p>
      <w:pPr>
        <w:spacing w:before="160" w:after="40" w:line="240" w:lineRule="auto"/>
      </w:pPr>
      <w:r>
        <w:rPr>
          <w:b/>
        </w:rPr>
        <w:t xml:space="preserve">[187] </w:t>
      </w:r>
      <w:hyperlink r:id="rId425">
        <w:r>
          <w:rPr>
            <w:color w:val="1155CC"/>
            <w:u w:val="single"/>
          </w:rPr>
          <w:t>南极沿海海洋热量预算主要受陆地冰融化的热量损失主导</w:t>
        </w:r>
      </w:hyperlink>
    </w:p>
    <w:p>
      <w:pPr>
        <w:spacing w:before="0" w:after="80"/>
      </w:pPr>
      <w:r>
        <w:rPr>
          <w:i/>
          <w:sz w:val="20"/>
        </w:rPr>
        <w:t>EN: The Antarctic coastal ocean heat budget is dominated by heat loss to land ice melt</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26">
        <w:r>
          <w:rPr>
            <w:color w:val="1155CC"/>
            <w:u w:val="single"/>
          </w:rPr>
          <w:t>10.1126/sciadv.aec7443</w:t>
        </w:r>
      </w:hyperlink>
    </w:p>
    <w:p>
      <w:pPr>
        <w:spacing w:before="0" w:after="120"/>
      </w:pPr>
      <w:r>
        <w:rPr>
          <w:b/>
        </w:rPr>
        <w:t xml:space="preserve">Notes: </w:t>
      </w:r>
      <w:r>
        <w:t>abstract_source=crossref</w:t>
      </w:r>
    </w:p>
    <w:p>
      <w:pPr>
        <w:spacing w:before="0" w:after="80" w:lineRule="auto" w:line="276"/>
      </w:pPr>
      <w:r>
        <w:rPr>
          <w:b/>
        </w:rPr>
        <w:t xml:space="preserve">摘要（ZH）: </w:t>
      </w:r>
      <w:r>
        <w:t>温暖的环极深水（CDW）穿过南极大陆架断裂带的输送是南极边缘海的主要热源。CDW提供的净热量最终损失给：（i）海洋表面，或大气或海冰，或（ii）冰盖，通过融化冰架和漂浮冰山的底部。海洋模型通常忽略了融化冰架和冰山所需的热交换。此处展示的模拟表明，这忽略了南极大陆架上最大的海洋热汇，占跨架断裂带提供热量的60%。在模拟中抑制这一热汇会通过变薄的海冰覆盖层驱动增强的热量损失到大气中，以及通过海冰–m对大陆架的热量供应的非局部减少。</w:t>
      </w:r>
    </w:p>
    <w:p>
      <w:pPr>
        <w:spacing w:before="0" w:after="200" w:lineRule="auto" w:line="276"/>
      </w:pPr>
      <w:r>
        <w:rPr>
          <w:b/>
        </w:rPr>
        <w:t xml:space="preserve">Abstract (EN): </w:t>
      </w:r>
      <w:r>
        <w:t>Transport of warm Circumpolar Deep Water (CDW) across the Antarctic continental shelf break is the primary source of heat to Antarctica’s marginal seas. Net heat supplied by CDW is ultimately lost to: (i) the ocean surface, either to the atmosphere or sea ice, or (ii) the ice sheet, by melting the base of ice shelves and calved icebergs. Ocean models often neglect the heat exchange needed to melt ice shelves and icebergs. Simulations presented here indicate that this omits the largest ocean heat sink on the Antarctic continental shelf, representing 60% of heat supplied across the shelf break. Suppressing this heat sink in simulations drives enhanced heat loss to the atmosphere through thinned sea ice cover as well as nonlocal reductions in heat supply to the continental shelf via sea ice–mediated stratification changes. These results highlight a source of climate model bias and clarify the dynamics of heat transport to Antarctic ice shelves.</w:t>
      </w:r>
    </w:p>
    <w:p>
      <w:pPr>
        <w:spacing w:before="120" w:after="120"/>
      </w:pPr>
      <w:r>
        <w:rPr>
          <w:sz w:val="18"/>
        </w:rPr>
        <w:t>——————————————————————————————————————————————————————————————————————</w:t>
      </w:r>
    </w:p>
    <w:p>
      <w:pPr>
        <w:spacing w:before="160" w:after="40" w:line="240" w:lineRule="auto"/>
      </w:pPr>
      <w:r>
        <w:rPr>
          <w:b/>
        </w:rPr>
        <w:t xml:space="preserve">[188] </w:t>
      </w:r>
      <w:hyperlink r:id="rId427">
        <w:r>
          <w:rPr>
            <w:color w:val="1155CC"/>
            <w:u w:val="single"/>
          </w:rPr>
          <w:t>神经元TDP-43通过稳定neurexin 1 mRNA调节髓鞘形成</w:t>
        </w:r>
      </w:hyperlink>
    </w:p>
    <w:p>
      <w:pPr>
        <w:spacing w:before="0" w:after="80"/>
      </w:pPr>
      <w:r>
        <w:rPr>
          <w:i/>
          <w:sz w:val="20"/>
        </w:rPr>
        <w:t>EN: Neuronal TDP-43 regulates myelin formation via neurexin 1 mRNA stabilization</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28">
        <w:r>
          <w:rPr>
            <w:color w:val="1155CC"/>
            <w:u w:val="single"/>
          </w:rPr>
          <w:t>10.1073/pnas.2513642123</w:t>
        </w:r>
      </w:hyperlink>
    </w:p>
    <w:p>
      <w:pPr>
        <w:spacing w:before="0" w:after="120"/>
      </w:pPr>
      <w:r>
        <w:rPr>
          <w:b/>
        </w:rPr>
        <w:t xml:space="preserve">Notes: </w:t>
      </w:r>
      <w:r>
        <w:t>abstract_source=crossref</w:t>
      </w:r>
    </w:p>
    <w:p>
      <w:pPr>
        <w:spacing w:before="0" w:after="80" w:lineRule="auto" w:line="276"/>
      </w:pPr>
      <w:r>
        <w:rPr>
          <w:b/>
        </w:rPr>
        <w:t xml:space="preserve">摘要（ZH）: </w:t>
      </w:r>
      <w:r>
        <w:t>肌萎缩侧索硬化症（ALS）和额颞叶变性（FTLD）作为空间病理学发展，其中神经元和神经胶质细胞相互连接。TAR DNA结合蛋白43（TDP-43）是与ALS和FTLD密切相关的主要病理蛋白。在这项研究中，我们使用神经元特异性TDP-43敲除（TDP-43cKO）小鼠研究了神经元TDP-43在神经元-少突胶质细胞相互作用中的作用。神经元中TDP-43的缺失导致髓鞘形成不足，这通过免疫组织化学和超微结构分析得到证实。此外，电生理分析揭示了传导障碍。通过在神经元中补充细胞质TDP-43，TDP-43cKO小鼠的髓鞘形成不足得以恢复。神经元特异性转录组分析揭示了</w:t>
      </w:r>
    </w:p>
    <w:p>
      <w:pPr>
        <w:spacing w:before="0" w:after="200" w:lineRule="auto" w:line="276"/>
      </w:pPr>
      <w:r>
        <w:rPr>
          <w:b/>
        </w:rPr>
        <w:t xml:space="preserve">Abstract (EN): </w:t>
      </w:r>
      <w:r>
        <w:t>Amyotrophic lateral sclerosis (ALS) and frontotemporal lobar degeneration (FTLD) develop as spatial pathologies in which neurons and glial cells are interconnected. TAR DNA-binding protein 43 (TDP-43) is a major pathological protein that is inextricably associated with ALS and FTLD. In this study, we investigated the roles of neuronal TDP-43 in neuron–oligodendrocyte interactions using neuron-specific TDP-43 knockout (TDP-43cKO) mice. TDP-43 depletion in neurons induced hypomyelination, which was confirmed by immunohistochemistry and ultrastructural analysis. In addition, conduction disturbance was revealed by electrophysiological analysis. The hypomyelination of TDP-43cKO mouse was restored by cytoplasmic TDP-43 supplementation in neurons. Neuron-specific transcriptome analysis revealed that neurexin 1 (NRXN1) is the regulatory target of TDP-43, which promotes myelin formation. The hypomyelination of TDP-43cKO mice was also restored by NRXN1b supplementation in neurons. We further confirmed that TDP-43 stabilizes</w:t>
      </w:r>
      <w:r>
        <w:t xml:space="preserve"> </w:t>
      </w:r>
      <w:r>
        <w:t>Nrxn1</w:t>
      </w:r>
      <w:r>
        <w:t xml:space="preserve"> </w:t>
      </w:r>
      <w:r>
        <w:t>mRNA by binding to the</w:t>
      </w:r>
      <w:r>
        <w:t xml:space="preserve"> </w:t>
      </w:r>
      <w:r>
        <w:t>Nrxn1</w:t>
      </w:r>
      <w:r>
        <w:t xml:space="preserve"> </w:t>
      </w:r>
      <w:r>
        <w:t>3’untranslated region (3’UTR). Although TDP-43cKO exhibited impaired recognition memory, the supplementation of NRXN1 in the hippocampus recovered the memory disturbances. In conclusion, this study demonstrates the neuron–oligodendrocyte interaction mediated by neuronal TDP-43 via NRXN1 mRNA stabilization. These findings shed light on neuron–oligodendrocyte interaction in the disease mechanisms of ALS/FTLD.</w:t>
      </w:r>
    </w:p>
    <w:p>
      <w:pPr>
        <w:spacing w:before="120" w:after="120"/>
      </w:pPr>
      <w:r>
        <w:rPr>
          <w:sz w:val="18"/>
        </w:rPr>
        <w:t>——————————————————————————————————————————————————————————————————————</w:t>
      </w:r>
    </w:p>
    <w:p>
      <w:pPr>
        <w:spacing w:before="160" w:after="40" w:line="240" w:lineRule="auto"/>
      </w:pPr>
      <w:r>
        <w:rPr>
          <w:b/>
        </w:rPr>
        <w:t xml:space="preserve">[189] </w:t>
      </w:r>
      <w:hyperlink r:id="rId429">
        <w:r>
          <w:rPr>
            <w:color w:val="1155CC"/>
            <w:u w:val="single"/>
          </w:rPr>
          <w:t>程序性减数分裂错误促进家蚕（Bombyx mori）二分精子生产</w:t>
        </w:r>
      </w:hyperlink>
    </w:p>
    <w:p>
      <w:pPr>
        <w:spacing w:before="0" w:after="80"/>
      </w:pPr>
      <w:r>
        <w:rPr>
          <w:i/>
          <w:sz w:val="20"/>
        </w:rPr>
        <w:t>EN: Programmed meiotic errors facilitate dichotomous sperm production in the silkworm, Bombyx mori</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30">
        <w:r>
          <w:rPr>
            <w:color w:val="1155CC"/>
            <w:u w:val="single"/>
          </w:rPr>
          <w:t>10.1073/pnas.2520991123</w:t>
        </w:r>
      </w:hyperlink>
    </w:p>
    <w:p>
      <w:pPr>
        <w:spacing w:before="0" w:after="120"/>
      </w:pPr>
      <w:r>
        <w:rPr>
          <w:b/>
        </w:rPr>
        <w:t xml:space="preserve">Notes: </w:t>
      </w:r>
      <w:r>
        <w:t>abstract_source=crossref</w:t>
      </w:r>
    </w:p>
    <w:p>
      <w:pPr>
        <w:spacing w:before="0" w:after="80" w:lineRule="auto" w:line="276"/>
      </w:pPr>
      <w:r>
        <w:rPr>
          <w:b/>
        </w:rPr>
        <w:t xml:space="preserve">摘要（ZH）: </w:t>
      </w:r>
      <w:r>
        <w:t>减数分裂的目标通常是产生单倍体配子（卵子或精子）。未能做到这一点对生育能力是灾难性的。然而，鳞翅目（蛾和蝴蝶）雄性产生两种精子形态：有核（eupyrene）精子和无核（apyrene）精子，这两者对受精都是必需的。这两种精子发生的减数分裂差异尚不清楚，我们对eupyrene和apyrene精子发生的分子差异的了解在所有系统中都极为有限。唯一被确定为apyrene精子发生所需的因素是Sex-lethal（Sxl）。在这里，我们通过对减数分裂事件的细胞学分析显示，在生成过程中有几个关键差异</w:t>
      </w:r>
    </w:p>
    <w:p>
      <w:pPr>
        <w:spacing w:before="0" w:after="200" w:lineRule="auto" w:line="276"/>
      </w:pPr>
      <w:r>
        <w:rPr>
          <w:b/>
        </w:rPr>
        <w:t xml:space="preserve">Abstract (EN): </w:t>
      </w:r>
      <w:r>
        <w:t>The goal of meiosis is typically to produce haploid gametes (eggs or sperm). Failure to do so is catastrophic for fertility. However, Lepidopteran (moths and butterflies) males produce two sperm morphs: nucleated (eupyrene) sperm and anucleated (apyrene) sperm, both of which are essential for fertilization. The meiotic differences in the two types of spermatogenesis are unclear, and our knowledge of the molecular differences between eupyrene and apyrene spermatogenesis is extremely limited in all systems. The only factor identified as being required for apyrene spermatogenesis is</w:t>
      </w:r>
      <w:r>
        <w:t xml:space="preserve"> </w:t>
      </w:r>
      <w:r>
        <w:t>Sex-lethal</w:t>
      </w:r>
      <w:r>
        <w:t xml:space="preserve"> </w:t>
      </w:r>
      <w:r>
        <w:t>(</w:t>
      </w:r>
      <w:r>
        <w:t xml:space="preserve"> </w:t>
      </w:r>
      <w:r>
        <w:t>Sxl</w:t>
      </w:r>
      <w:r>
        <w:t xml:space="preserve"> </w:t>
      </w:r>
      <w:r>
        <w:t>). Here, we show through cytological analysis of meiotic events that there are several key differences in the genesis of apyrene and eupyrene sperm. Specifically, during meiosis I, apyrene spermatocytes fail to decondense and pair their chromosomes during meiotic prophase I. Telomeres fail to localize to the nuclear periphery, and full-length synaptonemal complex does not form. We also find evidence of an abnormal second cell division during apyrene meiosis. RNA sequencing of both eupyrene- and apyrene-producing testes reveals distinct changes in transcriptional programs, including down-regulation of a myriad of cell division genes during apyrene meiosis. By comparing wildtype and</w:t>
      </w:r>
      <w:r>
        <w:t xml:space="preserve"> </w:t>
      </w:r>
      <w:r>
        <w:t>Sxl</w:t>
      </w:r>
      <w:r>
        <w:t xml:space="preserve"> </w:t>
      </w:r>
      <w:r>
        <w:t>-knockout apyrene testes, we found that</w:t>
      </w:r>
      <w:r>
        <w:t xml:space="preserve"> </w:t>
      </w:r>
      <w:r>
        <w:t>Sxl</w:t>
      </w:r>
      <w:r>
        <w:t xml:space="preserve"> </w:t>
      </w:r>
      <w:r>
        <w:t>is not required for regulating the expression of the cell division genes but instead may play a role in blocking hormone signaling from altering testis cell identity. Together, our findings reveal significant insights into two converging molecular pathways that promote the formation of dimorphic sperm in Lepidoptera.</w:t>
      </w:r>
    </w:p>
    <w:p>
      <w:pPr>
        <w:spacing w:before="120" w:after="120"/>
      </w:pPr>
      <w:r>
        <w:rPr>
          <w:sz w:val="18"/>
        </w:rPr>
        <w:t>——————————————————————————————————————————————————————————————————————</w:t>
      </w:r>
    </w:p>
    <w:p>
      <w:pPr>
        <w:spacing w:before="160" w:after="40" w:line="240" w:lineRule="auto"/>
      </w:pPr>
      <w:r>
        <w:rPr>
          <w:b/>
        </w:rPr>
        <w:t xml:space="preserve">[190] </w:t>
      </w:r>
      <w:hyperlink r:id="rId431">
        <w:r>
          <w:rPr>
            <w:color w:val="1155CC"/>
            <w:u w:val="single"/>
          </w:rPr>
          <w:t>陆地生态系统氮循环对田间增温的响应：全球模式和未来趋势</w:t>
        </w:r>
      </w:hyperlink>
    </w:p>
    <w:p>
      <w:pPr>
        <w:spacing w:before="0" w:after="80"/>
      </w:pPr>
      <w:r>
        <w:rPr>
          <w:i/>
          <w:sz w:val="20"/>
        </w:rPr>
        <w:t>EN: Terrestrial ecosystem nitrogen cycling in response to field warming: Global patterns and future trends</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32">
        <w:r>
          <w:rPr>
            <w:color w:val="1155CC"/>
            <w:u w:val="single"/>
          </w:rPr>
          <w:t>10.1073/pnas.2532868123</w:t>
        </w:r>
      </w:hyperlink>
    </w:p>
    <w:p>
      <w:pPr>
        <w:spacing w:before="0" w:after="120"/>
      </w:pPr>
      <w:r>
        <w:rPr>
          <w:b/>
        </w:rPr>
        <w:t xml:space="preserve">Notes: </w:t>
      </w:r>
      <w:r>
        <w:t>abstract_source=crossref</w:t>
      </w:r>
    </w:p>
    <w:p>
      <w:pPr>
        <w:spacing w:before="0" w:after="80" w:lineRule="auto" w:line="276"/>
      </w:pPr>
      <w:r>
        <w:rPr>
          <w:b/>
        </w:rPr>
        <w:t xml:space="preserve">摘要（ZH）: </w:t>
      </w:r>
      <w:r>
        <w:t>氮循环调节陆地生态系统的生产力和碳封存，但其对气候变暖的响应仍不确定。在这里，我们编制了迄今为止最全面的数据集，整合了来自全球413个田间增温实验的7,941个观测结果，使用随机森林回归和社区陆地模型（CLM）模拟。田间增温显著加速了氮循环，增加了N2O排放（+24.7%）、矿化（+25.8%）、硝化（+51.7%）和反硝化（+41.1%）。土壤无机氮也增加，而植物氮基本保持不变。15N的自然丰度升高表明，增温缓解了氮限制并促进了更多</w:t>
      </w:r>
    </w:p>
    <w:p>
      <w:pPr>
        <w:spacing w:before="0" w:after="200" w:lineRule="auto" w:line="276"/>
      </w:pPr>
      <w:r>
        <w:rPr>
          <w:b/>
        </w:rPr>
        <w:t xml:space="preserve">Abstract (EN): </w:t>
      </w:r>
      <w:r>
        <w:t>Nitrogen cycling regulates terrestrial ecosystem productivity and carbon sequestration, yet its response to climate warming remains uncertain. Here, we compiled the most comprehensive dataset to date, integrating 7,941 observations from 413 field warming experiments worldwide with random forest regression and Community Land Model (CLM) simulations. Field warming significantly accelerated nitrogen cycling, increasing N</w:t>
      </w:r>
      <w:r>
        <w:rPr>
          <w:vertAlign w:val="subscript"/>
        </w:rPr>
        <w:t>2</w:t>
      </w:r>
      <w:r>
        <w:t>O emissions (+24.7%), mineralization (+25.8%), nitrification (+51.7%), and denitrification (+41.1%). Soil inorganic nitrogen also increased, while plant nitrogen remained largely unchanged. Elevated natural abundance of</w:t>
      </w:r>
      <w:r>
        <w:rPr>
          <w:vertAlign w:val="subscript"/>
        </w:rPr>
        <w:t>15</w:t>
      </w:r>
      <w:r>
        <w:t>N indicated that warming alleviates nitrogen limitation and promotes more open nitrogen cycles. Soil moisture, ecosystem type, and warming magnitude were key drivers. N</w:t>
      </w:r>
      <w:r>
        <w:rPr>
          <w:vertAlign w:val="subscript"/>
        </w:rPr>
        <w:t>2</w:t>
      </w:r>
      <w:r>
        <w:t>O emission and nitrification further intensified with increased warming magnitude in random forest analyses. In contrast, CLM5-BGC simulated weak responses in N</w:t>
      </w:r>
      <w:r>
        <w:rPr>
          <w:vertAlign w:val="subscript"/>
        </w:rPr>
        <w:t>2</w:t>
      </w:r>
      <w:r>
        <w:t>O emissions and nitrification and negative changes in nitrogen mineralization, substantially diverging from field observations. These discrepancies highlight the omission of microbial processes and the oversimplification of large-scale ecosystem feedbacks, respectively. Uniquely, this study provides a direct comparison among empirical data, random forest regression, and CLM simulations, revealing discrepancies and their potential causes. Collectively, our findings demonstrate that terrestrial nitrogen cycling is more responsive to climate warming than previously recognized and underscore the importance of integrating multiple analytical approaches to synthesize cross-scale ecological data.</w:t>
      </w:r>
    </w:p>
    <w:p>
      <w:pPr>
        <w:spacing w:before="120" w:after="120"/>
      </w:pPr>
      <w:r>
        <w:rPr>
          <w:sz w:val="18"/>
        </w:rPr>
        <w:t>——————————————————————————————————————————————————————————————————————</w:t>
      </w:r>
    </w:p>
    <w:p>
      <w:pPr>
        <w:spacing w:before="160" w:after="40" w:line="240" w:lineRule="auto"/>
      </w:pPr>
      <w:r>
        <w:rPr>
          <w:b/>
        </w:rPr>
        <w:t xml:space="preserve">[191] </w:t>
      </w:r>
      <w:hyperlink r:id="rId433">
        <w:r>
          <w:rPr>
            <w:color w:val="1155CC"/>
            <w:u w:val="single"/>
          </w:rPr>
          <w:t>通过冷冻电镜从天然来源中确定糖纤维的绝对手性</w:t>
        </w:r>
      </w:hyperlink>
    </w:p>
    <w:p>
      <w:pPr>
        <w:spacing w:before="0" w:after="80"/>
      </w:pPr>
      <w:r>
        <w:rPr>
          <w:i/>
          <w:sz w:val="20"/>
        </w:rPr>
        <w:t>EN: Absolute hand determination of glycofibrils from natural sources in cryo-EM</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34">
        <w:r>
          <w:rPr>
            <w:color w:val="1155CC"/>
            <w:u w:val="single"/>
          </w:rPr>
          <w:t>10.1073/pnas.2531477123</w:t>
        </w:r>
      </w:hyperlink>
    </w:p>
    <w:p>
      <w:pPr>
        <w:spacing w:before="0" w:after="120"/>
      </w:pPr>
      <w:r>
        <w:rPr>
          <w:b/>
        </w:rPr>
        <w:t xml:space="preserve">Notes: </w:t>
      </w:r>
      <w:r>
        <w:t>abstract_source=crossref</w:t>
      </w:r>
    </w:p>
    <w:p>
      <w:pPr>
        <w:spacing w:before="0" w:after="80" w:lineRule="auto" w:line="276"/>
      </w:pPr>
      <w:r>
        <w:rPr>
          <w:b/>
        </w:rPr>
        <w:t xml:space="preserve">摘要（ZH）: </w:t>
      </w:r>
      <w:r>
        <w:t>糖链不仅是构成生命的四大基本大分子类之一，而且在地球上这四类中最为丰富。然而，与蛋白质和核酸相比，我们对糖链的结构和功能机制的理解仍然有限。此外，通常很难获得糖链的高分辨率三维结构。最近的研究表明，CryoSeek策略在实现糖链的高通量结构测定方面具有潜力，从而为其结构研究提供了新的途径。同时，与蛋白质不同，糖纤维的近原子分辨率密度图并不天然有助于确定绝对手性，这是构建原子模型的前提。</w:t>
      </w:r>
    </w:p>
    <w:p>
      <w:pPr>
        <w:spacing w:before="0" w:after="200" w:lineRule="auto" w:line="276"/>
      </w:pPr>
      <w:r>
        <w:rPr>
          <w:b/>
        </w:rPr>
        <w:t xml:space="preserve">Abstract (EN): </w:t>
      </w:r>
      <w:r>
        <w:t>Glycans are not only one of the four fundamental macromolecular classes that constitute life, but also the most abundant among these four across the Earth. However, compared with proteins and nucleic acids, our understanding of the structures and functional mechanisms of glycans remains limited. Moreover, it is generally challenging to obtain high-resolution three-dimensional structures of glycans. Recent studies have demonstrated the potential of the CryoSeek strategy in enabling high-throughput structural determination of glycans, thereby presenting novel avenues for their structural investigation. Meanwhile, unlike proteins, near atomic resolution density maps of glycofibrils do not inherently facilitate the determination of absolute hand, which is a prerequisite for building atomic models of glycofibrils. Existing absolute hand determination methods have severe limitations in the case of glycofibrils from natural sources. In this study, we introduce Ahaha, a straightforward and efficient method for determining such absolute hand in cryogenic electron microscopy. With their absolute hand measured by Ahaha, we built atomic models of four glycofibrils derived from a natural water sample, facilitating the study of glycans. The online service of Ahaha is available at</w:t>
      </w:r>
      <w:r>
        <w:t xml:space="preserve"> </w:t>
      </w:r>
      <w:r>
        <w:t>https://cryoseek.org/ahaha</w:t>
      </w:r>
      <w:r>
        <w:t xml:space="preserve"> </w:t>
      </w:r>
      <w:r>
        <w:t>.</w:t>
      </w:r>
    </w:p>
    <w:p>
      <w:pPr>
        <w:spacing w:before="120" w:after="120"/>
      </w:pPr>
      <w:r>
        <w:rPr>
          <w:sz w:val="18"/>
        </w:rPr>
        <w:t>——————————————————————————————————————————————————————————————————————</w:t>
      </w:r>
    </w:p>
    <w:p>
      <w:pPr>
        <w:spacing w:before="160" w:after="40" w:line="240" w:lineRule="auto"/>
      </w:pPr>
      <w:r>
        <w:rPr>
          <w:b/>
        </w:rPr>
        <w:t xml:space="preserve">[192] </w:t>
      </w:r>
      <w:hyperlink r:id="rId435">
        <w:r>
          <w:rPr>
            <w:color w:val="1155CC"/>
            <w:u w:val="single"/>
          </w:rPr>
          <w:t>表型CRISPR筛选鉴定NLRX1为人类线粒体通透性转换的必需激活因子</w:t>
        </w:r>
      </w:hyperlink>
    </w:p>
    <w:p>
      <w:pPr>
        <w:spacing w:before="0" w:after="80"/>
      </w:pPr>
      <w:r>
        <w:rPr>
          <w:i/>
          <w:sz w:val="20"/>
        </w:rPr>
        <w:t>EN: Phenotypic CRISPR screens identify NLRX1 as an essential activator of the human mitochondrial permeability transition</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36">
        <w:r>
          <w:rPr>
            <w:color w:val="1155CC"/>
            <w:u w:val="single"/>
          </w:rPr>
          <w:t>10.1073/pnas.2535298123</w:t>
        </w:r>
      </w:hyperlink>
    </w:p>
    <w:p>
      <w:pPr>
        <w:spacing w:before="0" w:after="120"/>
      </w:pPr>
      <w:r>
        <w:rPr>
          <w:b/>
        </w:rPr>
        <w:t xml:space="preserve">Notes: </w:t>
      </w:r>
      <w:r>
        <w:t>abstract_source=crossref</w:t>
      </w:r>
    </w:p>
    <w:p>
      <w:pPr>
        <w:spacing w:before="0" w:after="80" w:lineRule="auto" w:line="276"/>
      </w:pPr>
      <w:r>
        <w:rPr>
          <w:b/>
        </w:rPr>
        <w:t xml:space="preserve">摘要（ZH）: </w:t>
      </w:r>
      <w:r>
        <w:t>线粒体通透性转换（mPT）是一种进化上保守的破坏性过程，在钙超载时使内线粒体膜通透化。mPT的分子机制尚未确定。为了明确识别关键蛋白质，我们设计了两种线粒体钙超载的表型测定，并将其应用于基于FACS的CRISPR筛选人类细胞，最终评估了19,113个基因。第一个筛选研究了钙超载引起的线粒体膜电位（MMP）崩溃。排名靠前的基因是线粒体钙单向转运体复合物的关键蛋白质MCU和EMRE，反映出钙诱导的MMP崩溃是由线粒体钙进入而非mPT引起的。第二个筛选</w:t>
      </w:r>
    </w:p>
    <w:p>
      <w:pPr>
        <w:spacing w:before="0" w:after="200" w:lineRule="auto" w:line="276"/>
      </w:pPr>
      <w:r>
        <w:rPr>
          <w:b/>
        </w:rPr>
        <w:t xml:space="preserve">Abstract (EN): </w:t>
      </w:r>
      <w:r>
        <w:t>The mitochondrial permeability transition (mPT) is an evolutionarily conserved destructive process that permeabilizes the inner mitochondrial membrane in response to calcium overload. The molecular mechanism underlying the mPT is not established. To unambiguously identify essential proteins, we designed two phenotypic assays for mitochondrial calcium overload and applied them to FACS-based CRISPR screening in human cells, ultimately evaluating 19,113 genes. The first screen studied mitochondrial membrane potential (MMP) collapse in response to calcium overload. Top-ranked genes were the essential proteins of the mitochondrial calcium uniporter complex, MCU and EMRE, reflecting that the calcium-induced MMP collapse results from mitochondrial calcium entry and not the mPT. The second screen measured the permeability of the inner mitochondrial membrane. Here, the fluorescent interaction of a membrane impermeant ~600 Da dye and a mitochondrial-targeted HaloTag protein was studied under mPT activating conditions; calcium overload and the thiol-reactive molecule phenylarsine oxide. With secondary validation, we identified four protein-encoding genes that delayed or prevented the mPT under knockout: NF2, REST, BPTF, and NRLX1. Knockout of the nonmitochondrial proteins BPTF, NF2, or REST increased mitochondrial calcium retention capacity (CRC). However, calcium release or sensitivity to cyclosporin A (CsA) persisted, indicative of mPT sensitizers. Only knockout of the mitochondrial matrix protein, NLRX1, increased CRC, abolished calcium release, and was CsA-insensitive. This top-ranked hit of the mitochondrial permeability screen meets the definition of an essential mPT activator. Integral membrane proteins, including all previously proposed mPT candidates, were not essential activators.</w:t>
      </w:r>
    </w:p>
    <w:p>
      <w:pPr>
        <w:spacing w:before="120" w:after="120"/>
      </w:pPr>
      <w:r>
        <w:rPr>
          <w:sz w:val="18"/>
        </w:rPr>
        <w:t>——————————————————————————————————————————————————————————————————————</w:t>
      </w:r>
    </w:p>
    <w:p>
      <w:pPr>
        <w:spacing w:before="160" w:after="40" w:line="240" w:lineRule="auto"/>
      </w:pPr>
      <w:r>
        <w:rPr>
          <w:b/>
        </w:rPr>
        <w:t xml:space="preserve">[193] </w:t>
      </w:r>
      <w:hyperlink r:id="rId437">
        <w:r>
          <w:rPr>
            <w:color w:val="1155CC"/>
            <w:u w:val="single"/>
          </w:rPr>
          <w:t>在美国国际开发署削减之后，我们可以创建一个基于更公平数据基础设施和更强研究诚信的人口与健康调查计划</w:t>
        </w:r>
      </w:hyperlink>
    </w:p>
    <w:p>
      <w:pPr>
        <w:spacing w:before="0" w:after="80"/>
      </w:pPr>
      <w:r>
        <w:rPr>
          <w:i/>
          <w:sz w:val="20"/>
        </w:rPr>
        <w:t>EN: In the wake of USAID cuts, we can create a Demographic and Health Survey Program founded on more equitable data infrastructure and stronger research integrity</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38">
        <w:r>
          <w:rPr>
            <w:color w:val="1155CC"/>
            <w:u w:val="single"/>
          </w:rPr>
          <w:t>10.1073/pnas.2513242123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[194] </w:t>
      </w:r>
      <w:hyperlink r:id="rId439">
        <w:r>
          <w:rPr>
            <w:color w:val="1155CC"/>
            <w:u w:val="single"/>
          </w:rPr>
          <w:t>通过冷冻电镜揭示真核病毒的成熟途径</w:t>
        </w:r>
      </w:hyperlink>
    </w:p>
    <w:p>
      <w:pPr>
        <w:spacing w:before="0" w:after="80"/>
      </w:pPr>
      <w:r>
        <w:rPr>
          <w:i/>
          <w:sz w:val="20"/>
        </w:rPr>
        <w:t>EN: Unraveling the maturation pathway of a eukaryotic virus through cryo-EM</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40">
        <w:r>
          <w:rPr>
            <w:color w:val="1155CC"/>
            <w:u w:val="single"/>
          </w:rPr>
          <w:t>10.1073/pnas.2420493123</w:t>
        </w:r>
      </w:hyperlink>
    </w:p>
    <w:p>
      <w:pPr>
        <w:spacing w:before="0" w:after="120"/>
      </w:pPr>
      <w:r>
        <w:rPr>
          <w:b/>
        </w:rPr>
        <w:t xml:space="preserve">Notes: </w:t>
      </w:r>
      <w:r>
        <w:t>abstract_source=crossref</w:t>
      </w:r>
    </w:p>
    <w:p>
      <w:pPr>
        <w:spacing w:before="0" w:after="80" w:lineRule="auto" w:line="276"/>
      </w:pPr>
      <w:r>
        <w:rPr>
          <w:b/>
        </w:rPr>
        <w:t xml:space="preserve">摘要（ZH）: </w:t>
      </w:r>
      <w:r>
        <w:t>病毒成熟是一个涉及大规模结构重组的基本生物过程，推动功能激活并导致感染性。理解从初始前衣壳组装到成熟病毒颗粒的步骤对于理解病毒生命周期和开发抗病毒疗法至关重要。然而，由于中间状态的瞬态和难以捉摸的性质，捕捉这些步骤一直具有挑战性。非包膜、T = 4、含ssRNA的Nudaurelia capensis omega病毒（NωV）是一个高度可及的模型系统，体现了真核病毒的成熟过程。在成熟过程中，颗粒的外径从482 Å（pH 7.6）缩小到428 Å（pH 5.0）。可以模拟成熟</w:t>
      </w:r>
    </w:p>
    <w:p>
      <w:pPr>
        <w:spacing w:before="0" w:after="200" w:lineRule="auto" w:line="276"/>
      </w:pPr>
      <w:r>
        <w:rPr>
          <w:b/>
        </w:rPr>
        <w:t xml:space="preserve">Abstract (EN): </w:t>
      </w:r>
      <w:r>
        <w:t>Virus maturation is a fundamental biological process involving large-scale structural reorganizations that drive functional activation and lead to infectivity. Understanding the steps from the initial procapsid assembly to mature virions is essential, both for comprehending viral life cycles and for developing antiviral therapies. However, capturing these steps has been challenging due to the transient and elusive nature of intermediate states. The nonenveloped, T = 4, ssRNA-containing,</w:t>
      </w:r>
      <w:r>
        <w:t xml:space="preserve"> </w:t>
      </w:r>
      <w:r>
        <w:t>Nudaurelia capensis</w:t>
      </w:r>
      <w:r>
        <w:t xml:space="preserve"> </w:t>
      </w:r>
      <w:r>
        <w:t>omega virus (NωV) is a highly accessible model system that exemplifies the maturation process of a eukaryotic virus. During maturation, the particle shrinks in outer diameter from 482 Å (pH 7.6) to 428 Å (pH 5.0). It is possible to mimic the maturation process in vitro by lowering the pH of a population of procapsids produced in heterologous systems. Indeed, by controlling the pH in vitro, it is possible to produce homogenous populations of intermediate NωV virus-like particles (VLPs) that occur too fleetingly to be observed in vivo. Here, we report structural models, based on cryoelectron microscopy (cryo-EM), of five intermediates in the NωV maturation process. The structures of the intermediate particles reveal unique, quaternary position-dependent trajectories and refolding of subunit N and C-terminal regions, including the formation of the autocatalytic cleavage site at N570. The detailed structures reported here, coupled with previously determined structures of the procapsids and mature particles, allow the maturation pathway to be described in detail for a eukaryotic virus.</w:t>
      </w:r>
    </w:p>
    <w:p>
      <w:pPr>
        <w:spacing w:before="120" w:after="120"/>
      </w:pPr>
      <w:r>
        <w:rPr>
          <w:sz w:val="18"/>
        </w:rPr>
        <w:t>——————————————————————————————————————————————————————————————————————</w:t>
      </w:r>
    </w:p>
    <w:p>
      <w:pPr>
        <w:spacing w:before="160" w:after="40" w:line="240" w:lineRule="auto"/>
      </w:pPr>
      <w:r>
        <w:rPr>
          <w:b/>
        </w:rPr>
        <w:t xml:space="preserve">[195] </w:t>
      </w:r>
      <w:hyperlink r:id="rId441">
        <w:r>
          <w:rPr>
            <w:color w:val="1155CC"/>
            <w:u w:val="single"/>
          </w:rPr>
          <w:t>当替代变得必不可少：线粒体甘油-3-磷酸脱氢酶的作用</w:t>
        </w:r>
      </w:hyperlink>
    </w:p>
    <w:p>
      <w:pPr>
        <w:spacing w:before="0" w:after="80"/>
      </w:pPr>
      <w:r>
        <w:rPr>
          <w:i/>
          <w:sz w:val="20"/>
        </w:rPr>
        <w:t>EN: When alternative becomes essential: The role of mitochondrial glycerol-3-phosphate dehydrogenase</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42">
        <w:r>
          <w:rPr>
            <w:color w:val="1155CC"/>
            <w:u w:val="single"/>
          </w:rPr>
          <w:t>10.1073/pnas.2535701123</w:t>
        </w:r>
      </w:hyperlink>
    </w:p>
    <w:p>
      <w:pPr>
        <w:spacing w:before="0" w:after="120"/>
      </w:pPr>
      <w:r>
        <w:rPr>
          <w:b/>
        </w:rPr>
        <w:t xml:space="preserve">Notes: </w:t>
      </w:r>
      <w:r>
        <w:t>abstract_source=crossref</w:t>
      </w:r>
    </w:p>
    <w:p>
      <w:pPr>
        <w:spacing w:before="0" w:after="80" w:lineRule="auto" w:line="276"/>
      </w:pPr>
      <w:r>
        <w:rPr>
          <w:b/>
        </w:rPr>
        <w:t xml:space="preserve">摘要（ZH）: </w:t>
      </w:r>
      <w:r>
        <w:t>复合物I被认为是线粒体电子传递系统（ETS）中电子的主要进入点。然而，由胞质和线粒体甘油-3-磷酸（G3P）脱氢酶（分别为cG3PDH和mtG3PDH）组成的甘油-3-磷酸穿梭系统，将还原当量从胞质转移到线粒体基质。mtG3PDH通过FADH</w:t>
      </w:r>
      <w:r>
        <w:rPr>
          <w:vertAlign w:val="subscript"/>
        </w:rPr>
        <w:t>2</w:t>
      </w:r>
      <w:r>
        <w:t>氧化将电子引入ETS，但其能量转换效率理论上低于复合物I。因此，它被认为是一种“替代”途径，仅在复合物I失效时支持线粒体呼吸。mtG3PDH在活性氧（ROS）产生中也起着重要作用。为了研究这种未被充分研究的蛋白质在线粒体生物能量学中的作用</w:t>
      </w:r>
    </w:p>
    <w:p>
      <w:pPr>
        <w:spacing w:before="0" w:after="200" w:lineRule="auto" w:line="276"/>
      </w:pPr>
      <w:r>
        <w:rPr>
          <w:b/>
        </w:rPr>
        <w:t xml:space="preserve">Abstract (EN): </w:t>
      </w:r>
      <w:r>
        <w:t>Complex I is known as the primary entry point for electrons within the mitochondrial electron transport system (ETS). However, the glycerol-3-phosphate (G3P) shuttle, composed of cytosolic and mitochondrial G3P dehydrogenase (cG3PDH and mtG3PDH, respectively), transfer reducing equivalents from the cytosol to the mitochondrial matrix. The mtG3PDH feeds electrons into the ETS via FADH</w:t>
      </w:r>
      <w:r>
        <w:rPr>
          <w:vertAlign w:val="subscript"/>
        </w:rPr>
        <w:t>2</w:t>
      </w:r>
      <w:r>
        <w:t>oxidation, but with theoretically lower energy conversion efficiency than complex I. It is thus believed to be an “alternative” pathway, only supporting mitochondrial respiration when complex I fails. mtG3PDH also plays an important role in reactive oxygen species (ROS) production. To investigate the role of this understudied protein in mitochondrial bioenergetics and redox homeostasis, we generated</w:t>
      </w:r>
      <w:r>
        <w:t xml:space="preserve"> </w:t>
      </w:r>
      <w:r>
        <w:t>Drosophila melanogaster</w:t>
      </w:r>
      <w:r>
        <w:t xml:space="preserve"> </w:t>
      </w:r>
      <w:r>
        <w:t>mutant lines for mtG3PDH (GPO1) using a CRISPR/Cas9-based approach and determined several physiological and metabolic parameters. A drastically higher mortality rate was observed among the GPO1 flies, as well as a lethargic behavior characterized by an inability to climb. These results are in accordance with an impaired mitochondrial efficiency (ATP/O) mainly due to decreased ATP production (~60% decrease) and O</w:t>
      </w:r>
      <w:r>
        <w:rPr>
          <w:vertAlign w:val="subscript"/>
        </w:rPr>
        <w:t>2</w:t>
      </w:r>
      <w:r>
        <w:t>consumption (~33% decrease), rather than elevated ROS. In fact, GPO1 flies produced ~70% less ROS than controls, likely due to the reduced direct and reverse electron transfer-related ROS production from mtG3PDH. These results support an essential role of mtG3PDH in mitochondrial bioenergetic, challenging its alternative aspect, and confirming its importance in mitochondrial redox homeostasis.</w:t>
      </w:r>
    </w:p>
    <w:p>
      <w:pPr>
        <w:spacing w:before="120" w:after="120"/>
      </w:pPr>
      <w:r>
        <w:rPr>
          <w:sz w:val="18"/>
        </w:rPr>
        <w:t>——————————————————————————————————————————————————————————————————————</w:t>
      </w:r>
    </w:p>
    <w:p>
      <w:pPr>
        <w:spacing w:before="160" w:after="40" w:line="240" w:lineRule="auto"/>
      </w:pPr>
      <w:r>
        <w:rPr>
          <w:b/>
        </w:rPr>
        <w:t xml:space="preserve">[196] </w:t>
      </w:r>
      <w:hyperlink r:id="rId443">
        <w:r>
          <w:rPr>
            <w:color w:val="1155CC"/>
            <w:u w:val="single"/>
          </w:rPr>
          <w:t>单细胞生物蓝色草履虫（Stentor coeruleus）中锚定位点的几何偏好</w:t>
        </w:r>
      </w:hyperlink>
    </w:p>
    <w:p>
      <w:pPr>
        <w:spacing w:before="0" w:after="80"/>
      </w:pPr>
      <w:r>
        <w:rPr>
          <w:i/>
          <w:sz w:val="20"/>
        </w:rPr>
        <w:t>EN: Geometrical preference of anchoring sites in the unicellular organism Stentor coeruleus</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44">
        <w:r>
          <w:rPr>
            <w:color w:val="1155CC"/>
            <w:u w:val="single"/>
          </w:rPr>
          <w:t>10.1073/pnas.2518816123</w:t>
        </w:r>
      </w:hyperlink>
    </w:p>
    <w:p>
      <w:pPr>
        <w:spacing w:before="0" w:after="120"/>
      </w:pPr>
      <w:r>
        <w:rPr>
          <w:b/>
        </w:rPr>
        <w:t xml:space="preserve">Notes: </w:t>
      </w:r>
      <w:r>
        <w:t>abstract_source=crossref</w:t>
      </w:r>
    </w:p>
    <w:p>
      <w:pPr>
        <w:spacing w:before="0" w:after="80" w:lineRule="auto" w:line="276"/>
      </w:pPr>
      <w:r>
        <w:rPr>
          <w:b/>
        </w:rPr>
        <w:t xml:space="preserve">摘要（ZH）: </w:t>
      </w:r>
      <w:r>
        <w:t>生物体通常栖息在由不同尺度的复杂结构组成的环境中。动物依赖于周围几何结构的视觉信息进行导航。即使在微观尺度上，各种微沉积物也在微生物栖息地中形成复杂结构。微生物的运动受到与周围结构碰撞和流体动力学相互作用的被动影响。然而，微环境几何对缺乏视觉感知的单细胞生物行为变化的影响仍不清楚。在此，我们开发了几何结构化的腔室，以研究游动纤毛虫</w:t>
      </w:r>
      <w:r>
        <w:t xml:space="preserve"> </w:t>
      </w:r>
      <w:r>
        <w:t>Stentor coeruleus</w:t>
      </w:r>
      <w:r>
        <w:t xml:space="preserve"> </w:t>
      </w:r>
      <w:r>
        <w:t>的锚定位点偏好。我们的实验揭示了</w:t>
      </w:r>
      <w:r>
        <w:t xml:space="preserve"> </w:t>
      </w:r>
      <w:r>
        <w:t>S. coeruleus</w:t>
      </w:r>
    </w:p>
    <w:p>
      <w:pPr>
        <w:spacing w:before="0" w:after="200" w:lineRule="auto" w:line="276"/>
      </w:pPr>
      <w:r>
        <w:rPr>
          <w:b/>
        </w:rPr>
        <w:t xml:space="preserve">Abstract (EN): </w:t>
      </w:r>
      <w:r>
        <w:t>Organisms often inhabit environments comprising complex structures across various scales. Animals rely on visual information from surrounding geometrical structures for navigation. Even at the microscale, various microsediments form complex structures in microbial habitats. The movement of microorganisms is passively affected by collisions and hydrodynamic interactions with surrounding structures. However, the influence of microenvironmental geometry on behavioral changes of unicellular organisms that lack visual perception remains unclear. Here, we developed geometrically structured chambers to investigate anchoring site preferences in the swimming ciliate</w:t>
      </w:r>
      <w:r>
        <w:t xml:space="preserve"> </w:t>
      </w:r>
      <w:r>
        <w:t>Stentor coeruleus</w:t>
      </w:r>
      <w:r>
        <w:t xml:space="preserve"> </w:t>
      </w:r>
      <w:r>
        <w:t>. Our experiments revealed that</w:t>
      </w:r>
      <w:r>
        <w:t xml:space="preserve"> </w:t>
      </w:r>
      <w:r>
        <w:t>S. coeruleus</w:t>
      </w:r>
      <w:r>
        <w:t xml:space="preserve"> </w:t>
      </w:r>
      <w:r>
        <w:t>preferentially anchored in narrow regions characterized by specific geometrical features, including corner angle, depth, and curvature at the corner end. Before anchoring, free-swimming</w:t>
      </w:r>
      <w:r>
        <w:t xml:space="preserve"> </w:t>
      </w:r>
      <w:r>
        <w:t>S. coeruleus</w:t>
      </w:r>
      <w:r>
        <w:t xml:space="preserve"> </w:t>
      </w:r>
      <w:r>
        <w:t>changed its behavior to move along the boundary wall of the chambers, accompanied by Ca</w:t>
      </w:r>
      <w:r>
        <w:t xml:space="preserve"> </w:t>
      </w:r>
      <w:r>
        <w:t>2+</w:t>
      </w:r>
      <w:r>
        <w:t xml:space="preserve"> </w:t>
      </w:r>
      <w:r>
        <w:t>-induced asymmetrical body deformation. To further investigate how</w:t>
      </w:r>
      <w:r>
        <w:t xml:space="preserve"> </w:t>
      </w:r>
      <w:r>
        <w:t>S. coeruleus</w:t>
      </w:r>
      <w:r>
        <w:t xml:space="preserve"> </w:t>
      </w:r>
      <w:r>
        <w:t>moves along the wall continuously, we conducted a hydrodynamic simulation and revealed that the asymmetric morphology causes asymmetric propulsive forces, explaining wall-following behavior through physical interactions with a wall. Thus, morphological change near a wall causes wall-following behavior, facilitating the identification of these narrow anchoring sites. Our findings indicate that environmental geometry drives behavioral transitions in</w:t>
      </w:r>
      <w:r>
        <w:t xml:space="preserve"> </w:t>
      </w:r>
      <w:r>
        <w:t>S. coeruleus</w:t>
      </w:r>
      <w:r>
        <w:t xml:space="preserve"> </w:t>
      </w:r>
      <w:r>
        <w:t>through simple biophysical processes, enabling spatial selection without visual cues. Overall, these results suggest that microgeometry plays a key role in shaping ecological niches for unicellular microorganisms.</w:t>
      </w:r>
    </w:p>
    <w:p>
      <w:pPr>
        <w:spacing w:before="120" w:after="120"/>
      </w:pPr>
      <w:r>
        <w:rPr>
          <w:sz w:val="18"/>
        </w:rPr>
        <w:t>——————————————————————————————————————————————————————————————————————</w:t>
      </w:r>
    </w:p>
    <w:p>
      <w:pPr>
        <w:spacing w:before="160" w:after="40" w:line="240" w:lineRule="auto"/>
      </w:pPr>
      <w:r>
        <w:rPr>
          <w:b/>
        </w:rPr>
        <w:t xml:space="preserve">[197] </w:t>
      </w:r>
      <w:hyperlink r:id="rId445">
        <w:r>
          <w:rPr>
            <w:color w:val="1155CC"/>
            <w:u w:val="single"/>
          </w:rPr>
          <w:t>通过双光子高维干涉高效评估光学量子模块</w:t>
        </w:r>
      </w:hyperlink>
    </w:p>
    <w:p>
      <w:pPr>
        <w:spacing w:before="0" w:after="80"/>
      </w:pPr>
      <w:r>
        <w:rPr>
          <w:i/>
          <w:sz w:val="20"/>
        </w:rPr>
        <w:t>EN: Efficient evaluation of optical quantum modules via two-photon high-dimensional interference</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46">
        <w:r>
          <w:rPr>
            <w:color w:val="1155CC"/>
            <w:u w:val="single"/>
          </w:rPr>
          <w:t>10.1073/pnas.2515503123</w:t>
        </w:r>
      </w:hyperlink>
    </w:p>
    <w:p>
      <w:pPr>
        <w:spacing w:before="0" w:after="120"/>
      </w:pPr>
      <w:r>
        <w:rPr>
          <w:b/>
        </w:rPr>
        <w:t xml:space="preserve">Notes: </w:t>
      </w:r>
      <w:r>
        <w:t>abstract_source=crossref</w:t>
      </w:r>
    </w:p>
    <w:p>
      <w:pPr>
        <w:spacing w:before="0" w:after="80" w:lineRule="auto" w:line="276"/>
      </w:pPr>
      <w:r>
        <w:rPr>
          <w:b/>
        </w:rPr>
        <w:t xml:space="preserve">摘要（ZH）: </w:t>
      </w:r>
      <w:r>
        <w:t>量子信息技术的快速发展增加了对量子模块精确测试和校准的需求，特别是在光学量子电路中，模块的可靠性直接影响系统性能。为满足这一需求，我们提出了一种基于高维Hong–Ou–Mandel干涉的双光子量子模块评估方法。我们的方法使用多自由度光子编码，实现了光学量子模块的快速准确评估。与传统方法如量子过程层析和直接保真度估计相比，我们的方法不仅简化了实施过程，还显著减少了所需的测量资源。值得注意的是，随着系统维度的扩展，资源需求保持不变，确保</w:t>
      </w:r>
    </w:p>
    <w:p>
      <w:pPr>
        <w:spacing w:before="0" w:after="200" w:lineRule="auto" w:line="276"/>
      </w:pPr>
      <w:r>
        <w:rPr>
          <w:b/>
        </w:rPr>
        <w:t xml:space="preserve">Abstract (EN): </w:t>
      </w:r>
      <w:r>
        <w:t>The rapid advancement of quantum information technology has increased the demand for precise testing and calibration of quantum modules, especially in optical quantum circuits where module reliability directly impacts system performance. To address this need, we propose a two-photon quantum module evaluation method based on high-dimensional Hong–Ou–Mandel interference. Our method uses multi-degree-of-freedom photon encoding to enable rapid and accurate evaluation of optical quantum modules. Compared to traditional methods such as quantum process tomography and direct fidelity estimation, our method not only simplifies implementation but also significantly minimizes the measurement resources required. Notably, the resource demands remain invariant as the system dimensionality scales, ensuring efficient evaluation even in high-dimensional quantum systems. We validated this method on a programmable silicon photonic chip, demonstrating its ability to accurately evaluate optical quantum module performance while significantly reducing resource consumption. This quantum module evaluation method holds promise for broader applications in the field of optical quantum information technologies.</w:t>
      </w:r>
    </w:p>
    <w:p>
      <w:pPr>
        <w:spacing w:before="120" w:after="120"/>
      </w:pPr>
      <w:r>
        <w:rPr>
          <w:sz w:val="18"/>
        </w:rPr>
        <w:t>——————————————————————————————————————————————————————————————————————</w:t>
      </w:r>
    </w:p>
    <w:p>
      <w:pPr>
        <w:spacing w:before="160" w:after="40" w:line="240" w:lineRule="auto"/>
      </w:pPr>
      <w:r>
        <w:rPr>
          <w:b/>
        </w:rPr>
        <w:t xml:space="preserve">[198] </w:t>
      </w:r>
      <w:hyperlink r:id="rId447">
        <w:r>
          <w:rPr>
            <w:color w:val="1155CC"/>
            <w:u w:val="single"/>
          </w:rPr>
          <w:t>使用cryoPRISM捕获细胞提取物中的核糖体结构：一种无纯化的冷冻电镜方法揭示新结构状态</w:t>
        </w:r>
      </w:hyperlink>
    </w:p>
    <w:p>
      <w:pPr>
        <w:spacing w:before="0" w:after="80"/>
      </w:pPr>
      <w:r>
        <w:rPr>
          <w:i/>
          <w:sz w:val="20"/>
        </w:rPr>
        <w:t>EN: Capturing ribosomal structures in cellular extracts with cryoPRISM: A purification-free cryoEM approach reveals novel structural states</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48">
        <w:r>
          <w:rPr>
            <w:color w:val="1155CC"/>
            <w:u w:val="single"/>
          </w:rPr>
          <w:t>10.1073/pnas.2521210123</w:t>
        </w:r>
      </w:hyperlink>
    </w:p>
    <w:p>
      <w:pPr>
        <w:spacing w:before="0" w:after="120"/>
      </w:pPr>
      <w:r>
        <w:rPr>
          <w:b/>
        </w:rPr>
        <w:t xml:space="preserve">Notes: </w:t>
      </w:r>
      <w:r>
        <w:t>abstract_source=crossref</w:t>
      </w:r>
    </w:p>
    <w:p>
      <w:pPr>
        <w:spacing w:before="0" w:after="80" w:lineRule="auto" w:line="276"/>
      </w:pPr>
      <w:r>
        <w:rPr>
          <w:b/>
        </w:rPr>
        <w:t xml:space="preserve">摘要（ZH）: </w:t>
      </w:r>
      <w:r>
        <w:t>通过单颗粒低温电子显微镜（cryoEM）对核糖体进行结构分析传统上依赖于纯化或重组的样品，通常使用遗传、药理或生化扰动将颗粒捕获在所需状态。虽然信息丰富，但这种体外方法往往无法捕捉细胞中存在的结构状态和相关蛋白因子的全部多样性。相比之下，原位低温电子断层扫描保留了细胞环境，但受限于低通量和适中的分辨率。在此，我们提出cryoPRISM（无需纯化的亚细胞混合物核糖体成像），这是一种快速的体外工作流程，包括细胞裂解、玻璃化和图像分析方法，用于直接从细胞中进行高分辨率的核糖体结构分析。</w:t>
      </w:r>
    </w:p>
    <w:p>
      <w:pPr>
        <w:spacing w:before="0" w:after="200" w:lineRule="auto" w:line="276"/>
      </w:pPr>
      <w:r>
        <w:rPr>
          <w:b/>
        </w:rPr>
        <w:t xml:space="preserve">Abstract (EN): </w:t>
      </w:r>
      <w:r>
        <w:t>Structural analyses of ribosomes by single particle cryogenic electron microscopy (cryoEM) have traditionally relied on purified or reconstituted samples, with particles often trapped in desired states using genetic, pharmacological, or biochemical perturbations. While informative, such in vitro methods often fail to capture the full diversity of structural states and associated protein factors present in cells. In contrast, in situ cryoelectron tomography preserves cellular context but is limited by low throughput and modest resolution. Here, we present cryoPRISM (purification-free ribosome imaging from subcellular mixtures), a rapid ex vivo workflow encompassing cell lysis, vitrification, and image analysis methods for high-resolution analyses of ribosomal structures directly from cell lysates. Applying cryoPRISM in</w:t>
      </w:r>
      <w:r>
        <w:t xml:space="preserve"> </w:t>
      </w:r>
      <w:r>
        <w:t>Escherichia coli</w:t>
      </w:r>
      <w:r>
        <w:t xml:space="preserve"> </w:t>
      </w:r>
      <w:r>
        <w:t>, we resolved more than 20 distinct ribosomal states spanning assembly, translation initiation, elongation, trans-translation, and quiescence, including a novel configuration of EF-G bound to idle ribosomes with the ribosome hibernation factor ribosome-associated inhibitor A. Given its speed, accessibility, and ability to preserve native interactions and structural heterogeneity, we anticipate that cryoPRISM will be broadly applicable for uncovering ribosomal biology across diverse organisms and conditions.</w:t>
      </w:r>
    </w:p>
    <w:p>
      <w:pPr>
        <w:spacing w:before="120" w:after="120"/>
      </w:pPr>
      <w:r>
        <w:rPr>
          <w:sz w:val="18"/>
        </w:rPr>
        <w:t>——————————————————————————————————————————————————————————————————————</w:t>
      </w:r>
    </w:p>
    <w:p>
      <w:pPr>
        <w:spacing w:before="160" w:after="40" w:line="240" w:lineRule="auto"/>
      </w:pPr>
      <w:r>
        <w:rPr>
          <w:b/>
        </w:rPr>
        <w:t xml:space="preserve">[199] </w:t>
      </w:r>
      <w:hyperlink r:id="rId449">
        <w:r>
          <w:rPr>
            <w:color w:val="1155CC"/>
            <w:u w:val="single"/>
          </w:rPr>
          <w:t>兄弟姐妹数量和早期互动塑造终生的社会能力</w:t>
        </w:r>
      </w:hyperlink>
    </w:p>
    <w:p>
      <w:pPr>
        <w:spacing w:before="0" w:after="80"/>
      </w:pPr>
      <w:r>
        <w:rPr>
          <w:i/>
          <w:sz w:val="20"/>
        </w:rPr>
        <w:t>EN: Sibling number and early interactions shape social competence for life</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450">
        <w:r>
          <w:rPr>
            <w:color w:val="1155CC"/>
            <w:u w:val="single"/>
          </w:rPr>
          <w:t>10.1073/pnas.2527981123</w:t>
        </w:r>
      </w:hyperlink>
    </w:p>
    <w:p>
      <w:pPr>
        <w:spacing w:before="0" w:after="120"/>
      </w:pPr>
      <w:r>
        <w:rPr>
          <w:b/>
        </w:rPr>
        <w:t xml:space="preserve">Notes: </w:t>
      </w:r>
      <w:r>
        <w:t>abstract_source=crossref</w:t>
      </w:r>
    </w:p>
    <w:p>
      <w:pPr>
        <w:spacing w:before="0" w:after="80" w:lineRule="auto" w:line="276"/>
      </w:pPr>
      <w:r>
        <w:rPr>
          <w:b/>
        </w:rPr>
        <w:t xml:space="preserve">摘要（ZH）: </w:t>
      </w:r>
      <w:r>
        <w:t>发育过程中经历的社会环境在塑造社会能力——即适当应对社会挑战的能力方面起着至关重要的作用。兄弟姐妹的数量及其之间的社会互动是许多动物早期生活的关键组成部分。虽然这些因素已知会影响人类的社会发展，但它们在非人类动物中的作用仍不清楚。在此，我们展示了兄弟姐妹的数量和社交互动的机会对于高度社会化的慈鲷</w:t>
      </w:r>
      <w:r>
        <w:t xml:space="preserve"> </w:t>
      </w:r>
      <w:r>
        <w:t>Neolamprologus pulcher</w:t>
      </w:r>
      <w:r>
        <w:t xml:space="preserve"> </w:t>
      </w:r>
      <w:r>
        <w:t>的社会能力发展至关重要。在大群体（LB）中饲养的鱼类在早期生活中表现出更多的亲和行为和更少的攻击或顺从行为，而在小群体（SB）中饲养的鱼类则相反。</w:t>
      </w:r>
    </w:p>
    <w:p>
      <w:pPr>
        <w:spacing w:before="0" w:after="200" w:lineRule="auto" w:line="276"/>
      </w:pPr>
      <w:r>
        <w:rPr>
          <w:b/>
        </w:rPr>
        <w:t xml:space="preserve">Abstract (EN): </w:t>
      </w:r>
      <w:r>
        <w:t>The social environment experienced during development plays a crucial role in shaping social competence—the ability to respond appropriately to social challenges. Sibling number and the social interactions between them are key components of the early lives in many animals. While these components are well known to influence social development in humans, their role in nonhuman animals remains unclear. Here, we show that both the number of siblings and opportunities for social interaction are essential for developing social competence in the highly social cichlid</w:t>
      </w:r>
      <w:r>
        <w:t xml:space="preserve"> </w:t>
      </w:r>
      <w:r>
        <w:t>Neolamprologus pulcher</w:t>
      </w:r>
      <w:r>
        <w:t xml:space="preserve"> </w:t>
      </w:r>
      <w:r>
        <w:t>. Fish reared in large broods (LB) displayed more affiliative and fewer aggressive or submissive behaviors during early life compared to those reared in small broods (SB) or in large broods with restricted opportunities for interactions (4 × 8). Later in life, LB fish were more socially competent. Thus, social competence arises not from the number of individuals or interactions alone, but from the combination of both.</w:t>
      </w:r>
    </w:p>
    <w:p>
      <w:pPr>
        <w:spacing w:before="120" w:after="120"/>
      </w:pPr>
      <w:r>
        <w:rPr>
          <w:sz w:val="18"/>
        </w:rPr>
        <w:t>——————————————————————————————————————————————————————————————————————</w:t>
      </w:r>
    </w:p>
    <w:p>
      <w:pPr>
        <w:spacing w:before="160" w:after="40" w:line="240" w:lineRule="auto"/>
      </w:pPr>
      <w:r>
        <w:rPr>
          <w:b/>
        </w:rPr>
        <w:t xml:space="preserve">[200] </w:t>
      </w:r>
      <w:hyperlink r:id="rId451">
        <w:r>
          <w:rPr>
            <w:color w:val="1155CC"/>
            <w:u w:val="single"/>
          </w:rPr>
          <w:t>炎症血管锚定释放H2穿过血脑屏障用于缺血性中风神经保护</w:t>
        </w:r>
      </w:hyperlink>
    </w:p>
    <w:p>
      <w:pPr>
        <w:spacing w:before="0" w:after="80"/>
      </w:pPr>
      <w:r>
        <w:rPr>
          <w:i/>
          <w:sz w:val="20"/>
        </w:rPr>
        <w:t>EN: Inflamed vessel–anchored release of H2 across the blood-brain barrier for ischemic stroke neuroprotection</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52">
        <w:r>
          <w:rPr>
            <w:color w:val="1155CC"/>
            <w:u w:val="single"/>
          </w:rPr>
          <w:t>10.1126/sciadv.aea3355</w:t>
        </w:r>
      </w:hyperlink>
    </w:p>
    <w:p>
      <w:pPr>
        <w:spacing w:before="0" w:after="120"/>
      </w:pPr>
      <w:r>
        <w:rPr>
          <w:b/>
        </w:rPr>
        <w:t xml:space="preserve">Notes: </w:t>
      </w:r>
      <w:r>
        <w:t>abstract_source=crossref</w:t>
      </w:r>
    </w:p>
    <w:p>
      <w:pPr>
        <w:spacing w:before="0" w:after="80" w:lineRule="auto" w:line="276"/>
      </w:pPr>
      <w:r>
        <w:rPr>
          <w:b/>
        </w:rPr>
        <w:t xml:space="preserve">摘要（ZH）: </w:t>
      </w:r>
      <w:r>
        <w:t>缺血性中风后再灌注迫切需要安全有效的细胞保护策略，这一需求尚未被当前的药物疗法满足。纳米技术在改善药物向大脑输送方面具有潜力，但纳米材料穿过血脑屏障（BBB）的效率相当有限，长期的颅内滞留可能引发神经毒性。利用氢（H</w:t>
      </w:r>
      <w:r>
        <w:rPr>
          <w:vertAlign w:val="subscript"/>
        </w:rPr>
        <w:t>2</w:t>
      </w:r>
      <w:r>
        <w:t>）的抗炎、穿越BBB和生物安全特性，我们通过用P选择素结合肽（ZSNP）修饰ZrSi</w:t>
      </w:r>
      <w:r>
        <w:rPr>
          <w:vertAlign w:val="subscript"/>
        </w:rPr>
        <w:t>2</w:t>
      </w:r>
      <w:r>
        <w:t>纳米颗粒，开发了一种炎症血管靶向/锚定的H</w:t>
      </w:r>
      <w:r>
        <w:rPr>
          <w:vertAlign w:val="subscript"/>
        </w:rPr>
        <w:t>2</w:t>
      </w:r>
      <w:r>
        <w:t>生产系统，模拟P选择素/P选择素糖蛋白配体。</w:t>
      </w:r>
    </w:p>
    <w:p>
      <w:pPr>
        <w:spacing w:before="0" w:after="200" w:lineRule="auto" w:line="276"/>
      </w:pPr>
      <w:r>
        <w:rPr>
          <w:b/>
        </w:rPr>
        <w:t xml:space="preserve">Abstract (EN): </w:t>
      </w:r>
      <w:r>
        <w:t>Ischemic stroke followed by reperfusion urgently requires safe and efficient cytoprotective strategies, a need still unmet by current pharmacotherapies. Nanotechnology holds promise for improved drug delivery to the brain, yet the efficacy of nanomaterials crossing the blood-brain barrier (BBB) is quite limited, and long-term intracranial retention of nanomaterials may provoke neurotoxicity. Leveraging the anti-inflammatory, BBB-crossing, and biosafe properties of hydrogen (H</w:t>
      </w:r>
      <w:r>
        <w:rPr>
          <w:vertAlign w:val="subscript"/>
        </w:rPr>
        <w:t>2</w:t>
      </w:r>
      <w:r>
        <w:t>), we develop an inflamed vessel–targeted/anchored H</w:t>
      </w:r>
      <w:r>
        <w:rPr>
          <w:vertAlign w:val="subscript"/>
        </w:rPr>
        <w:t>2</w:t>
      </w:r>
      <w:r>
        <w:t>–producing system by modifying ZrSi</w:t>
      </w:r>
      <w:r>
        <w:rPr>
          <w:vertAlign w:val="subscript"/>
        </w:rPr>
        <w:t>2</w:t>
      </w:r>
      <w:r>
        <w:t>nanoparticles with a P-selectin–binding peptide (ZSNP), mimicking P-selectin/P-selectin glycoprotein ligand–mediated innate immune recruitment. Rather than relying on nanoparticle penetration into the brain parenchyma, this design enables ZSNP to anchor at the BBB vasculature, where it locally and continuously generates H</w:t>
      </w:r>
      <w:r>
        <w:rPr>
          <w:vertAlign w:val="subscript"/>
        </w:rPr>
        <w:t>2</w:t>
      </w:r>
      <w:r>
        <w:t>via hydrolysis. The released H</w:t>
      </w:r>
      <w:r>
        <w:rPr>
          <w:vertAlign w:val="subscript"/>
        </w:rPr>
        <w:t>2</w:t>
      </w:r>
      <w:r>
        <w:t>traverses the BBB, exerting cytoprotection through antioxidant and immunomodulatory mechanisms that coordinate multicellular recovery processes. Furthermore, ZSNP promotes microglia-mediated angiogenesis and neurogenesis, guides axonal projections along neovascular trajectories, and facilitates microglia-neuron interaction via the noncanonical Wnt/Ca</w:t>
      </w:r>
      <w:r>
        <w:t xml:space="preserve"> </w:t>
      </w:r>
      <w:r>
        <w:t>2+</w:t>
      </w:r>
      <w:r>
        <w:t xml:space="preserve"> </w:t>
      </w:r>
      <w:r>
        <w:t>pathway. This reconstruction of the neurovascular network supports the reintegration of functional neural circuits, leading to structural and functional recovery that surpasses the effects of edaravone. By enabling sustained H</w:t>
      </w:r>
      <w:r>
        <w:rPr>
          <w:vertAlign w:val="subscript"/>
        </w:rPr>
        <w:t>2</w:t>
      </w:r>
      <w:r>
        <w:t>release at the BBB interface without requiring nanoparticle intracranial accumulation, this strategy represents a promising and low-burden neuroprotective approach for ischemic stroke.</w:t>
      </w:r>
    </w:p>
    <w:p>
      <w:pPr>
        <w:spacing w:before="120" w:after="120"/>
      </w:pPr>
      <w:r>
        <w:rPr>
          <w:sz w:val="18"/>
        </w:rPr>
        <w:t>——————————————————————————————————————————————————————————————————————</w:t>
      </w:r>
    </w:p>
    <w:p>
      <w:pPr>
        <w:spacing w:before="160" w:after="40" w:line="240" w:lineRule="auto"/>
      </w:pPr>
      <w:r>
        <w:rPr>
          <w:b/>
        </w:rPr>
        <w:t xml:space="preserve">[201] </w:t>
      </w:r>
      <w:hyperlink r:id="rId453">
        <w:r>
          <w:rPr>
            <w:color w:val="1155CC"/>
            <w:u w:val="single"/>
          </w:rPr>
          <w:t>热力学机会假说：比目鱼物种间的代谢温度不敏感性</w:t>
        </w:r>
      </w:hyperlink>
    </w:p>
    <w:p>
      <w:pPr>
        <w:spacing w:before="0" w:after="80"/>
      </w:pPr>
      <w:r>
        <w:rPr>
          <w:i/>
          <w:sz w:val="20"/>
        </w:rPr>
        <w:t>EN: The thermodynamic opportunities hypothesis: Metabolic temperature insensitivity across flatfish species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54">
        <w:r>
          <w:rPr>
            <w:color w:val="1155CC"/>
            <w:u w:val="single"/>
          </w:rPr>
          <w:t>10.1126/sciadv.adz0425</w:t>
        </w:r>
      </w:hyperlink>
    </w:p>
    <w:p>
      <w:pPr>
        <w:spacing w:before="0" w:after="120"/>
      </w:pPr>
      <w:r>
        <w:rPr>
          <w:b/>
        </w:rPr>
        <w:t xml:space="preserve">Notes: </w:t>
      </w:r>
      <w:r>
        <w:t>abstract_source=crossref</w:t>
      </w:r>
    </w:p>
    <w:p>
      <w:pPr>
        <w:spacing w:before="0" w:after="80" w:lineRule="auto" w:line="276"/>
      </w:pPr>
      <w:r>
        <w:rPr>
          <w:b/>
        </w:rPr>
        <w:t xml:space="preserve">摘要（ZH）: </w:t>
      </w:r>
      <w:r>
        <w:t>这项研究挑战了广泛接受的代谢理论，该理论认为，由于温度对基础生化反应动力学的普遍影响，整个动物的代谢率会随着温度的升高而增加。在这里，我们展示了从极地到赤道的比目鱼物种的代谢率在很大程度上是不变的，这为基于生态和进化而非热力学限制的物种间热敏感性提供了解释。这里提出的解释是，温暖的水域提供了一个热力学机会，而不是强制性，当需要进行捕食者-猎物互动时，代谢率才会增加。比目鱼不需要代谢增加，因为它们依赖于伪装来减轻热带水域中更大的捕食强度。</w:t>
      </w:r>
    </w:p>
    <w:p>
      <w:pPr>
        <w:spacing w:before="0" w:after="200" w:lineRule="auto" w:line="276"/>
      </w:pPr>
      <w:r>
        <w:rPr>
          <w:b/>
        </w:rPr>
        <w:t xml:space="preserve">Abstract (EN): </w:t>
      </w:r>
      <w:r>
        <w:t>This study challenges widely held metabolic theory, which suggests that whole-animal metabolic rates increase with temperature because of its universal effects on the kinetics of the underlying biochemical reactions. Here, we show that metabolic rates across flatfish species are largely invariant from poles to the equator, which points to an explanation for interspecific thermal sensitivity based on ecology and evolution rather than thermodynamic constraints. The explanation proposed here is that warm water provides a thermodynamic opportunity, not a mandate, for metabolic rate escalation when required for predator-prey interactions. Flatfish do not require metabolic escalation because of their reliance on camouflage that mitigates the greater predation intensity in tropical waters. These findings have strong implications for models attempting to diagnose the response of organisms to climate change and for macroecological patterns more generally.</w:t>
      </w:r>
    </w:p>
    <w:p>
      <w:pPr>
        <w:spacing w:before="120" w:after="120"/>
      </w:pPr>
      <w:r>
        <w:rPr>
          <w:sz w:val="18"/>
        </w:rPr>
        <w:t>——————————————————————————————————————————————————————————————————————</w:t>
      </w:r>
    </w:p>
    <w:p>
      <w:pPr>
        <w:spacing w:before="160" w:after="40" w:line="240" w:lineRule="auto"/>
      </w:pPr>
      <w:r>
        <w:rPr>
          <w:b/>
        </w:rPr>
        <w:t xml:space="preserve">[202] </w:t>
      </w:r>
      <w:hyperlink r:id="rId455">
        <w:r>
          <w:rPr>
            <w:color w:val="1155CC"/>
            <w:u w:val="single"/>
          </w:rPr>
          <w:t>多样化数据库和机器学习模型缩小RNA结构预测中的泛化差距</w:t>
        </w:r>
      </w:hyperlink>
    </w:p>
    <w:p>
      <w:pPr>
        <w:spacing w:before="0" w:after="80"/>
      </w:pPr>
      <w:r>
        <w:rPr>
          <w:i/>
          <w:sz w:val="20"/>
        </w:rPr>
        <w:t>EN: Diverse database and machine learning model to narrow the generalization gap in RNA structure prediction</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56">
        <w:r>
          <w:rPr>
            <w:color w:val="1155CC"/>
            <w:u w:val="single"/>
          </w:rPr>
          <w:t>10.1126/sciadv.adz4967</w:t>
        </w:r>
      </w:hyperlink>
    </w:p>
    <w:p>
      <w:pPr>
        <w:spacing w:before="0" w:after="120"/>
      </w:pPr>
      <w:r>
        <w:rPr>
          <w:b/>
        </w:rPr>
        <w:t xml:space="preserve">Notes: </w:t>
      </w:r>
      <w:r>
        <w:t>abstract_source=crossref</w:t>
      </w:r>
    </w:p>
    <w:p>
      <w:pPr>
        <w:spacing w:before="0" w:after="80" w:lineRule="auto" w:line="276"/>
      </w:pPr>
      <w:r>
        <w:rPr>
          <w:b/>
        </w:rPr>
        <w:t xml:space="preserve">摘要（ZH）: </w:t>
      </w:r>
      <w:r>
        <w:t>了解蛋白质和核酸的大分子结构对于辨别其功能和生物学角色至关重要。先进技术——晶体学、核磁共振和冷冻电子显微镜——促进了超过180,000种蛋白质结构的测定，所有这些都被记录在蛋白质数据银行中。这个综合数据库在开发直接从序列预测蛋白质结构的深度学习算法方面发挥了关键作用。相比之下，RNA结构预测滞后，并且由于结构数据的稀缺而受到影响。在这里，我们展示了通过化学探测确定的1098个初级microRNA和1456个人类信使RNA区域的二级结构模型。我们开发了一种受Evoform启发的深度学习架构</w:t>
      </w:r>
    </w:p>
    <w:p>
      <w:pPr>
        <w:spacing w:before="0" w:after="200" w:lineRule="auto" w:line="276"/>
      </w:pPr>
      <w:r>
        <w:rPr>
          <w:b/>
        </w:rPr>
        <w:t xml:space="preserve">Abstract (EN): </w:t>
      </w:r>
      <w:r>
        <w:t>Understanding macromolecular structures of proteins and nucleic acids is critical for discerning their functions and biological roles. Advanced techniques—crystallography, nuclear magnetic resonance, and cryo–electron microscopy—have facilitated the determination of more than 180,000 protein structures, all cataloged in the Protein Data Bank. This comprehensive repository has been pivotal in developing deep learning algorithms for predicting protein structures directly from sequences. In contrast, RNA structure prediction has lagged and suffers from a scarcity of structural data. Here, we present the secondary structure models of 1098 primary microRNAs and 1456 human messenger RNA regions determined through chemical probing. We develop a deep learning architecture inspired from the Evoformer model of Alphafold and traditional architectures for secondary structure prediction. This model, eFold, was trained on our newly generated database and more than 300,000 secondary structures across multiple sources. We benchmark eFold on two challenging test sets of long and diverse RNA structures and show that our dataset and architecture contribute to increasing the prediction performance, compared to similar state-of-the-art methods. Together, our results reveal that merely expanding the database size is insufficient for generalization across families, whereas incorporating a greater diversity and complexity of RNA structures allows for enhanced model performance.</w:t>
      </w:r>
    </w:p>
    <w:p>
      <w:pPr>
        <w:spacing w:before="120" w:after="120"/>
      </w:pPr>
      <w:r>
        <w:rPr>
          <w:sz w:val="18"/>
        </w:rPr>
        <w:t>——————————————————————————————————————————————————————————————————————</w:t>
      </w:r>
    </w:p>
    <w:p>
      <w:pPr>
        <w:spacing w:before="160" w:after="40" w:line="240" w:lineRule="auto"/>
      </w:pPr>
      <w:r>
        <w:rPr>
          <w:b/>
        </w:rPr>
        <w:t xml:space="preserve">[203] </w:t>
      </w:r>
      <w:hyperlink r:id="rId457">
        <w:r>
          <w:rPr>
            <w:color w:val="1155CC"/>
            <w:u w:val="single"/>
          </w:rPr>
          <w:t>KIT支持小肠簇细胞增生</w:t>
        </w:r>
      </w:hyperlink>
    </w:p>
    <w:p>
      <w:pPr>
        <w:spacing w:before="0" w:after="80"/>
      </w:pPr>
      <w:r>
        <w:rPr>
          <w:i/>
          <w:sz w:val="20"/>
        </w:rPr>
        <w:t>EN: KIT supports small intestinal tuft cell hyperplasia</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58">
        <w:r>
          <w:rPr>
            <w:color w:val="1155CC"/>
            <w:u w:val="single"/>
          </w:rPr>
          <w:t>10.1126/sciadv.ady0883</w:t>
        </w:r>
      </w:hyperlink>
    </w:p>
    <w:p>
      <w:pPr>
        <w:spacing w:before="0" w:after="120"/>
      </w:pPr>
      <w:r>
        <w:rPr>
          <w:b/>
        </w:rPr>
        <w:t xml:space="preserve">Notes: </w:t>
      </w:r>
      <w:r>
        <w:t>abstract_source=crossref</w:t>
      </w:r>
    </w:p>
    <w:p>
      <w:pPr>
        <w:spacing w:before="0" w:after="80" w:lineRule="auto" w:line="276"/>
      </w:pPr>
      <w:r>
        <w:rPr>
          <w:b/>
        </w:rPr>
        <w:t xml:space="preserve">摘要（ZH）: </w:t>
      </w:r>
      <w:r>
        <w:t>小肠通过短命上皮细胞的动态分化来平衡营养吸收、免疫耐受和防御的竞争任务。在蠕虫感染期间，白细胞介素-13（IL-13）或IL-4驱动绒毛细胞扩增10倍以促进蠕虫清除。虽然上皮细胞中的IL-4/13信号传导对于绒毛细胞增生是必需的，但支持这一过程的信号很少被识别。在此，我们展示了所有组织中的绒毛细胞表达受体酪氨酸激酶KIT，并且IL-4/13是上调小肠（SI）绒毛细胞上KIT所必需且足够的。尽管上皮KIT对于稳态周转是可有可无的，但在蠕虫感染期间从绒毛细胞中删除KIT会减少绒毛细胞增生并延迟蠕虫</w:t>
      </w:r>
    </w:p>
    <w:p>
      <w:pPr>
        <w:spacing w:before="0" w:after="200" w:lineRule="auto" w:line="276"/>
      </w:pPr>
      <w:r>
        <w:rPr>
          <w:b/>
        </w:rPr>
        <w:t xml:space="preserve">Abstract (EN): </w:t>
      </w:r>
      <w:r>
        <w:t>The small intestine balances the competing tasks of nutrient absorption, immune tolerance, and defense through dynamic differentiation of short-lived epithelial cells. During helminth infection, interleukin-13 (IL-13) or IL-4 drive a 10-fold expansion of tuft cells to promote helminth clearance. While IL-4/13 signaling in epithelial cells is required for tuft cell hyperplasia, few signals that support this process have been identified. Here, we show that tuft cells across all tissues express the receptor tyrosine kinase KIT and that IL-4/13 is necessary and sufficient to up-regulate KIT on small intestinal (SI) tuft cells. Although epithelial KIT is dispensable for homeostatic turnover, KIT deletion from tuft cells during helminth infection reduces tuft cell hyperplasia and delays helminth clearance. Mechanistically, KIT signaling supports the generation of new tuft cells in SI crypts. These findings thus identify a unique tuft cell-specific function for KIT in type 2 immunity.</w:t>
      </w:r>
    </w:p>
    <w:p>
      <w:pPr>
        <w:spacing w:before="120" w:after="120"/>
      </w:pPr>
      <w:r>
        <w:rPr>
          <w:sz w:val="18"/>
        </w:rPr>
        <w:t>——————————————————————————————————————————————————————————————————————</w:t>
      </w:r>
    </w:p>
    <w:p>
      <w:pPr>
        <w:spacing w:before="160" w:after="40" w:line="240" w:lineRule="auto"/>
      </w:pPr>
      <w:r>
        <w:rPr>
          <w:b/>
        </w:rPr>
        <w:t xml:space="preserve">[204] </w:t>
      </w:r>
      <w:hyperlink r:id="rId459">
        <w:r>
          <w:rPr>
            <w:color w:val="1155CC"/>
            <w:u w:val="single"/>
          </w:rPr>
          <w:t>经典标量波的3D安德森局域化</w:t>
        </w:r>
      </w:hyperlink>
    </w:p>
    <w:p>
      <w:pPr>
        <w:spacing w:before="0" w:after="80"/>
      </w:pPr>
      <w:r>
        <w:rPr>
          <w:i/>
          <w:sz w:val="20"/>
        </w:rPr>
        <w:t>EN: 3D Anderson localization of classical scalar waves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60">
        <w:r>
          <w:rPr>
            <w:color w:val="1155CC"/>
            <w:u w:val="single"/>
          </w:rPr>
          <w:t>10.1126/sciadv.aed1319</w:t>
        </w:r>
      </w:hyperlink>
    </w:p>
    <w:p>
      <w:pPr>
        <w:spacing w:before="0" w:after="120"/>
      </w:pPr>
      <w:r>
        <w:rPr>
          <w:b/>
        </w:rPr>
        <w:t xml:space="preserve">Notes: </w:t>
      </w:r>
      <w:r>
        <w:t>abstract_source=crossref</w:t>
      </w:r>
    </w:p>
    <w:p>
      <w:pPr>
        <w:spacing w:before="0" w:after="80" w:lineRule="auto" w:line="276"/>
      </w:pPr>
      <w:r>
        <w:rPr>
          <w:b/>
        </w:rPr>
        <w:t xml:space="preserve">摘要（ZH）: </w:t>
      </w:r>
      <w:r>
        <w:t>安德森局域化，首次预测于1958年，是最迷人和显著的波现象之一。对于三维（3D）无序系统中扩散传输停止的实验搜索，尽管在经典波（光或声）中仍然非常活跃地进行，但对于标量波的基本情况从未被证明。受3D超材料最近进展的启发，我们展示了一种由软金属珠悬浮组成的局部共振超声波流体，这是观察标量声波3D安德森局域化所需的创新。通过报告两组独立的时间和位置分辨超声实验，我们提供了安德森转变在扩散和局域化之间的明确证据，</w:t>
      </w:r>
    </w:p>
    <w:p>
      <w:pPr>
        <w:spacing w:before="0" w:after="200" w:lineRule="auto" w:line="276"/>
      </w:pPr>
      <w:r>
        <w:rPr>
          <w:b/>
        </w:rPr>
        <w:t xml:space="preserve">Abstract (EN): </w:t>
      </w:r>
      <w:r>
        <w:t>Anderson localization, first predicted in 1958, is one of the most fascinating and remarkable wave phenomena. The experimental search for this halt of diffusive transport in three-dimensional (3D) disordered systems, which is still very actively pursued for classical waves (light or sound), has never been demonstrated for the fundamental case of scalar waves. Inspired by recent advances in 3D metamaterials, we show that a locally resonant ultrasonic metafluid consisting of a suspension of soft metallic beads is the innovation needed for 3D Anderson localization of scalar acoustic waves to be definitively observed. By reporting two independent sets of time- and position-resolved ultrasonic experiments, we present clear evidence of Anderson transitions between diffusion and localization, accurately determining the mobility edges and the localization phase diagram.</w:t>
      </w:r>
    </w:p>
    <w:p>
      <w:pPr>
        <w:spacing w:before="120" w:after="120"/>
      </w:pPr>
      <w:r>
        <w:rPr>
          <w:sz w:val="18"/>
        </w:rPr>
        <w:t>——————————————————————————————————————————————————————————————————————</w:t>
      </w:r>
    </w:p>
    <w:p>
      <w:pPr>
        <w:spacing w:before="160" w:after="40" w:line="240" w:lineRule="auto"/>
      </w:pPr>
      <w:r>
        <w:rPr>
          <w:b/>
        </w:rPr>
        <w:t xml:space="preserve">[205] </w:t>
      </w:r>
      <w:hyperlink r:id="rId461">
        <w:r>
          <w:rPr>
            <w:color w:val="1155CC"/>
            <w:u w:val="single"/>
          </w:rPr>
          <w:t>用于可穿戴代谢监测的皮肤CO2嗅探</w:t>
        </w:r>
      </w:hyperlink>
    </w:p>
    <w:p>
      <w:pPr>
        <w:spacing w:before="0" w:after="80"/>
      </w:pPr>
      <w:r>
        <w:rPr>
          <w:i/>
          <w:sz w:val="20"/>
        </w:rPr>
        <w:t>EN: Skin CO2 sniffing for wearable metabolic monitoring</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62">
        <w:r>
          <w:rPr>
            <w:color w:val="1155CC"/>
            <w:u w:val="single"/>
          </w:rPr>
          <w:t>10.1126/sciadv.aec2376</w:t>
        </w:r>
      </w:hyperlink>
    </w:p>
    <w:p>
      <w:pPr>
        <w:spacing w:before="0" w:after="120"/>
      </w:pPr>
      <w:r>
        <w:rPr>
          <w:b/>
        </w:rPr>
        <w:t xml:space="preserve">Notes: </w:t>
      </w:r>
      <w:r>
        <w:t>abstract_source=crossref</w:t>
      </w:r>
    </w:p>
    <w:p>
      <w:pPr>
        <w:spacing w:before="0" w:after="80" w:lineRule="auto" w:line="276"/>
      </w:pPr>
      <w:r>
        <w:rPr>
          <w:b/>
        </w:rPr>
        <w:t xml:space="preserve">摘要（ZH）: </w:t>
      </w:r>
      <w:r>
        <w:t>CO</w:t>
      </w:r>
      <w:r>
        <w:rPr>
          <w:vertAlign w:val="subscript"/>
        </w:rPr>
        <w:t>2</w:t>
      </w:r>
      <w:r>
        <w:t>是用于评估低通气和估算代谢率的关键生理参数。然而，目前的CO</w:t>
      </w:r>
      <w:r>
        <w:rPr>
          <w:vertAlign w:val="subscript"/>
        </w:rPr>
        <w:t>2</w:t>
      </w:r>
      <w:r>
        <w:t>监测依赖于笨重的呼吸分析系统，这在日常生活中连续使用是不切实际的。在此，我们提出了一种可穿戴的皮肤气体嗅探系统，该系统量化皮肤排放的CO</w:t>
      </w:r>
      <w:r>
        <w:rPr>
          <w:vertAlign w:val="subscript"/>
        </w:rPr>
        <w:t>2</w:t>
      </w:r>
      <w:r>
        <w:t>并通过与呼出CO</w:t>
      </w:r>
      <w:r>
        <w:rPr>
          <w:vertAlign w:val="subscript"/>
        </w:rPr>
        <w:t>2</w:t>
      </w:r>
      <w:r>
        <w:t>和代谢率的直接相关性确立其生理相关性。参与者研究表明，皮肤和呼吸中CO</w:t>
      </w:r>
      <w:r>
        <w:rPr>
          <w:vertAlign w:val="subscript"/>
        </w:rPr>
        <w:t>2</w:t>
      </w:r>
      <w:r>
        <w:t>流速在休息和运动期间具有很强的相关性，皮肤排放的CO</w:t>
      </w:r>
    </w:p>
    <w:p>
      <w:pPr>
        <w:spacing w:before="0" w:after="200" w:lineRule="auto" w:line="276"/>
      </w:pPr>
      <w:r>
        <w:rPr>
          <w:b/>
        </w:rPr>
        <w:t xml:space="preserve">Abstract (EN): </w:t>
      </w:r>
      <w:r>
        <w:t>CO</w:t>
      </w:r>
      <w:r>
        <w:rPr>
          <w:vertAlign w:val="subscript"/>
        </w:rPr>
        <w:t>2</w:t>
      </w:r>
      <w:r>
        <w:t>is a key physiological parameter used to assess hypoventilation and to estimate metabolic rates. However, current CO</w:t>
      </w:r>
      <w:r>
        <w:rPr>
          <w:vertAlign w:val="subscript"/>
        </w:rPr>
        <w:t>2</w:t>
      </w:r>
      <w:r>
        <w:t>monitoring relies on bulky breath-analysis systems that are impractical for continuous use in daily life. Here, we present a wearable on-skin gas-sniffing system that quantifies skin-emitted CO</w:t>
      </w:r>
      <w:r>
        <w:rPr>
          <w:vertAlign w:val="subscript"/>
        </w:rPr>
        <w:t>2</w:t>
      </w:r>
      <w:r>
        <w:t>and establishes its physiological relevance through direct correlation with exhaled CO</w:t>
      </w:r>
      <w:r>
        <w:rPr>
          <w:vertAlign w:val="subscript"/>
        </w:rPr>
        <w:t>2</w:t>
      </w:r>
      <w:r>
        <w:t>and metabolic rate. Participant studies demonstrate strong correlations between CO</w:t>
      </w:r>
      <w:r>
        <w:rPr>
          <w:vertAlign w:val="subscript"/>
        </w:rPr>
        <w:t>2</w:t>
      </w:r>
      <w:r>
        <w:t>flow rates from the skin and breath during both rest and exercise, with skin-emitted CO</w:t>
      </w:r>
      <w:r>
        <w:rPr>
          <w:vertAlign w:val="subscript"/>
        </w:rPr>
        <w:t>2</w:t>
      </w:r>
      <w:r>
        <w:t>approximately four orders of magnitude lower than exhaled CO</w:t>
      </w:r>
      <w:r>
        <w:rPr>
          <w:vertAlign w:val="subscript"/>
        </w:rPr>
        <w:t>2</w:t>
      </w:r>
      <w:r>
        <w:t>. Skin-emitted CO</w:t>
      </w:r>
      <w:r>
        <w:rPr>
          <w:vertAlign w:val="subscript"/>
        </w:rPr>
        <w:t>2</w:t>
      </w:r>
      <w:r>
        <w:t>also correlates with metabolic rate, suggesting its potential as a surrogate for breath-based indirect calorimetry. With its wearable form factor and physiological relevance, this skin gas sniffing system enables continuous, noninvasive metabolic monitoring and opens opportunities for studying skin gas exchange.</w:t>
      </w:r>
    </w:p>
    <w:p>
      <w:pPr>
        <w:spacing w:before="120" w:after="120"/>
      </w:pPr>
      <w:r>
        <w:rPr>
          <w:sz w:val="18"/>
        </w:rPr>
        <w:t>——————————————————————————————————————————————————————————————————————</w:t>
      </w:r>
    </w:p>
    <w:p>
      <w:pPr>
        <w:spacing w:before="160" w:after="40" w:line="240" w:lineRule="auto"/>
      </w:pPr>
      <w:r>
        <w:rPr>
          <w:b/>
        </w:rPr>
        <w:t xml:space="preserve">[206] </w:t>
      </w:r>
      <w:hyperlink r:id="rId463">
        <w:r>
          <w:rPr>
            <w:color w:val="1155CC"/>
            <w:u w:val="single"/>
          </w:rPr>
          <w:t>保守的非编码序列CNS11是17型免疫细胞中Rorc转录的主控区域</w:t>
        </w:r>
      </w:hyperlink>
    </w:p>
    <w:p>
      <w:pPr>
        <w:spacing w:before="0" w:after="80"/>
      </w:pPr>
      <w:r>
        <w:rPr>
          <w:i/>
          <w:sz w:val="20"/>
        </w:rPr>
        <w:t>EN: The conserved noncoding sequence CNS11 is a master control region for Rorc transcription in type 17 immune cells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64">
        <w:r>
          <w:rPr>
            <w:color w:val="1155CC"/>
            <w:u w:val="single"/>
          </w:rPr>
          <w:t>10.1126/sciadv.adz6964</w:t>
        </w:r>
      </w:hyperlink>
    </w:p>
    <w:p>
      <w:pPr>
        <w:spacing w:before="0" w:after="120"/>
      </w:pPr>
      <w:r>
        <w:rPr>
          <w:b/>
        </w:rPr>
        <w:t xml:space="preserve">Notes: </w:t>
      </w:r>
      <w:r>
        <w:t>abstract_source=crossref</w:t>
      </w:r>
    </w:p>
    <w:p>
      <w:pPr>
        <w:spacing w:before="0" w:after="80" w:lineRule="auto" w:line="276"/>
      </w:pPr>
      <w:r>
        <w:rPr>
          <w:b/>
        </w:rPr>
        <w:t xml:space="preserve">摘要（ZH）: </w:t>
      </w:r>
      <w:r>
        <w:t>视黄酸受体相关孤儿受体γt（RORγt）是包括T辅助17（T H 17）细胞、3型先天淋巴细胞（ILC3s）、RORγt + 调节性T（T reg ）细胞和RORγt + γδT细胞在内的17型免疫细胞的主转录因子。虽然调控 Rorc 表达的反式调控机制已被很好地表征，但顺式调控机制，特别是在先天淋巴细胞中，仍然部分理解。在此，我们确定CNS11是 Rorc 的一个重要顺式调控元件。在T H 17细胞中</w:t>
      </w:r>
    </w:p>
    <w:p>
      <w:pPr>
        <w:spacing w:before="0" w:after="200" w:lineRule="auto" w:line="276"/>
      </w:pPr>
      <w:r>
        <w:rPr>
          <w:b/>
        </w:rPr>
        <w:t xml:space="preserve">Abstract (EN): </w:t>
      </w:r>
      <w:r>
        <w:t>Retinoic acid receptor–related orphan receptor γt (RORγt) is the master transcription factor for type 17 immune cells, including T helper 17 (T</w:t>
      </w:r>
      <w:r>
        <w:t xml:space="preserve"> </w:t>
      </w:r>
      <w:r>
        <w:t>H</w:t>
      </w:r>
      <w:r>
        <w:t xml:space="preserve"> </w:t>
      </w:r>
      <w:r>
        <w:t>17) cells, group 3 innate lymphoid cells (ILC3s), RORγt</w:t>
      </w:r>
      <w:r>
        <w:t xml:space="preserve"> </w:t>
      </w:r>
      <w:r>
        <w:t>+</w:t>
      </w:r>
      <w:r>
        <w:t xml:space="preserve"> </w:t>
      </w:r>
      <w:r>
        <w:t>regulatory T (T</w:t>
      </w:r>
      <w:r>
        <w:t xml:space="preserve"> </w:t>
      </w:r>
      <w:r>
        <w:t>reg</w:t>
      </w:r>
      <w:r>
        <w:t xml:space="preserve"> </w:t>
      </w:r>
      <w:r>
        <w:t>) cells, and RORγt</w:t>
      </w:r>
      <w:r>
        <w:t xml:space="preserve"> </w:t>
      </w:r>
      <w:r>
        <w:t>+</w:t>
      </w:r>
      <w:r>
        <w:t xml:space="preserve"> </w:t>
      </w:r>
      <w:r>
        <w:t>γδT cells. While trans-regulatory mechanisms governing</w:t>
      </w:r>
      <w:r>
        <w:t xml:space="preserve"> </w:t>
      </w:r>
      <w:r>
        <w:t>Rorc</w:t>
      </w:r>
      <w:r>
        <w:t xml:space="preserve"> </w:t>
      </w:r>
      <w:r>
        <w:t>expression are well characterized, cis-regulatory mechanisms, particularly in innate lymphocytes, remain partially understood. Here, we identify CNS11 as an essential cis-regulatory element of</w:t>
      </w:r>
      <w:r>
        <w:t xml:space="preserve"> </w:t>
      </w:r>
      <w:r>
        <w:t>Rorc</w:t>
      </w:r>
      <w:r>
        <w:t xml:space="preserve"> </w:t>
      </w:r>
      <w:r>
        <w:t>. In T</w:t>
      </w:r>
      <w:r>
        <w:t xml:space="preserve"> </w:t>
      </w:r>
      <w:r>
        <w:t>H</w:t>
      </w:r>
      <w:r>
        <w:t xml:space="preserve"> </w:t>
      </w:r>
      <w:r>
        <w:t>17 cells, CNS11 was dispensable for induction but critical for maintaining RORγt expression. In contrast, CNS11 deletion blocked ILC3 progenitor induction, abolishing secondary lymphoid organ formation. CNS11 deletion also abolished the development of RORγt</w:t>
      </w:r>
      <w:r>
        <w:t xml:space="preserve"> </w:t>
      </w:r>
      <w:r>
        <w:t>+</w:t>
      </w:r>
      <w:r>
        <w:t xml:space="preserve"> </w:t>
      </w:r>
      <w:r>
        <w:t>T</w:t>
      </w:r>
      <w:r>
        <w:t xml:space="preserve"> </w:t>
      </w:r>
      <w:r>
        <w:t>reg</w:t>
      </w:r>
      <w:r>
        <w:t xml:space="preserve"> </w:t>
      </w:r>
      <w:r>
        <w:t>, RORγt</w:t>
      </w:r>
      <w:r>
        <w:t xml:space="preserve"> </w:t>
      </w:r>
      <w:r>
        <w:t>+</w:t>
      </w:r>
      <w:r>
        <w:t xml:space="preserve"> </w:t>
      </w:r>
      <w:r>
        <w:t>γδT, and RORγt</w:t>
      </w:r>
      <w:r>
        <w:t xml:space="preserve"> </w:t>
      </w:r>
      <w:r>
        <w:t>+</w:t>
      </w:r>
      <w:r>
        <w:t xml:space="preserve"> </w:t>
      </w:r>
      <w:r>
        <w:t>antigen-presenting cells. Mechanistically, CNS11 functioned through a RORγt-dependent feed-forward loop with cell type–specific cofactors: cooperating with RORγt and runt-related transcription factor 3 to direct ILC3 development and with RORγt and/or c-MAF to sustain RORγt expression in T</w:t>
      </w:r>
      <w:r>
        <w:t xml:space="preserve"> </w:t>
      </w:r>
      <w:r>
        <w:t>H</w:t>
      </w:r>
      <w:r>
        <w:t xml:space="preserve"> </w:t>
      </w:r>
      <w:r>
        <w:t>17, RORγt</w:t>
      </w:r>
      <w:r>
        <w:t xml:space="preserve"> </w:t>
      </w:r>
      <w:r>
        <w:t>+</w:t>
      </w:r>
      <w:r>
        <w:t xml:space="preserve"> </w:t>
      </w:r>
      <w:r>
        <w:t>T</w:t>
      </w:r>
      <w:r>
        <w:t xml:space="preserve"> </w:t>
      </w:r>
      <w:r>
        <w:t>reg</w:t>
      </w:r>
      <w:r>
        <w:t xml:space="preserve"> </w:t>
      </w:r>
      <w:r>
        <w:t>, and RORγt</w:t>
      </w:r>
      <w:r>
        <w:t xml:space="preserve"> </w:t>
      </w:r>
      <w:r>
        <w:t>+</w:t>
      </w:r>
      <w:r>
        <w:t xml:space="preserve"> </w:t>
      </w:r>
      <w:r>
        <w:t>γδT cells. Our study reveals CNS11 as a key transcription factor binding hub and master control region for</w:t>
      </w:r>
      <w:r>
        <w:t xml:space="preserve"> </w:t>
      </w:r>
      <w:r>
        <w:t>Rorc</w:t>
      </w:r>
      <w:r>
        <w:t xml:space="preserve"> </w:t>
      </w:r>
      <w:r>
        <w:t>transcription in distinct lymphocytes.</w:t>
      </w:r>
    </w:p>
    <w:p>
      <w:pPr>
        <w:spacing w:before="120" w:after="120"/>
      </w:pPr>
      <w:r>
        <w:rPr>
          <w:sz w:val="18"/>
        </w:rPr>
        <w:t>——————————————————————————————————————————————————————————————————————</w:t>
      </w:r>
    </w:p>
    <w:p>
      <w:pPr>
        <w:spacing w:before="160" w:after="40" w:line="240" w:lineRule="auto"/>
      </w:pPr>
      <w:r>
        <w:rPr>
          <w:b/>
        </w:rPr>
        <w:t xml:space="preserve">[207] </w:t>
      </w:r>
      <w:hyperlink r:id="rId465">
        <w:r>
          <w:rPr>
            <w:color w:val="1155CC"/>
            <w:u w:val="single"/>
          </w:rPr>
          <w:t>与挥发性碳酸盐熔体相关的上地幔低速层</w:t>
        </w:r>
      </w:hyperlink>
    </w:p>
    <w:p>
      <w:pPr>
        <w:spacing w:before="0" w:after="80"/>
      </w:pPr>
      <w:r>
        <w:rPr>
          <w:i/>
          <w:sz w:val="20"/>
        </w:rPr>
        <w:t>EN: Upper mantle low-velocity layer tied to volatile-charged carbonate melts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66">
        <w:r>
          <w:rPr>
            <w:color w:val="1155CC"/>
            <w:u w:val="single"/>
          </w:rPr>
          <w:t>10.1126/sciadv.aec1018</w:t>
        </w:r>
      </w:hyperlink>
    </w:p>
    <w:p>
      <w:pPr>
        <w:spacing w:before="0" w:after="120"/>
      </w:pPr>
      <w:r>
        <w:rPr>
          <w:b/>
        </w:rPr>
        <w:t xml:space="preserve">Notes: </w:t>
      </w:r>
      <w:r>
        <w:t>abstract_source=crossref</w:t>
      </w:r>
    </w:p>
    <w:p>
      <w:pPr>
        <w:spacing w:before="0" w:after="80" w:lineRule="auto" w:line="276"/>
      </w:pPr>
      <w:r>
        <w:rPr>
          <w:b/>
        </w:rPr>
        <w:t xml:space="preserve">摘要（ZH）: </w:t>
      </w:r>
      <w:r>
        <w:t>最近的地球物理观测表明，地球深部存在小体积、富含碳酸盐的熔体。然而，这些微小的熔体分数如何通过大部分固体岩石迁移并产生大规模地球物理异常的机制仍不清楚。在此，我们的高压实验表明，在H 2 O和NaCl存在下，富含碳酸盐的熔体作为超级扩散剂，完全润湿并覆盖周围地幔矿物的表面。这种完美的润湿使得即使是微量的熔体（0.02至0.08体积%）也能形成完全互连的网络。这种连通性促进了高效的熔体迁移和化学交换，推动了地表与行星内部之间的全球物质循环</w:t>
      </w:r>
    </w:p>
    <w:p>
      <w:pPr>
        <w:spacing w:before="0" w:after="200" w:lineRule="auto" w:line="276"/>
      </w:pPr>
      <w:r>
        <w:rPr>
          <w:b/>
        </w:rPr>
        <w:t xml:space="preserve">Abstract (EN): </w:t>
      </w:r>
      <w:r>
        <w:t>Recent geophysical observations indicate the presence of small-volume, carbonate-rich melts in Earth’s deep interior. However, the mechanisms by which such minute melt fractions migrate through largely solid rocks and generate large-scale geophysical anomalies have remained unclear. Here, our high-pressure experiments demonstrate that, in the presence of H</w:t>
      </w:r>
      <w:r>
        <w:rPr>
          <w:vertAlign w:val="subscript"/>
        </w:rPr>
        <w:t>2</w:t>
      </w:r>
      <w:r>
        <w:t>O and NaCl, carbonate-rich melts act as super-spreaders, completely wetting and coating the surfaces of surrounding mantle minerals. This perfect wetting enables even trace amounts of melt (0.02 to 0.08 vol%) to form fully interconnected networks. Such connectivity facilitates efficient melt migration and chemical exchange, driving global material recycling between the surface and planetary interior.</w:t>
      </w:r>
    </w:p>
    <w:p>
      <w:pPr>
        <w:spacing w:before="120" w:after="120"/>
      </w:pPr>
      <w:r>
        <w:rPr>
          <w:sz w:val="18"/>
        </w:rPr>
        <w:t>——————————————————————————————————————————————————————————————————————</w:t>
      </w:r>
    </w:p>
    <w:p>
      <w:pPr>
        <w:spacing w:before="160" w:after="40" w:line="240" w:lineRule="auto"/>
      </w:pPr>
      <w:r>
        <w:rPr>
          <w:b/>
        </w:rPr>
        <w:t xml:space="preserve">[208] </w:t>
      </w:r>
      <w:hyperlink r:id="rId467">
        <w:r>
          <w:rPr>
            <w:color w:val="1155CC"/>
            <w:u w:val="single"/>
          </w:rPr>
          <w:t>针对b型流感嗜血杆菌的明确半合成糖缀合疫苗的临床前开发</w:t>
        </w:r>
      </w:hyperlink>
    </w:p>
    <w:p>
      <w:pPr>
        <w:spacing w:before="0" w:after="80"/>
      </w:pPr>
      <w:r>
        <w:rPr>
          <w:i/>
          <w:sz w:val="20"/>
        </w:rPr>
        <w:t>EN: Preclinical development of a well-defined semisynthetic glycoconjugate vaccine against Haemophilus influenzae type b</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68">
        <w:r>
          <w:rPr>
            <w:color w:val="1155CC"/>
            <w:u w:val="single"/>
          </w:rPr>
          <w:t>10.1126/sciadv.aea8116</w:t>
        </w:r>
      </w:hyperlink>
    </w:p>
    <w:p>
      <w:pPr>
        <w:spacing w:before="0" w:after="120"/>
      </w:pPr>
      <w:r>
        <w:rPr>
          <w:b/>
        </w:rPr>
        <w:t xml:space="preserve">Notes: </w:t>
      </w:r>
      <w:r>
        <w:t>abstract_source=crossref</w:t>
      </w:r>
    </w:p>
    <w:p>
      <w:pPr>
        <w:spacing w:before="0" w:after="80" w:lineRule="auto" w:line="276"/>
      </w:pPr>
      <w:r>
        <w:rPr>
          <w:b/>
        </w:rPr>
        <w:t xml:space="preserve">摘要（ZH）: </w:t>
      </w:r>
      <w:r>
        <w:t>疫苗是预防细菌感染的最有效方法。识别最佳半抗原是开发第三代流感嗜血杆菌（Haemophilus influenzae）b型（Hib）结合疫苗的关键步骤。对Hib寡糖链长度与免疫活性之间关系的全面理解仍然难以捉摸。合成了一系列不同长度的Hib荚膜多糖（CPS）寡糖衍生物，以建立碳水化合物结构-功能关系。寡糖的糖链微阵列筛选和免疫学评估表明，四聚体 4 ，由四个重复的二糖单元组成，是CPS的关键免疫原表位</w:t>
      </w:r>
    </w:p>
    <w:p>
      <w:pPr>
        <w:spacing w:before="0" w:after="200" w:lineRule="auto" w:line="276"/>
      </w:pPr>
      <w:r>
        <w:rPr>
          <w:b/>
        </w:rPr>
        <w:t xml:space="preserve">Abstract (EN): </w:t>
      </w:r>
      <w:r>
        <w:t>Vaccines are the most effective method for preventing bacterial infections. Identification of the best hapten is an essential step in the development of third-generation</w:t>
      </w:r>
      <w:r>
        <w:t xml:space="preserve"> </w:t>
      </w:r>
      <w:r>
        <w:t>Haemophilus influenzae</w:t>
      </w:r>
      <w:r>
        <w:t xml:space="preserve"> </w:t>
      </w:r>
      <w:r>
        <w:t>type b (Hib) conjugate vaccines. A comprehensive understanding of the relationship between Hib oligosaccharide chain length and immunological activities remains elusive. A series of Hib capsular polysaccharide (CPS) oligosaccharide derivatives of different lengths were synthesized to establish carbohydrate structure-function relationships. Glycan microarray screening and immunological evaluation of oligosaccharides revealed that tetramer</w:t>
      </w:r>
      <w:r>
        <w:rPr>
          <w:vertAlign w:val="subscript"/>
        </w:rPr>
        <w:t>4</w:t>
      </w:r>
      <w:r>
        <w:t>, comprising four repeated disaccharide units, is the key immunogenic epitope of CPS. The investigation into the influence of carrier proteins, adjuvants, and vaccination dose on immunogenicity demonstrated that an equivalent dose of glycoconjugate</w:t>
      </w:r>
      <w:r>
        <w:rPr>
          <w:vertAlign w:val="subscript"/>
        </w:rPr>
        <w:t>4</w:t>
      </w:r>
      <w:r>
        <w:t>-TT without adjuvant can induce a similar immune response as a licensed Hib vaccine (MINHAI Hib). Adjuvant-free</w:t>
      </w:r>
      <w:r>
        <w:rPr>
          <w:vertAlign w:val="subscript"/>
        </w:rPr>
        <w:t>4</w:t>
      </w:r>
      <w:r>
        <w:t>-TT glycoconjugates can induce both a humoral and a cellular immune response as efficiently as licensed Hib vaccine. This formulation exhibited protective efficacy in a mouse septic infection model through effective pathogen clearance from the circulation to the liver-resident macrophage Kupffer cells and sinusoidal endothelial cells in a mouse septic infection model. In conclusion, a well-defined semisynthetic glycoconjugate vaccine candidate</w:t>
      </w:r>
      <w:r>
        <w:rPr>
          <w:vertAlign w:val="subscript"/>
        </w:rPr>
        <w:t>4</w:t>
      </w:r>
      <w:r>
        <w:t>-TT was developed with a more straightforward and adaptable manufacturing process and demonstrated excellent efficacy comparable to licensed Hib vaccine, providing a rationale for further evaluation in clinical trials.</w:t>
      </w:r>
    </w:p>
    <w:p>
      <w:pPr>
        <w:spacing w:before="120" w:after="120"/>
      </w:pPr>
      <w:r>
        <w:rPr>
          <w:sz w:val="18"/>
        </w:rPr>
        <w:t>——————————————————————————————————————————————————————————————————————</w:t>
      </w:r>
    </w:p>
    <w:p>
      <w:pPr>
        <w:spacing w:before="160" w:after="40" w:line="240" w:lineRule="auto"/>
      </w:pPr>
      <w:r>
        <w:rPr>
          <w:b/>
        </w:rPr>
        <w:t xml:space="preserve">[209] </w:t>
      </w:r>
      <w:hyperlink r:id="rId469">
        <w:r>
          <w:rPr>
            <w:color w:val="1155CC"/>
            <w:u w:val="single"/>
          </w:rPr>
          <w:t>慢性间歇性缺氧在睡眠呼吸暂停模型中重塑昼夜代谢结构</w:t>
        </w:r>
      </w:hyperlink>
    </w:p>
    <w:p>
      <w:pPr>
        <w:spacing w:before="0" w:after="80"/>
      </w:pPr>
      <w:r>
        <w:rPr>
          <w:i/>
          <w:sz w:val="20"/>
        </w:rPr>
        <w:t>EN: Chronic intermittent hypoxia reshapes circadian metabolic architecture in a model of sleep apnea</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70">
        <w:r>
          <w:rPr>
            <w:color w:val="1155CC"/>
            <w:u w:val="single"/>
          </w:rPr>
          <w:t>10.1126/sciadv.aeb3756</w:t>
        </w:r>
      </w:hyperlink>
    </w:p>
    <w:p>
      <w:pPr>
        <w:spacing w:before="0" w:after="120"/>
      </w:pPr>
      <w:r>
        <w:rPr>
          <w:b/>
        </w:rPr>
        <w:t xml:space="preserve">Notes: </w:t>
      </w:r>
      <w:r>
        <w:t>abstract_source=crossref</w:t>
      </w:r>
    </w:p>
    <w:p>
      <w:pPr>
        <w:spacing w:before="0" w:after="80" w:lineRule="auto" w:line="276"/>
      </w:pPr>
      <w:r>
        <w:rPr>
          <w:b/>
        </w:rPr>
        <w:t xml:space="preserve">摘要（ZH）: </w:t>
      </w:r>
      <w:r>
        <w:t>阻塞性睡眠呼吸暂停（OSA）以睡眠期间的慢性间歇性低氧（IH）为特征，越来越被认为是代谢功能障碍的驱动因素。然而，其对昼夜节律代谢调节的影响仍然知之甚少。在此，我们研究了慢性IH如何在模拟OSA相关慢性低氧的小鼠模型中重塑24小时肝脏和全身代谢程序。通过整合的昼夜节律转录组学、代谢组学和生理24小时分析，我们表明4周的休息期限制性IH以时间特异性方式重新编程肝脏和全身代谢。这种重组涉及葡萄糖、脂质和氧化还原途径的协调昼夜节律调节，从氧化代谢转向节氧过程，如gl</w:t>
      </w:r>
    </w:p>
    <w:p>
      <w:pPr>
        <w:spacing w:before="0" w:after="200" w:lineRule="auto" w:line="276"/>
      </w:pPr>
      <w:r>
        <w:rPr>
          <w:b/>
        </w:rPr>
        <w:t xml:space="preserve">Abstract (EN): </w:t>
      </w:r>
      <w:r>
        <w:t>Obstructive sleep apnea (OSA), characterized by chronic intermittent hypoxia (IH) during sleep, is increasingly recognized as a driver of metabolic dysfunction. However, its impact on circadian metabolic regulation remains poorly understood. Here, we investigated how chronic IH reshapes 24-hour hepatic and systemic metabolic programs in a mouse model mimicking OSA-associated chronic hypoxia. Through integrated circadian transcriptomic, metabolomic, and physiological 24-hour profiling, we show that 4 weeks of rest phase–restricted IH reprograms hepatic and systemic metabolism in a time-specific manner. This reorganization involves the coordinated circadian regulation of glucose, lipid, and redox pathways, with a shift away from oxidative metabolism toward oxygen-sparing processes such as gluconeogenesis, glycogen turnover, and lipid mobilization. These changes align with the hypoxic phase exposure and coincide with reshaped hepatic metabolite oscillations and systemic autonomic rhythms, supporting a functional adaptation to intermittent oxygen availability. Mechanistically, we identify the cAMP-CREB1 pathway as a driver of circadian transcriptional remodeling in the liver and a central integrator of IH-dependent adrenergic stress. Our findings establish chronic IH as a potent metabolic zeitgeber that rewires hepatic transcriptional and metabolic programs, revealing a circadian dimension to the metabolic consequences of sleep-disordered breathing.</w:t>
      </w:r>
    </w:p>
    <w:p>
      <w:pPr>
        <w:spacing w:before="120" w:after="120"/>
      </w:pPr>
      <w:r>
        <w:rPr>
          <w:sz w:val="18"/>
        </w:rPr>
        <w:t>——————————————————————————————————————————————————————————————————————</w:t>
      </w:r>
    </w:p>
    <w:p>
      <w:pPr>
        <w:spacing w:before="160" w:after="40" w:line="240" w:lineRule="auto"/>
      </w:pPr>
      <w:r>
        <w:rPr>
          <w:b/>
        </w:rPr>
        <w:t xml:space="preserve">[210] </w:t>
      </w:r>
      <w:hyperlink r:id="rId471">
        <w:r>
          <w:rPr>
            <w:color w:val="1155CC"/>
            <w:u w:val="single"/>
          </w:rPr>
          <w:t>蜜蜂在觅食任务中灵活调整决策策略以适应信息内容</w:t>
        </w:r>
      </w:hyperlink>
    </w:p>
    <w:p>
      <w:pPr>
        <w:spacing w:before="0" w:after="80"/>
      </w:pPr>
      <w:r>
        <w:rPr>
          <w:i/>
          <w:sz w:val="20"/>
        </w:rPr>
        <w:t>EN: Bees flexibly adjust decision strategies to information content in a foraging task</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72">
        <w:r>
          <w:rPr>
            <w:color w:val="1155CC"/>
            <w:u w:val="single"/>
          </w:rPr>
          <w:t>10.1126/sciadv.adw9320</w:t>
        </w:r>
      </w:hyperlink>
    </w:p>
    <w:p>
      <w:pPr>
        <w:spacing w:before="0" w:after="120"/>
      </w:pPr>
      <w:r>
        <w:rPr>
          <w:b/>
        </w:rPr>
        <w:t xml:space="preserve">Notes: </w:t>
      </w:r>
      <w:r>
        <w:t>abstract_source=crossref</w:t>
      </w:r>
    </w:p>
    <w:p>
      <w:pPr>
        <w:spacing w:before="0" w:after="80" w:lineRule="auto" w:line="276"/>
      </w:pPr>
      <w:r>
        <w:rPr>
          <w:b/>
        </w:rPr>
        <w:t xml:space="preserve">摘要（ZH）: </w:t>
      </w:r>
      <w:r>
        <w:t>在做决策时，动物通常同时依赖多个线索。这些线索提供了互补的信息来源，可以提高决策的准确性。在这项研究中，我们测试了昆虫在觅食任务中面对多重线索时的决策和学习策略，使用的是大黄蜂</w:t>
      </w:r>
      <w:r>
        <w:t xml:space="preserve"> </w:t>
      </w:r>
      <w:r>
        <w:t>Bombus terrestris</w:t>
      </w:r>
      <w:r>
        <w:t xml:space="preserve"> </w:t>
      </w:r>
      <w:r>
        <w:t>。我们展示了自然花朵中发现的视觉特征组合：不同可辨识度的颜色，配以形状或图案。我们发现，当颜色容易辨别时，蜜蜂仅依赖颜色，而不会同时学习图案或形状特征。对于难以辨别的颜色，蜜蜂同时学习颜色和形状或图案特征。我们的结果表明，大黄蜂</w:t>
      </w:r>
    </w:p>
    <w:p>
      <w:pPr>
        <w:spacing w:before="0" w:after="200" w:lineRule="auto" w:line="276"/>
      </w:pPr>
      <w:r>
        <w:rPr>
          <w:b/>
        </w:rPr>
        <w:t xml:space="preserve">Abstract (EN): </w:t>
      </w:r>
      <w:r>
        <w:t>When making decisions, animals often rely on multiple cues simultaneously. These provide complementary sources of information, which can increase the accuracy of decisions. In this study, we tested the decision and learning strategies of insects faced with multiple cues in a foraging task, using the bumblebee</w:t>
      </w:r>
      <w:r>
        <w:t xml:space="preserve"> </w:t>
      </w:r>
      <w:r>
        <w:t>Bombus terrestris</w:t>
      </w:r>
      <w:r>
        <w:t xml:space="preserve"> </w:t>
      </w:r>
      <w:r>
        <w:t>. We presented combinations of visual-only features, as found in natural flowers: colors of varying discriminability, paired with shapes or patterns. We found that the bees relied exclusively on colors when these were easy to discriminate, and did not learn pattern or shape features simultaneously. With harder to discriminate colors, the bees learned both color and shape or pattern features. Our results demonstrate that bumblebees flexibly adjust their learning strategies when presented with visual features of varying discriminability, to balance the investment in learning time and accuracy during multicue learning and decision making. A difference in learning dynamics suggests that blocking could serve as a mechanism to implement this strategy switch.</w:t>
      </w:r>
    </w:p>
    <w:p>
      <w:pPr>
        <w:spacing w:before="120" w:after="120"/>
      </w:pPr>
      <w:r>
        <w:rPr>
          <w:sz w:val="18"/>
        </w:rPr>
        <w:t>——————————————————————————————————————————————————————————————————————</w:t>
      </w:r>
    </w:p>
    <w:p>
      <w:pPr>
        <w:spacing w:before="160" w:after="40" w:line="240" w:lineRule="auto"/>
      </w:pPr>
      <w:r>
        <w:rPr>
          <w:b/>
        </w:rPr>
        <w:t xml:space="preserve">[211] </w:t>
      </w:r>
      <w:hyperlink r:id="rId473">
        <w:r>
          <w:rPr>
            <w:color w:val="1155CC"/>
            <w:u w:val="single"/>
          </w:rPr>
          <w:t>为他人做决定改变了元认知，导致责任规避</w:t>
        </w:r>
      </w:hyperlink>
    </w:p>
    <w:p>
      <w:pPr>
        <w:spacing w:before="0" w:after="80"/>
      </w:pPr>
      <w:r>
        <w:rPr>
          <w:i/>
          <w:sz w:val="20"/>
        </w:rPr>
        <w:t>EN: Deciding for others alters metacognition leading to responsibility aversion</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74">
        <w:r>
          <w:rPr>
            <w:color w:val="1155CC"/>
            <w:u w:val="single"/>
          </w:rPr>
          <w:t>10.1126/sciadv.ady0441</w:t>
        </w:r>
      </w:hyperlink>
    </w:p>
    <w:p>
      <w:pPr>
        <w:spacing w:before="0" w:after="120"/>
      </w:pPr>
      <w:r>
        <w:rPr>
          <w:b/>
        </w:rPr>
        <w:t xml:space="preserve">Notes: </w:t>
      </w:r>
      <w:r>
        <w:t>abstract_source=crossref</w:t>
      </w:r>
    </w:p>
    <w:p>
      <w:pPr>
        <w:spacing w:before="0" w:after="80" w:lineRule="auto" w:line="276"/>
      </w:pPr>
      <w:r>
        <w:rPr>
          <w:b/>
        </w:rPr>
        <w:t xml:space="preserve">摘要（ZH）: </w:t>
      </w:r>
      <w:r>
        <w:t>人们常常面临选择，其结果不仅会影响自己，还会影响其他人。为他人做决定的责任改变了选择行为，并增加了涉及风险和模糊性的决策中的委托率。然而，尚不清楚社会责任对决策的影响是主要作用于风险、损失和模糊性态度，还是更普遍的认知方面。我们报告了一系列关于客观量级判断的实验，表明责任对认知和行为的影响超出了风险或模糊性，并作用于元认知层面。具体而言，对他人的责任改变了元认知偏见，导致决策信心下降，而不影响</w:t>
      </w:r>
    </w:p>
    <w:p>
      <w:pPr>
        <w:spacing w:before="0" w:after="200" w:lineRule="auto" w:line="276"/>
      </w:pPr>
      <w:r>
        <w:rPr>
          <w:b/>
        </w:rPr>
        <w:t xml:space="preserve">Abstract (EN): </w:t>
      </w:r>
      <w:r>
        <w:t>People are often faced with choices whose outcomes will affect other individuals in addition to themselves. Being responsible for deciding on behalf of others alters choice behavior and increases delegation rates in decisions involving risk and ambiguity. However, it is unknown whether the influence of social responsibility on decision-making acts primarily or directly on risk, loss, and ambiguity attitudes versus more general aspects of cognition. We report a series of experiments on objective magnitude judgments that demonstrate that the influences of responsibility on cognition and behavior extend beyond risk or ambiguity and act at the metacognitive level. Specifically, responsibility for others changes metacognitive biases, leading to a decrease in decision confidence without affecting choice accuracy. Last, we propose and empirically test a normative computational framework based on decision confidence that can explain decisions to assume or delegate responsibility for others without needing to assume changes in risk preferences.</w:t>
      </w:r>
    </w:p>
    <w:p>
      <w:pPr>
        <w:spacing w:before="120" w:after="120"/>
      </w:pPr>
      <w:r>
        <w:rPr>
          <w:sz w:val="18"/>
        </w:rPr>
        <w:t>——————————————————————————————————————————————————————————————————————</w:t>
      </w:r>
    </w:p>
    <w:p>
      <w:pPr>
        <w:spacing w:before="160" w:after="40" w:line="240" w:lineRule="auto"/>
      </w:pPr>
      <w:r>
        <w:rPr>
          <w:b/>
        </w:rPr>
        <w:t xml:space="preserve">[212] </w:t>
      </w:r>
      <w:hyperlink r:id="rId475">
        <w:r>
          <w:rPr>
            <w:color w:val="1155CC"/>
            <w:u w:val="single"/>
          </w:rPr>
          <w:t>地球上挥发性元素的吸积不需要晚期地幔</w:t>
        </w:r>
      </w:hyperlink>
    </w:p>
    <w:p>
      <w:pPr>
        <w:spacing w:before="0" w:after="80"/>
      </w:pPr>
      <w:r>
        <w:rPr>
          <w:i/>
          <w:sz w:val="20"/>
        </w:rPr>
        <w:t>EN: Accretion of volatile elements on Earth without the need of a late veneer</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76">
        <w:r>
          <w:rPr>
            <w:color w:val="1155CC"/>
            <w:u w:val="single"/>
          </w:rPr>
          <w:t>10.1126/sciadv.ady8018</w:t>
        </w:r>
      </w:hyperlink>
    </w:p>
    <w:p>
      <w:pPr>
        <w:spacing w:before="0" w:after="120"/>
      </w:pPr>
      <w:r>
        <w:rPr>
          <w:b/>
        </w:rPr>
        <w:t xml:space="preserve">Notes: </w:t>
      </w:r>
      <w:r>
        <w:t>abstract_source=crossref</w:t>
      </w:r>
    </w:p>
    <w:p>
      <w:pPr>
        <w:spacing w:before="0" w:after="80" w:lineRule="auto" w:line="276"/>
      </w:pPr>
      <w:r>
        <w:rPr>
          <w:b/>
        </w:rPr>
        <w:t xml:space="preserve">摘要（ZH）: </w:t>
      </w:r>
      <w:r>
        <w:t>挥发性元素对生命发展和行星演化至关重要。然而，它们向类地行星输送的时间仍不明确。硫、硒和碲是挥发性元素，但也是亲铁元素。它们在地幔中的丰度可以用来确定挥发性元素是在地核分离期间还是之后被输送到地球的。在此，我们在与深层岩浆海相关的压力、温度和氧逸度条件下，实验测量了这些元素在成核金属和地幔硅酸盐之间的分配系数。我们的结果表明，这些元素表现出相似的分配行为，表明核-幔平衡保留了它们的球粒陨石相对丰度。如果一个富含挥发性的晚期涂层已经被输送</w:t>
      </w:r>
    </w:p>
    <w:p>
      <w:pPr>
        <w:spacing w:before="0" w:after="200" w:lineRule="auto" w:line="276"/>
      </w:pPr>
      <w:r>
        <w:rPr>
          <w:b/>
        </w:rPr>
        <w:t xml:space="preserve">Abstract (EN): </w:t>
      </w:r>
      <w:r>
        <w:t>Volatile elements are essential for life development and planetary evolution. However, the timing of their delivery to terrestrial planets remains unclear. Sulfur, selenium, and tellurium are volatiles, but also siderophile elements. Their abundances in Earth’s mantle can be used to determine whether volatile elements were delivered to Earth during or after the segregation of the core. Here, we experimentally measured their partition coefficients between core-forming metal and mantle silicate under pressure, temperature, and oxygen fugacity conditions relevant to a deep magma ocean. Our results show that these elements exhibit similar partitioning behaviors, indicating that core-mantle equilibrium preserves their chondritic relative abundances. If a volatile-rich late veneer has been delivered to Earth after core segregation, it must have been limited in mass, making up a maximum of 0.1% Earth’s mass. This suggests that volatile elements, including water, were accreted continuously during Earth’s growth rather than being delivered predominantly by a late veneer of volatile-rich material such as carbonaceous chondrites.</w:t>
      </w:r>
    </w:p>
    <w:p>
      <w:pPr>
        <w:spacing w:before="120" w:after="120"/>
      </w:pPr>
      <w:r>
        <w:rPr>
          <w:sz w:val="18"/>
        </w:rPr>
        <w:t>——————————————————————————————————————————————————————————————————————</w:t>
      </w:r>
    </w:p>
    <w:p>
      <w:pPr>
        <w:spacing w:before="160" w:after="40" w:line="240" w:lineRule="auto"/>
      </w:pPr>
      <w:r>
        <w:rPr>
          <w:b/>
        </w:rPr>
        <w:t xml:space="preserve">[213] </w:t>
      </w:r>
      <w:hyperlink r:id="rId477">
        <w:r>
          <w:rPr>
            <w:color w:val="1155CC"/>
            <w:u w:val="single"/>
          </w:rPr>
          <w:t>在清醒神经外科手术中通过电刺激进行因果参数语言映射</w:t>
        </w:r>
      </w:hyperlink>
    </w:p>
    <w:p>
      <w:pPr>
        <w:spacing w:before="0" w:after="80"/>
      </w:pPr>
      <w:r>
        <w:rPr>
          <w:i/>
          <w:sz w:val="20"/>
        </w:rPr>
        <w:t>EN: Causal parametric language mapping with electrical stimulation during awake neurosurgery</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78">
        <w:r>
          <w:rPr>
            <w:color w:val="1155CC"/>
            <w:u w:val="single"/>
          </w:rPr>
          <w:t>10.1126/sciadv.adw1599</w:t>
        </w:r>
      </w:hyperlink>
    </w:p>
    <w:p>
      <w:pPr>
        <w:spacing w:before="0" w:after="120"/>
      </w:pPr>
      <w:r>
        <w:rPr>
          <w:b/>
        </w:rPr>
        <w:t xml:space="preserve">Notes: </w:t>
      </w:r>
      <w:r>
        <w:t>abstract_source=crossref</w:t>
      </w:r>
    </w:p>
    <w:p>
      <w:pPr>
        <w:spacing w:before="0" w:after="80" w:lineRule="auto" w:line="276"/>
      </w:pPr>
      <w:r>
        <w:rPr>
          <w:b/>
        </w:rPr>
        <w:t xml:space="preserve">摘要（ZH）: </w:t>
      </w:r>
      <w:r>
        <w:t>在清醒神经外科手术中，功能映射通过直接电刺激（DES）广泛用于生成关于个体特定神经解剖组织的因果证据。根据一个长期存在的临床和科学范式，如果对给定脑区应用DES不导致性能错误，则该部位被认为与任务无关。在此，我们展示了错误率和正确试验的性能速度都受到DES相对于任务驱动处理时间线的启动和停止的参数调节。我们提出了一个框架，因果参数映射，它超越了将DES对行为的影响二元化为“正面”和“负面”映射试验的经典方法。因果</w:t>
      </w:r>
    </w:p>
    <w:p>
      <w:pPr>
        <w:spacing w:before="0" w:after="200" w:lineRule="auto" w:line="276"/>
      </w:pPr>
      <w:r>
        <w:rPr>
          <w:b/>
        </w:rPr>
        <w:t xml:space="preserve">Abstract (EN): </w:t>
      </w:r>
      <w:r>
        <w:t>Functional mapping with direct electrical stimulation (DES) is widely used during awake neurosurgery to generate causal evidence about person-specific neuroanatomical organization. According to a long-standing clinical and scientific paradigm, if the application of DES to a given brain region does not result in performance errors, that site is considered to be uninvolved in the task. Here, we show that both error rates and performance speed on correct trials are parametrically modulated by when DES starts and stops relative to the timeline of task-driven processing in stimulated brain areas and networks. We propose a framework, causal parametric mapping, which moves beyond the classic approach of binarizing the effects of DES on behavior into “positive” and “negative” mapping trials. Causal parametric mapping offers a method to functionally dissect separable processing stages in the human brain, in real time, with reversible causal evidence during invasive neurosurgical procedures.</w:t>
      </w:r>
    </w:p>
    <w:p>
      <w:pPr>
        <w:spacing w:before="120" w:after="120"/>
      </w:pPr>
      <w:r>
        <w:rPr>
          <w:sz w:val="18"/>
        </w:rPr>
        <w:t>——————————————————————————————————————————————————————————————————————</w:t>
      </w:r>
    </w:p>
    <w:p>
      <w:pPr>
        <w:spacing w:before="160" w:after="40" w:line="240" w:lineRule="auto"/>
      </w:pPr>
      <w:r>
        <w:rPr>
          <w:b/>
        </w:rPr>
        <w:t xml:space="preserve">[214] </w:t>
      </w:r>
      <w:hyperlink r:id="rId479">
        <w:r>
          <w:rPr>
            <w:color w:val="1155CC"/>
            <w:u w:val="single"/>
          </w:rPr>
          <w:t>肠道肉毒杆菌神经毒素促进沙门氏菌和志贺氏菌的感染</w:t>
        </w:r>
      </w:hyperlink>
    </w:p>
    <w:p>
      <w:pPr>
        <w:spacing w:before="0" w:after="80"/>
      </w:pPr>
      <w:r>
        <w:rPr>
          <w:i/>
          <w:sz w:val="20"/>
        </w:rPr>
        <w:t>EN: Enteric botulinum neurotoxins facilitate infection by Salmonella and Shigella</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80">
        <w:r>
          <w:rPr>
            <w:color w:val="1155CC"/>
            <w:u w:val="single"/>
          </w:rPr>
          <w:t>10.1126/sciadv.ady9407</w:t>
        </w:r>
      </w:hyperlink>
    </w:p>
    <w:p>
      <w:pPr>
        <w:spacing w:before="0" w:after="120"/>
      </w:pPr>
      <w:r>
        <w:rPr>
          <w:b/>
        </w:rPr>
        <w:t xml:space="preserve">Notes: </w:t>
      </w:r>
      <w:r>
        <w:t>abstract_source=crossref</w:t>
      </w:r>
    </w:p>
    <w:p>
      <w:pPr>
        <w:spacing w:before="0" w:after="80" w:lineRule="auto" w:line="276"/>
      </w:pPr>
      <w:r>
        <w:rPr>
          <w:b/>
        </w:rPr>
        <w:t xml:space="preserve">摘要（ZH）: </w:t>
      </w:r>
      <w:r>
        <w:t>肉毒中毒是一种由肉毒杆菌神经毒素（BoNTs）引起的危及生命的疾病，这些毒素由</w:t>
      </w:r>
      <w:r>
        <w:t xml:space="preserve"> </w:t>
      </w:r>
      <w:r>
        <w:t>Clostridium</w:t>
      </w:r>
      <w:r>
        <w:t xml:space="preserve"> </w:t>
      </w:r>
      <w:r>
        <w:t>细菌释放。BoNTs通过可溶性</w:t>
      </w:r>
      <w:r>
        <w:t xml:space="preserve"> </w:t>
      </w:r>
      <w:r>
        <w:t>N</w:t>
      </w:r>
      <w:r>
        <w:t xml:space="preserve"> </w:t>
      </w:r>
      <w:r>
        <w:t>-乙基马来酰亚胺敏感因子附着蛋白受体（SNARE）裂解阻止外周胆碱能神经元释放神经递质，从而引起弛缓性麻痹。肠神经系统（ENS）通过神经元释放的介质控制肠道内的抗菌防御反应。在此，我们展示了亚临床剂量的BoNT/A和BoNT/B，当在肠腔中释放时不足以引起肉毒中毒，但会麻痹ENS神经元，从而有利于原型细菌病原体如</w:t>
      </w:r>
      <w:r>
        <w:t xml:space="preserve"> </w:t>
      </w:r>
      <w:r>
        <w:t>Salmonella enterica</w:t>
      </w:r>
      <w:r>
        <w:t xml:space="preserve"> </w:t>
      </w:r>
      <w:r>
        <w:t>的感染。</w:t>
      </w:r>
    </w:p>
    <w:p>
      <w:pPr>
        <w:spacing w:before="0" w:after="200" w:lineRule="auto" w:line="276"/>
      </w:pPr>
      <w:r>
        <w:rPr>
          <w:b/>
        </w:rPr>
        <w:t xml:space="preserve">Abstract (EN): </w:t>
      </w:r>
      <w:r>
        <w:t>Botulism is a life-threatening disease caused by botulinum neurotoxins (BoNTs) released by</w:t>
      </w:r>
      <w:r>
        <w:t xml:space="preserve"> </w:t>
      </w:r>
      <w:r>
        <w:t>Clostridium</w:t>
      </w:r>
      <w:r>
        <w:t xml:space="preserve"> </w:t>
      </w:r>
      <w:r>
        <w:t>bacteria. BoNTs induce a flaccid paralysis by blocking neurotransmitter release from peripheral cholinergic neurons via soluble</w:t>
      </w:r>
      <w:r>
        <w:t xml:space="preserve"> </w:t>
      </w:r>
      <w:r>
        <w:t>N</w:t>
      </w:r>
      <w:r>
        <w:t xml:space="preserve"> </w:t>
      </w:r>
      <w:r>
        <w:t>-ethylmaleimide–sensitive factor attachment protein receptor (SNARE) cleavage. The enteric nervous system (ENS) controls antimicrobial defense reactions within the intestine through neuron-released mediators. Here, we show that subclinical doses of BoNT/A and BoNT/B, which are not sufficient to cause botulism when released in the intestinal lumen, paralyze ENS neurons favoring infection by prototypic bacterial pathogens such as</w:t>
      </w:r>
      <w:r>
        <w:t xml:space="preserve"> </w:t>
      </w:r>
      <w:r>
        <w:t>Salmonella enterica</w:t>
      </w:r>
      <w:r>
        <w:t xml:space="preserve"> </w:t>
      </w:r>
      <w:r>
        <w:t>and</w:t>
      </w:r>
      <w:r>
        <w:t xml:space="preserve"> </w:t>
      </w:r>
      <w:r>
        <w:t>Shigella flexneri</w:t>
      </w:r>
      <w:r>
        <w:t xml:space="preserve"> </w:t>
      </w:r>
      <w:r>
        <w:t>. The BoNTs reduce the release of mucin, decreasing the protective barrier against bacterial infection. These findings disclose previously unrecognized functions of BoNTs and roles in intestinal infections. Moreover, they indicate that BoNTs are valuable tools for investigating the ENS neuron involvement in the intestinal defense reactions.</w:t>
      </w:r>
    </w:p>
    <w:p>
      <w:pPr>
        <w:spacing w:before="120" w:after="120"/>
      </w:pPr>
      <w:r>
        <w:rPr>
          <w:sz w:val="18"/>
        </w:rPr>
        <w:t>——————————————————————————————————————————————————————————————————————</w:t>
      </w:r>
    </w:p>
    <w:p>
      <w:pPr>
        <w:spacing w:before="160" w:after="40" w:line="240" w:lineRule="auto"/>
      </w:pPr>
      <w:r>
        <w:rPr>
          <w:b/>
        </w:rPr>
        <w:t xml:space="preserve">[215] </w:t>
      </w:r>
      <w:hyperlink r:id="rId481">
        <w:r>
          <w:rPr>
            <w:color w:val="1155CC"/>
            <w:u w:val="single"/>
          </w:rPr>
          <w:t>非洲之外没有支持全球生物多样性灾难的证据</w:t>
        </w:r>
      </w:hyperlink>
    </w:p>
    <w:p>
      <w:pPr>
        <w:spacing w:before="0" w:after="80"/>
      </w:pPr>
      <w:r>
        <w:rPr>
          <w:i/>
          <w:sz w:val="20"/>
        </w:rPr>
        <w:t>EN: Out of Africa comes no support for global biodiversity catastrophes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82">
        <w:r>
          <w:rPr>
            <w:color w:val="1155CC"/>
            <w:u w:val="single"/>
          </w:rPr>
          <w:t>10.1126/sciadv.aee6950</w:t>
        </w:r>
      </w:hyperlink>
    </w:p>
    <w:p>
      <w:pPr>
        <w:spacing w:before="0" w:after="120"/>
      </w:pPr>
      <w:r>
        <w:rPr>
          <w:b/>
        </w:rPr>
        <w:t xml:space="preserve">Notes: </w:t>
      </w:r>
      <w:r>
        <w:t>abstract_source=crossref</w:t>
      </w:r>
    </w:p>
    <w:p>
      <w:pPr>
        <w:spacing w:before="0" w:after="80" w:lineRule="auto" w:line="276"/>
      </w:pPr>
      <w:r>
        <w:rPr>
          <w:b/>
        </w:rPr>
        <w:t xml:space="preserve">摘要（ZH）: </w:t>
      </w:r>
      <w:r>
        <w:t>生物多样性完整性或健康的《活行星指数》和不断变化的行星边界迭代是不合适的、误导性的，并且会对实地保护工作造成伤害。</w:t>
      </w:r>
    </w:p>
    <w:p>
      <w:pPr>
        <w:spacing w:before="0" w:after="200" w:lineRule="auto" w:line="276"/>
      </w:pPr>
      <w:r>
        <w:rPr>
          <w:b/>
        </w:rPr>
        <w:t xml:space="preserve">Abstract (EN): </w:t>
      </w:r>
      <w:r>
        <w:t>The Living Planet Index and the ever-changing iterations of planetary boundaries for biodiversity integrity or health are inappropriate, misleading, and will harm on-the-ground conservation efforts.</w:t>
      </w:r>
    </w:p>
    <w:p>
      <w:pPr>
        <w:spacing w:before="120" w:after="120"/>
      </w:pPr>
      <w:r>
        <w:rPr>
          <w:sz w:val="18"/>
        </w:rPr>
        <w:t>——————————————————————————————————————————————————————————————————————</w:t>
      </w:r>
    </w:p>
    <w:p>
      <w:pPr>
        <w:spacing w:before="160" w:after="40" w:line="240" w:lineRule="auto"/>
      </w:pPr>
      <w:r>
        <w:rPr>
          <w:b/>
        </w:rPr>
        <w:t xml:space="preserve">[216] </w:t>
      </w:r>
      <w:hyperlink r:id="rId483">
        <w:r>
          <w:rPr>
            <w:color w:val="1155CC"/>
            <w:u w:val="single"/>
          </w:rPr>
          <w:t>通过微机器人集体实现流体扭矩驱动的物体操控</w:t>
        </w:r>
      </w:hyperlink>
    </w:p>
    <w:p>
      <w:pPr>
        <w:spacing w:before="0" w:after="80"/>
      </w:pPr>
      <w:r>
        <w:rPr>
          <w:i/>
          <w:sz w:val="20"/>
        </w:rPr>
        <w:t>EN: Fluidic torque–enabled object manipulation by microrobot collectives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84">
        <w:r>
          <w:rPr>
            <w:color w:val="1155CC"/>
            <w:u w:val="single"/>
          </w:rPr>
          <w:t>10.1126/sciadv.aea9947</w:t>
        </w:r>
      </w:hyperlink>
    </w:p>
    <w:p>
      <w:pPr>
        <w:spacing w:before="0" w:after="120"/>
      </w:pPr>
      <w:r>
        <w:rPr>
          <w:b/>
        </w:rPr>
        <w:t xml:space="preserve">Notes: </w:t>
      </w:r>
      <w:r>
        <w:t>abstract_source=crossref</w:t>
      </w:r>
    </w:p>
    <w:p>
      <w:pPr>
        <w:spacing w:before="0" w:after="80" w:lineRule="auto" w:line="276"/>
      </w:pPr>
      <w:r>
        <w:rPr>
          <w:b/>
        </w:rPr>
        <w:t xml:space="preserve">摘要（ZH）: </w:t>
      </w:r>
      <w:r>
        <w:t>微观系统由于其存在的低雷诺数状态而经历强烈的粘性相互作用。这意味着流体操控和被动物体的驱动可以通过微观机器人的个体旋转速率、微型机器人的数量及其相对于物体的位置来实现和影响。我们探索了这些参数空间，发现由磁性微型机器人集体产生的流体扭矩可以被利用来对同心环结构施加双向扭矩，并通过物理实验和数值模拟证明了这一点。此外，我们展示了如何利用微型机器人的流体扭矩来驱动齿轮传动装置、旋转相对较大的三维物体、动态自组装</w:t>
      </w:r>
    </w:p>
    <w:p>
      <w:pPr>
        <w:spacing w:before="0" w:after="200" w:lineRule="auto" w:line="276"/>
      </w:pPr>
      <w:r>
        <w:rPr>
          <w:b/>
        </w:rPr>
        <w:t xml:space="preserve">Abstract (EN): </w:t>
      </w:r>
      <w:r>
        <w:t>Microscale systems experience strong viscous interactions because of the low–Reynolds-number regime in which they exist. This means that fluidic manipulation and actuation of passive objects can be enabled and influenced by the individual spin rate of microscale robots, the number of microrobots, and their positions relative to the objects. We explore these parameter spaces and find that the fluidic torque generated by a magnetic microrobot collective can be exploited to apply bidirectional torque to concentric ring structures and demonstrate this through physical experiments and numerical simulations. Additionally, we demonstrate how the fluidic torque of the microrobots can be exploited to actuate gear trains, rotate comparatively large three-dimensional objects, dynamically self-assemble internally driven ring structures, and absorb and expel large numbers of circular objects. Last, we show emergent behaviors where the microrobot collective’s morphology and method of locomotion changes as a function of the spin rate of the microrobots and the size and shape of the surrounding objects.</w:t>
      </w:r>
    </w:p>
    <w:p>
      <w:pPr>
        <w:spacing w:before="120" w:after="120"/>
      </w:pPr>
      <w:r>
        <w:rPr>
          <w:sz w:val="18"/>
        </w:rPr>
        <w:t>——————————————————————————————————————————————————————————————————————</w:t>
      </w:r>
    </w:p>
    <w:p>
      <w:pPr>
        <w:spacing w:before="160" w:after="40" w:line="240" w:lineRule="auto"/>
      </w:pPr>
      <w:r>
        <w:rPr>
          <w:b/>
        </w:rPr>
        <w:t xml:space="preserve">[217] </w:t>
      </w:r>
      <w:hyperlink r:id="rId485">
        <w:r>
          <w:rPr>
            <w:color w:val="1155CC"/>
            <w:u w:val="single"/>
          </w:rPr>
          <w:t>平面细胞极性通过Wnt11的极化积累而出现</w:t>
        </w:r>
      </w:hyperlink>
    </w:p>
    <w:p>
      <w:pPr>
        <w:spacing w:before="0" w:after="80"/>
      </w:pPr>
      <w:r>
        <w:rPr>
          <w:i/>
          <w:sz w:val="20"/>
        </w:rPr>
        <w:t>EN: Planar cell polarity emerges through polarized accumulation of Wnt11</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86">
        <w:r>
          <w:rPr>
            <w:color w:val="1155CC"/>
            <w:u w:val="single"/>
          </w:rPr>
          <w:t>10.1126/sciadv.aea0326</w:t>
        </w:r>
      </w:hyperlink>
    </w:p>
    <w:p>
      <w:pPr>
        <w:spacing w:before="0" w:after="120"/>
      </w:pPr>
      <w:r>
        <w:rPr>
          <w:b/>
        </w:rPr>
        <w:t xml:space="preserve">Notes: </w:t>
      </w:r>
      <w:r>
        <w:t>abstract_source=crossref</w:t>
      </w:r>
    </w:p>
    <w:p>
      <w:pPr>
        <w:spacing w:before="0" w:after="80" w:lineRule="auto" w:line="276"/>
      </w:pPr>
      <w:r>
        <w:rPr>
          <w:b/>
        </w:rPr>
        <w:t xml:space="preserve">摘要（ZH）: </w:t>
      </w:r>
      <w:r>
        <w:t>平面细胞极性（PCP）是通过每个细胞中核心PCP成分的不对称定位建立的。由于某些Wnt蛋白可以在脊椎动物中诱导PCP，因此有人提出Wnt浓度梯度提供了极化的空间线索。然而，在此，我们提供证据表明Wnt11可以以梯度无关的方式调节PCP。在非洲爪蟾胚胎的神经板中，内源性Wnt11在PCP方向上没有形成明显的梯度，但与核心PCP成分一起在细胞边界处极化。Wnt11的极化依赖于核心PCP成分，而核心PCP成分的极化也可以由Wnt11诱导，表明Wnt11与核心PCP成分在PCP形成中的相互放大循环。</w:t>
      </w:r>
    </w:p>
    <w:p>
      <w:pPr>
        <w:spacing w:before="0" w:after="200" w:lineRule="auto" w:line="276"/>
      </w:pPr>
      <w:r>
        <w:rPr>
          <w:b/>
        </w:rPr>
        <w:t xml:space="preserve">Abstract (EN): </w:t>
      </w:r>
      <w:r>
        <w:t>Planar cell polarity (PCP) is established by asymmetric localization of core PCP components in each cell. Because some Wnt proteins can induce PCP in vertebrates, it has been proposed that Wnt concentration gradients provide spatial cues for polarization. However, here, we present evidence that Wnt11 can regulate PCP in a gradient-independent manner. In the neural plate of</w:t>
      </w:r>
      <w:r>
        <w:t xml:space="preserve"> </w:t>
      </w:r>
      <w:r>
        <w:t>Xenopus</w:t>
      </w:r>
      <w:r>
        <w:t xml:space="preserve"> </w:t>
      </w:r>
      <w:r>
        <w:t>embryos, endogenous Wnt11 does not form an obvious gradient in the direction of PCP, but is polarized at cell boundaries together with core PCP components. Wnt11 polarization is dependent on core PCP components, while polarization of core PCP components can also be induced by Wnt11, indicating a mutual amplification loop between Wnt11 and core PCP components in PCP formation. Furthermore, Wnt11 and core PCP components compose an intercellular loop to coordinate the direction of polarity. Thus, we propose that local and reciprocal interactions between Wnt11 and core PCP components can generate PCP.</w:t>
      </w:r>
    </w:p>
    <w:p>
      <w:pPr>
        <w:spacing w:before="120" w:after="120"/>
      </w:pPr>
      <w:r>
        <w:rPr>
          <w:sz w:val="18"/>
        </w:rPr>
        <w:t>——————————————————————————————————————————————————————————————————————</w:t>
      </w:r>
    </w:p>
    <w:p>
      <w:pPr>
        <w:spacing w:before="160" w:after="40" w:line="240" w:lineRule="auto"/>
      </w:pPr>
      <w:r>
        <w:rPr>
          <w:b/>
        </w:rPr>
        <w:t xml:space="preserve">[218] </w:t>
      </w:r>
      <w:hyperlink r:id="rId487">
        <w:r>
          <w:rPr>
            <w:color w:val="1155CC"/>
            <w:u w:val="single"/>
          </w:rPr>
          <w:t>长寿金刺鼠的免疫代谢抗衰老因素</w:t>
        </w:r>
      </w:hyperlink>
    </w:p>
    <w:p>
      <w:pPr>
        <w:spacing w:before="0" w:after="80"/>
      </w:pPr>
      <w:r>
        <w:rPr>
          <w:i/>
          <w:sz w:val="20"/>
        </w:rPr>
        <w:t>EN: Immunometabolic resistors of aging in long-lived golden spiny mice</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88">
        <w:r>
          <w:rPr>
            <w:color w:val="1155CC"/>
            <w:u w:val="single"/>
          </w:rPr>
          <w:t>10.1126/sciadv.aec9991</w:t>
        </w:r>
      </w:hyperlink>
    </w:p>
    <w:p>
      <w:pPr>
        <w:spacing w:before="0" w:after="120"/>
      </w:pPr>
      <w:r>
        <w:rPr>
          <w:b/>
        </w:rPr>
        <w:t xml:space="preserve">Notes: </w:t>
      </w:r>
      <w:r>
        <w:t>abstract_source=crossref</w:t>
      </w:r>
    </w:p>
    <w:p>
      <w:pPr>
        <w:spacing w:before="0" w:after="80" w:lineRule="auto" w:line="276"/>
      </w:pPr>
      <w:r>
        <w:rPr>
          <w:b/>
        </w:rPr>
        <w:t xml:space="preserve">摘要（ZH）: </w:t>
      </w:r>
      <w:r>
        <w:t>在进化尺度上与实验室小鼠密切相关的长寿野生啮齿动物可能有助于识别抵抗衰老的休眠通路。棘鼠（Acomys）以其卓越的再生能力而闻名，但其对衰老的抵抗力尚不清楚。在此，我们报告了在非无病原体环境中饲养的老年金色棘鼠（Acomys russatus）抵抗功能衰退，与其姊妹物种东方棘鼠（Acomys dimidiatus）相比，其免疫代谢器官的衰老减少，修复能力更强。老年A. russatus保持类似于年轻小鼠的转录完整性，突显</w:t>
      </w:r>
    </w:p>
    <w:p>
      <w:pPr>
        <w:spacing w:before="0" w:after="200" w:lineRule="auto" w:line="276"/>
      </w:pPr>
      <w:r>
        <w:rPr>
          <w:b/>
        </w:rPr>
        <w:t xml:space="preserve">Abstract (EN): </w:t>
      </w:r>
      <w:r>
        <w:t>Long-lived wild rodents closely related to laboratory mice on the evolutionary scale may allow identification of dormant pathways that resist aging. Spiny mice (</w:t>
      </w:r>
      <w:r>
        <w:t xml:space="preserve"> </w:t>
      </w:r>
      <w:r>
        <w:t>Acomys</w:t>
      </w:r>
      <w:r>
        <w:t xml:space="preserve"> </w:t>
      </w:r>
      <w:r>
        <w:t>) are known for their exceptional regenerative capacity, but their resilience to aging is unknown. Here, we report that aged golden spiny mice (</w:t>
      </w:r>
      <w:r>
        <w:t xml:space="preserve"> </w:t>
      </w:r>
      <w:r>
        <w:t>Acomys russatus</w:t>
      </w:r>
      <w:r>
        <w:t xml:space="preserve"> </w:t>
      </w:r>
      <w:r>
        <w:t>), reared in a non–pathogen-free environment, resist functional decline, have a greater repair capacity with reduced senescence in immune-metabolic organs compared to their sister species, eastern spiny mice (</w:t>
      </w:r>
      <w:r>
        <w:t xml:space="preserve"> </w:t>
      </w:r>
      <w:r>
        <w:t>Acomys dimidiatus</w:t>
      </w:r>
      <w:r>
        <w:t xml:space="preserve"> </w:t>
      </w:r>
      <w:r>
        <w:t>). Aged</w:t>
      </w:r>
      <w:r>
        <w:t xml:space="preserve"> </w:t>
      </w:r>
      <w:r>
        <w:t>A. russatus</w:t>
      </w:r>
      <w:r>
        <w:t xml:space="preserve"> </w:t>
      </w:r>
      <w:r>
        <w:t>maintains transcriptional integrity akin to young mice, highlighting experimental checkpoints for inflammation and mortality. We identified that elevated levels of clusterin in</w:t>
      </w:r>
      <w:r>
        <w:t xml:space="preserve"> </w:t>
      </w:r>
      <w:r>
        <w:t>A. russatus</w:t>
      </w:r>
      <w:r>
        <w:t xml:space="preserve"> </w:t>
      </w:r>
      <w:r>
        <w:t>macrophages restrain inflammaging and enhance health span in aged mice. Thus,</w:t>
      </w:r>
      <w:r>
        <w:t xml:space="preserve"> </w:t>
      </w:r>
      <w:r>
        <w:t>A. russatus</w:t>
      </w:r>
      <w:r>
        <w:t xml:space="preserve"> </w:t>
      </w:r>
      <w:r>
        <w:t>biology reveals therapeutically actionable targets that may enhance or maintain function during aging.</w:t>
      </w:r>
    </w:p>
    <w:p>
      <w:pPr>
        <w:spacing w:before="120" w:after="120"/>
      </w:pPr>
      <w:r>
        <w:rPr>
          <w:sz w:val="18"/>
        </w:rPr>
        <w:t>——————————————————————————————————————————————————————————————————————</w:t>
      </w:r>
    </w:p>
    <w:p>
      <w:pPr>
        <w:spacing w:before="160" w:after="40" w:line="240" w:lineRule="auto"/>
      </w:pPr>
      <w:r>
        <w:rPr>
          <w:b/>
        </w:rPr>
        <w:t xml:space="preserve">[219] </w:t>
      </w:r>
      <w:hyperlink r:id="rId489">
        <w:r>
          <w:rPr>
            <w:color w:val="1155CC"/>
            <w:u w:val="single"/>
          </w:rPr>
          <w:t>六方氮化硼中硼空位自旋缺陷的中间激发态弛豫动力学</w:t>
        </w:r>
      </w:hyperlink>
    </w:p>
    <w:p>
      <w:pPr>
        <w:spacing w:before="0" w:after="80"/>
      </w:pPr>
      <w:r>
        <w:rPr>
          <w:i/>
          <w:sz w:val="20"/>
        </w:rPr>
        <w:t>EN: Intermediate excited state relaxation dynamics of boron vacancy spin defects in hexagonal boron nitride</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90">
        <w:r>
          <w:rPr>
            <w:color w:val="1155CC"/>
            <w:u w:val="single"/>
          </w:rPr>
          <w:t>10.1126/sciadv.aea0109</w:t>
        </w:r>
      </w:hyperlink>
    </w:p>
    <w:p>
      <w:pPr>
        <w:spacing w:before="0" w:after="120"/>
      </w:pPr>
      <w:r>
        <w:rPr>
          <w:b/>
        </w:rPr>
        <w:t xml:space="preserve">Notes: </w:t>
      </w:r>
      <w:r>
        <w:t>abstract_source=crossref</w:t>
      </w:r>
    </w:p>
    <w:p>
      <w:pPr>
        <w:spacing w:before="0" w:after="80" w:lineRule="auto" w:line="276"/>
      </w:pPr>
      <w:r>
        <w:rPr>
          <w:b/>
        </w:rPr>
        <w:t xml:space="preserve">摘要（ZH）: </w:t>
      </w:r>
      <w:r>
        <w:t>六方氮化硼中可光寻址的自旋缺陷在二维量子传感中展现出广阔的潜力，尽管激发态动力学仍然知之甚少。特别是从激发三重态到基态的非辐射弛豫路径，尤其是涉及搁置中间态（IS）的路径，仍然主要是理论假设，速率常数尚未直接测量。在这项工作中，我们研究了光泵循环中IS的弛豫动力学，涵盖广泛的温度范围。我们测量了在室温下从IS到基态的24.0(3)纳秒弛豫时间，在低温下大约翻倍。模拟揭示了自旋种群和基态极化如何随激发速率的变化而演变。</w:t>
      </w:r>
    </w:p>
    <w:p>
      <w:pPr>
        <w:spacing w:before="0" w:after="200" w:lineRule="auto" w:line="276"/>
      </w:pPr>
      <w:r>
        <w:rPr>
          <w:b/>
        </w:rPr>
        <w:t xml:space="preserve">Abstract (EN): </w:t>
      </w:r>
      <w:r>
        <w:t>Optically addressable spin defects in hexagonal boron nitride offer promising potential for 2D quantum sensing, although excited-state dynamics remain poorly understood. In particular, the nonradiative relaxation paths from the excited triplet states to the ground state, especially those involving a shelving intermediate state (IS), remain largely hypothetical, and the rate constants have yet to be directly measured. In this work, we investigate the relaxation dynamics of the IS in the optical pumping cycle in a broad temperature range. We measure a 24.0(3)-nanosecond relaxation time from IS to the ground state at room temperature, which approximately doubles at low temperatures. Simulations reveal how spin populations and ground-state polarization evolve with varying excitation rates. Accordingly, we optimize optically detected magnetic resonance pulse sequences to account for the effects of IS relaxation. This considerably enhances spin manipulation efficiency, allowing substantial optimization of the quantum sensor’s sensitivity based on boron vacancies.</w:t>
      </w:r>
    </w:p>
    <w:p>
      <w:pPr>
        <w:spacing w:before="120" w:after="120"/>
      </w:pPr>
      <w:r>
        <w:rPr>
          <w:sz w:val="18"/>
        </w:rPr>
        <w:t>——————————————————————————————————————————————————————————————————————</w:t>
      </w:r>
    </w:p>
    <w:p>
      <w:pPr>
        <w:spacing w:before="160" w:after="40" w:line="240" w:lineRule="auto"/>
      </w:pPr>
      <w:r>
        <w:rPr>
          <w:b/>
        </w:rPr>
        <w:t xml:space="preserve">[220] </w:t>
      </w:r>
      <w:hyperlink r:id="rId491">
        <w:r>
          <w:rPr>
            <w:color w:val="1155CC"/>
            <w:u w:val="single"/>
          </w:rPr>
          <w:t>南海贯流减缓的百年珊瑚记录</w:t>
        </w:r>
      </w:hyperlink>
    </w:p>
    <w:p>
      <w:pPr>
        <w:spacing w:before="0" w:after="80"/>
      </w:pPr>
      <w:r>
        <w:rPr>
          <w:i/>
          <w:sz w:val="20"/>
        </w:rPr>
        <w:t>EN: Century-long coral records of the South China Sea throughflow slowdown</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492">
        <w:r>
          <w:rPr>
            <w:color w:val="1155CC"/>
            <w:u w:val="single"/>
          </w:rPr>
          <w:t>10.1126/sciadv.aea9091</w:t>
        </w:r>
      </w:hyperlink>
    </w:p>
    <w:p>
      <w:pPr>
        <w:spacing w:before="0" w:after="120"/>
      </w:pPr>
      <w:r>
        <w:rPr>
          <w:b/>
        </w:rPr>
        <w:t xml:space="preserve">Notes: </w:t>
      </w:r>
      <w:r>
        <w:t>abstract_source=crossref</w:t>
      </w:r>
    </w:p>
    <w:p>
      <w:pPr>
        <w:spacing w:before="0" w:after="80" w:lineRule="auto" w:line="276"/>
      </w:pPr>
      <w:r>
        <w:rPr>
          <w:b/>
        </w:rPr>
        <w:t xml:space="preserve">摘要（ZH）: </w:t>
      </w:r>
      <w:r>
        <w:t>南海通量（SCSTF）作为热量和淡水的输送带，在调节南海的物理过程和生物地球化学循环中起着关键作用。由于观测有限，SCSTF在变暖气候下的长期变化及其潜在动力学仍不清楚。在本研究中，我们利用珊瑚氧同位素（δ18O）和卫星观测重建了SCSTF的百年尺度变异（1894–2022）。除了显著的年际和年代际变异外，总SCSTF流量还存在一个显著的长期下降趋势，为每十年−0.14 ± 0.02 Sv（1 Sv = 106 m3 s−1）。</w:t>
      </w:r>
    </w:p>
    <w:p>
      <w:pPr>
        <w:spacing w:before="0" w:after="200" w:lineRule="auto" w:line="276"/>
      </w:pPr>
      <w:r>
        <w:rPr>
          <w:b/>
        </w:rPr>
        <w:t xml:space="preserve">Abstract (EN): </w:t>
      </w:r>
      <w:r>
        <w:t>The South China Sea throughflow (SCSTF) serves as a heat and freshwater conveyor, playing a pivotal role in regulating physical processes and biogeochemical cycles in the SCS. Because of limited observations, the long-term changes of the SCSTF under a warming climate and underlying dynamics remain unclear. In this study, we reconstructed centennial-scale variability of the SCSTF (1894–2022) using coral oxygen isotope (δ</w:t>
      </w:r>
      <w:r>
        <w:rPr>
          <w:vertAlign w:val="subscript"/>
        </w:rPr>
        <w:t>18</w:t>
      </w:r>
      <w:r>
        <w:t>O) and satellite observations. Besides prominent interannual and decadal variabilities, there exists a marked long-term decreasing trend at −0.14 ± 0.02 Sv (1 Sv = 10</w:t>
      </w:r>
      <w:r>
        <w:rPr>
          <w:vertAlign w:val="subscript"/>
        </w:rPr>
        <w:t>6</w:t>
      </w:r>
      <w:r>
        <w:t>m</w:t>
      </w:r>
      <w:r>
        <w:rPr>
          <w:vertAlign w:val="subscript"/>
        </w:rPr>
        <w:t>3</w:t>
      </w:r>
      <w:r>
        <w:t>s</w:t>
      </w:r>
      <w:r>
        <w:t xml:space="preserve"> </w:t>
      </w:r>
      <w:r>
        <w:t>−1</w:t>
      </w:r>
      <w:r>
        <w:t xml:space="preserve"> </w:t>
      </w:r>
      <w:r>
        <w:t>) per decade for the total SCSTF volume transport. Consequently, the SCSTF transport decreased by 35 ± 5% over the past 129 years in comparison with the mean value of 5.15 Sv. Using the Time-dependent Island Rule theory, we further reveal that the intensified trade wind in the tropical western Pacific drives the SCSTF slowdown. The findings substantially contribute to investigating the physical, ecological, and biogeochemical changes in the SCS and the Indo-Pacific Oceans.</w:t>
      </w:r>
    </w:p>
    <w:p>
      <w:pPr>
        <w:spacing w:before="120" w:after="120"/>
      </w:pPr>
      <w:r>
        <w:rPr>
          <w:sz w:val="18"/>
        </w:rPr>
        <w:t>——————————————————————————————————————————————————————————————————————</w:t>
      </w:r>
    </w:p>
    <w:p>
      <w:pPr>
        <w:spacing w:before="160" w:after="40" w:line="240" w:lineRule="auto"/>
      </w:pPr>
      <w:r>
        <w:rPr>
          <w:b/>
        </w:rPr>
        <w:t xml:space="preserve">[221] </w:t>
      </w:r>
      <w:hyperlink r:id="rId493">
        <w:r>
          <w:rPr>
            <w:color w:val="1155CC"/>
            <w:u w:val="single"/>
          </w:rPr>
          <w:t>Pictet-Spengler合成融合氮杂环庚烯和1H-氮杂环辛烯桥接的NiII卟啉二聚体</w:t>
        </w:r>
      </w:hyperlink>
    </w:p>
    <w:p>
      <w:pPr>
        <w:spacing w:before="0" w:after="80"/>
      </w:pPr>
      <w:r>
        <w:rPr>
          <w:i/>
          <w:sz w:val="20"/>
        </w:rPr>
        <w:t>EN: Pictet‐Spengler Synthesis of Fused‐Azepine‐ and 1H‐Azocine‐Bridged NiII Porphyrin Dimers</w:t>
      </w:r>
    </w:p>
    <w:p>
      <w:pPr>
        <w:spacing w:before="0" w:after="120"/>
      </w:pPr>
      <w:r>
        <w:rPr>
          <w:b/>
        </w:rPr>
        <w:t xml:space="preserve">Source: </w:t>
      </w:r>
      <w:r>
        <w:t>Wiley: Angewandte Chemie International Edition: Table of Contents</w:t>
      </w:r>
      <w:r>
        <w:t xml:space="preserve">    </w:t>
      </w:r>
      <w:r>
        <w:rPr>
          <w:b/>
        </w:rPr>
        <w:t xml:space="preserve">Pub date: </w:t>
      </w:r>
      <w:r>
        <w:t>2026-02-25 08:55:55+00:00</w:t>
      </w:r>
      <w:r>
        <w:t xml:space="preserve">    </w:t>
      </w:r>
      <w:r>
        <w:rPr>
          <w:b/>
        </w:rPr>
        <w:t xml:space="preserve">DOI: </w:t>
      </w:r>
      <w:hyperlink r:id="rId494">
        <w:r>
          <w:rPr>
            <w:color w:val="1155CC"/>
            <w:u w:val="single"/>
          </w:rPr>
          <w:t>10.1002/anie.7602426</w:t>
        </w:r>
      </w:hyperlink>
    </w:p>
    <w:p>
      <w:pPr>
        <w:spacing w:before="0" w:after="120"/>
      </w:pPr>
      <w:r>
        <w:rPr>
          <w:b/>
        </w:rPr>
        <w:t xml:space="preserve">Notes: </w:t>
      </w:r>
      <w:r>
        <w:t>abstract_source=pubmed</w:t>
      </w:r>
    </w:p>
    <w:p>
      <w:pPr>
        <w:spacing w:before="0" w:after="80" w:lineRule="auto" w:line="276"/>
      </w:pPr>
      <w:r>
        <w:rPr>
          <w:b/>
        </w:rPr>
        <w:t xml:space="preserve">摘要（ZH）: </w:t>
      </w:r>
      <w:r>
        <w:t>对间氨基和间,间'-二氨基β-β'-连接的NiII卟啉二聚体1Ni和2Ni与多聚甲醛进行Pictet-Spengler环化反应，分别得到融合的氮杂卓桥接的NiII卟啉二聚体3Ni和4Ni。用FeCl3和2,3-二氯-5,6-二氰基-1,4-苯醌（DDQ）氧化3Ni，得到额外的间-叔丁基苯基融合的二聚体5Ni，产率为43%，但类似的4Ni氧化反应导致单一间-叔丁基苯基融合的二聚体6Ni的形成，产率为94%。通过类似的Pictet-Spengler环化反应合成了融合的1H-氮杂辛桥接的NiII卟啉二聚体8Ni。3Ni和4Ni被转化为相应的游离碱和ZnII配合物，显示出相当红移的吸收带和近红外荧光。</w:t>
      </w:r>
    </w:p>
    <w:p>
      <w:pPr>
        <w:spacing w:before="0" w:after="200" w:lineRule="auto" w:line="276"/>
      </w:pPr>
      <w:r>
        <w:rPr>
          <w:b/>
        </w:rPr>
        <w:t xml:space="preserve">Abstract (EN): </w:t>
      </w:r>
      <w:r>
        <w:t>Pictet-Spengler cyclization of meso-amino and meso, meso'-diamino β-β'-linked NiII porphyrin dimers 1Ni and 2Ni with paraformaldehyde gave fused azepine-bridged NiII porphyrin dimers 3Ni and 4Ni, respectively. Oxidation of 3Ni with FeCl3 and 2,3-dichloro-5,6-dicyano-1,4-benzoquinone (DDQ) provided additionally meso-tertbuylphenyl-fused dimer 5Ni in 43% yield but the similar oxidation of 4Ni led to the formation of singly meso-tertbuylphenyl-fused dimer 6Ni in 94% yield. Fused 1H-azocine-bridged NiII porphyrin dimer 8Ni was synthesized by the similar Pictet-Spengler cyclization of meso-amino β-meso' linked NiII porphyrin dimer 7Ni. 3Ni and 4Ni were converted to the corresponding free bases and ZnII complexes, which display fairly red-shifted absorption bands and fluorescence in the near infrared (NIR) region.</w:t>
      </w:r>
    </w:p>
    <w:p>
      <w:pPr>
        <w:spacing w:before="120" w:after="120"/>
      </w:pPr>
      <w:r>
        <w:rPr>
          <w:sz w:val="18"/>
        </w:rPr>
        <w:t>——————————————————————————————————————————————————————————————————————</w:t>
      </w:r>
    </w:p>
    <w:p>
      <w:pPr>
        <w:spacing w:before="160" w:after="40" w:line="240" w:lineRule="auto"/>
      </w:pPr>
      <w:r>
        <w:rPr>
          <w:b/>
        </w:rPr>
        <w:t xml:space="preserve">[222] </w:t>
      </w:r>
      <w:hyperlink r:id="rId495">
        <w:r>
          <w:rPr>
            <w:color w:val="1155CC"/>
            <w:u w:val="single"/>
          </w:rPr>
          <w:t>亚稳态镧系硫化物的相工程用于多晶型纳米晶体库</w:t>
        </w:r>
      </w:hyperlink>
    </w:p>
    <w:p>
      <w:pPr>
        <w:spacing w:before="0" w:after="80"/>
      </w:pPr>
      <w:r>
        <w:rPr>
          <w:i/>
          <w:sz w:val="20"/>
        </w:rPr>
        <w:t>EN: Phase Engineering on Metastable Lanthanoid Sulfides for Polymorphic Nanocrystal Library</w:t>
      </w:r>
    </w:p>
    <w:p>
      <w:pPr>
        <w:spacing w:before="0" w:after="120"/>
      </w:pPr>
      <w:r>
        <w:rPr>
          <w:b/>
        </w:rPr>
        <w:t xml:space="preserve">Source: </w:t>
      </w:r>
      <w:r>
        <w:t>Wiley: Angewandte Chemie International Edition: Table of Contents</w:t>
      </w:r>
      <w:r>
        <w:t xml:space="preserve">    </w:t>
      </w:r>
      <w:r>
        <w:rPr>
          <w:b/>
        </w:rPr>
        <w:t xml:space="preserve">Pub date: </w:t>
      </w:r>
      <w:r>
        <w:t>2026-02-25 08:56:06+00:00</w:t>
      </w:r>
      <w:r>
        <w:t xml:space="preserve">    </w:t>
      </w:r>
      <w:r>
        <w:rPr>
          <w:b/>
        </w:rPr>
        <w:t xml:space="preserve">DOI: </w:t>
      </w:r>
      <w:hyperlink r:id="rId496">
        <w:r>
          <w:rPr>
            <w:color w:val="1155CC"/>
            <w:u w:val="single"/>
          </w:rPr>
          <w:t>10.1002/anie.9692519</w:t>
        </w:r>
      </w:hyperlink>
    </w:p>
    <w:p>
      <w:pPr>
        <w:spacing w:before="0" w:after="120"/>
      </w:pPr>
      <w:r>
        <w:rPr>
          <w:b/>
        </w:rPr>
        <w:t xml:space="preserve">Notes: </w:t>
      </w:r>
      <w:r>
        <w:t>abstract_source=pubmed</w:t>
      </w:r>
    </w:p>
    <w:p>
      <w:pPr>
        <w:spacing w:before="0" w:after="80" w:lineRule="auto" w:line="276"/>
      </w:pPr>
      <w:r>
        <w:rPr>
          <w:b/>
        </w:rPr>
        <w:t xml:space="preserve">摘要（ZH）: </w:t>
      </w:r>
      <w:r>
        <w:t>稀土（RE）基纳米晶体（NCs）因其丰富的元素组成和独特的电子构型而在广泛的重要应用中具有前景。然而，其精确的合成仍然是一个合成瓶颈，受限于超低的还原电位、强亲氧性、严格的兼容性，特别是在相多样性超越热力学稳定对应物方面。在此，我们定义了一种过渡金属阳离子稳定策略，用于选择性合成包括单斜（m）、正交（o）和三方（t）晶系的镧系（Ln）硫化物NCs。我们进一步通过结合晶格能量依赖性，定量揭示了亚稳框架的相控形态和结构特征演变过程。</w:t>
      </w:r>
    </w:p>
    <w:p>
      <w:pPr>
        <w:spacing w:before="0" w:after="200" w:lineRule="auto" w:line="276"/>
      </w:pPr>
      <w:r>
        <w:rPr>
          <w:b/>
        </w:rPr>
        <w:t xml:space="preserve">Abstract (EN): </w:t>
      </w:r>
      <w:r>
        <w:t>Rare earth (RE)-based nanocrystals (NCs) with rich elemental composition and unique electron configuration are promising for a wide range of important applications. However, their precise creation remains to be a synthetic bottleneck, limited to the ultralow reduction potential, strong oxophilicity, rigid compatibility and in particular regarding phase diversity beyond the thermodynamically stable counterparts. Here we define a transition metal cation-stabilized strategy for the phase-selective synthesis of lanthanoid (Ln) sulfide NCs including monoclinic (m), orthorhombic (o), and trigonal (t) crystal systems. We further quantitatively reveal the phase-controlled morphological and structural motif evolution processes of the metastable frameworks, via a combination of lattice energy-dependent thermodynamic control and facet adsorption-induced kinetic control. An extension of the proposed mechanism constructs phase-designed t/m-homojunction and t/o-heterostructure Ln sulfide NCs with multidimensionality and tunable composition, structures, and interfaces. This generalizable phase-engineering protocol provides guiding principle and synthetic methodology for a RE-based polymorphic nanocrystal library that is otherwise inaccessible by conventional approaches.</w:t>
      </w:r>
    </w:p>
    <w:p>
      <w:pPr>
        <w:spacing w:before="120" w:after="120"/>
      </w:pPr>
      <w:r>
        <w:rPr>
          <w:sz w:val="18"/>
        </w:rPr>
        <w:t>——————————————————————————————————————————————————————————————————————</w:t>
      </w:r>
    </w:p>
    <w:p>
      <w:pPr>
        <w:spacing w:before="160" w:after="40" w:line="240" w:lineRule="auto"/>
      </w:pPr>
      <w:r>
        <w:rPr>
          <w:b/>
        </w:rPr>
        <w:t xml:space="preserve">[223] </w:t>
      </w:r>
      <w:hyperlink r:id="rId497">
        <w:r>
          <w:rPr>
            <w:color w:val="1155CC"/>
            <w:u w:val="single"/>
          </w:rPr>
          <w:t>手性介观结构Mo掺杂Bi2WO6驱动N2和CO2的光催化尿素合成</w:t>
        </w:r>
      </w:hyperlink>
    </w:p>
    <w:p>
      <w:pPr>
        <w:spacing w:before="0" w:after="80"/>
      </w:pPr>
      <w:r>
        <w:rPr>
          <w:i/>
          <w:sz w:val="20"/>
        </w:rPr>
        <w:t>EN: Chiral Mesostructured Mo Doped Bi2WO6 Drives Photocatalytic Urea Synthesis From N2 and CO2</w:t>
      </w:r>
    </w:p>
    <w:p>
      <w:pPr>
        <w:spacing w:before="0" w:after="120"/>
      </w:pPr>
      <w:r>
        <w:rPr>
          <w:b/>
        </w:rPr>
        <w:t xml:space="preserve">Source: </w:t>
      </w:r>
      <w:r>
        <w:t>Wiley: Angewandte Chemie International Edition: Table of Contents</w:t>
      </w:r>
      <w:r>
        <w:t xml:space="preserve">    </w:t>
      </w:r>
      <w:r>
        <w:rPr>
          <w:b/>
        </w:rPr>
        <w:t xml:space="preserve">Pub date: </w:t>
      </w:r>
      <w:r>
        <w:t>2026-02-25 08:57:46+00:00</w:t>
      </w:r>
      <w:r>
        <w:t xml:space="preserve">    </w:t>
      </w:r>
      <w:r>
        <w:rPr>
          <w:b/>
        </w:rPr>
        <w:t xml:space="preserve">DOI: </w:t>
      </w:r>
      <w:hyperlink r:id="rId498">
        <w:r>
          <w:rPr>
            <w:color w:val="1155CC"/>
            <w:u w:val="single"/>
          </w:rPr>
          <w:t>10.1002/anie.202525892</w:t>
        </w:r>
      </w:hyperlink>
    </w:p>
    <w:p>
      <w:pPr>
        <w:spacing w:before="0" w:after="120"/>
      </w:pPr>
      <w:r>
        <w:rPr>
          <w:b/>
        </w:rPr>
        <w:t xml:space="preserve">Notes: </w:t>
      </w:r>
      <w:r>
        <w:t>abstract_source=pubmed</w:t>
      </w:r>
    </w:p>
    <w:p>
      <w:pPr>
        <w:spacing w:before="0" w:after="80" w:lineRule="auto" w:line="276"/>
      </w:pPr>
      <w:r>
        <w:rPr>
          <w:b/>
        </w:rPr>
        <w:t xml:space="preserve">摘要（ZH）: </w:t>
      </w:r>
      <w:r>
        <w:t>通过光催化N2和CO2还原（PNCR）直接合成尿素提供了一种可持续的方法来减轻CO2排放并减少工业和农业尿素生产的能耗。然而，实现高产量的尿素受到N2和CO2共还原及后续C-N偶联的高能量障碍的限制。在此，我们提出手性介观结构Mo掺杂Bi2WO6（CMMB）的自旋极化可以通过调节平行电子自旋排列来促进三重态3NOH的形成，并促进光生载流子的分离和转移，从而增强C-N的形成。将Mo位点引入Bi2WO6中促进了N2的吸附和活化。通过PNCR在无添加剂的情况下实现了最先进的尿素产量</w:t>
      </w:r>
    </w:p>
    <w:p>
      <w:pPr>
        <w:spacing w:before="0" w:after="200" w:lineRule="auto" w:line="276"/>
      </w:pPr>
      <w:r>
        <w:rPr>
          <w:b/>
        </w:rPr>
        <w:t xml:space="preserve">Abstract (EN): </w:t>
      </w:r>
      <w:r>
        <w:t>Direct synthesis of urea through photocatalytic N2 and CO2 reduction (PNCR) offers a sustainable approach to mitigate CO2 emissions and reduce energy consumption from urea production for industry and agriculture. However, achieving high yield of urea is limited by the high energy barrier for co-reduction of N2 and CO2 with subsequent C-N coupling. Herein, we propose that the spin polarization of chiral mesostructured Mo doped Bi2WO6 (CMMB) can facilitate the formation of triplet 3NOH by regulating the parallel electron spin alignment and promote the separation and transfer of photogenerated carriers, leading to enhanced C-N formation. The incorporation of Mo sites into Bi2WO6 promotes the adsorption and activation of N2. A state-of-the-art urea yield was achieved without additives via PNCR on CMMB, surpassing the best-reported inorganic catalyst by a significant margin. This study provides an effective strategy for designing catalyst structures for the green synthesis of organonitrogen compounds.</w:t>
      </w:r>
    </w:p>
    <w:p>
      <w:pPr>
        <w:spacing w:before="120" w:after="120"/>
      </w:pPr>
      <w:r>
        <w:rPr>
          <w:sz w:val="18"/>
        </w:rPr>
        <w:t>——————————————————————————————————————————————————————————————————————</w:t>
      </w:r>
    </w:p>
    <w:p>
      <w:pPr>
        <w:spacing w:before="160" w:after="40" w:line="240" w:lineRule="auto"/>
      </w:pPr>
      <w:r>
        <w:rPr>
          <w:b/>
        </w:rPr>
        <w:t xml:space="preserve">[224] </w:t>
      </w:r>
      <w:hyperlink r:id="rId499">
        <w:r>
          <w:rPr>
            <w:color w:val="1155CC"/>
            <w:u w:val="single"/>
          </w:rPr>
          <w:t>锑卤化物杂化物中的协同结构维度和簇手性用于高效圆偏振电致发光</w:t>
        </w:r>
      </w:hyperlink>
    </w:p>
    <w:p>
      <w:pPr>
        <w:spacing w:before="0" w:after="80"/>
      </w:pPr>
      <w:r>
        <w:rPr>
          <w:i/>
          <w:sz w:val="20"/>
        </w:rPr>
        <w:t>EN: A Cooperative Structural Dimension and Clusters Chirality in Antimony Halide Hybrids for Efficient Circularly Polarized Electroluminescence</w:t>
      </w:r>
    </w:p>
    <w:p>
      <w:pPr>
        <w:spacing w:before="0" w:after="120"/>
      </w:pPr>
      <w:r>
        <w:rPr>
          <w:b/>
        </w:rPr>
        <w:t xml:space="preserve">Source: </w:t>
      </w:r>
      <w:r>
        <w:t>Wiley: Angewandte Chemie International Edition: Table of Contents</w:t>
      </w:r>
      <w:r>
        <w:t xml:space="preserve">    </w:t>
      </w:r>
      <w:r>
        <w:rPr>
          <w:b/>
        </w:rPr>
        <w:t xml:space="preserve">Pub date: </w:t>
      </w:r>
      <w:r>
        <w:t>2026-02-25 08:59:29+00:00</w:t>
      </w:r>
      <w:r>
        <w:t xml:space="preserve">    </w:t>
      </w:r>
      <w:r>
        <w:rPr>
          <w:b/>
        </w:rPr>
        <w:t xml:space="preserve">DOI: </w:t>
      </w:r>
      <w:hyperlink r:id="rId500">
        <w:r>
          <w:rPr>
            <w:color w:val="1155CC"/>
            <w:u w:val="single"/>
          </w:rPr>
          <w:t>10.1002/anie.8742316</w:t>
        </w:r>
      </w:hyperlink>
    </w:p>
    <w:p>
      <w:pPr>
        <w:spacing w:before="0" w:after="120"/>
      </w:pPr>
      <w:r>
        <w:rPr>
          <w:b/>
        </w:rPr>
        <w:t xml:space="preserve">Notes: </w:t>
      </w:r>
      <w:r>
        <w:t>abstract_source=pubmed</w:t>
      </w:r>
    </w:p>
    <w:p>
      <w:pPr>
        <w:spacing w:before="0" w:after="80" w:lineRule="auto" w:line="276"/>
      </w:pPr>
      <w:r>
        <w:rPr>
          <w:b/>
        </w:rPr>
        <w:t xml:space="preserve">摘要（ZH）: </w:t>
      </w:r>
      <w:r>
        <w:t>手性金属卤化物材料通常在光致发光效率和手性光学不对称性（g值）之间存在固有的权衡；低维结构通常提供高发射效率但g值较小，而高维结构则在牺牲发光效率的情况下提供较大的g值。为克服这一限制，我们在0D框架中引入簇级手性策略，通过引入手性金属卤化物簇。在此，我们合理设计并合成了一对对映体锑(III)卤化物杂化物，[(R,R)/(S,S)(PPh2)2C4]2[Sb4Cl16]（R/S-DPPB-Sb），其中笨重的手性膦鎓阳离子模板了先前未报道的孤立[Sb4Cl16]4-簇组装成螺旋晶格。这些对映体表现出明亮的发光</w:t>
      </w:r>
    </w:p>
    <w:p>
      <w:pPr>
        <w:spacing w:before="0" w:after="200" w:lineRule="auto" w:line="276"/>
      </w:pPr>
      <w:r>
        <w:rPr>
          <w:b/>
        </w:rPr>
        <w:t xml:space="preserve">Abstract (EN): </w:t>
      </w:r>
      <w:r>
        <w:t>Chiral metal-halide materials often suffer from inherent trade-off between photoluminescence efficiency and chiroptical asymmetry (g value); low-dimensional structures typically deliver high emission efficiency but small g values, whereas higher-dimensional counterparts afford larger g values at the cost of reduced luminescence efficiency. To overcome this limitation, we introduce a cluster-level chirality strategy in a 0D framework by incorporating chiral metal halide clusters. Herein, we rationally design and synthesize a pair of enantiomeric antimony(III) halide hybrids, [(R,R)/(S,S)(PPh2)2C4]2[Sb4Cl16] (R/S-DPPB-Sb) in which bulky chiral phosphonium cations template previously unreported isolated [Sb4Cl16]4- clusters assembled into a helical lattice. These enantiomers exhibit bright self-trapped excitons emission at 625 nm with photoluminescence quantum yields above 40%, along with strong circularly polarized luminescence (glum ≈ ±7 × 10-3), among the highest reported to date for chiral Antimony-based hybrids. Remarkably, we further demonstrate circularly polarized LEDs using R/S-DPPB-Sb as the emitter, achieving an external quantum efficiency of 1.48% and a notable CP-EL dissymmetry factor (|gEL| &gt; 9 × 10-3). The strong chiroptical response originates from the pronounced distortion of the [Sb4Cl16]4- clusters and their helical supramolecular packing. This work establishes antimony halide clusters as a promising chiral emitter and provides a viable route toward high-performance, lead-free CPLEDs.</w:t>
      </w:r>
    </w:p>
    <w:p>
      <w:pPr>
        <w:spacing w:before="120" w:after="120"/>
      </w:pPr>
      <w:r>
        <w:rPr>
          <w:sz w:val="18"/>
        </w:rPr>
        <w:t>——————————————————————————————————————————————————————————————————————</w:t>
      </w:r>
    </w:p>
    <w:p>
      <w:pPr>
        <w:spacing w:before="160" w:after="40" w:line="240" w:lineRule="auto"/>
      </w:pPr>
      <w:r>
        <w:rPr>
          <w:b/>
        </w:rPr>
        <w:t xml:space="preserve">[225] </w:t>
      </w:r>
      <w:hyperlink r:id="rId501">
        <w:r>
          <w:rPr>
            <w:color w:val="1155CC"/>
            <w:u w:val="single"/>
          </w:rPr>
          <w:t>通过操控配体壳刚性提升Pt1Ag18纳米簇的线性和非线性光学性质</w:t>
        </w:r>
      </w:hyperlink>
    </w:p>
    <w:p>
      <w:pPr>
        <w:spacing w:before="0" w:after="80"/>
      </w:pPr>
      <w:r>
        <w:rPr>
          <w:i/>
          <w:sz w:val="20"/>
        </w:rPr>
        <w:t>EN: Boosting Linear and Nonlinear Optical Properties of Pt1Ag18 Nanoclusters by Manipulating Ligand‐Shell Rigidity</w:t>
      </w:r>
    </w:p>
    <w:p>
      <w:pPr>
        <w:spacing w:before="0" w:after="120"/>
      </w:pPr>
      <w:r>
        <w:rPr>
          <w:b/>
        </w:rPr>
        <w:t xml:space="preserve">Source: </w:t>
      </w:r>
      <w:r>
        <w:t>Wiley: Angewandte Chemie International Edition: Table of Contents</w:t>
      </w:r>
      <w:r>
        <w:t xml:space="preserve">    </w:t>
      </w:r>
      <w:r>
        <w:rPr>
          <w:b/>
        </w:rPr>
        <w:t xml:space="preserve">Pub date: </w:t>
      </w:r>
      <w:r>
        <w:t>2026-02-25 09:01:19+00:00</w:t>
      </w:r>
      <w:r>
        <w:t xml:space="preserve">    </w:t>
      </w:r>
      <w:r>
        <w:rPr>
          <w:b/>
        </w:rPr>
        <w:t xml:space="preserve">DOI: </w:t>
      </w:r>
      <w:hyperlink r:id="rId502">
        <w:r>
          <w:rPr>
            <w:color w:val="1155CC"/>
            <w:u w:val="single"/>
          </w:rPr>
          <w:t>10.1002/anie.5033273</w:t>
        </w:r>
      </w:hyperlink>
    </w:p>
    <w:p>
      <w:pPr>
        <w:spacing w:before="0" w:after="120"/>
      </w:pPr>
      <w:r>
        <w:rPr>
          <w:b/>
        </w:rPr>
        <w:t xml:space="preserve">Notes: </w:t>
      </w:r>
      <w:r>
        <w:t>abstract_source=pubmed</w:t>
      </w:r>
    </w:p>
    <w:p>
      <w:pPr>
        <w:spacing w:before="0" w:after="80" w:lineRule="auto" w:line="276"/>
      </w:pPr>
      <w:r>
        <w:rPr>
          <w:b/>
        </w:rPr>
        <w:t xml:space="preserve">摘要（ZH）: </w:t>
      </w:r>
      <w:r>
        <w:t>配体保护的金属纳米簇表现出新颖的类分子光学特性，但表面配体如何调节非线性光学行为仍然理解不足。在此，我们展示了一种配体工程策略，通过控制配体壳刚性和电子核相互作用来调节Pt1Ag18纳米簇的线性和非线性光学响应。我们制备了一系列[Pt1Ag18(DPPP)6(SR)xCl8-x]2+纳米簇（SR = 1-金刚烷硫醇或2-氟代苯硫酚；x = 0-8），实现了柔性3D笼状1-金刚烷硫醇配体与平面电子供体2-氟代苯硫酚配体的逐步替换。增加氟化硫醇含量增强了配体-金属耦合并使配体环境刚性化，导致非辐射抑制</w:t>
      </w:r>
    </w:p>
    <w:p>
      <w:pPr>
        <w:spacing w:before="0" w:after="200" w:lineRule="auto" w:line="276"/>
      </w:pPr>
      <w:r>
        <w:rPr>
          <w:b/>
        </w:rPr>
        <w:t xml:space="preserve">Abstract (EN): </w:t>
      </w:r>
      <w:r>
        <w:t>Ligand-protected metal nanoclusters exhibit novel molecular-like optical properties, yet how surface ligands regulate nonlinear optical behavior remains insufficiently understood. Here, we demonstrate a ligand-engineering strategy to modulate both linear and nonlinear optical responses of Pt1Ag18 nanoclusters through controlled tuning of ligand-shell rigidity and electron-core interactions. we prepared a family of [Pt1Ag18(DPPP)6(SR)xCl8-x]2+ nanoclusters (SR = 1-adamantanethiol or 2-fluorothiophenol; x = 0-8), enabling progressive substitution of flexible 3D cage 1-adamantanethiol ligands with planar electron-donating 2-fluorothiophenol ligands. Increasing fluorinated thiolate content strengthens ligand-metal coupling and rigidifies the ligand environment, leading to suppressed nonradiative decay and markedly enhanced one-photon absorption, photoluminescence quantum yield, and two-photon absorption/two-photon excited photoluminescence cross-sections. Nonlinear optical measurements (700-1000 nm femtosecond excitation) reveal that resonance effects and ligand rigidity jointly govern multiphoton excitation efficiency. Furthermore, introducing bulky counterions induces additional rigidification, achieving substantial amplification of both one- and two-photon luminescence. Supported by TD-DFT calculations, this work establishes a structure-property relationship linking ligand geometry and charge-transfer character to nonlinear optical performance. These findings outline a generalizable ligand-shell design strategy for tuning optical responses in atomically precise metal nanoclusters and offer promising candidates for multiphoton bioimaging and photonic applications.</w:t>
      </w:r>
    </w:p>
    <w:p>
      <w:pPr>
        <w:spacing w:before="120" w:after="120"/>
      </w:pPr>
      <w:r>
        <w:rPr>
          <w:sz w:val="18"/>
        </w:rPr>
        <w:t>——————————————————————————————————————————————————————————————————————</w:t>
      </w:r>
    </w:p>
    <w:p>
      <w:pPr>
        <w:spacing w:before="160" w:after="40" w:line="240" w:lineRule="auto"/>
      </w:pPr>
      <w:r>
        <w:rPr>
          <w:b/>
        </w:rPr>
        <w:t xml:space="preserve">[226] </w:t>
      </w:r>
      <w:hyperlink r:id="rId503">
        <w:r>
          <w:rPr>
            <w:color w:val="1155CC"/>
            <w:u w:val="single"/>
          </w:rPr>
          <w:t>磷酸根阴离子工程的MXene用于单原子合金的高效水解离</w:t>
        </w:r>
      </w:hyperlink>
    </w:p>
    <w:p>
      <w:pPr>
        <w:spacing w:before="0" w:after="80"/>
      </w:pPr>
      <w:r>
        <w:rPr>
          <w:i/>
          <w:sz w:val="20"/>
        </w:rPr>
        <w:t>EN: Phosphate Anion‐Engineered MXene for Efficient Water Dissociation on Single‐Atom Alloy</w:t>
      </w:r>
    </w:p>
    <w:p>
      <w:pPr>
        <w:spacing w:before="0" w:after="120"/>
      </w:pPr>
      <w:r>
        <w:rPr>
          <w:b/>
        </w:rPr>
        <w:t xml:space="preserve">Source: </w:t>
      </w:r>
      <w:r>
        <w:t>Wiley: Angewandte Chemie International Edition: Table of Contents</w:t>
      </w:r>
      <w:r>
        <w:t xml:space="preserve">    </w:t>
      </w:r>
      <w:r>
        <w:rPr>
          <w:b/>
        </w:rPr>
        <w:t xml:space="preserve">Pub date: </w:t>
      </w:r>
      <w:r>
        <w:t>2026-02-25 09:01:22+00:00</w:t>
      </w:r>
      <w:r>
        <w:t xml:space="preserve">    </w:t>
      </w:r>
      <w:r>
        <w:rPr>
          <w:b/>
        </w:rPr>
        <w:t xml:space="preserve">DOI: </w:t>
      </w:r>
      <w:hyperlink r:id="rId504">
        <w:r>
          <w:rPr>
            <w:color w:val="1155CC"/>
            <w:u w:val="single"/>
          </w:rPr>
          <w:t>10.1002/anie.202524246</w:t>
        </w:r>
      </w:hyperlink>
    </w:p>
    <w:p>
      <w:pPr>
        <w:spacing w:before="0" w:after="120"/>
      </w:pPr>
      <w:r>
        <w:rPr>
          <w:b/>
        </w:rPr>
        <w:t xml:space="preserve">Notes: </w:t>
      </w:r>
      <w:r>
        <w:t>abstract_source=pubmed</w:t>
      </w:r>
    </w:p>
    <w:p>
      <w:pPr>
        <w:spacing w:before="0" w:after="80" w:lineRule="auto" w:line="276"/>
      </w:pPr>
      <w:r>
        <w:rPr>
          <w:b/>
        </w:rPr>
        <w:t xml:space="preserve">摘要（ZH）: </w:t>
      </w:r>
      <w:r>
        <w:t>催化剂载体对于高效水解离是不可或缺的，因为它们在通过改变催化剂的电子结构间接增强催化活性或直接参与催化反应中起关键作用。MXene 由于其丰富的表面电子态能够对催化剂进行各种电子改性，最近成为水解离的有前途的催化剂载体，但其与反应物或产物直接相互作用以加速水解离中的催化动力学的潜力尚未被探索。在此，我们报告了我们的发现，即磷酸根阴离子改性的 MXene 能够显著加速单原子钌-铜 (Ru-Cu) 合金上的水解离，达到创纪录的质量比活性 746</w:t>
      </w:r>
    </w:p>
    <w:p>
      <w:pPr>
        <w:spacing w:before="0" w:after="200" w:lineRule="auto" w:line="276"/>
      </w:pPr>
      <w:r>
        <w:rPr>
          <w:b/>
        </w:rPr>
        <w:t xml:space="preserve">Abstract (EN): </w:t>
      </w:r>
      <w:r>
        <w:t>Catalyst supports are indispensable for efficient water dissociation since they play key roles in either indirectly enhancing catalysis activity by modifying electronic structures of catalysts or directly participating in catalytic reaction. MXene has recently emerged as a promising catalyst support for water dissociation by virtue of its rich surface electronic states that enable various electronic modifications of catalysts, but its potential of directly interacting with reactants or products to accelerate catalytic dynamics in water dissociation remains unexplored. Here we report our finding that phosphate anion-engineered MXene is capable of significantly accelerating water dissociation on single-atom ruthenium-copper (Ru-Cu) alloy, achieving a record-high mass-specific activity of 746 L gRu -1 min-1 under light conditions at room temperature. This is mainly enabled by the accelerated hydrogen spillover effect, which results from the phosphate anion-induced electronic modification of titanium sites on MXene following the light-enhanced activation of ammonia borane and water molecules on Ru-Cu active sites. This underlying mechanism is elucidated by a combination of in situ spectroscopic characterizations and density function theory calculations. This work unveils a previously unrecognized catalytic role of MXene-based supports and offers a new design strategy for enhancing water dissociation through tailored support-catalyst-reactant interactions.</w:t>
      </w:r>
    </w:p>
    <w:p>
      <w:pPr>
        <w:spacing w:before="120" w:after="120"/>
      </w:pPr>
      <w:r>
        <w:rPr>
          <w:sz w:val="18"/>
        </w:rPr>
        <w:t>——————————————————————————————————————————————————————————————————————</w:t>
      </w:r>
    </w:p>
    <w:p>
      <w:pPr>
        <w:spacing w:before="160" w:after="40" w:line="240" w:lineRule="auto"/>
      </w:pPr>
      <w:r>
        <w:rPr>
          <w:b/>
        </w:rPr>
        <w:t xml:space="preserve">[227] </w:t>
      </w:r>
      <w:hyperlink r:id="rId505">
        <w:r>
          <w:rPr>
            <w:color w:val="1155CC"/>
            <w:u w:val="single"/>
          </w:rPr>
          <w:t>手性(18,15)碳纳米带的合成、晶体结构和对映体分离</w:t>
        </w:r>
      </w:hyperlink>
    </w:p>
    <w:p>
      <w:pPr>
        <w:spacing w:before="0" w:after="80"/>
      </w:pPr>
      <w:r>
        <w:rPr>
          <w:i/>
          <w:sz w:val="20"/>
        </w:rPr>
        <w:t>EN: Synthesis, Crystal Structure, and Enantiomeric Resolution of a Chiral (18,15) Carbon Nanobelt</w:t>
      </w:r>
    </w:p>
    <w:p>
      <w:pPr>
        <w:spacing w:before="0" w:after="120"/>
      </w:pPr>
      <w:r>
        <w:rPr>
          <w:b/>
        </w:rPr>
        <w:t xml:space="preserve">Source: </w:t>
      </w:r>
      <w:r>
        <w:t>Wiley: Angewandte Chemie International Edition: Table of Contents</w:t>
      </w:r>
      <w:r>
        <w:t xml:space="preserve">    </w:t>
      </w:r>
      <w:r>
        <w:rPr>
          <w:b/>
        </w:rPr>
        <w:t xml:space="preserve">Pub date: </w:t>
      </w:r>
      <w:r>
        <w:t>2026-02-25 09:03:21+00:00</w:t>
      </w:r>
      <w:r>
        <w:t xml:space="preserve">    </w:t>
      </w:r>
      <w:r>
        <w:rPr>
          <w:b/>
        </w:rPr>
        <w:t xml:space="preserve">DOI: </w:t>
      </w:r>
      <w:hyperlink r:id="rId506">
        <w:r>
          <w:rPr>
            <w:color w:val="1155CC"/>
            <w:u w:val="single"/>
          </w:rPr>
          <w:t>10.1002/anie.5390746</w:t>
        </w:r>
      </w:hyperlink>
    </w:p>
    <w:p>
      <w:pPr>
        <w:spacing w:before="0" w:after="120"/>
      </w:pPr>
      <w:r>
        <w:rPr>
          <w:b/>
        </w:rPr>
        <w:t xml:space="preserve">Notes: </w:t>
      </w:r>
      <w:r>
        <w:t>abstract_source=pubmed</w:t>
      </w:r>
    </w:p>
    <w:p>
      <w:pPr>
        <w:spacing w:before="0" w:after="80" w:lineRule="auto" w:line="276"/>
      </w:pPr>
      <w:r>
        <w:rPr>
          <w:b/>
        </w:rPr>
        <w:t xml:space="preserve">摘要（ZH）: </w:t>
      </w:r>
      <w:r>
        <w:t>手性碳纳米管 (CNTs) 在电子和光学应用中显示出显著的潜力，但单一手性 CNTs 的选择性合成仍然是一个主要挑战。此外，迄今为止尚未报道手性 CNTs 的共轭片段——对映纯手性碳纳米带。在此，我们首次合成并成功解析了手性 (18,15) 碳纳米带的对映体，代表了相应 (18,15) CNT 的侧壁片段。单晶 X 射线衍射分析明确证实了其带状结构和一对对映体的存在。两种对映体均已成功分离，进一步研究揭示了显著的手性光学特性。</w:t>
      </w:r>
    </w:p>
    <w:p>
      <w:pPr>
        <w:spacing w:before="0" w:after="200" w:lineRule="auto" w:line="276"/>
      </w:pPr>
      <w:r>
        <w:rPr>
          <w:b/>
        </w:rPr>
        <w:t xml:space="preserve">Abstract (EN): </w:t>
      </w:r>
      <w:r>
        <w:t>Chiral carbon nanotubes (CNTs) show significant potential for applications in electronics and optics, yet the selective synthesis of single-chirality CNTs remains a major challenge. Furthermore, enantiopure chiral carbon nanobelts, which constitute conjugated segments of chiral CNTs, have not been reported to date. Here, we present the first synthesis and successful enantiomeric resolution of a chiral (18,15) carbon nanobelt, representing a sidewall segment of the corresponding (18,15) CNT. Single-crystal x-ray diffraction analysis unambiguously confirms its belt-shaped structure and the presence of a pair of enantiomers. Both enantiomers have been successfully isolated, and further studies reveal notable chiroptical properties.</w:t>
      </w:r>
    </w:p>
    <w:p>
      <w:pPr>
        <w:spacing w:before="120" w:after="120"/>
      </w:pPr>
      <w:r>
        <w:rPr>
          <w:sz w:val="18"/>
        </w:rPr>
        <w:t>——————————————————————————————————————————————————————————————————————</w:t>
      </w:r>
    </w:p>
    <w:p>
      <w:pPr>
        <w:spacing w:before="160" w:after="40" w:line="240" w:lineRule="auto"/>
      </w:pPr>
      <w:r>
        <w:rPr>
          <w:b/>
        </w:rPr>
        <w:t xml:space="preserve">[228] </w:t>
      </w:r>
      <w:hyperlink r:id="rId507">
        <w:r>
          <w:rPr>
            <w:color w:val="1155CC"/>
            <w:u w:val="single"/>
          </w:rPr>
          <w:t>[ASAP] 通过金属-配体协同作用实现的铀氢化物配合物的二氮裂解和氢化</w:t>
        </w:r>
      </w:hyperlink>
    </w:p>
    <w:p>
      <w:pPr>
        <w:spacing w:before="0" w:after="80"/>
      </w:pPr>
      <w:r>
        <w:rPr>
          <w:i/>
          <w:sz w:val="20"/>
        </w:rPr>
        <w:t>EN: [ASAP] Dinitrogen Cleavage and Hydrogenation by a Uranium Hydride Complex Enabled through Metal–Ligand Cooperativity</w:t>
      </w:r>
    </w:p>
    <w:p>
      <w:pPr>
        <w:spacing w:before="0" w:after="120"/>
      </w:pPr>
      <w:r>
        <w:rPr>
          <w:b/>
        </w:rPr>
        <w:t xml:space="preserve">Source: </w:t>
      </w:r>
      <w:r>
        <w:t>Journal of the American Chemical Society: Latest Articles (ACS Publications)</w:t>
      </w:r>
      <w:r>
        <w:t xml:space="preserve">    </w:t>
      </w:r>
      <w:r>
        <w:rPr>
          <w:b/>
        </w:rPr>
        <w:t xml:space="preserve">Pub date: </w:t>
      </w:r>
      <w:r>
        <w:t>2026-02-25 09:09:20+00:00</w:t>
      </w:r>
      <w:r>
        <w:t xml:space="preserve">    </w:t>
      </w:r>
      <w:r>
        <w:rPr>
          <w:b/>
        </w:rPr>
        <w:t xml:space="preserve">DOI: </w:t>
      </w:r>
      <w:hyperlink r:id="rId508">
        <w:r>
          <w:rPr>
            <w:color w:val="1155CC"/>
            <w:u w:val="single"/>
          </w:rPr>
          <w:t>10.1021/jacs.6c00478</w:t>
        </w:r>
      </w:hyperlink>
    </w:p>
    <w:p>
      <w:pPr>
        <w:spacing w:before="0" w:after="120"/>
      </w:pPr>
      <w:r>
        <w:rPr>
          <w:b/>
        </w:rPr>
        <w:t xml:space="preserve">Notes: </w:t>
      </w:r>
      <w:r>
        <w:t>abstract_source=pubmed</w:t>
      </w:r>
    </w:p>
    <w:p>
      <w:pPr>
        <w:spacing w:before="0" w:after="80" w:lineRule="auto" w:line="276"/>
      </w:pPr>
      <w:r>
        <w:rPr>
          <w:b/>
        </w:rPr>
        <w:t xml:space="preserve">摘要（ZH）: </w:t>
      </w:r>
      <w:r>
        <w:t>金属氢化物配合物的二氮 (N2) 裂解和氢化与酶促和工业二氮固定相关，但仍限于少数例子。在此，我们报告了由钳形配体支持的二铀 (IV) 氢化物配合物 [{(Dipp-NON)UIV(η4-HDipp)}(μ-H){(η6-Dipp)UIV(NON-Dipp)}], 1 介导的 N2 裂解和功能化。在该配合物中，六个电子和两个质子储存在双 (苯胺基) 黄烷骨架的两个侧臂和桥接氢化物中，并由两个铀 (IV) 中心稳定。配合物 1 与二氮的反应导致 N2 的同时裂解和功能化，通过一种前所未有的协同金属-配体途径生成双亚胺配合物 [{(Dipp2-NON)UIV}2(μ-NH)2], 3，而不涉及</w:t>
      </w:r>
    </w:p>
    <w:p>
      <w:pPr>
        <w:spacing w:before="0" w:after="200" w:lineRule="auto" w:line="276"/>
      </w:pPr>
      <w:r>
        <w:rPr>
          <w:b/>
        </w:rPr>
        <w:t xml:space="preserve">Abstract (EN): </w:t>
      </w:r>
      <w:r>
        <w:t>Dinitrogen cleavage and hydrogenation by metal hydride complexes are relevant to both enzymatic and industrial dinitrogen (N2) fixation but remain limited to a few examples. Here, we report the cleavage and functionalization of N2 mediated by a pincer ligand-supported diuranium(IV) hydride complex [{(Dipp-NON)UIV(η4-HDipp)}(μ-H){(η6-Dipp)UIV(NON-Dipp)}], 1. In this complex, a total of six electrons and two protons are stored in two flanking arms of the bis(anilido)xanthene scaffolds and in the bridging hydride, which are stabilized by two uranium(IV) centers. The reaction of complex 1 with dinitrogen results in concomitant N2 cleavage and functionalization, affording the bis-imido complex [{(Dipp2-NON)UIV}2(μ-NH)2], 3, via an unprecedented cooperative metal-ligand pathway and without involving a change of the uranium oxidation state during the overall transformation.</w:t>
      </w:r>
    </w:p>
    <w:p>
      <w:pPr>
        <w:spacing w:before="120" w:after="120"/>
      </w:pPr>
      <w:r>
        <w:rPr>
          <w:sz w:val="18"/>
        </w:rPr>
        <w:t>——————————————————————————————————————————————————————————————————————</w:t>
      </w:r>
    </w:p>
    <w:p>
      <w:pPr>
        <w:spacing w:before="160" w:after="40" w:line="240" w:lineRule="auto"/>
      </w:pPr>
      <w:r>
        <w:rPr>
          <w:b/>
        </w:rPr>
        <w:t xml:space="preserve">[229] </w:t>
      </w:r>
      <w:hyperlink r:id="rId509">
        <w:r>
          <w:rPr>
            <w:color w:val="1155CC"/>
            <w:u w:val="single"/>
          </w:rPr>
          <w:t>在氢键框架中设计动态质子“枢纽”以实现超质子导电性</w:t>
        </w:r>
      </w:hyperlink>
    </w:p>
    <w:p>
      <w:pPr>
        <w:spacing w:before="0" w:after="80"/>
      </w:pPr>
      <w:r>
        <w:rPr>
          <w:i/>
          <w:sz w:val="20"/>
        </w:rPr>
        <w:t>EN: Engineering Dynamic Proton “Hubs” in Hydrogen‐Bonded Frameworks for Superprotonic Conductivity</w:t>
      </w:r>
    </w:p>
    <w:p>
      <w:pPr>
        <w:spacing w:before="0" w:after="120"/>
      </w:pPr>
      <w:r>
        <w:rPr>
          <w:b/>
        </w:rPr>
        <w:t xml:space="preserve">Source: </w:t>
      </w:r>
      <w:r>
        <w:t>Wiley: Angewandte Chemie International Edition: Table of Contents</w:t>
      </w:r>
      <w:r>
        <w:t xml:space="preserve">    </w:t>
      </w:r>
      <w:r>
        <w:rPr>
          <w:b/>
        </w:rPr>
        <w:t xml:space="preserve">Pub date: </w:t>
      </w:r>
      <w:r>
        <w:t>2026-02-25 09:14:18+00:00</w:t>
      </w:r>
      <w:r>
        <w:t xml:space="preserve">    </w:t>
      </w:r>
      <w:r>
        <w:rPr>
          <w:b/>
        </w:rPr>
        <w:t xml:space="preserve">DOI: </w:t>
      </w:r>
      <w:hyperlink r:id="rId510">
        <w:r>
          <w:rPr>
            <w:color w:val="1155CC"/>
            <w:u w:val="single"/>
          </w:rPr>
          <w:t>10.1002/anie.202525282</w:t>
        </w:r>
      </w:hyperlink>
    </w:p>
    <w:p>
      <w:pPr>
        <w:spacing w:before="0" w:after="120"/>
      </w:pPr>
      <w:r>
        <w:rPr>
          <w:b/>
        </w:rPr>
        <w:t xml:space="preserve">Notes: </w:t>
      </w:r>
      <w:r>
        <w:t>abstract_source=pubmed</w:t>
      </w:r>
    </w:p>
    <w:p>
      <w:pPr>
        <w:spacing w:before="0" w:after="80" w:lineRule="auto" w:line="276"/>
      </w:pPr>
      <w:r>
        <w:rPr>
          <w:b/>
        </w:rPr>
        <w:t xml:space="preserve">摘要（ZH）: </w:t>
      </w:r>
      <w:r>
        <w:t>模仿生物中的协同质子传导对于合成材料来说仍然是一个巨大的挑战。在此，我们通过在氢键有机框架（HOFs）中设计动态质子“枢纽”来报告一种战略性方法。这些枢纽是由铵和磺酸盐基团之间的电荷辅助氢键形成的超分子次级构建单元（SSBUs），被编程到框架中以引导质子流动。所得的铵-磺酸盐HOF，BPDS_NH4，表现出0.21 S cm-1（90°C，90% RH）的高度竞争性质子导电性。卓越的性能由质子枢纽的双重功能控制：其高电荷密度和亲水性为溶解质子簇（H+(H2O)n）的车辆运输创造了一条高速公路，而密集的、dy</w:t>
      </w:r>
    </w:p>
    <w:p>
      <w:pPr>
        <w:spacing w:before="0" w:after="200" w:lineRule="auto" w:line="276"/>
      </w:pPr>
      <w:r>
        <w:rPr>
          <w:b/>
        </w:rPr>
        <w:t xml:space="preserve">Abstract (EN): </w:t>
      </w:r>
      <w:r>
        <w:t>Mimicking the synergistic proton conduction in biology remains a formidable challenge for synthetic materials. Here, we report a strategic approach by engineering dynamic proton "hubs" within hydrogen-bonded organic frameworks (HOFs). These hubs are supramolecular secondary building units (SSBUs) formed by charge-assisted hydrogen bonds between ammonium and sulfonate groups, which are programmed into the frameworks to direct proton traffic. The resulting ammonium-sulfonate HOF, BPDS_NH4, exhibits a highly competitive proton conductivity of 0.21 S cm-1 (90°C, 90% RH). The exceptional performance is governed by the dual function of the proton hubs: their high charge density and hydrophilicity create a highway for vehicular transport of solvated proton clusters (H+(H2O)n), while the dense, dynamic H-bonded network within each hub serves as a confined arena for ultrafast Grotthuss hopping. These processes are synergistically coupled, as verified by activation energy analysis and H/D isotope effect. This work establishes the construction of supramolecular proton hubs as a versatile blueprint for the rational design of advanced proton-conducting materials.</w:t>
      </w:r>
    </w:p>
    <w:p>
      <w:pPr>
        <w:spacing w:before="120" w:after="120"/>
      </w:pPr>
      <w:r>
        <w:rPr>
          <w:sz w:val="18"/>
        </w:rPr>
        <w:t>——————————————————————————————————————————————————————————————————————</w:t>
      </w:r>
    </w:p>
    <w:p>
      <w:pPr>
        <w:spacing w:before="160" w:after="40" w:line="240" w:lineRule="auto"/>
      </w:pPr>
      <w:r>
        <w:rPr>
          <w:b/>
        </w:rPr>
        <w:t xml:space="preserve">[230] </w:t>
      </w:r>
      <w:hyperlink r:id="rId511">
        <w:r>
          <w:rPr>
            <w:color w:val="1155CC"/>
            <w:u w:val="single"/>
          </w:rPr>
          <w:t>[ASAP] 手性对单线态裂变和三线态融合的影响：光子管理的分子扭曲</w:t>
        </w:r>
      </w:hyperlink>
    </w:p>
    <w:p>
      <w:pPr>
        <w:spacing w:before="0" w:after="80"/>
      </w:pPr>
      <w:r>
        <w:rPr>
          <w:i/>
          <w:sz w:val="20"/>
        </w:rPr>
        <w:t>EN: [ASAP] The Impact of Chirality on Singlet Fission and Triplet Fusion: A Molecular Twist for Photon Management</w:t>
      </w:r>
    </w:p>
    <w:p>
      <w:pPr>
        <w:spacing w:before="0" w:after="120"/>
      </w:pPr>
      <w:r>
        <w:rPr>
          <w:b/>
        </w:rPr>
        <w:t xml:space="preserve">Source: </w:t>
      </w:r>
      <w:r>
        <w:t>ACS Energy Letters: Latest Articles (ACS Publications)</w:t>
      </w:r>
      <w:r>
        <w:t xml:space="preserve">    </w:t>
      </w:r>
      <w:r>
        <w:rPr>
          <w:b/>
        </w:rPr>
        <w:t xml:space="preserve">Pub date: </w:t>
      </w:r>
      <w:r>
        <w:t>2026-02-25 09:22:36+00:00</w:t>
      </w:r>
      <w:r>
        <w:t xml:space="preserve">    </w:t>
      </w:r>
      <w:r>
        <w:rPr>
          <w:b/>
        </w:rPr>
        <w:t xml:space="preserve">DOI: </w:t>
      </w:r>
      <w:hyperlink r:id="rId512">
        <w:r>
          <w:rPr>
            <w:color w:val="1155CC"/>
            <w:u w:val="single"/>
          </w:rPr>
          <w:t>10.1021/acsenergylett.6c00073</w:t>
        </w:r>
      </w:hyperlink>
    </w:p>
    <w:p>
      <w:pPr>
        <w:spacing w:before="0" w:after="120"/>
      </w:pPr>
      <w:r>
        <w:rPr>
          <w:b/>
        </w:rPr>
        <w:t xml:space="preserve">Notes: </w:t>
      </w:r>
      <w:r>
        <w:t>abstract_source=openalex</w:t>
      </w:r>
    </w:p>
    <w:p>
      <w:pPr>
        <w:spacing w:before="0" w:after="80" w:lineRule="auto" w:line="276"/>
      </w:pPr>
      <w:r>
        <w:rPr>
          <w:b/>
        </w:rPr>
        <w:t xml:space="preserve">摘要（ZH）: </w:t>
      </w:r>
      <w:r>
        <w:t>手性最近作为一种新手段出现，能够深刻影响有机半导体在自旋光电子应用中的特性。然而，迄今为止，对于手性结构-性质关系的明确机制理解仍然缺乏，特别是对于单线态激子裂变和三线态融合等光子互转换过程。在这一视角中，我们强调了最近研究手性结构在这些过程中的工作。我们讨论了手性如何影响这些转换过程的各种方式，并建议利用手性来改善光子管理，以用于能源应用和量子信息科学。</w:t>
      </w:r>
    </w:p>
    <w:p>
      <w:pPr>
        <w:spacing w:before="0" w:after="200" w:lineRule="auto" w:line="276"/>
      </w:pPr>
      <w:r>
        <w:rPr>
          <w:b/>
        </w:rPr>
        <w:t xml:space="preserve">Abstract (EN): </w:t>
      </w:r>
      <w:r>
        <w:t>Chirality has recently emerged as a new means to profoundly impact the properties of organic semiconductors for spin-optoelectronic applications. Yet, a clear mechanistic understanding of chiral structure–property relationships remains absent to date, particularly for photon interconversion processes such as singlet exciton fission and triplet fusion. In this perspective, we highlight recent work that investigates chiral structures for these processes. We discuss the various ways in which chirality can impact such conversion processes and suggest ways to leverage it to improve photon management for both energy applications and quantum information science.</w:t>
      </w:r>
    </w:p>
    <w:p>
      <w:pPr>
        <w:spacing w:before="120" w:after="120"/>
      </w:pPr>
      <w:r>
        <w:rPr>
          <w:sz w:val="18"/>
        </w:rPr>
        <w:t>——————————————————————————————————————————————————————————————————————</w:t>
      </w:r>
    </w:p>
    <w:p>
      <w:pPr>
        <w:spacing w:before="160" w:after="40" w:line="240" w:lineRule="auto"/>
      </w:pPr>
      <w:r>
        <w:rPr>
          <w:b/>
        </w:rPr>
        <w:t xml:space="preserve">[231] </w:t>
      </w:r>
      <w:hyperlink r:id="rId513">
        <w:r>
          <w:rPr>
            <w:color w:val="1155CC"/>
            <w:u w:val="single"/>
          </w:rPr>
          <w:t>[ASAP] 通过双重缩放定律调节中间体反应性以选择性催化还原氮氧化物：协同原位漫反射红外傅里叶变换光谱和密度泛函理论研究</w:t>
        </w:r>
      </w:hyperlink>
    </w:p>
    <w:p>
      <w:pPr>
        <w:spacing w:before="0" w:after="80"/>
      </w:pPr>
      <w:r>
        <w:rPr>
          <w:i/>
          <w:sz w:val="20"/>
        </w:rPr>
        <w:t>EN: [ASAP] Modulating Intermediate Reactivity for Nitrogen Oxide Selective Catalytic Reduction through Dual Scaling Laws: A Synergetic In Situ Diffuse Reflectance Infrared Fourier Transform Spectroscopy and Density Functional Theory Study</w:t>
      </w:r>
    </w:p>
    <w:p>
      <w:pPr>
        <w:spacing w:before="0" w:after="120"/>
      </w:pPr>
      <w:r>
        <w:rPr>
          <w:b/>
        </w:rPr>
        <w:t xml:space="preserve">Source: </w:t>
      </w:r>
      <w:r>
        <w:t>Journal of the American Chemical Society: Latest Articles (ACS Publications)</w:t>
      </w:r>
      <w:r>
        <w:t xml:space="preserve">    </w:t>
      </w:r>
      <w:r>
        <w:rPr>
          <w:b/>
        </w:rPr>
        <w:t xml:space="preserve">Pub date: </w:t>
      </w:r>
      <w:r>
        <w:t>2026-02-25 09:41:59+00:00</w:t>
      </w:r>
      <w:r>
        <w:t xml:space="preserve">    </w:t>
      </w:r>
      <w:r>
        <w:rPr>
          <w:b/>
        </w:rPr>
        <w:t xml:space="preserve">DOI: </w:t>
      </w:r>
      <w:hyperlink r:id="rId514">
        <w:r>
          <w:rPr>
            <w:color w:val="1155CC"/>
            <w:u w:val="single"/>
          </w:rPr>
          <w:t>10.1021/jacs.6c00844</w:t>
        </w:r>
      </w:hyperlink>
    </w:p>
    <w:p>
      <w:pPr>
        <w:spacing w:before="0" w:after="120"/>
      </w:pPr>
      <w:r>
        <w:rPr>
          <w:b/>
        </w:rPr>
        <w:t xml:space="preserve">Notes: </w:t>
      </w:r>
      <w:r>
        <w:t>abstract_source=pubmed</w:t>
      </w:r>
    </w:p>
    <w:p>
      <w:pPr>
        <w:spacing w:before="0" w:after="80" w:lineRule="auto" w:line="276"/>
      </w:pPr>
      <w:r>
        <w:rPr>
          <w:b/>
        </w:rPr>
        <w:t xml:space="preserve">摘要（ZH）: </w:t>
      </w:r>
      <w:r>
        <w:t>氮氧化物（NOx）减排提供了一种可行的方法来减轻空气污染，但在多相催化中仍然面临重大挑战，需要原子级的见解来了解过渡金属催化剂如何调节反应性。在这项研究中，我们结合原位漫反射红外傅里叶变换光谱（DRIFTS）和密度泛函理论（DFT）计算，揭示了锰基催化剂上NOx选择性催化还原（SCR）的机制原理。我们的实验-理论框架捕捉到了一系列NOx中间体，计算和测量的红外特征高度一致，使得能够详细绘制Mn活性位点的电荷重新分布和轨道相互作用。我们发现了不同的反应性标度</w:t>
      </w:r>
    </w:p>
    <w:p>
      <w:pPr>
        <w:spacing w:before="0" w:after="200" w:lineRule="auto" w:line="276"/>
      </w:pPr>
      <w:r>
        <w:rPr>
          <w:b/>
        </w:rPr>
        <w:t xml:space="preserve">Abstract (EN): </w:t>
      </w:r>
      <w:r>
        <w:t>Nitrogen oxide (NOx) abatement offers a viable way to mitigate air pollution, yet it continues to pose significant challenges in heterogeneous catalysis, calling for atomistic insights into how transition metal catalysts modulate reactivity. In this study, we integrate in situ diffuse reflectance infrared Fourier transform spectroscopy (DRIFTS) with density functional theory (DFT) calculations to uncover the mechanistic principles underlying NOx selective catalytic reduction (SCR) on manganese-based catalysts. Our experimental-theoretical framework captures a sequence of NOx intermediates with strong agreement between computed and measured IR signatures, enabling detailed mapping of charge redistribution and orbital interactions at Mn active sites. We discovered distinct reactivity scaling laws for intermediates with Mn3+ and Mn4+: a Sabatier-type volcano trend for Mn3+-bound intermediates and a linear relationship for Mn4+-containing systems. Moreover, we identified a unifying electronic descriptor, defined as the Fermi-level corrected energy of Mn 3d orbitals with a maximal overlap to NOx O 2p orbitals, that quantitatively connects these dual regimes. This descriptor is consistent with ligand field theory and further captures the dynamic interplay of NOx adsorbates, demonstrating that the symmetry and alignment of transition-metal 3d orbitals govern both charge distribution and chemical reactivity. Since multivalence is a ubiquitous feature of transition metal catalysts, the dual scaling laws discovered in this work could provide a generally valid framework. These findings not only establish a mechanistic foundation for understanding valence-dependent SCR reaction pathways but also suggest a broader framework with predictive power for catalyst design based on electronic structure engineering.</w:t>
      </w:r>
    </w:p>
    <w:p>
      <w:pPr>
        <w:spacing w:before="120" w:after="120"/>
      </w:pPr>
      <w:r>
        <w:rPr>
          <w:sz w:val="18"/>
        </w:rPr>
        <w:t>——————————————————————————————————————————————————————————————————————</w:t>
      </w:r>
    </w:p>
    <w:p>
      <w:pPr>
        <w:spacing w:before="160" w:after="40" w:line="240" w:lineRule="auto"/>
      </w:pPr>
      <w:r>
        <w:rPr>
          <w:b/>
        </w:rPr>
        <w:t xml:space="preserve">[232] </w:t>
      </w:r>
      <w:hyperlink r:id="rId515">
        <w:r>
          <w:rPr>
            <w:color w:val="1155CC"/>
            <w:u w:val="single"/>
          </w:rPr>
          <w:t>[ASAP] 通过异核过滤二维固态NMR相关光谱解析无定形硅铝酸盐上的界面Brønsted酸位点结构</w:t>
        </w:r>
      </w:hyperlink>
    </w:p>
    <w:p>
      <w:pPr>
        <w:spacing w:before="0" w:after="80"/>
      </w:pPr>
      <w:r>
        <w:rPr>
          <w:i/>
          <w:sz w:val="20"/>
        </w:rPr>
        <w:t>EN: [ASAP] Interfacial Brønsted Acid Site Architectures on Amorphous Silica–Alumina Resolved by Heteronuclear-Filtered Two-Dimensional Solid-State NMR Correlation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2026-02-25 10:00:35+00:00</w:t>
      </w:r>
      <w:r>
        <w:t xml:space="preserve">    </w:t>
      </w:r>
      <w:r>
        <w:rPr>
          <w:b/>
        </w:rPr>
        <w:t xml:space="preserve">DOI: </w:t>
      </w:r>
      <w:hyperlink r:id="rId516">
        <w:r>
          <w:rPr>
            <w:color w:val="1155CC"/>
            <w:u w:val="single"/>
          </w:rPr>
          <w:t>10.1021/jacs.5c20339</w:t>
        </w:r>
      </w:hyperlink>
    </w:p>
    <w:p>
      <w:pPr>
        <w:spacing w:before="0" w:after="120"/>
      </w:pPr>
      <w:r>
        <w:rPr>
          <w:b/>
        </w:rPr>
        <w:t xml:space="preserve">Notes: </w:t>
      </w:r>
      <w:r>
        <w:t>abstract_source=pubmed</w:t>
      </w:r>
    </w:p>
    <w:p>
      <w:pPr>
        <w:spacing w:before="0" w:after="80" w:lineRule="auto" w:line="276"/>
      </w:pPr>
      <w:r>
        <w:rPr>
          <w:b/>
        </w:rPr>
        <w:t xml:space="preserve">摘要（ZH）: </w:t>
      </w:r>
      <w:r>
        <w:t>无定形硅铝酸盐（ASA）是广泛使用的催化剂，具有布朗斯特酸位点（BAS）的分布，在许多工业环境中利用其独特的催化特性。虽然获得其结构的原子级见解，特别是其界面位点，将是实现合理设计的关键，但由于多样化的羟基和非界面信号的压倒性干扰导致的光谱复杂性，这些位点的表征非常困难。在此，我们引入了一种27Al过滤的1H-1H双量子/单量子NMR（f-DQ/SQ）光谱方法，结合DFT计算，选择性地探测固态界面的羟基。结合探针分子（丙酮和TMP）吸附实验，这种方法明确</w:t>
      </w:r>
    </w:p>
    <w:p>
      <w:pPr>
        <w:spacing w:before="0" w:after="200" w:lineRule="auto" w:line="276"/>
      </w:pPr>
      <w:r>
        <w:rPr>
          <w:b/>
        </w:rPr>
        <w:t xml:space="preserve">Abstract (EN): </w:t>
      </w:r>
      <w:r>
        <w:t>Amorphous silica-aluminas (ASAs) are widely used catalysts, with a distribution of Brønsted acid sites (BAS), that yield unique catalytic properties exploited in numerous industrial settings. While having atomic-level insight into their structures, in particular their interfacial sites, would be key to enable rational design, these sites are notoriously difficult to characterize due to spectral complexity arising from a diversity of hydroxyls and the overwhelming interference from noninterfacial signals. Herein, we introduce a 27Al-filtered 1H-1H double-quantum/single-quantum NMR (f-DQ/SQ) spectroscopy method integrated with DFT calculations to probe hydroxyls at solid-state interfaces selectively. Combined with probe molecule (acetone and TMP) adsorption experiments, this approach unequivocally demonstrates that hydrothermal post-treatment increases BAS density in ASA. Dynamic-nuclear-polarization-enhanced 29Si-{27Al} D/J-based correlation experiments corroborate the rearrangement process at the silica-alumina interface, while the heteronuclear-filtered 1H-1H DQ/SQ NMR reveals that the increase in BAS density originates from the formation of specific pseudobridged silanol (PBS) pairs─a distinction imperceptible in conventional 1H or 1H-{27Al} correlation NMR. PBS pairs constitute ca. 73% of the total PBS population, estimated by a semiquantitative analysis combining 27Al-filtered experiments and spin-dynamics simulations. Through a time-dependent 1H-1H f-DQ/SQ variant, we quantified key interatomic distances (∼2 Å for H-H and ∼4.1 Å for H-Al) within these PBS motifs. Constrained DFT calculations ultimately identify a vicinal-silanol-derived configuration as the most stable PBS structure, being 294 kJ/mol lower in relative energy, thereby resolving the atomic-scale origin of augmented acidity in hydrothermally treated ASAs.</w:t>
      </w:r>
    </w:p>
    <w:p>
      <w:pPr>
        <w:spacing w:before="120" w:after="120"/>
      </w:pPr>
      <w:r>
        <w:rPr>
          <w:sz w:val="18"/>
        </w:rPr>
        <w:t>——————————————————————————————————————————————————————————————————————</w:t>
      </w:r>
    </w:p>
    <w:p>
      <w:pPr>
        <w:spacing w:before="160" w:after="40" w:line="240" w:lineRule="auto"/>
      </w:pPr>
      <w:r>
        <w:rPr>
          <w:b/>
        </w:rPr>
        <w:t xml:space="preserve">[233] </w:t>
      </w:r>
      <w:hyperlink r:id="rId517">
        <w:r>
          <w:rPr>
            <w:color w:val="1155CC"/>
            <w:u w:val="single"/>
          </w:rPr>
          <w:t>活细胞中儿茶酚胺囊泡与急性和慢性应激颗粒相互作用的双纳米传感器电化学分析</w:t>
        </w:r>
      </w:hyperlink>
    </w:p>
    <w:p>
      <w:pPr>
        <w:spacing w:before="0" w:after="80"/>
      </w:pPr>
      <w:r>
        <w:rPr>
          <w:i/>
          <w:sz w:val="20"/>
        </w:rPr>
        <w:t>EN: Two‐Nanosensor Electrochemical Profiling of Catecholamine Vesicle Interactions With Acute and Chronic Stress Granules in Living Cells</w:t>
      </w:r>
    </w:p>
    <w:p>
      <w:pPr>
        <w:spacing w:before="0" w:after="120"/>
      </w:pPr>
      <w:r>
        <w:rPr>
          <w:b/>
        </w:rPr>
        <w:t xml:space="preserve">Source: </w:t>
      </w:r>
      <w:r>
        <w:t>Wiley: Angewandte Chemie International Edition: Table of Contents</w:t>
      </w:r>
      <w:r>
        <w:t xml:space="preserve">    </w:t>
      </w:r>
      <w:r>
        <w:rPr>
          <w:b/>
        </w:rPr>
        <w:t xml:space="preserve">Pub date: </w:t>
      </w:r>
      <w:r>
        <w:t>2026-02-25 10:02:36+00:00</w:t>
      </w:r>
      <w:r>
        <w:t xml:space="preserve">    </w:t>
      </w:r>
      <w:r>
        <w:rPr>
          <w:b/>
        </w:rPr>
        <w:t xml:space="preserve">DOI: </w:t>
      </w:r>
      <w:hyperlink r:id="rId518">
        <w:r>
          <w:rPr>
            <w:color w:val="1155CC"/>
            <w:u w:val="single"/>
          </w:rPr>
          <w:t>10.1002/anie.202525900</w:t>
        </w:r>
      </w:hyperlink>
    </w:p>
    <w:p>
      <w:pPr>
        <w:spacing w:before="0" w:after="120"/>
      </w:pPr>
      <w:r>
        <w:rPr>
          <w:b/>
        </w:rPr>
        <w:t xml:space="preserve">Notes: </w:t>
      </w:r>
      <w:r>
        <w:t>abstract_source=pubmed</w:t>
      </w:r>
    </w:p>
    <w:p>
      <w:pPr>
        <w:spacing w:before="0" w:after="80" w:lineRule="auto" w:line="276"/>
      </w:pPr>
      <w:r>
        <w:rPr>
          <w:b/>
        </w:rPr>
        <w:t xml:space="preserve">摘要（ZH）: </w:t>
      </w:r>
      <w:r>
        <w:t>应激颗粒（SGs）是动态的、无膜的凝聚体，在应激反应中组装，并与神经退行性疾病（NDD）病理越来越多地联系在一起。然而，应激颗粒与其他细胞器相互作用的分子和功能机制仍然知之甚少。在此，我们提出了一种双纳米传感器电化学策略，能够在单细胞分辨率下定量区分SGs中的活性氧（ROS）和囊泡中的儿茶酚胺。使用这种方法，我们区分了急性和慢性SGs在儿茶酚胺能细胞中的细胞内效应。由长期顺铂应激诱导的慢性SGs，含有升高的ROS水平，并显著增加了每个囊泡的儿茶酚胺储存，可能通过ROS介导的h</w:t>
      </w:r>
    </w:p>
    <w:p>
      <w:pPr>
        <w:spacing w:before="0" w:after="200" w:lineRule="auto" w:line="276"/>
      </w:pPr>
      <w:r>
        <w:rPr>
          <w:b/>
        </w:rPr>
        <w:t xml:space="preserve">Abstract (EN): </w:t>
      </w:r>
      <w:r>
        <w:t>Stress granules (SGs) are dynamic, membrane-less condensates that assemble in response to stress and have been increasingly linked to neurodegenerative disease (NDD) pathology. However, the molecular and functional mechanisms by which stress granules interact with other cellular organelles remain poorly understood. Here, we present a two-nanosensor electrochemical strategy that enables quantitative discrimination of reactive oxygen species (ROS) in SGs and catecholamines in vesicles at single-cell resolution. Using this approach, we distinguished the intracellular effects of acute and chronic SGs in catecholaminergic cells. Chronic SGs induced by prolonged cisplatin stress, contained elevated ROS levels and markedly increased catecholamine storage per vesicle, likely through ROS-mediated homotypic vesicle fusion. In contrast, acute SGs induced by arsenite exhibited negligible effects. We further demonstrate that chronic SGs exhibit features of aged SGs, such as slow ROS release and enhanced redox activity. These results uncover a redox-coupled SG-vesicle interplay modulated by SG aging and identify chronic SGs as endogenous redox-active condensates that may contribute to neurotransmitter dysregulation and neurodegeneration.</w:t>
      </w:r>
    </w:p>
    <w:p>
      <w:pPr>
        <w:spacing w:before="120" w:after="120"/>
      </w:pPr>
      <w:r>
        <w:rPr>
          <w:sz w:val="18"/>
        </w:rPr>
        <w:t>——————————————————————————————————————————————————————————————————————</w:t>
      </w:r>
    </w:p>
    <w:p>
      <w:pPr>
        <w:spacing w:before="160" w:after="40" w:line="240" w:lineRule="auto"/>
      </w:pPr>
      <w:r>
        <w:rPr>
          <w:b/>
        </w:rPr>
        <w:t xml:space="preserve">[234] </w:t>
      </w:r>
      <w:hyperlink r:id="rId519">
        <w:r>
          <w:rPr>
            <w:color w:val="1155CC"/>
            <w:u w:val="single"/>
          </w:rPr>
          <w:t>通过现场生成的活性表面氯中间体在海水中从烯烃电合成氯醇</w:t>
        </w:r>
      </w:hyperlink>
    </w:p>
    <w:p>
      <w:pPr>
        <w:spacing w:before="0" w:after="80"/>
      </w:pPr>
      <w:r>
        <w:rPr>
          <w:i/>
          <w:sz w:val="20"/>
        </w:rPr>
        <w:t>EN: Electrosynthesis of Chlorohydrins From Alkenes in Seawater Enabled by On‐Site Generated Active Surface Chlorine Intermediate</w:t>
      </w:r>
    </w:p>
    <w:p>
      <w:pPr>
        <w:spacing w:before="0" w:after="120"/>
      </w:pPr>
      <w:r>
        <w:rPr>
          <w:b/>
        </w:rPr>
        <w:t xml:space="preserve">Source: </w:t>
      </w:r>
      <w:r>
        <w:t>Wiley: Angewandte Chemie International Edition: Table of Contents</w:t>
      </w:r>
      <w:r>
        <w:t xml:space="preserve">    </w:t>
      </w:r>
      <w:r>
        <w:rPr>
          <w:b/>
        </w:rPr>
        <w:t xml:space="preserve">Pub date: </w:t>
      </w:r>
      <w:r>
        <w:t>2026-02-25 10:39:39+00:00</w:t>
      </w:r>
      <w:r>
        <w:t xml:space="preserve">    </w:t>
      </w:r>
      <w:r>
        <w:rPr>
          <w:b/>
        </w:rPr>
        <w:t xml:space="preserve">DOI: </w:t>
      </w:r>
      <w:hyperlink r:id="rId520">
        <w:r>
          <w:rPr>
            <w:color w:val="1155CC"/>
            <w:u w:val="single"/>
          </w:rPr>
          <w:t>10.1002/anie.4054670</w:t>
        </w:r>
      </w:hyperlink>
    </w:p>
    <w:p>
      <w:pPr>
        <w:spacing w:before="0" w:after="120"/>
      </w:pPr>
      <w:r>
        <w:rPr>
          <w:b/>
        </w:rPr>
        <w:t xml:space="preserve">Notes: </w:t>
      </w:r>
      <w:r>
        <w:t>abstract_source=pubmed</w:t>
      </w:r>
    </w:p>
    <w:p>
      <w:pPr>
        <w:spacing w:before="0" w:after="80" w:lineRule="auto" w:line="276"/>
      </w:pPr>
      <w:r>
        <w:rPr>
          <w:b/>
        </w:rPr>
        <w:t xml:space="preserve">摘要（ZH）: </w:t>
      </w:r>
      <w:r>
        <w:t>氯醇是有机合成中的重要中间体，在药物发现、绿色催化和生物活性分子制造中起着关键作用。然而，传统的氯醇合成通常需要苛刻的条件，这带来了安全风险和选择性差的问题。在此，我们开发了一种直接且高效的电催化策略，从大宗烯烃合成氯醇，这些烯烃在全球年产量超过2亿公吨。利用RuSnNbOx多金属氧化物催化剂，环己烯在NaCl溶液中直接转化为2-氯环己醇，法拉第效率为96.1 ± 3%，选择性为98.2 ± 0.4%，在1.6 V对可逆氢电极。该方法可推广至其他烯烃，如苯乙烯和环戊烯。</w:t>
      </w:r>
    </w:p>
    <w:p>
      <w:pPr>
        <w:spacing w:before="0" w:after="200" w:lineRule="auto" w:line="276"/>
      </w:pPr>
      <w:r>
        <w:rPr>
          <w:b/>
        </w:rPr>
        <w:t xml:space="preserve">Abstract (EN): </w:t>
      </w:r>
      <w:r>
        <w:t>Chlorohydrins are essential intermediates in organic synthesis, playing a critical role in drug discovery, green catalysis, and bioactive molecule manufacturing. However, conventional chlorohydrin synthesis usually requires harsh conditions, which create safety risks and poor selectivity. Here we develop a direct and efficient electrocatalytic strategy for synthesizing chlorohydrins from commodity alkenes, which are globally produced at over 200 million metric tons annually. Utilizing a RuSnNbOx polymetallic oxide catalyst, cyclohexene is directly converted to 2-chlorocyclohexanol in NaCl solution with a Faradaic efficiency of 96.1 ± 3% and selectivity of 98.2 ± 0.4% at 1.6 V versus reversible hydrogen electrode. This approach is generalizable to other alkenes, such as styrene and cyclopentene, yielding 2-chloro-1-phenylethanol and 2-chlorocyclopentanol with uncompromised Faradaic efficiency. Mechanistic investigations reveal that the adsorbed active chlorine species, electrogenerated via Cl- oxidation on the RuSnNbOx anode, serve as key intermediates for direct alkene chlorination. Notably, this electrosynthesis method is further upscaled to gram-level in acidic seawater, delivering 3.01 g of 2-chlorocyclohexanol and 0.87 g of 2-chloro-1-phenylethanol. This work provides a sustainable and scalable alternative to conventional chlorohydrin production and offers insights into designing efficient electrolysis for related transformations.</w:t>
      </w:r>
    </w:p>
    <w:p>
      <w:pPr>
        <w:spacing w:before="120" w:after="120"/>
      </w:pPr>
      <w:r>
        <w:rPr>
          <w:sz w:val="18"/>
        </w:rPr>
        <w:t>——————————————————————————————————————————————————————————————————————</w:t>
      </w:r>
    </w:p>
    <w:p>
      <w:pPr>
        <w:spacing w:before="160" w:after="40" w:line="240" w:lineRule="auto"/>
      </w:pPr>
      <w:r>
        <w:rPr>
          <w:b/>
        </w:rPr>
        <w:t xml:space="preserve">[235] </w:t>
      </w:r>
      <w:hyperlink r:id="rId521">
        <w:r>
          <w:rPr>
            <w:color w:val="1155CC"/>
            <w:u w:val="single"/>
          </w:rPr>
          <w:t>用于自主双窗口时间编程的单燃料脉冲闭环化学反应网络</w:t>
        </w:r>
      </w:hyperlink>
    </w:p>
    <w:p>
      <w:pPr>
        <w:spacing w:before="0" w:after="80"/>
      </w:pPr>
      <w:r>
        <w:rPr>
          <w:i/>
          <w:sz w:val="20"/>
        </w:rPr>
        <w:t>EN: A Closed‐Loop Chemical Reaction Network for Autonomous, Dual‐Window Temporal Programming From a Single Fuel Pulse</w:t>
      </w:r>
    </w:p>
    <w:p>
      <w:pPr>
        <w:spacing w:before="0" w:after="120"/>
      </w:pPr>
      <w:r>
        <w:rPr>
          <w:b/>
        </w:rPr>
        <w:t xml:space="preserve">Source: </w:t>
      </w:r>
      <w:r>
        <w:t>Wiley: Angewandte Chemie International Edition: Table of Contents</w:t>
      </w:r>
      <w:r>
        <w:t xml:space="preserve">    </w:t>
      </w:r>
      <w:r>
        <w:rPr>
          <w:b/>
        </w:rPr>
        <w:t xml:space="preserve">Pub date: </w:t>
      </w:r>
      <w:r>
        <w:t>2026-02-25 11:53:21+00:00</w:t>
      </w:r>
      <w:r>
        <w:t xml:space="preserve">    </w:t>
      </w:r>
      <w:r>
        <w:rPr>
          <w:b/>
        </w:rPr>
        <w:t xml:space="preserve">DOI: </w:t>
      </w:r>
      <w:hyperlink r:id="rId522">
        <w:r>
          <w:rPr>
            <w:color w:val="1155CC"/>
            <w:u w:val="single"/>
          </w:rPr>
          <w:t>10.1002/anie.202524255</w:t>
        </w:r>
      </w:hyperlink>
    </w:p>
    <w:p>
      <w:pPr>
        <w:spacing w:before="0" w:after="120"/>
      </w:pPr>
      <w:r>
        <w:rPr>
          <w:b/>
        </w:rPr>
        <w:t xml:space="preserve">Notes: </w:t>
      </w:r>
      <w:r>
        <w:t>abstract_source=pubmed</w:t>
      </w:r>
    </w:p>
    <w:p>
      <w:pPr>
        <w:spacing w:before="0" w:after="80" w:lineRule="auto" w:line="276"/>
      </w:pPr>
      <w:r>
        <w:rPr>
          <w:b/>
        </w:rPr>
        <w:t xml:space="preserve">摘要（ZH）: </w:t>
      </w:r>
      <w:r>
        <w:t>生命系统经常将单一瞬时输入转化为多阶段的行动程序。为了模拟这一点，我们报告了一种基于N-苯甲酰-L-半胱氨酸甲酯-N-甲基哌嗪二硫代氨基甲酸酯（DTC）的闭环化学燃料反应网络（CRN），该网络将一个燃料脉冲（二硫苏糖醇（DTT））转化为两个时间上分开的凝胶窗口，然后重置为相同的分子前体，从而在简单补充燃料时实现连续自主循环。程序化的进程Sol1 → Gel1 → Sol2 → Gel2 → Sol1由分层的动力学景观强制执行，该景观既控制时间又闭合循环。时间窗口是可编程的：pH值调节每个凝胶阶段的开始和持续时间，而燃料的还原强度选择性地调节第一个窗口。实验和建模</w:t>
      </w:r>
    </w:p>
    <w:p>
      <w:pPr>
        <w:spacing w:before="0" w:after="200" w:lineRule="auto" w:line="276"/>
      </w:pPr>
      <w:r>
        <w:rPr>
          <w:b/>
        </w:rPr>
        <w:t xml:space="preserve">Abstract (EN): </w:t>
      </w:r>
      <w:r>
        <w:t>Living systems routinely translate single transient inputs into multi-phase programs of action. To emulate this, we report a closed-loop chemically fueled reaction network (CRN) based on N-benzoyl-l-cysteine methyl ester-N-methylpiperazine dithiocarbamate (DTC) that converts one fuel pulse (dithiothreitol (DTT)) into two temporally separated gel windows and then resets to the same molecular precursor, enabling continuous autonomous cycling upon simple refueling. The programmed progression Sol1 → Gel1 → Sol2 → Gel2 → Sol1 is enforced by a hierarchical kinetic landscape, which both gates time and closes the loop. The time windows are programmable: pH tunes the onset and lifetime of each gel phase, while fuel reducing strength selectively modulates the first window. Experiments and modeling together confirm dual transients per pulse, molecular-level reset, and cycle fidelity over &gt;7 iterations. By coupling closed-loop chemistry with temporal gating, this work lifts fuel-driven materials beyond the single-event paradigm, delivering a durable, resettable, and programmable platform for life-like dissipative functions.</w:t>
      </w:r>
    </w:p>
    <w:p>
      <w:pPr>
        <w:spacing w:before="120" w:after="120"/>
      </w:pPr>
      <w:r>
        <w:rPr>
          <w:sz w:val="18"/>
        </w:rPr>
        <w:t>——————————————————————————————————————————————————————————————————————</w:t>
      </w:r>
    </w:p>
    <w:p>
      <w:pPr>
        <w:spacing w:before="160" w:after="40" w:line="240" w:lineRule="auto"/>
      </w:pPr>
      <w:r>
        <w:rPr>
          <w:b/>
        </w:rPr>
        <w:t xml:space="preserve">[236] </w:t>
      </w:r>
      <w:hyperlink r:id="rId523">
        <w:r>
          <w:rPr>
            <w:color w:val="1155CC"/>
            <w:u w:val="single"/>
          </w:rPr>
          <w:t>像珊瑚一样建造——并行多尺度生物制造</w:t>
        </w:r>
      </w:hyperlink>
    </w:p>
    <w:p>
      <w:pPr>
        <w:spacing w:before="0" w:after="80"/>
      </w:pPr>
      <w:r>
        <w:rPr>
          <w:i/>
          <w:sz w:val="20"/>
        </w:rPr>
        <w:t>EN: Building like a Coral—Parallelized, Multiscale Biofabrication</w:t>
      </w:r>
    </w:p>
    <w:p>
      <w:pPr>
        <w:spacing w:before="0" w:after="120"/>
      </w:pPr>
      <w:r>
        <w:rPr>
          <w:b/>
        </w:rPr>
        <w:t xml:space="preserve">Source: </w:t>
      </w:r>
      <w:r>
        <w:t>Wiley: Advanced Materials: Table of Contents</w:t>
      </w:r>
      <w:r>
        <w:t xml:space="preserve">    </w:t>
      </w:r>
      <w:r>
        <w:rPr>
          <w:b/>
        </w:rPr>
        <w:t xml:space="preserve">Pub date: </w:t>
      </w:r>
      <w:r>
        <w:t>2026-02-25 11:59:14+00:00</w:t>
      </w:r>
      <w:r>
        <w:t xml:space="preserve">    </w:t>
      </w:r>
      <w:r>
        <w:rPr>
          <w:b/>
        </w:rPr>
        <w:t xml:space="preserve">DOI: </w:t>
      </w:r>
      <w:hyperlink r:id="rId524">
        <w:r>
          <w:rPr>
            <w:color w:val="1155CC"/>
            <w:u w:val="single"/>
          </w:rPr>
          <w:t>10.1002/adma.202520519</w:t>
        </w:r>
      </w:hyperlink>
    </w:p>
    <w:p>
      <w:pPr>
        <w:spacing w:before="0" w:after="120"/>
      </w:pPr>
      <w:r>
        <w:rPr>
          <w:b/>
        </w:rPr>
        <w:t xml:space="preserve">Notes: </w:t>
      </w:r>
      <w:r>
        <w:t>abstract_source=pubmed</w:t>
      </w:r>
    </w:p>
    <w:p>
      <w:pPr>
        <w:spacing w:before="0" w:after="80" w:lineRule="auto" w:line="276"/>
      </w:pPr>
      <w:r>
        <w:rPr>
          <w:b/>
        </w:rPr>
        <w:t xml:space="preserve">摘要（ZH）: </w:t>
      </w:r>
      <w:r>
        <w:t>从太空可见或居住在海洋深处，石珊瑚工程出支持高生物多样性并提供重要生态系统服务的庞大生态系统。通过创建这些生态系统，珊瑚解决了材料科学中的重大挑战，生成的骨骼材料坚硬、强壮且本质上是循环的，即使在能量和建筑资源稀缺或合成成本高昂的条件下也是如此。对珊瑚骨骼材料的理解得到了进展，因其卓越的机械性能、潜在的生物相容性，以及在冷水珊瑚的情况下，其在黑暗、低温和有限能量资源下的合成能力。这些自然、可持续的过程为发展提供了启发性的蓝图。</w:t>
      </w:r>
    </w:p>
    <w:p>
      <w:pPr>
        <w:spacing w:before="0" w:after="200" w:lineRule="auto" w:line="276"/>
      </w:pPr>
      <w:r>
        <w:rPr>
          <w:b/>
        </w:rPr>
        <w:t xml:space="preserve">Abstract (EN): </w:t>
      </w:r>
      <w:r>
        <w:t>Visible from space or residing in the depths of the ocean, scleractinian corals engineer vast ecosystems supporting high biodiversity and providing essential ecosystem services. By creating these ecosystems, corals address significant challenges in material science, generating skeletal materials that are stiff, strong, and inherently circular-even in conditions where energy and building resources can be scarce or energetically expensive to synthesize. Understanding coral skeletal materials has progressed due to their exceptional mechanical properties, potential biocompatibility, and, in case of cold-water corals, their ability to be synthesized in darkness, at low temperature, and with limited energy resources. These natural, sustainable processes offer inspiring blueprints for the development of transformative new materials, which may drive radical innovations across biomedical and engineering applications. In this perspective, we synthesize the current state of knowledge on the biomineralization process of corals, including the two prevailing viewpoints-biologically controlled vs. physicochemical controlled biomineralization. We then recast coral growth as a multiscale, parallelized biofabrication process, that can catalyse the development of next-generation materials technologies. These insights outline pathways to sustainable, self-organising, and energy-efficient manufacturing with broad relevance to structural materials, biomaterials, and regenerative engineering. Ultimately, we strive to answer: "How to build like a coral?"</w:t>
      </w:r>
    </w:p>
    <w:p>
      <w:pPr>
        <w:spacing w:before="120" w:after="120"/>
      </w:pPr>
      <w:r>
        <w:rPr>
          <w:sz w:val="18"/>
        </w:rPr>
        <w:t>——————————————————————————————————————————————————————————————————————</w:t>
      </w:r>
    </w:p>
    <w:p>
      <w:pPr>
        <w:spacing w:before="160" w:after="40" w:line="240" w:lineRule="auto"/>
      </w:pPr>
      <w:r>
        <w:rPr>
          <w:b/>
        </w:rPr>
        <w:t xml:space="preserve">[237] </w:t>
      </w:r>
      <w:hyperlink r:id="rId525">
        <w:r>
          <w:rPr>
            <w:color w:val="1155CC"/>
            <w:u w:val="single"/>
          </w:rPr>
          <w:t>客体诱导的多色光致发光在萘双酰亚胺液晶中的激活</w:t>
        </w:r>
      </w:hyperlink>
    </w:p>
    <w:p>
      <w:pPr>
        <w:spacing w:before="0" w:after="80"/>
      </w:pPr>
      <w:r>
        <w:rPr>
          <w:i/>
          <w:sz w:val="20"/>
        </w:rPr>
        <w:t>EN: Guest‐Induced Activation of Multicolor Photoluminescence in Naphthalene Bisimide Liquid Crystals</w:t>
      </w:r>
    </w:p>
    <w:p>
      <w:pPr>
        <w:spacing w:before="0" w:after="120"/>
      </w:pPr>
      <w:r>
        <w:rPr>
          <w:b/>
        </w:rPr>
        <w:t xml:space="preserve">Source: </w:t>
      </w:r>
      <w:r>
        <w:t>Wiley: Advanced Materials: Table of Contents</w:t>
      </w:r>
      <w:r>
        <w:t xml:space="preserve">    </w:t>
      </w:r>
      <w:r>
        <w:rPr>
          <w:b/>
        </w:rPr>
        <w:t xml:space="preserve">Pub date: </w:t>
      </w:r>
      <w:r>
        <w:t>2026-02-25 12:03:46+00:00</w:t>
      </w:r>
      <w:r>
        <w:t xml:space="preserve">    </w:t>
      </w:r>
      <w:r>
        <w:rPr>
          <w:b/>
        </w:rPr>
        <w:t xml:space="preserve">DOI: </w:t>
      </w:r>
      <w:hyperlink r:id="rId526">
        <w:r>
          <w:rPr>
            <w:color w:val="1155CC"/>
            <w:u w:val="single"/>
          </w:rPr>
          <w:t>10.1002/adma.202520184</w:t>
        </w:r>
      </w:hyperlink>
    </w:p>
    <w:p>
      <w:pPr>
        <w:spacing w:before="0" w:after="120"/>
      </w:pPr>
      <w:r>
        <w:rPr>
          <w:b/>
        </w:rPr>
        <w:t xml:space="preserve">Notes: </w:t>
      </w:r>
      <w:r>
        <w:t>abstract_source=pubmed</w:t>
      </w:r>
    </w:p>
    <w:p>
      <w:pPr>
        <w:spacing w:before="0" w:after="80" w:lineRule="auto" w:line="276"/>
      </w:pPr>
      <w:r>
        <w:rPr>
          <w:b/>
        </w:rPr>
        <w:t xml:space="preserve">摘要（ZH）: </w:t>
      </w:r>
      <w:r>
        <w:t>在可加工材料中实现颜色和寿命可调的发射仍然具有挑战性，因为大多数可用的先进材料系统仅存在于不切实际的溶液或难以加工的晶体中。液晶（LCs）由于其可加工性，代表了一种有前景的平台，尽管先前的工作主要通过外部荧光团掺杂来控制发射颜色。在这项工作中，我们提出了一种超分子策略，通过嵌入富电子客体来激活和调节萘二酰亚胺（NBI）液晶中的光致发光（PL）颜色和寿命。电子缺乏的NBI形成了由芳香核心和脂肪族侧链的纳米分离稳定的柱状六方介晶，为电荷转移（CT）相互作用提供了合适的环境。结合电</w:t>
      </w:r>
    </w:p>
    <w:p>
      <w:pPr>
        <w:spacing w:before="0" w:after="200" w:lineRule="auto" w:line="276"/>
      </w:pPr>
      <w:r>
        <w:rPr>
          <w:b/>
        </w:rPr>
        <w:t xml:space="preserve">Abstract (EN): </w:t>
      </w:r>
      <w:r>
        <w:t>Achieving color- and lifetime-tunable emission in processable materials remains challenging, as most of the available advanced materials systems exist only in impractical solutions or hard-to-process crystals. Liquid crystals (LCs) represent a promising platform due to their processability, though previous work has mainly controlled emission color by external fluorophore doping. In this work, we present a supramolecular strategy to activate and tune both photoluminescence (PL) color and lifetime in naphthalene bisimide (NBI) LCs by embedding electron-rich guests. The electron-deficient NBIs form columnar hexagonal mesophases stabilized by nanosegregation of aromatic cores and aliphatic side chains, providing a suitable environment for charge-transfer (CT) interactions. Incorporating electron-rich polycyclic aromatics, carbazole derivatives, or square-planar Pt(II) complexes yields emissive CT states with tunable emission from visible to near-infrared (511-685 nm), covering short-lived fluorescence to long-lived delayed luminescence of coexisting thermally activated delayed fluorescence (TADF) and room-temperature phosphorescence (RTP). Co-assembling two complementary NBI hosts with one guest enables an energy-transfer cascade that simultaneously supports green and red dual emission of fluorescence and TADF. This additive-induced activation and host-mixing approach greatly broadens the luminescence range accessible in LCs, combining tunable photophysical properties with intrinsic processability for next-generation optical encoding and security labeling technologies.</w:t>
      </w:r>
    </w:p>
    <w:p>
      <w:pPr>
        <w:spacing w:before="120" w:after="120"/>
      </w:pPr>
      <w:r>
        <w:rPr>
          <w:sz w:val="18"/>
        </w:rPr>
        <w:t>——————————————————————————————————————————————————————————————————————</w:t>
      </w:r>
    </w:p>
    <w:p>
      <w:pPr>
        <w:spacing w:before="160" w:after="40" w:line="240" w:lineRule="auto"/>
      </w:pPr>
      <w:r>
        <w:rPr>
          <w:b/>
        </w:rPr>
        <w:t xml:space="preserve">[238] </w:t>
      </w:r>
      <w:hyperlink r:id="rId527">
        <w:r>
          <w:rPr>
            <w:color w:val="1155CC"/>
            <w:u w:val="single"/>
          </w:rPr>
          <w:t>[ASAP] FragNet：具有四级可解释性的分子性质预测图神经网络</w:t>
        </w:r>
      </w:hyperlink>
    </w:p>
    <w:p>
      <w:pPr>
        <w:spacing w:before="0" w:after="80"/>
      </w:pPr>
      <w:r>
        <w:rPr>
          <w:i/>
          <w:sz w:val="20"/>
        </w:rPr>
        <w:t>EN: [ASAP] FragNet: A Graph Neural Network for Molecular Property Prediction with Four Levels of Interpretability</w:t>
      </w:r>
    </w:p>
    <w:p>
      <w:pPr>
        <w:spacing w:before="0" w:after="120"/>
      </w:pPr>
      <w:r>
        <w:rPr>
          <w:b/>
        </w:rPr>
        <w:t xml:space="preserve">Source: </w:t>
      </w:r>
      <w:r>
        <w:t>Journal of the American Chemical Society: Latest Articles (ACS Publications)</w:t>
      </w:r>
      <w:r>
        <w:t xml:space="preserve">    </w:t>
      </w:r>
      <w:r>
        <w:rPr>
          <w:b/>
        </w:rPr>
        <w:t xml:space="preserve">Pub date: </w:t>
      </w:r>
      <w:r>
        <w:t>2026-02-25 12:15:13+00:00</w:t>
      </w:r>
      <w:r>
        <w:t xml:space="preserve">    </w:t>
      </w:r>
      <w:r>
        <w:rPr>
          <w:b/>
        </w:rPr>
        <w:t xml:space="preserve">DOI: </w:t>
      </w:r>
      <w:hyperlink r:id="rId528">
        <w:r>
          <w:rPr>
            <w:color w:val="1155CC"/>
            <w:u w:val="single"/>
          </w:rPr>
          <w:t>10.1021/jacs.5c22620</w:t>
        </w:r>
      </w:hyperlink>
    </w:p>
    <w:p>
      <w:pPr>
        <w:spacing w:before="0" w:after="120"/>
      </w:pPr>
      <w:r>
        <w:rPr>
          <w:b/>
        </w:rPr>
        <w:t xml:space="preserve">Notes: </w:t>
      </w:r>
      <w:r>
        <w:t>abstract_source=pubmed</w:t>
      </w:r>
    </w:p>
    <w:p>
      <w:pPr>
        <w:spacing w:before="0" w:after="80" w:lineRule="auto" w:line="276"/>
      </w:pPr>
      <w:r>
        <w:rPr>
          <w:b/>
        </w:rPr>
        <w:t xml:space="preserve">摘要（ZH）: </w:t>
      </w:r>
      <w:r>
        <w:t>分子性质预测在药物开发和能源存储材料设计等当代科学领域中至关重要。尽管有许多机器学习模型可用于此目的，但那些在实现高准确性的同时也提供预测可解释性的模型并不常见。我们提出了一种图神经网络，不仅匹配了领先模型的预测准确性，还提供了对四个层次的分子子结构的见解。该模型有助于识别哪些原子、键、分子片段以及片段之间的连接对于预测特定分子性质是重要的。理解片段之间连接的重要性对于具有子结构的分子尤为有价值。</w:t>
      </w:r>
    </w:p>
    <w:p>
      <w:pPr>
        <w:spacing w:before="0" w:after="200" w:lineRule="auto" w:line="276"/>
      </w:pPr>
      <w:r>
        <w:rPr>
          <w:b/>
        </w:rPr>
        <w:t xml:space="preserve">Abstract (EN): </w:t>
      </w:r>
      <w:r>
        <w:t>Molecular property prediction is essential in a variety of contemporary scientific fields, such as drug development and the design of energy storage materials. Although there are many machine learning models available for this purpose, those that achieve high accuracy while also offering the interpretability of predictions are uncommon. We present a graph neural network that not only matches the prediction accuracies of leading models but also provides insights into four levels of molecular substructures. This model helps identify which atoms, bonds, molecular fragments, and connections among fragments are significant for predicting a specific molecular property. Understanding the importance of connections between fragments is particularly valuable for molecules with substructures that do not connect through standard bonds. The model additionally can quantify the impact of specific fragments on the prediction, allowing for the identification of fragments that may improve or degrade a property value. These interpretable features are essential for deriving scientific insights from the model's learned relationships between molecular structures and properties.</w:t>
      </w:r>
    </w:p>
    <w:p>
      <w:pPr>
        <w:spacing w:before="120" w:after="120"/>
      </w:pPr>
      <w:r>
        <w:rPr>
          <w:sz w:val="18"/>
        </w:rPr>
        <w:t>——————————————————————————————————————————————————————————————————————</w:t>
      </w:r>
    </w:p>
    <w:p>
      <w:pPr>
        <w:spacing w:before="160" w:after="40" w:line="240" w:lineRule="auto"/>
      </w:pPr>
      <w:r>
        <w:rPr>
          <w:b/>
        </w:rPr>
        <w:t xml:space="preserve">[239] </w:t>
      </w:r>
      <w:hyperlink r:id="rId529">
        <w:r>
          <w:rPr>
            <w:color w:val="1155CC"/>
            <w:u w:val="single"/>
          </w:rPr>
          <w:t>[ASAP] 中性二硼含杂聚物</w:t>
        </w:r>
      </w:hyperlink>
    </w:p>
    <w:p>
      <w:pPr>
        <w:spacing w:before="0" w:after="80"/>
      </w:pPr>
      <w:r>
        <w:rPr>
          <w:i/>
          <w:sz w:val="20"/>
        </w:rPr>
        <w:t>EN: [ASAP] Neutral Diboron-Containing Heterocumulenes</w:t>
      </w:r>
    </w:p>
    <w:p>
      <w:pPr>
        <w:spacing w:before="0" w:after="120"/>
      </w:pPr>
      <w:r>
        <w:rPr>
          <w:b/>
        </w:rPr>
        <w:t xml:space="preserve">Source: </w:t>
      </w:r>
      <w:r>
        <w:t>Journal of the American Chemical Society: Latest Articles (ACS Publications)</w:t>
      </w:r>
      <w:r>
        <w:t xml:space="preserve">    </w:t>
      </w:r>
      <w:r>
        <w:rPr>
          <w:b/>
        </w:rPr>
        <w:t xml:space="preserve">Pub date: </w:t>
      </w:r>
      <w:r>
        <w:t>2026-02-25 12:21:00+00:00</w:t>
      </w:r>
      <w:r>
        <w:t xml:space="preserve">    </w:t>
      </w:r>
      <w:r>
        <w:rPr>
          <w:b/>
        </w:rPr>
        <w:t xml:space="preserve">DOI: </w:t>
      </w:r>
      <w:hyperlink r:id="rId530">
        <w:r>
          <w:rPr>
            <w:color w:val="1155CC"/>
            <w:u w:val="single"/>
          </w:rPr>
          <w:t>10.1021/jacs.6c01168</w:t>
        </w:r>
      </w:hyperlink>
    </w:p>
    <w:p>
      <w:pPr>
        <w:spacing w:before="0" w:after="120"/>
      </w:pPr>
      <w:r>
        <w:rPr>
          <w:b/>
        </w:rPr>
        <w:t xml:space="preserve">Notes: </w:t>
      </w:r>
      <w:r>
        <w:t>abstract_source=pubmed</w:t>
      </w:r>
    </w:p>
    <w:p>
      <w:pPr>
        <w:spacing w:before="0" w:after="80" w:lineRule="auto" w:line="276"/>
      </w:pPr>
      <w:r>
        <w:rPr>
          <w:b/>
        </w:rPr>
        <w:t xml:space="preserve">摘要（ZH）: </w:t>
      </w:r>
      <w:r>
        <w:t>硼含量的杂累积烯的开发由于其有趣的性质和在全碳系统中不可用的应用潜力而引起了相当大的兴趣。虽然多重键合硼物种的化学性质已经得到很好的确立，但涉及B-B多重键的累积烯系统仍然极为罕见。在此，我们报告了两个中性杂累积烯的合成、表征和反应性，这些累积烯以其围绕不对称B(sp)═B(sp2)单元构建的CNBB结构而著称。值得注意的是，这些累积烯的几何形状可以通过改变支持配体的π-受体能力来定制。X射线衍射分析显示，由N-杂环卡宾（NHC）支持的累积烯表现出弯曲结构，而累积烯</w:t>
      </w:r>
    </w:p>
    <w:p>
      <w:pPr>
        <w:spacing w:before="0" w:after="200" w:lineRule="auto" w:line="276"/>
      </w:pPr>
      <w:r>
        <w:rPr>
          <w:b/>
        </w:rPr>
        <w:t xml:space="preserve">Abstract (EN): </w:t>
      </w:r>
      <w:r>
        <w:t>The development of boron-containing heterocumulenes has attracted considerable recent interest owing to their intriguing properties and potential for applications unavailable in all-carbon systems. While the chemistry of multiply bonded boron species has been well established, cumulene systems involving B-B multiple bonds remain extremely rare. Herein we report the syntheses, characterizations and reactivities of two neutral heterocumulenes, notable for their CNBB architectures built around unsymmetrical B(sp)═B(sp2) units. Remarkably, the geometries of these cumulenes can be tailored by changing the π-acceptor ability of the supported ligands. X-ray diffraction analysis revealed that the cumulene supported by an N-heterocyclic carbene (NHC) exhibits a bent structure, whereas the cumulene stabilized by the more π-acidic (cyclic)(alkyl)(amino)carbene (cAAC) displays a nearly linear configuration. Notably, these cumulenes exhibit divergent reactivity toward the cleavage of homoatomic element-element bonds in bis(catecholato)diboron (B2cat2) and diphenyl diselenide (PhSeSePh), affording benzodioxadiborane derivatives and selenoboranes, respectively. Furthermore, the reaction with bromopentafluorobenzene (C6F5Br) involves the formal addition of the C(sp2)-Br bond across the unsaturated B-B bond of the CNBB units. Their potential as supporting ligands was also demonstrated through the formation of stable complexes with CuBr and CuI, where the metal centers are ligated by the B2 units.</w:t>
      </w:r>
    </w:p>
    <w:p>
      <w:pPr>
        <w:spacing w:before="120" w:after="120"/>
      </w:pPr>
      <w:r>
        <w:rPr>
          <w:sz w:val="18"/>
        </w:rPr>
        <w:t>——————————————————————————————————————————————————————————————————————</w:t>
      </w:r>
    </w:p>
    <w:p>
      <w:pPr>
        <w:spacing w:before="160" w:after="40" w:line="240" w:lineRule="auto"/>
      </w:pPr>
      <w:r>
        <w:rPr>
          <w:b/>
        </w:rPr>
        <w:t xml:space="preserve">[240] </w:t>
      </w:r>
      <w:hyperlink r:id="rId531">
        <w:r>
          <w:rPr>
            <w:color w:val="1155CC"/>
            <w:u w:val="single"/>
          </w:rPr>
          <w:t>高度极化嵌入界面以实现优越的有机异质结光催化剂</w:t>
        </w:r>
      </w:hyperlink>
    </w:p>
    <w:p>
      <w:pPr>
        <w:spacing w:before="0" w:after="80"/>
      </w:pPr>
      <w:r>
        <w:rPr>
          <w:i/>
          <w:sz w:val="20"/>
        </w:rPr>
        <w:t>EN: Highly Polarizable Embedded Interfaces Toward Superior Organic Heterojunction Photocatalysts</w:t>
      </w:r>
    </w:p>
    <w:p>
      <w:pPr>
        <w:spacing w:before="0" w:after="120"/>
      </w:pPr>
      <w:r>
        <w:rPr>
          <w:b/>
        </w:rPr>
        <w:t xml:space="preserve">Source: </w:t>
      </w:r>
      <w:r>
        <w:t>Wiley: Angewandte Chemie International Edition: Table of Contents</w:t>
      </w:r>
      <w:r>
        <w:t xml:space="preserve">    </w:t>
      </w:r>
      <w:r>
        <w:rPr>
          <w:b/>
        </w:rPr>
        <w:t xml:space="preserve">Pub date: </w:t>
      </w:r>
      <w:r>
        <w:t>2026-02-25 12:23:35+00:00</w:t>
      </w:r>
      <w:r>
        <w:t xml:space="preserve">    </w:t>
      </w:r>
      <w:r>
        <w:rPr>
          <w:b/>
        </w:rPr>
        <w:t xml:space="preserve">DOI: </w:t>
      </w:r>
      <w:hyperlink r:id="rId532">
        <w:r>
          <w:rPr>
            <w:color w:val="1155CC"/>
            <w:u w:val="single"/>
          </w:rPr>
          <w:t>10.1002/anie.3278432</w:t>
        </w:r>
      </w:hyperlink>
    </w:p>
    <w:p>
      <w:pPr>
        <w:spacing w:before="0" w:after="120"/>
      </w:pPr>
      <w:r>
        <w:rPr>
          <w:b/>
        </w:rPr>
        <w:t xml:space="preserve">Notes: </w:t>
      </w:r>
      <w:r>
        <w:t>abstract_source=pubmed</w:t>
      </w:r>
    </w:p>
    <w:p>
      <w:pPr>
        <w:spacing w:before="0" w:after="80" w:lineRule="auto" w:line="276"/>
      </w:pPr>
      <w:r>
        <w:rPr>
          <w:b/>
        </w:rPr>
        <w:t xml:space="preserve">摘要（ZH）: </w:t>
      </w:r>
      <w:r>
        <w:t>有机光伏催化剂（OPCs）在能量转换和环境净化方面具有巨大潜力，但通常由于激子解离效率低和快速电荷复合，特别是在无序供体/受体（D/A）界面处，限制了其光催化性能。在此，我们提出了一种嵌入界面策略，涉及在OPC体异质结（BHJ）内的D/A界面处嵌入一种名为Y6CO-S的高极化分子，以放大局部电场并增强分子有序性，提高空穴传输效率并延长空穴极化子寿命，从而提升光催化活性。具体而言，优化的PM6:PYF-T-o:Y6CO-S纳米颗粒（NPs）实现了显著的光催化牺牲平均质量-单位/面积-单位h</w:t>
      </w:r>
    </w:p>
    <w:p>
      <w:pPr>
        <w:spacing w:before="0" w:after="200" w:lineRule="auto" w:line="276"/>
      </w:pPr>
      <w:r>
        <w:rPr>
          <w:b/>
        </w:rPr>
        <w:t xml:space="preserve">Abstract (EN): </w:t>
      </w:r>
      <w:r>
        <w:t>Organic photovoltaic catalysts (OPCs) hold great potential for energy conversion and environmental purification yet often suffer from inefficient exciton dissociation and rapid charge recombination, particularly at disordered donor/acceptor (D/A) interfaces, limiting their photocatalytic performance. Herein, we propose an embedded interface strategy that involves a highly polarizable molecule named Y6CO-S at the D/A interface within OPC bulk heterojunction (BHJ) to amplify the local electric field and enhance molecular ordering, improving hole transfer efficiency and prolonging hole polaron lifetime, and thereby boosting photocatalytic activity. Specifically, the optimized PM6:PYF-T-o:Y6CO-S nanoparticles (NPs) achieve remarkable photocatalytic sacrificial average mass-united/area-united hydrogen evolution rates of 263.8-1974.7 mmol h- 1 g- 1 and 42.7-182.4 mmol h-1 m-2 at varied NP concentrations under simulated sunlight (AM 1.5G, 100 mW cm-2) for 10 h along with high external quantum efficiencies of &gt;10% across the visible to near-infrared region, 36%-47% exceeding those of the binary PM6:PYF-T-o system without Y6CO-S embedded interface and representing one of the highest performances reported to date for photocatalysts. This work demonstrates the significant potential of embedded interface strategy in developing high‑performance heterojunction OPCs as well as other optoelectronic applications.</w:t>
      </w:r>
    </w:p>
    <w:p>
      <w:pPr>
        <w:spacing w:before="120" w:after="120"/>
      </w:pPr>
      <w:r>
        <w:rPr>
          <w:sz w:val="18"/>
        </w:rPr>
        <w:t>——————————————————————————————————————————————————————————————————————</w:t>
      </w:r>
    </w:p>
    <w:p>
      <w:pPr>
        <w:spacing w:before="160" w:after="40" w:line="240" w:lineRule="auto"/>
      </w:pPr>
      <w:r>
        <w:rPr>
          <w:b/>
        </w:rPr>
        <w:t xml:space="preserve">[241] </w:t>
      </w:r>
      <w:hyperlink r:id="rId533">
        <w:r>
          <w:rPr>
            <w:color w:val="1155CC"/>
            <w:u w:val="single"/>
          </w:rPr>
          <w:t>用于多重miRNA检测的机器视觉宽带纳米腔成像</w:t>
        </w:r>
      </w:hyperlink>
    </w:p>
    <w:p>
      <w:pPr>
        <w:spacing w:before="0" w:after="80"/>
      </w:pPr>
      <w:r>
        <w:rPr>
          <w:i/>
          <w:sz w:val="20"/>
        </w:rPr>
        <w:t>EN: Broadband Nanocavity Imaging with Machine Vision for Multiplex miRNA Assays</w:t>
      </w:r>
    </w:p>
    <w:p>
      <w:pPr>
        <w:spacing w:before="0" w:after="120"/>
      </w:pPr>
      <w:r>
        <w:rPr>
          <w:b/>
        </w:rPr>
        <w:t xml:space="preserve">Source: </w:t>
      </w:r>
      <w:r>
        <w:t>Wiley: Advanced Materials: Table of Contents</w:t>
      </w:r>
      <w:r>
        <w:t xml:space="preserve">    </w:t>
      </w:r>
      <w:r>
        <w:rPr>
          <w:b/>
        </w:rPr>
        <w:t xml:space="preserve">Pub date: </w:t>
      </w:r>
      <w:r>
        <w:t>2026-02-25 12:28:13+00:00</w:t>
      </w:r>
      <w:r>
        <w:t xml:space="preserve">    </w:t>
      </w:r>
      <w:r>
        <w:rPr>
          <w:b/>
        </w:rPr>
        <w:t xml:space="preserve">DOI: </w:t>
      </w:r>
      <w:hyperlink r:id="rId534">
        <w:r>
          <w:rPr>
            <w:color w:val="1155CC"/>
            <w:u w:val="single"/>
          </w:rPr>
          <w:t>10.1002/adma.202522938</w:t>
        </w:r>
      </w:hyperlink>
    </w:p>
    <w:p>
      <w:pPr>
        <w:spacing w:before="0" w:after="120"/>
      </w:pPr>
      <w:r>
        <w:rPr>
          <w:b/>
        </w:rPr>
        <w:t xml:space="preserve">Notes: </w:t>
      </w:r>
      <w:r>
        <w:t>abstract_source=pubmed</w:t>
      </w:r>
    </w:p>
    <w:p>
      <w:pPr>
        <w:spacing w:before="0" w:after="80" w:lineRule="auto" w:line="276"/>
      </w:pPr>
      <w:r>
        <w:rPr>
          <w:b/>
        </w:rPr>
        <w:t xml:space="preserve">摘要（ZH）: </w:t>
      </w:r>
      <w:r>
        <w:t>由于miRNAs的短长度、低丰度和序列同源性，特别是在复杂的生物基质中，灵敏和多重定量miRNAs仍然具有挑战性。本文提出了一种结合分布式布拉格反射器（DBR）耦合银纳米颗粒（AgNP）间隙纳米腔与深度学习实例分割的自动图像读出方法。应用于A549肺癌细胞提取物，该检测方法无需富集或扩增即可直接定量内源性miR-191、miR-25和miR-130a。纳米腔集中场并有利于辐射衰减，增强了收集并抑制了量子点（QD）闪烁，而Mask R-CNN实现了稳健的高通量计数和分类。该系统实现了阿托摩尔LOD（∼10-17 mol/</w:t>
      </w:r>
    </w:p>
    <w:p>
      <w:pPr>
        <w:spacing w:before="0" w:after="200" w:lineRule="auto" w:line="276"/>
      </w:pPr>
      <w:r>
        <w:rPr>
          <w:b/>
        </w:rPr>
        <w:t xml:space="preserve">Abstract (EN): </w:t>
      </w:r>
      <w:r>
        <w:t>Sensitive and multiplexed quantification of microRNAs (miRNAs) remains challenging due to their short length, low abundance, and sequence homology, particularly in complex biological matrices. This paper presents an approach that combines a distributed Bragg reflector (DBR)-coupled silver nanoparticle (AgNP) gap nanocavity with deep learning instance segmentation for automated image readout. Applied to A549 lung cancer cell extracts, the assay directly quantifies endogenous miR-191, miR-25, and miR-130a without enrichment or amplification. The nanocavity concentrates fields and favors radiative decay, enhancing collection and suppressing quantum dot (QD) blinking, while Mask R-CNN enables robust, high-throughput counting and classification. The system achieves an attomolar LOD (∼10-17 mol/L), a linear dynamic range spanning five orders of magnitude, and &gt;99% correct identification across spectrally encoded channels. These results establish an AI-enabled nanophotonic biosensing platform that is sensitive, specific, robust, and scalable for multiplexed miRNA analysis in research and clinically relevant matrices.</w:t>
      </w:r>
    </w:p>
    <w:p>
      <w:pPr>
        <w:spacing w:before="120" w:after="120"/>
      </w:pPr>
      <w:r>
        <w:rPr>
          <w:sz w:val="18"/>
        </w:rPr>
        <w:t>——————————————————————————————————————————————————————————————————————</w:t>
      </w:r>
    </w:p>
    <w:p>
      <w:pPr>
        <w:spacing w:before="160" w:after="40" w:line="240" w:lineRule="auto"/>
      </w:pPr>
      <w:r>
        <w:rPr>
          <w:b/>
        </w:rPr>
        <w:t xml:space="preserve">[242] </w:t>
      </w:r>
      <w:hyperlink r:id="rId535">
        <w:r>
          <w:rPr>
            <w:color w:val="1155CC"/>
            <w:u w:val="single"/>
          </w:rPr>
          <w:t>工程不等反极性位移在铁磁层状氧化物异质结构中</w:t>
        </w:r>
      </w:hyperlink>
    </w:p>
    <w:p>
      <w:pPr>
        <w:spacing w:before="0" w:after="80"/>
      </w:pPr>
      <w:r>
        <w:rPr>
          <w:i/>
          <w:sz w:val="20"/>
        </w:rPr>
        <w:t>EN: Engineering Unequal Antipolar Displacement in Ferromagnetic Layered Oxide Heterostructures</w:t>
      </w:r>
    </w:p>
    <w:p>
      <w:pPr>
        <w:spacing w:before="0" w:after="120"/>
      </w:pPr>
      <w:r>
        <w:rPr>
          <w:b/>
        </w:rPr>
        <w:t xml:space="preserve">Source: </w:t>
      </w:r>
      <w:r>
        <w:t>Wiley: Advanced Materials: Table of Contents</w:t>
      </w:r>
      <w:r>
        <w:t xml:space="preserve">    </w:t>
      </w:r>
      <w:r>
        <w:rPr>
          <w:b/>
        </w:rPr>
        <w:t xml:space="preserve">Pub date: </w:t>
      </w:r>
      <w:r>
        <w:t>2026-02-25 12:32:40+00:00</w:t>
      </w:r>
      <w:r>
        <w:t xml:space="preserve">    </w:t>
      </w:r>
      <w:r>
        <w:rPr>
          <w:b/>
        </w:rPr>
        <w:t xml:space="preserve">DOI: </w:t>
      </w:r>
      <w:hyperlink r:id="rId536">
        <w:r>
          <w:rPr>
            <w:color w:val="1155CC"/>
            <w:u w:val="single"/>
          </w:rPr>
          <w:t>10.1002/adma.202513458</w:t>
        </w:r>
      </w:hyperlink>
    </w:p>
    <w:p>
      <w:pPr>
        <w:spacing w:before="0" w:after="120"/>
      </w:pPr>
      <w:r>
        <w:rPr>
          <w:b/>
        </w:rPr>
        <w:t xml:space="preserve">Notes: </w:t>
      </w:r>
      <w:r>
        <w:t>abstract_source=pubmed</w:t>
      </w:r>
    </w:p>
    <w:p>
      <w:pPr>
        <w:spacing w:before="0" w:after="80" w:lineRule="auto" w:line="276"/>
      </w:pPr>
      <w:r>
        <w:rPr>
          <w:b/>
        </w:rPr>
        <w:t xml:space="preserve">摘要（ZH）: </w:t>
      </w:r>
      <w:r>
        <w:t>异质结构工程提供了一种多功能途径，用于定制在单相材料中通常难以实现的新兴功能。在这项工作中，重点是由绝缘和铁磁双钙钛矿La2NiMnO6和Sm2NiMnO6组成的超晶格，这构成了一个有趣的模型系统。这些层状结构预计会出现La和Sm离子的不同反极性位移；当与奇数周期堆叠结合时，这种结构特征预计会产生极性行为。各自的超晶格以原子精度生长，并显示出强大的铁磁性，已通过内部磁力计和同步辐射测量确认。扫描透射电子显微镜结合第一性原理计算</w:t>
      </w:r>
    </w:p>
    <w:p>
      <w:pPr>
        <w:spacing w:before="0" w:after="200" w:lineRule="auto" w:line="276"/>
      </w:pPr>
      <w:r>
        <w:rPr>
          <w:b/>
        </w:rPr>
        <w:t xml:space="preserve">Abstract (EN): </w:t>
      </w:r>
      <w:r>
        <w:t>Heterostructure engineering provides a versatile route for tailoring emergent functionalities that are often difficult to realize in single-phase materials. In this work, the focus is on superlattices composed of the insulating and ferromagnetic double perovskites La2NiMnO6 and Sm2NiMnO6, which constitute an intriguing model system. These layered structures are predicted to feature unequal antipolar displacements of the La and Sm ions; when combined with odd periodicity stacking, this structural motif is expected to give rise to polar behavior. The respective superlattices are grown with atomic precision and display robust ferromagnetism, as confirmed by in-house magnetometry and synchrotron measurements. Scanning transmission electron microscopy combined with first-principles calculations confirms the presence of the predicted unequal antipolar displacements, paving the way for the realization of hybrid improper ferroelectricity in such oxide heterostructures.</w:t>
      </w:r>
    </w:p>
    <w:p>
      <w:pPr>
        <w:spacing w:before="120" w:after="120"/>
      </w:pPr>
      <w:r>
        <w:rPr>
          <w:sz w:val="18"/>
        </w:rPr>
        <w:t>——————————————————————————————————————————————————————————————————————</w:t>
      </w:r>
    </w:p>
    <w:p>
      <w:pPr>
        <w:spacing w:before="160" w:after="40" w:line="240" w:lineRule="auto"/>
      </w:pPr>
      <w:r>
        <w:rPr>
          <w:b/>
        </w:rPr>
        <w:t xml:space="preserve">[243] </w:t>
      </w:r>
      <w:hyperlink r:id="rId537">
        <w:r>
          <w:rPr>
            <w:color w:val="1155CC"/>
            <w:u w:val="single"/>
          </w:rPr>
          <w:t>实现具有可调拓扑边缘态和平带的碘烯</w:t>
        </w:r>
      </w:hyperlink>
    </w:p>
    <w:p>
      <w:pPr>
        <w:spacing w:before="0" w:after="80"/>
      </w:pPr>
      <w:r>
        <w:rPr>
          <w:i/>
          <w:sz w:val="20"/>
        </w:rPr>
        <w:t>EN: Realization of Iodinene with Tunable Topological Edge States and Flat Bands</w:t>
      </w:r>
    </w:p>
    <w:p>
      <w:pPr>
        <w:spacing w:before="0" w:after="120"/>
      </w:pPr>
      <w:r>
        <w:rPr>
          <w:b/>
        </w:rPr>
        <w:t xml:space="preserve">Source: </w:t>
      </w:r>
      <w:r>
        <w:t>Wiley: Advanced Materials: Table of Contents</w:t>
      </w:r>
      <w:r>
        <w:t xml:space="preserve">    </w:t>
      </w:r>
      <w:r>
        <w:rPr>
          <w:b/>
        </w:rPr>
        <w:t xml:space="preserve">Pub date: </w:t>
      </w:r>
      <w:r>
        <w:t>2026-02-25 13:16:58+00:00</w:t>
      </w:r>
      <w:r>
        <w:t xml:space="preserve">    </w:t>
      </w:r>
      <w:r>
        <w:rPr>
          <w:b/>
        </w:rPr>
        <w:t xml:space="preserve">DOI: </w:t>
      </w:r>
      <w:hyperlink r:id="rId538">
        <w:r>
          <w:rPr>
            <w:color w:val="1155CC"/>
            <w:u w:val="single"/>
          </w:rPr>
          <w:t>10.1002/adma.202521003</w:t>
        </w:r>
      </w:hyperlink>
    </w:p>
    <w:p>
      <w:pPr>
        <w:spacing w:before="0" w:after="120"/>
      </w:pPr>
      <w:r>
        <w:rPr>
          <w:b/>
        </w:rPr>
        <w:t xml:space="preserve">Notes: </w:t>
      </w:r>
      <w:r>
        <w:t>abstract_source=pubmed</w:t>
      </w:r>
    </w:p>
    <w:p>
      <w:pPr>
        <w:spacing w:before="0" w:after="80" w:lineRule="auto" w:line="276"/>
      </w:pPr>
      <w:r>
        <w:rPr>
          <w:b/>
        </w:rPr>
        <w:t xml:space="preserve">摘要（ZH）: </w:t>
      </w:r>
      <w:r>
        <w:t>卤素以其双原子分子结构而闻名，通常不形成扩展的共价材料。因此，从卤素中开发二维元素材料对于基础研究和实际应用都具有重要意义。在此，我们报告了一种单层碘片的实现，即碘烯，具有多种奇异性质。通过角分辨光电子能谱、扫描隧道显微镜和第一性原理计算，我们表明碘烯具有二维拓扑晶体绝缘体状态，这是一种长期以来仅在三维材料中观察到的拓扑状态。此外，碘烯在环境条件下具有极高的稳定性。通过施加48%的拉伸应变，我们实现了两个几乎平坦的能带，具有稳健的拓扑边缘态。</w:t>
      </w:r>
    </w:p>
    <w:p>
      <w:pPr>
        <w:spacing w:before="0" w:after="200" w:lineRule="auto" w:line="276"/>
      </w:pPr>
      <w:r>
        <w:rPr>
          <w:b/>
        </w:rPr>
        <w:t xml:space="preserve">Abstract (EN): </w:t>
      </w:r>
      <w:r>
        <w:t>Halogens, known for their diatomic molecular structures, typically do not form extended covalent materials. The development of 2D elemental materials from halogens is therefore significant for both fundamental research and practical applications. Here, we report the realization of a monolayer iodine sheet, namely iodinene, with multiple exotic properties. Using angle-resolved photoemission spectroscopy, scanning tunneling microscopy, and first-principles calculations, we show that iodinene hosts 2D topological crystalline insulator states, a long-sought topological state previously observed only in 3D materials. Moreover, iodinene is exceptionally stable under ambient conditions. By applying a tensile strain of 48%, we realize two nearly flat bands with robust topological edge states in between, paving the way for the design and fabrication of tunable topological and spintronic devices.</w:t>
      </w:r>
    </w:p>
    <w:p>
      <w:pPr>
        <w:spacing w:before="120" w:after="120"/>
      </w:pPr>
      <w:r>
        <w:rPr>
          <w:sz w:val="18"/>
        </w:rPr>
        <w:t>——————————————————————————————————————————————————————————————————————</w:t>
      </w:r>
    </w:p>
    <w:p>
      <w:pPr>
        <w:spacing w:before="160" w:after="40" w:line="240" w:lineRule="auto"/>
      </w:pPr>
      <w:r>
        <w:rPr>
          <w:b/>
        </w:rPr>
        <w:t xml:space="preserve">[244] </w:t>
      </w:r>
      <w:hyperlink r:id="rId539">
        <w:r>
          <w:rPr>
            <w:color w:val="1155CC"/>
            <w:u w:val="single"/>
          </w:rPr>
          <w:t>光驱动Cu-I配位稳定I3−用于超低过电位Mg-CO2电池</w:t>
        </w:r>
      </w:hyperlink>
    </w:p>
    <w:p>
      <w:pPr>
        <w:spacing w:before="0" w:after="80"/>
      </w:pPr>
      <w:r>
        <w:rPr>
          <w:i/>
          <w:sz w:val="20"/>
        </w:rPr>
        <w:t>EN: Photo‐Driven Cu‐I Coordination Stabilizes I3− for Ultralow‐Overpotential Mg‐CO2 Batteries</w:t>
      </w:r>
    </w:p>
    <w:p>
      <w:pPr>
        <w:spacing w:before="0" w:after="120"/>
      </w:pPr>
      <w:r>
        <w:rPr>
          <w:b/>
        </w:rPr>
        <w:t xml:space="preserve">Source: </w:t>
      </w:r>
      <w:r>
        <w:t>Wiley: Angewandte Chemie International Edition: Table of Contents</w:t>
      </w:r>
      <w:r>
        <w:t xml:space="preserve">    </w:t>
      </w:r>
      <w:r>
        <w:rPr>
          <w:b/>
        </w:rPr>
        <w:t xml:space="preserve">Pub date: </w:t>
      </w:r>
      <w:r>
        <w:t>2026-02-25 13:24:26+00:00</w:t>
      </w:r>
      <w:r>
        <w:t xml:space="preserve">    </w:t>
      </w:r>
      <w:r>
        <w:rPr>
          <w:b/>
        </w:rPr>
        <w:t xml:space="preserve">DOI: </w:t>
      </w:r>
      <w:hyperlink r:id="rId540">
        <w:r>
          <w:rPr>
            <w:color w:val="1155CC"/>
            <w:u w:val="single"/>
          </w:rPr>
          <w:t>10.1002/anie.2935372</w:t>
        </w:r>
      </w:hyperlink>
    </w:p>
    <w:p>
      <w:pPr>
        <w:spacing w:before="0" w:after="120"/>
      </w:pPr>
      <w:r>
        <w:rPr>
          <w:b/>
        </w:rPr>
        <w:t xml:space="preserve">Notes: </w:t>
      </w:r>
      <w:r>
        <w:t>abstract_source=pubmed</w:t>
      </w:r>
    </w:p>
    <w:p>
      <w:pPr>
        <w:spacing w:before="0" w:after="80" w:lineRule="auto" w:line="276"/>
      </w:pPr>
      <w:r>
        <w:rPr>
          <w:b/>
        </w:rPr>
        <w:t xml:space="preserve">摘要（ZH）: </w:t>
      </w:r>
      <w:r>
        <w:t>Mg-CO2电池通过结合高能量密度和CO2增值，为下一代能源存储提供了一个引人注目的机会。在各种策略中，使用氧化还原介质已成为动态引导电化学路径并提高CO2转化效率的强大方法。然而，传统的氧化还原介质在操作条件下稳定性差，严重削弱了长期性能。在此，我们报告了一种光激活的2,3,6,7,10,11-六羟基三苯-Cu-I3 (HHTP-Cu-I3)电荷转移复合物，通过形成稳健的Cu-I配位来解决传统氧化还原介质的固有不稳定性以稳定I3-。在光照下，Cu(II)发生光还原为Cu(I)，释放电子以加速</w:t>
      </w:r>
    </w:p>
    <w:p>
      <w:pPr>
        <w:spacing w:before="0" w:after="200" w:lineRule="auto" w:line="276"/>
      </w:pPr>
      <w:r>
        <w:rPr>
          <w:b/>
        </w:rPr>
        <w:t xml:space="preserve">Abstract (EN): </w:t>
      </w:r>
      <w:r>
        <w:t>Mg-CO2 batteries present a compelling opportunity for next-generation energy storage by combining high energy density with CO2 valorization. Among various strategies, the use of redox mediators has emerged as a powerful approach to dynamically direct electrochemical pathways and boost CO2 conversion efficiency. However, conventional redox mediators suffer from poor stability under operating conditions, which severely undermines long-term performance. Here, we report a light-activated 2,3,6,7,10,11-hexahydroxytriphenylene-Cu-I3 (HHTP-Cu-I3) charge-transfer complex that addresses the intrinsic instability of conventional redox mediators by forming robust Cu-I coordination to stabilize I3 -. Upon light illumination, Cu(II) undergoes photoreduction to Cu(I) releasing electrons that accelerate CO2 activation, whereas I- is simultaneously oxidized to I3 -, facilitating efficient electron shuttling and regulating product formation. This dynamic modulation switches the reaction pathway from thermodynamically favored MgCO3 to electrochemically preferred MgC2O4 by lowering the energy barrier for C2O4 2- incorporation into MgC2O4. As a result, the system achieves an ultralow overpotential of 0.027 V and a record-high energy conversion efficiency of 97.2%. Furthermore, the versatility of this strategy is demonstrated by its successful application in photoassisted Li-O2 batteries, delivering enhanced performance.</w:t>
      </w:r>
    </w:p>
    <w:p>
      <w:pPr>
        <w:spacing w:before="120" w:after="120"/>
      </w:pPr>
      <w:r>
        <w:rPr>
          <w:sz w:val="18"/>
        </w:rPr>
        <w:t>——————————————————————————————————————————————————————————————————————</w:t>
      </w:r>
    </w:p>
    <w:p>
      <w:pPr>
        <w:spacing w:before="160" w:after="40" w:line="240" w:lineRule="auto"/>
      </w:pPr>
      <w:r>
        <w:rPr>
          <w:b/>
        </w:rPr>
        <w:t xml:space="preserve">[245] </w:t>
      </w:r>
      <w:hyperlink r:id="rId541">
        <w:r>
          <w:rPr>
            <w:color w:val="1155CC"/>
            <w:u w:val="single"/>
          </w:rPr>
          <w:t>光伏电压驱动的两晶体管-一二极管钙钛矿像素用于内嵌光学传感显示器</w:t>
        </w:r>
      </w:hyperlink>
    </w:p>
    <w:p>
      <w:pPr>
        <w:spacing w:before="0" w:after="80"/>
      </w:pPr>
      <w:r>
        <w:rPr>
          <w:i/>
          <w:sz w:val="20"/>
        </w:rPr>
        <w:t>EN: Photovoltage‐Driven Two‐Transistor–One‐Diode Perovskite Pixels for In‐Cell Optical Sensing Displays</w:t>
      </w:r>
    </w:p>
    <w:p>
      <w:pPr>
        <w:spacing w:before="0" w:after="120"/>
      </w:pPr>
      <w:r>
        <w:rPr>
          <w:b/>
        </w:rPr>
        <w:t xml:space="preserve">Source: </w:t>
      </w:r>
      <w:r>
        <w:t>Wiley: Advanced Materials: Table of Contents</w:t>
      </w:r>
      <w:r>
        <w:t xml:space="preserve">    </w:t>
      </w:r>
      <w:r>
        <w:rPr>
          <w:b/>
        </w:rPr>
        <w:t xml:space="preserve">Pub date: </w:t>
      </w:r>
      <w:r>
        <w:t>2026-02-25 13:30:28+00:00</w:t>
      </w:r>
      <w:r>
        <w:t xml:space="preserve">    </w:t>
      </w:r>
      <w:r>
        <w:rPr>
          <w:b/>
        </w:rPr>
        <w:t xml:space="preserve">DOI: </w:t>
      </w:r>
      <w:hyperlink r:id="rId542">
        <w:r>
          <w:rPr>
            <w:color w:val="1155CC"/>
            <w:u w:val="single"/>
          </w:rPr>
          <w:t>10.1002/adma.202522776</w:t>
        </w:r>
      </w:hyperlink>
    </w:p>
    <w:p>
      <w:pPr>
        <w:spacing w:before="0" w:after="120"/>
      </w:pPr>
      <w:r>
        <w:rPr>
          <w:b/>
        </w:rPr>
        <w:t xml:space="preserve">Notes: </w:t>
      </w:r>
      <w:r>
        <w:t>abstract_source=pubmed</w:t>
      </w:r>
    </w:p>
    <w:p>
      <w:pPr>
        <w:spacing w:before="0" w:after="80" w:lineRule="auto" w:line="276"/>
      </w:pPr>
      <w:r>
        <w:rPr>
          <w:b/>
        </w:rPr>
        <w:t xml:space="preserve">摘要（ZH）: </w:t>
      </w:r>
      <w:r>
        <w:t>细胞内光学传感显示器对于下一代交互式电子产品至关重要，但传统架构依赖于独立的发光二极管（LED）和光电探测器（PD），限制了像素密度和效率。在单个二极管中实现这两种功能本质上是困难的，因为电致发光需要强烈的激子复合，而光检测则受益于高效的载流子分离。在此，我们通过稳定中间n准二维相并使用氟化酸钝化剂抑制非辐射损失，实现了稳定的双模式操作，并通过设计高迁移率传输层与解离型（II型）钙钛矿/电子传输层异质结，在光伏操作下辅助激子解离。</w:t>
      </w:r>
    </w:p>
    <w:p>
      <w:pPr>
        <w:spacing w:before="0" w:after="200" w:lineRule="auto" w:line="276"/>
      </w:pPr>
      <w:r>
        <w:rPr>
          <w:b/>
        </w:rPr>
        <w:t xml:space="preserve">Abstract (EN): </w:t>
      </w:r>
      <w:r>
        <w:t>In-cell optical sensing displays are essential for next-generation interactive electronics, yet conventional architectures rely on separate light-emitting diodes (LEDs) and photodetectors (PDs), limiting pixel density and efficiency. Achieving both functions within a single diode is intrinsically difficult because electroluminescence requires strong excitonic recombination, whereas photodetection benefits from efficient carrier separation. Here, we realize stable dual-mode operation by stabilizing intermediate-n quasi-2D phases and suppressing non-radiative losses with a fluorinated acid passivator, and by engineering high-mobility transport layers with a dissociative (type-II) perovskite/electron transport layer heterojunction to assist exciton dissociation under photovoltaic operation. The resulting bifunctional diode enables an opto-dynamic random-access memory (opto-DRAM) pixel, a two-transistor-one-diode (2T1D) architecture conceptually analogous to a two-transistor-one-capacitor (2T1C) DRAM gain-cell, where photovoltage-driven rather than photocurrent-driven detection enables self-amplified sensing when coupled to thin-film transistors. The sky-blue PeLED achieves an external quantum efficiency of 20.4% at 100 cd m-2 and a record power efficiency of 41.8 lm W-1, while as the coupled sensing pixel it exhibits a maximum responsivity of 4.17 × 104 A W-1 and a specific detectivity of 6.46 × 1013 Jones. Monolithic integration yields an active-matrix display capable of switchable emission and imaging functions offering a scalable platform for compact, energy-efficient, and multifunctional optoelectronics.</w:t>
      </w:r>
    </w:p>
    <w:p>
      <w:pPr>
        <w:spacing w:before="120" w:after="120"/>
      </w:pPr>
      <w:r>
        <w:rPr>
          <w:sz w:val="18"/>
        </w:rPr>
        <w:t>——————————————————————————————————————————————————————————————————————</w:t>
      </w:r>
    </w:p>
    <w:p>
      <w:pPr>
        <w:spacing w:before="160" w:after="40" w:line="240" w:lineRule="auto"/>
      </w:pPr>
      <w:r>
        <w:rPr>
          <w:b/>
        </w:rPr>
        <w:t xml:space="preserve">[246] </w:t>
      </w:r>
      <w:hyperlink r:id="rId543">
        <w:r>
          <w:rPr>
            <w:color w:val="1155CC"/>
            <w:u w:val="single"/>
          </w:rPr>
          <w:t>[ASAP] pH 控制氧化还原活性梯形聚合物中的电荷定位</w:t>
        </w:r>
      </w:hyperlink>
    </w:p>
    <w:p>
      <w:pPr>
        <w:spacing w:before="0" w:after="80"/>
      </w:pPr>
      <w:r>
        <w:rPr>
          <w:i/>
          <w:sz w:val="20"/>
        </w:rPr>
        <w:t>EN: [ASAP] pH Controls Charge Localization in Redox-Active Ladder Polymers</w:t>
      </w:r>
    </w:p>
    <w:p>
      <w:pPr>
        <w:spacing w:before="0" w:after="120"/>
      </w:pPr>
      <w:r>
        <w:rPr>
          <w:b/>
        </w:rPr>
        <w:t xml:space="preserve">Source: </w:t>
      </w:r>
      <w:r>
        <w:t>Journal of the American Chemical Society: Latest Articles (ACS Publications)</w:t>
      </w:r>
      <w:r>
        <w:t xml:space="preserve">    </w:t>
      </w:r>
      <w:r>
        <w:rPr>
          <w:b/>
        </w:rPr>
        <w:t xml:space="preserve">Pub date: </w:t>
      </w:r>
      <w:r>
        <w:t>2026-02-25 13:32:02+00:00</w:t>
      </w:r>
      <w:r>
        <w:t xml:space="preserve">    </w:t>
      </w:r>
      <w:r>
        <w:rPr>
          <w:b/>
        </w:rPr>
        <w:t xml:space="preserve">DOI: </w:t>
      </w:r>
      <w:hyperlink r:id="rId544">
        <w:r>
          <w:rPr>
            <w:color w:val="1155CC"/>
            <w:u w:val="single"/>
          </w:rPr>
          <w:t>10.1021/jacs.5c19318</w:t>
        </w:r>
      </w:hyperlink>
    </w:p>
    <w:p>
      <w:pPr>
        <w:spacing w:before="0" w:after="120"/>
      </w:pPr>
      <w:r>
        <w:rPr>
          <w:b/>
        </w:rPr>
        <w:t xml:space="preserve">Notes: </w:t>
      </w:r>
      <w:r>
        <w:t>abstract_source=pubmed</w:t>
      </w:r>
    </w:p>
    <w:p>
      <w:pPr>
        <w:spacing w:before="0" w:after="80" w:lineRule="auto" w:line="276"/>
      </w:pPr>
      <w:r>
        <w:rPr>
          <w:b/>
        </w:rPr>
        <w:t xml:space="preserve">摘要（ZH）: </w:t>
      </w:r>
      <w:r>
        <w:t>有机混合离子-电子导电聚合物（OMIECs）是用于晶体管、能量存储和生物电子学应用的多功能活性材料。为了满足这些技术的多样化需求，OMIEC的化学结构通常设计为修改添加电荷的局部化、调节前沿轨道的能量学以及改变电荷转移到电荷补偿物种的程度。在此，我们展示了典型阶梯OMIEC聚合物，聚（苯并咪唑苯并菲啉）（BBL）的氧化还原行为在电解质的pH值下被根本性地调节，即使在中性到碱性条件下，之前假设质子不参与氧化还原过程。通过电化学表征的结合，操作</w:t>
      </w:r>
    </w:p>
    <w:p>
      <w:pPr>
        <w:spacing w:before="0" w:after="200" w:lineRule="auto" w:line="276"/>
      </w:pPr>
      <w:r>
        <w:rPr>
          <w:b/>
        </w:rPr>
        <w:t xml:space="preserve">Abstract (EN): </w:t>
      </w:r>
      <w:r>
        <w:t>Organic mixed ionic-electronic conducting polymers (OMIECs) are versatile active materials for applications in transistors, energy storage, and bioelectronics. To meet the varied demands of these technologies, the chemical structure of an OMIEC is often designed with the goal of modifying the localization of added charge, modulating the energetics of frontier orbitals, and altering the degree of charge transfer to charge compensating species. Here, we show that the redox behavior of the archetypal ladder OMIEC, poly(benzimidazobenzophenanthroline) (BBL), is fundamentally modulated by the pH of the electrolyte, even under neutral to basic conditions where protons were previously assumed to not participate in redox processes. Through a combination of electrochemical characterization, operando Raman spectroscopy, ab initio simulations and electrochemical modeling with a multicomponent regular solution framework, we untangle BBL's redox mechanism. Our results reveal the competitive formation of proton-coupled and salt cation-coupled redox states, each possessing distinct characteristics. Notably, we find that proton-coupled redox dominates at neutral pHs, challenging the prevailing view that BBL is reduced to its salt-compensated bipolaronic form in this pH regime. Using a modified Pourbaix diagram, we illustrate how the balance between a proton-coupled and salt cation-coupled form of BBL can be continuously tuned via pH and applied potential. These findings highlight the complexity of multiphase coexistence and nontrivial effect of pH in controlling the redox properties of n-type ladder OMIECs, paving the way to understand and ultimately control a wide range of aqueous electrochemical reactions.</w:t>
      </w:r>
    </w:p>
    <w:p>
      <w:pPr>
        <w:spacing w:before="120" w:after="120"/>
      </w:pPr>
      <w:r>
        <w:rPr>
          <w:sz w:val="18"/>
        </w:rPr>
        <w:t>——————————————————————————————————————————————————————————————————————</w:t>
      </w:r>
    </w:p>
    <w:p>
      <w:pPr>
        <w:spacing w:before="160" w:after="40" w:line="240" w:lineRule="auto"/>
      </w:pPr>
      <w:r>
        <w:rPr>
          <w:b/>
        </w:rPr>
        <w:t xml:space="preserve">[247] </w:t>
      </w:r>
      <w:hyperlink r:id="rId545">
        <w:r>
          <w:rPr>
            <w:color w:val="1155CC"/>
            <w:u w:val="single"/>
          </w:rPr>
          <w:t>通过多重氢键在NiOx上稳固吸附自组装单分子层以实现稳定的倒置钙钛矿太阳能电池</w:t>
        </w:r>
      </w:hyperlink>
    </w:p>
    <w:p>
      <w:pPr>
        <w:spacing w:before="0" w:after="80"/>
      </w:pPr>
      <w:r>
        <w:rPr>
          <w:i/>
          <w:sz w:val="20"/>
        </w:rPr>
        <w:t>EN: Robust Adsorption of Self‐Assembled Monolayer on NiOx via Multiple Hydrogen Bonds for Stable Inverted Perovskite Solar Cells</w:t>
      </w:r>
    </w:p>
    <w:p>
      <w:pPr>
        <w:spacing w:before="0" w:after="120"/>
      </w:pPr>
      <w:r>
        <w:rPr>
          <w:b/>
        </w:rPr>
        <w:t xml:space="preserve">Source: </w:t>
      </w:r>
      <w:r>
        <w:t>Wiley: Advanced Materials: Table of Contents</w:t>
      </w:r>
      <w:r>
        <w:t xml:space="preserve">    </w:t>
      </w:r>
      <w:r>
        <w:rPr>
          <w:b/>
        </w:rPr>
        <w:t xml:space="preserve">Pub date: </w:t>
      </w:r>
      <w:r>
        <w:t>2026-02-25 14:25:23+00:00</w:t>
      </w:r>
      <w:r>
        <w:t xml:space="preserve">    </w:t>
      </w:r>
      <w:r>
        <w:rPr>
          <w:b/>
        </w:rPr>
        <w:t xml:space="preserve">DOI: </w:t>
      </w:r>
      <w:hyperlink r:id="rId546">
        <w:r>
          <w:rPr>
            <w:color w:val="1155CC"/>
            <w:u w:val="single"/>
          </w:rPr>
          <w:t>10.1002/adma.72638</w:t>
        </w:r>
      </w:hyperlink>
    </w:p>
    <w:p>
      <w:pPr>
        <w:spacing w:before="0" w:after="120"/>
      </w:pPr>
      <w:r>
        <w:rPr>
          <w:b/>
        </w:rPr>
        <w:t xml:space="preserve">Notes: </w:t>
      </w:r>
      <w:r>
        <w:t>abstract_source=pubmed</w:t>
      </w:r>
    </w:p>
    <w:p>
      <w:pPr>
        <w:spacing w:before="0" w:after="80" w:lineRule="auto" w:line="276"/>
      </w:pPr>
      <w:r>
        <w:rPr>
          <w:b/>
        </w:rPr>
        <w:t xml:space="preserve">摘要（ZH）: </w:t>
      </w:r>
      <w:r>
        <w:t>在倒置钙钛矿太阳能电池中，作为空穴传输层使用的自组装分子（SAMs）可以显著提高器件性能，目前的功率转换效率已超过27%。然而，SAMs在金属氧化物基底上的非均匀和弱吸附导致埋藏界面处严重的非辐射复合，这仍然是长期操作和热稳定性的关键瓶颈。在本研究中，将七氟丁酰胺（HA）或七氟丁基咪唑胺（HM）引入MeO‑4PACz中，以调整其在NiOx表面的吸附。利用HM和MeO‑4PACz之间的多重氢键相互作用，生成的SAMs相对于NiOx表面采用约60°的倾斜取向。这种配置增加了</w:t>
      </w:r>
    </w:p>
    <w:p>
      <w:pPr>
        <w:spacing w:before="0" w:after="200" w:lineRule="auto" w:line="276"/>
      </w:pPr>
      <w:r>
        <w:rPr>
          <w:b/>
        </w:rPr>
        <w:t xml:space="preserve">Abstract (EN): </w:t>
      </w:r>
      <w:r>
        <w:t>In inverted perovskite solar cells, self-assembled molecules (SAMs) employed as hole-transport layers can significantly improve device performance, with power conversion efficiencies currently exceeding 27%. However, the non-uniform and weak adsorption of SAMs on metal oxide substrates leads to severe non-radiative recombination at the buried interface, which remains a critical bottleneck for long-term operational and thermal stability. In this study, heptafluorobutyramide (HA) or heptafluorobutylimidamide (HM) is introduced into MeO‑4PACz to tailor its adsorption on the NiOx surface. Leveraging multiple hydrogen‑bonding interactions between HM and MeO‑4PACz, the resulting SAMs adopt an inclined orientation of approximately 60° relative to the NiOx surface. This configuration increases the proportion of Ni3 + on the substrate and raises the surface coverage from 0.912 to 1.236. It also effectively passivates undercoordinated Pb defects at the buried interface, enhances interfacial uniformity, and suppresses non‑radiative recombination. Using a vacuum‑flash processing method, HM‑optimized devices achieve a champion efficiency of 26.99% (certified steady‑state efficiency 26.62%) and reach 20.36% on a large‑area module with an active area of 809.69 cm2. Moreover, small-area devices retained 92% and 87% of their initial efficiency after 1500 h of maximum power point tracking at 25°C and 60°C, respectively.</w:t>
      </w:r>
    </w:p>
    <w:p>
      <w:pPr>
        <w:spacing w:before="120" w:after="120"/>
      </w:pPr>
      <w:r>
        <w:rPr>
          <w:sz w:val="18"/>
        </w:rPr>
        <w:t>——————————————————————————————————————————————————————————————————————</w:t>
      </w:r>
    </w:p>
    <w:p>
      <w:pPr>
        <w:spacing w:before="160" w:after="40" w:line="240" w:lineRule="auto"/>
      </w:pPr>
      <w:r>
        <w:rPr>
          <w:b/>
        </w:rPr>
        <w:t xml:space="preserve">[248] </w:t>
      </w:r>
      <w:hyperlink r:id="rId547">
        <w:r>
          <w:rPr>
            <w:color w:val="1155CC"/>
            <w:u w:val="single"/>
          </w:rPr>
          <w:t>先进能源材料研究：可持续能源未来的关键（Adv. Energy Mater. 8/2026）</w:t>
        </w:r>
      </w:hyperlink>
    </w:p>
    <w:p>
      <w:pPr>
        <w:spacing w:before="0" w:after="80"/>
      </w:pPr>
      <w:r>
        <w:rPr>
          <w:i/>
          <w:sz w:val="20"/>
        </w:rPr>
        <w:t>EN: Advanced Energy Materials Research: Key to Sustainable Energy Future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548">
        <w:r>
          <w:rPr>
            <w:color w:val="1155CC"/>
            <w:u w:val="single"/>
          </w:rPr>
          <w:t>10.1002/aenm.70742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549">
        <w:r>
          <w:rPr>
            <w:color w:val="1155CC"/>
            <w:u w:val="single"/>
          </w:rPr>
          <w:t>[ASAP] 工程化奎诺-氰基骨架的分子间堆积以增强余辉亮度和可激活成像</w:t>
        </w:r>
      </w:hyperlink>
    </w:p>
    <w:p>
      <w:pPr>
        <w:spacing w:before="0" w:after="80"/>
      </w:pPr>
      <w:r>
        <w:rPr>
          <w:i/>
          <w:sz w:val="20"/>
        </w:rPr>
        <w:t>EN: [ASAP] Engineering Intermolecular Packing of Quinoid-Cyanine Scaffolds for Enhanced Afterglow Brightness and Activatable Imaging</w:t>
      </w:r>
    </w:p>
    <w:p>
      <w:pPr>
        <w:spacing w:before="0" w:after="120"/>
      </w:pPr>
      <w:r>
        <w:rPr>
          <w:b/>
        </w:rPr>
        <w:t xml:space="preserve">Source: </w:t>
      </w:r>
      <w:r>
        <w:t>Journal of the American Chemical Society: Latest Articles (ACS Publications)</w:t>
      </w:r>
      <w:r>
        <w:t xml:space="preserve">    </w:t>
      </w:r>
      <w:r>
        <w:rPr>
          <w:b/>
        </w:rPr>
        <w:t xml:space="preserve">Pub date: </w:t>
      </w:r>
      <w:r>
        <w:t>2026-02-25 15:24:06+00:00</w:t>
      </w:r>
      <w:r>
        <w:t xml:space="preserve">    </w:t>
      </w:r>
      <w:r>
        <w:rPr>
          <w:b/>
        </w:rPr>
        <w:t xml:space="preserve">DOI: </w:t>
      </w:r>
      <w:hyperlink r:id="rId550">
        <w:r>
          <w:rPr>
            <w:color w:val="1155CC"/>
            <w:u w:val="single"/>
          </w:rPr>
          <w:t>10.1021/jacs.6c01078</w:t>
        </w:r>
      </w:hyperlink>
    </w:p>
    <w:p>
      <w:pPr>
        <w:spacing w:before="0" w:after="120"/>
      </w:pPr>
      <w:r>
        <w:rPr>
          <w:b/>
        </w:rPr>
        <w:t xml:space="preserve">Notes: </w:t>
      </w:r>
      <w:r>
        <w:t>abstract_source=pubmed</w:t>
      </w:r>
    </w:p>
    <w:p>
      <w:pPr>
        <w:spacing w:before="0" w:after="80" w:lineRule="auto" w:line="276"/>
      </w:pPr>
      <w:r>
        <w:rPr>
          <w:b/>
        </w:rPr>
        <w:t xml:space="preserve">摘要（ZH）: </w:t>
      </w:r>
      <w:r>
        <w:t>余辉发光成像在激发停止后产生持久的光发射，能够实现超高灵敏度的无自发荧光成像。与传统的多组分系统相比，自持余辉分子（SAMs）基于单个分子整合了光敏化、高能中间体形成和余辉生成，减少了系统复杂性，避免了分子间能量转移，从而提高了简便性和效率。然而，自持余辉系统通常受到严重的分子间相互作用的影响，导致聚集引起的猝灭（ACQ）效应和光敏化能力的抑制，最终导致余辉信号受损。为了解决这些问题，我们设计了自持q</w:t>
      </w:r>
    </w:p>
    <w:p>
      <w:pPr>
        <w:spacing w:before="0" w:after="200" w:lineRule="auto" w:line="276"/>
      </w:pPr>
      <w:r>
        <w:rPr>
          <w:b/>
        </w:rPr>
        <w:t xml:space="preserve">Abstract (EN): </w:t>
      </w:r>
      <w:r>
        <w:t>Afterglow luminescence imaging produces long-lasting light emission after excitation ceases, enabling autofluorescence-free imaging with ultrahigh sensitivity. Compared to conventional multicomponent systems, self-sustaining afterglow molecules (SAMs) integrate photosensitization, high-energy intermediate formation, and afterglow generation based on an individual molecule, reducing system complexity and avoiding intermolecular energy transfer, thereby improving simplicity and efficiency. However, self-sustaining afterglow systems often suffer from severe intermolecular interactions, leading to an aggregation-caused quenching (ACQ) effect and suppressed photosensitization capability, ultimately resulting in a compromised afterglow signal. To address these issues, we design self-sustaining quinoid-cyanine-based afterglow scaffolds (QCAs) by incorporating steric hindrance groups to suppress intermolecular interactions and alleviate ACQ. This chemical engineering approach enhances both 1O2 generation and fluorescence, yielding a remarkable 1566-fold increase in afterglow intensity. Theoretical studies confirm that the steric hindrance groups increase the intermolecular distance, yielding looser molecular packing and interactions. Additionally, we introduce a phenylboronic acid moiety into the optimized scaffold to cage the quinone moiety, enabling ONOO--activatable afterglow imaging. The probe enables specific in vivo afterglow imaging of subcutaneous tumors with an ultrahigh signal-to-background ratio (SBR) of 426. Finally, by functionalizing the probe with a blood-brain barrier (BBB)-permeating angiopep-2 peptide, the probe achieves a discriminative detection of mice with Parkinson's disease (PD) from healthy controls with an imaging contrast of 6.5, which is inaccessible with fluorescence imaging. This study presents a systematic chemical engineering strategy for designing SAMs that mitigate intermolecular quenching and enable activatable afterglow luminescence.</w:t>
      </w:r>
    </w:p>
    <w:p>
      <w:pPr>
        <w:spacing w:before="120" w:after="120"/>
      </w:pPr>
      <w:r>
        <w:rPr>
          <w:sz w:val="18"/>
        </w:rPr>
        <w:t>——————————————————————————————————————————————————————————————————————</w:t>
      </w:r>
    </w:p>
    <w:p>
      <w:pPr>
        <w:spacing w:before="160" w:after="40" w:line="240" w:lineRule="auto"/>
      </w:pPr>
      <w:r>
        <w:rPr>
          <w:b/>
        </w:rPr>
        <w:t xml:space="preserve">[250] </w:t>
      </w:r>
      <w:hyperlink r:id="rId551">
        <w:r>
          <w:rPr>
            <w:color w:val="1155CC"/>
            <w:u w:val="single"/>
          </w:rPr>
          <w:t>[ASAP] 一种双功能苯丙氨酸-赖氨酸寡肽，通过核磁共振波谱实现手性分化和相对构型分析</w:t>
        </w:r>
      </w:hyperlink>
    </w:p>
    <w:p>
      <w:pPr>
        <w:spacing w:before="0" w:after="80"/>
      </w:pPr>
      <w:r>
        <w:rPr>
          <w:i/>
          <w:sz w:val="20"/>
        </w:rPr>
        <w:t>EN: [ASAP] A Bifunctional Phenylalanine–Lysine Oligopeptide Enabling Both Chiral Differentiation and Relative Configuration Analysis by Nuclear Magnetic Resonance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2026-02-25 15:24:43+00:00</w:t>
      </w:r>
      <w:r>
        <w:t xml:space="preserve">    </w:t>
      </w:r>
      <w:r>
        <w:rPr>
          <w:b/>
        </w:rPr>
        <w:t xml:space="preserve">DOI: </w:t>
      </w:r>
      <w:hyperlink r:id="rId552">
        <w:r>
          <w:rPr>
            <w:color w:val="1155CC"/>
            <w:u w:val="single"/>
          </w:rPr>
          <w:t>10.1021/jacs.5c22161</w:t>
        </w:r>
      </w:hyperlink>
    </w:p>
    <w:p>
      <w:pPr>
        <w:spacing w:before="0" w:after="120"/>
      </w:pPr>
      <w:r>
        <w:rPr>
          <w:b/>
        </w:rPr>
        <w:t xml:space="preserve">Notes: </w:t>
      </w:r>
      <w:r>
        <w:t>abstract_source=openalex</w:t>
      </w:r>
    </w:p>
    <w:p>
      <w:pPr>
        <w:spacing w:before="0" w:after="80" w:lineRule="auto" w:line="276"/>
      </w:pPr>
      <w:r>
        <w:rPr>
          <w:b/>
        </w:rPr>
        <w:t xml:space="preserve">摘要（ZH）: </w:t>
      </w:r>
      <w:r>
        <w:t>整合溶剂排列和手性分化的双功能试剂可以简化基于NMR的结构和立体化学分析。然而，能够同时诱导对映体分化的排列介质仍然稀少，特别是在质子溶剂和化学多样的分子中。在本研究中，我们展示了两亲性寡肽（FK）&lt;sub&gt;4&lt;/sub&gt;自组装成β-片层纤维，作为这样的双功能介质。在组装后，（FK）&lt;sub&gt;4&lt;/sub&gt;弱地排列溶剂环境，同时提供足够的分子间相互作用以实现稳健的对映体分化。（FK）&lt;sub&gt;4&lt;/sub&gt;支持多种手性化合物（氨基酸、碳水化合物、有机酸和药物）的对映体分化，跨越多个核（&lt;s</w:t>
      </w:r>
    </w:p>
    <w:p>
      <w:pPr>
        <w:spacing w:before="0" w:after="200" w:lineRule="auto" w:line="276"/>
      </w:pPr>
      <w:r>
        <w:rPr>
          <w:b/>
        </w:rPr>
        <w:t xml:space="preserve">Abstract (EN): </w:t>
      </w:r>
      <w:r>
        <w:t>Bifunctional agents that integrate solvent alignment and chiral differentiation could streamline NMR-based structural and stereochemical analysis. Yet alignment media that simultaneously induce enantiodifferentiation remain rare, particularly in protic solvents and across chemically diverse molecules. In this study, we demonstrate that the amphiphilic oligopeptide (FK)&lt;sub&gt;4&lt;/sub&gt; self-assembles into β-sheet fibrils that serve as such a bifunctional medium. Upon assembly, (FK)&lt;sub&gt;4&lt;/sub&gt; weakly aligns the solvent environment while providing sufficient intermolecular interactions for robust enantiomeric differentiation. (FK)&lt;sub&gt;4&lt;/sub&gt; supports the enantiodifferentiation of diverse chiral compounds (amino acids, carbohydrates, organic acids, and pharmaceuticals) across multiple nuclei (&lt;sup&gt;1&lt;/sup&gt;H, &lt;sup&gt;13&lt;/sup&gt;C, and &lt;sup&gt;19&lt;/sup&gt;F), yielding well-resolved resonance bifurcations for accurate enantiopurity quantification through integration. The bifunction of (FK)&lt;sub&gt;4&lt;/sub&gt; extends to water and protic organic solvents, allowing both residual chemical shift anisotropies (RCSAs) measurements and enantiodifferentiation in the same sample. This dual functionality enables a streamlined postsynthesis analysis workflow for simultaneous determination of enantiomeric composition and relative configuration in racemic reaction products. Integrating structural elucidation and chiral analysis, (FK)&lt;sub&gt;4&lt;/sub&gt; offers a perspective on extending anisotropic NMR techniques to stereochemical differentiation with the potential to facilitate absolute configuration elucidation.</w:t>
      </w:r>
    </w:p>
    <w:p>
      <w:pPr>
        <w:spacing w:before="120" w:after="120"/>
      </w:pPr>
      <w:r>
        <w:rPr>
          <w:sz w:val="18"/>
        </w:rPr>
        <w:t>——————————————————————————————————————————————————————————————————————</w:t>
      </w:r>
    </w:p>
    <w:p>
      <w:pPr>
        <w:spacing w:before="160" w:after="40" w:line="240" w:lineRule="auto"/>
      </w:pPr>
      <w:r>
        <w:rPr>
          <w:b/>
        </w:rPr>
        <w:t xml:space="preserve">[251] </w:t>
      </w:r>
      <w:hyperlink r:id="rId553">
        <w:r>
          <w:rPr>
            <w:color w:val="1155CC"/>
            <w:u w:val="single"/>
          </w:rPr>
          <w:t>[ASAP] 吸附物诱导的沸石酸位动态结构和催化微环境的洞察通过固态NMR</w:t>
        </w:r>
      </w:hyperlink>
    </w:p>
    <w:p>
      <w:pPr>
        <w:spacing w:before="0" w:after="80"/>
      </w:pPr>
      <w:r>
        <w:rPr>
          <w:i/>
          <w:sz w:val="20"/>
        </w:rPr>
        <w:t>EN: [ASAP] Insights into Adsorbate-Induced Dynamic Structures and Catalytic Microenvironments of Zeolite Acid Sites via Solid-State NMR</w:t>
      </w:r>
    </w:p>
    <w:p>
      <w:pPr>
        <w:spacing w:before="0" w:after="120"/>
      </w:pPr>
      <w:r>
        <w:rPr>
          <w:b/>
        </w:rPr>
        <w:t xml:space="preserve">Source: </w:t>
      </w:r>
      <w:r>
        <w:t>Journal of the American Chemical Society: Latest Articles (ACS Publications)</w:t>
      </w:r>
      <w:r>
        <w:t xml:space="preserve">    </w:t>
      </w:r>
      <w:r>
        <w:rPr>
          <w:b/>
        </w:rPr>
        <w:t xml:space="preserve">Pub date: </w:t>
      </w:r>
      <w:r>
        <w:t>2026-02-25 15:28:55+00:00</w:t>
      </w:r>
      <w:r>
        <w:t xml:space="preserve">    </w:t>
      </w:r>
      <w:r>
        <w:rPr>
          <w:b/>
        </w:rPr>
        <w:t xml:space="preserve">DOI: </w:t>
      </w:r>
      <w:hyperlink r:id="rId554">
        <w:r>
          <w:rPr>
            <w:color w:val="1155CC"/>
            <w:u w:val="single"/>
          </w:rPr>
          <w:t>10.1021/jacs.6c01162</w:t>
        </w:r>
      </w:hyperlink>
    </w:p>
    <w:p>
      <w:pPr>
        <w:spacing w:before="0" w:after="120"/>
      </w:pPr>
      <w:r>
        <w:rPr>
          <w:b/>
        </w:rPr>
        <w:t xml:space="preserve">Notes: </w:t>
      </w:r>
      <w:r>
        <w:t>abstract_source=pubmed</w:t>
      </w:r>
    </w:p>
    <w:p>
      <w:pPr>
        <w:spacing w:before="0" w:after="80" w:lineRule="auto" w:line="276"/>
      </w:pPr>
      <w:r>
        <w:rPr>
          <w:b/>
        </w:rPr>
        <w:t xml:space="preserve">摘要（ZH）: </w:t>
      </w:r>
      <w:r>
        <w:t>沸石是重要的固体酸催化剂，其催化性能由其酸位点的性质决定。传统上，这些位点被视为静态的、预定的结构特征，通过酸类型（Brønsted/Lewis）、强度和在刚性框架内的空间分布等指标来表征。然而，新兴的见解揭示了酸位点是动态和适应性的实体。它们的局部结构和化学性质可以被客体分子不断重塑，特别是在工作催化剂中，孔隙被反应物、中间体和产物占据时。这种吸附物诱导的结构重构控制了催化中的关键步骤，包括反应物吸附和活化、中间体稳定化，从而最终影响活性和选择性。</w:t>
      </w:r>
    </w:p>
    <w:p>
      <w:pPr>
        <w:spacing w:before="0" w:after="200" w:lineRule="auto" w:line="276"/>
      </w:pPr>
      <w:r>
        <w:rPr>
          <w:b/>
        </w:rPr>
        <w:t xml:space="preserve">Abstract (EN): </w:t>
      </w:r>
      <w:r>
        <w:t>Zeolites are essential solid acid catalysts whose catalytic performance is determined by the nature of their acid sites. Conventionally, these sites are viewed as static, predetermined structural motifs, characterized by metrics such as acid type (Brønsted/Lewis), strength, and spatial distribution within a rigid framework. Emerging insights, however, reveal that acid sites are dynamic and adaptive entities. Their local structure and chemical properties can be continuously reshaped by guest molecules, particularly in working catalysts where pores are occupied by reactants, intermediates, and products. This adsorbate-induced structural reconfiguration governs key steps in catalysis, including reactant adsorption and activation, intermediate stabilization, and thus ultimate activity and selectivity. Solid-state nuclear magnetic resonance (SSNMR) spectroscopy stands out as a unique and powerful technique for resolving these dynamic processes by translating subtle host-guest interactions into atomic-scale observables. This Perspective highlights recent SSNMR advances that uncover dynamic coordination states, map adaptive catalytic microenvironments, and establish direct correlations between these dynamic features and catalytic performance. These insights are reshaping fundamental understanding in zeolite chemistry and opening new avenues for the rational design of zeolite catalysts. We conclude by outlining key challenges and future opportunities for SSNMR in advancing the molecular-level understanding and optimization of catalysts under realistic reaction conditions.</w:t>
      </w:r>
    </w:p>
    <w:p>
      <w:pPr>
        <w:spacing w:before="120" w:after="120"/>
      </w:pPr>
      <w:r>
        <w:rPr>
          <w:sz w:val="18"/>
        </w:rPr>
        <w:t>——————————————————————————————————————————————————————————————————————</w:t>
      </w:r>
    </w:p>
    <w:p>
      <w:pPr>
        <w:spacing w:before="160" w:after="40" w:line="240" w:lineRule="auto"/>
      </w:pPr>
      <w:r>
        <w:rPr>
          <w:b/>
        </w:rPr>
        <w:t xml:space="preserve">[252] </w:t>
      </w:r>
      <w:hyperlink r:id="rId555">
        <w:r>
          <w:rPr>
            <w:color w:val="1155CC"/>
            <w:u w:val="single"/>
          </w:rPr>
          <w:t>[ASAP] 疏水性精炼的极性可切换脂肽调节内体逃逸并增强体外和体内mRNA递送</w:t>
        </w:r>
      </w:hyperlink>
    </w:p>
    <w:p>
      <w:pPr>
        <w:spacing w:before="0" w:after="80"/>
      </w:pPr>
      <w:r>
        <w:rPr>
          <w:i/>
          <w:sz w:val="20"/>
        </w:rPr>
        <w:t>EN: [ASAP] Hydrophobic Refinement of Polarity-Switchable Lipo-Xenopeptides Modulates Endosomal Escape and Enhances mRNA Delivery In Vitro and In Vivo</w:t>
      </w:r>
    </w:p>
    <w:p>
      <w:pPr>
        <w:spacing w:before="0" w:after="120"/>
      </w:pPr>
      <w:r>
        <w:rPr>
          <w:b/>
        </w:rPr>
        <w:t xml:space="preserve">Source: </w:t>
      </w:r>
      <w:r>
        <w:t>Journal of the American Chemical Society: Latest Articles (ACS Publications)</w:t>
      </w:r>
      <w:r>
        <w:t xml:space="preserve">    </w:t>
      </w:r>
      <w:r>
        <w:rPr>
          <w:b/>
        </w:rPr>
        <w:t xml:space="preserve">Pub date: </w:t>
      </w:r>
      <w:r>
        <w:t>2026-02-25 16:07:54+00:00</w:t>
      </w:r>
      <w:r>
        <w:t xml:space="preserve">    </w:t>
      </w:r>
      <w:r>
        <w:rPr>
          <w:b/>
        </w:rPr>
        <w:t xml:space="preserve">DOI: </w:t>
      </w:r>
      <w:hyperlink r:id="rId556">
        <w:r>
          <w:rPr>
            <w:color w:val="1155CC"/>
            <w:u w:val="single"/>
          </w:rPr>
          <w:t>10.1021/jacs.5c19141</w:t>
        </w:r>
      </w:hyperlink>
    </w:p>
    <w:p>
      <w:pPr>
        <w:spacing w:before="0" w:after="120"/>
      </w:pPr>
      <w:r>
        <w:rPr>
          <w:b/>
        </w:rPr>
        <w:t xml:space="preserve">Notes: </w:t>
      </w:r>
      <w:r>
        <w:t>abstract_source=openalex</w:t>
      </w:r>
    </w:p>
    <w:p>
      <w:pPr>
        <w:spacing w:before="0" w:after="80" w:lineRule="auto" w:line="276"/>
      </w:pPr>
      <w:r>
        <w:rPr>
          <w:b/>
        </w:rPr>
        <w:t xml:space="preserve">摘要（ZH）: </w:t>
      </w:r>
      <w:r>
        <w:t>双pH响应的脂肽结合了极性寡氨基酸（OAA），如琥珀酰四乙烯五胺（Stp），与非极性脂肪氨基酸（LAF）域。由此产生的强效mRNA载体在内体质子化时其极性发生显著变化。在当前的化学进化方法中，基于U形（LAF&lt;sub&gt;2&lt;/sub&gt;Stp&lt;sub&gt;1&lt;/sub&gt;, LAF&lt;sub&gt;4&lt;/sub&gt;Stp&lt;sub&gt;2&lt;/sub&gt;）或束状（LAF&lt;sub&gt;4&lt;/sub&gt;Stp&lt;sub&gt;1&lt;/sub&gt;）拓扑的三种表现优异的异肽通过用各种疏水化的OAA替换Stp进行改造。辛醇/水分配（log &lt;i&gt;D&lt;/i&gt;）通过一种新颖的无标记质谱法测定。在中性pH下，新的异肽类似物显示出高达85倍的疏水性（log &lt;i&gt;D&lt;/i&gt;&lt;sub&gt;7.4&lt;/sub&gt; &gt; 2）。</w:t>
      </w:r>
    </w:p>
    <w:p>
      <w:pPr>
        <w:spacing w:before="0" w:after="200" w:lineRule="auto" w:line="276"/>
      </w:pPr>
      <w:r>
        <w:rPr>
          <w:b/>
        </w:rPr>
        <w:t xml:space="preserve">Abstract (EN): </w:t>
      </w:r>
      <w:r>
        <w:t>Double pH-responsive lipo-xenopeptides combine polar oligoamino acids (OAAs) such as succinoyl tetraethylene pentamine (Stp) with apolar lipoamino fatty acid (LAF) domains. The resulting potent mRNA carriers undergo a profound shift in their polarity upon endosomal protonation. In the current chemical evolution approach, three top-performing xenopeptides based on a U-shaped (LAF&lt;sub&gt;2&lt;/sub&gt;Stp&lt;sub&gt;1&lt;/sub&gt;, LAF&lt;sub&gt;4&lt;/sub&gt;Stp&lt;sub&gt;2&lt;/sub&gt;) or bundle (LAF&lt;sub&gt;4&lt;/sub&gt;Stp&lt;sub&gt;1&lt;/sub&gt;) topology were modified by replacing Stp with a variety of hydrophobized OAAs. Octanol/water distribution (log &lt;i&gt;D&lt;/i&gt;) was determined by a novel label-free mass spectrometry-based method. At neutral pH, the new xenopeptide analogues displayed an up to 85-fold higher hydrophobicity (log &lt;i&gt;D&lt;/i&gt;&lt;sub&gt;7.4&lt;/sub&gt; &gt; 2) than Stp-based carriers, with a sharp pH-responsive decrease at endosomal pH (log &lt;i&gt;D&lt;/i&gt;&lt;sub&gt;5.5&lt;/sub&gt; -1). Transfection efficacies were influenced by the amine count of the OAAs, with tetraethylene pentamine outperforming the OAAs with fewer amines. For both topologies, a strong correlation between mRNA expression and endosomal escape, as quantified by calcein release, was found. For U-shaped carriers (LAF/OAA = 2:1), lipophilic OAAs improved endosomal escape and mRNA transfection efficiency. In contrast, for bundle carriers (LAF/OAA = 4:1), lipophilic OAA incorporation did not further enhance endosomal escape or transfection. Mechanistic studies revealed that LAF-xenopeptide polyplexes can adopt both endosomal pH-dependent and pH-independent cytosolic entry mechanisms, with hydrophobization accelerating expression kinetics and enhancing pH-independent entry. Optimized U-shaped xenopeptides were identified with improved mRNA transfection in tumor cells, a dendritic cell line, and low-passage human colon carcinoma cells. In vivo, enhanced mRNA expression was found upon either intramuscular or intravenous administration in several organs and tumor tissue.</w:t>
      </w:r>
    </w:p>
    <w:p>
      <w:pPr>
        <w:spacing w:before="120" w:after="120"/>
      </w:pPr>
      <w:r>
        <w:rPr>
          <w:sz w:val="18"/>
        </w:rPr>
        <w:t>——————————————————————————————————————————————————————————————————————</w:t>
      </w:r>
    </w:p>
    <w:p>
      <w:pPr>
        <w:spacing w:before="160" w:after="40" w:line="240" w:lineRule="auto"/>
      </w:pPr>
      <w:r>
        <w:rPr>
          <w:b/>
        </w:rPr>
        <w:t xml:space="preserve">[253] </w:t>
      </w:r>
      <w:hyperlink r:id="rId557">
        <w:r>
          <w:rPr>
            <w:color w:val="1155CC"/>
            <w:u w:val="single"/>
          </w:rPr>
          <w:t>[ASAP] 癌细胞降解纳米颗粒蛋白冠以进行生物合成</w:t>
        </w:r>
      </w:hyperlink>
    </w:p>
    <w:p>
      <w:pPr>
        <w:spacing w:before="0" w:after="80"/>
      </w:pPr>
      <w:r>
        <w:rPr>
          <w:i/>
          <w:sz w:val="20"/>
        </w:rPr>
        <w:t>EN: [ASAP] Cancer Cells Degrade the Nanoparticle Protein Corona for Biosynthesis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2026-02-25 16:59:09+00:00</w:t>
      </w:r>
      <w:r>
        <w:t xml:space="preserve">    </w:t>
      </w:r>
      <w:r>
        <w:rPr>
          <w:b/>
        </w:rPr>
        <w:t xml:space="preserve">DOI: </w:t>
      </w:r>
      <w:hyperlink r:id="rId558">
        <w:r>
          <w:rPr>
            <w:color w:val="1155CC"/>
            <w:u w:val="single"/>
          </w:rPr>
          <w:t>10.1021/jacs.5c19355</w:t>
        </w:r>
      </w:hyperlink>
    </w:p>
    <w:p>
      <w:pPr>
        <w:spacing w:before="0" w:after="120"/>
      </w:pPr>
      <w:r>
        <w:rPr>
          <w:b/>
        </w:rPr>
        <w:t xml:space="preserve">Notes: </w:t>
      </w:r>
      <w:r>
        <w:t>abstract_source=pubmed</w:t>
      </w:r>
    </w:p>
    <w:p>
      <w:pPr>
        <w:spacing w:before="0" w:after="80" w:lineRule="auto" w:line="276"/>
      </w:pPr>
      <w:r>
        <w:rPr>
          <w:b/>
        </w:rPr>
        <w:t xml:space="preserve">摘要（ZH）: </w:t>
      </w:r>
      <w:r>
        <w:t>设计用于携带药物的纳米颗粒被施用于患者，以检测和治疗癌症。血清蛋白在纳米颗粒进入血液后在其表面形成蛋白冠。蛋白冠可以影响纳米颗粒如何循环、与癌细胞相互作用以及被癌细胞吸收。蛋白冠进入细胞后发生的情况仍不清楚。在此，我们发现癌细胞代谢蛋白冠以合成新的大分子。内化后，纳米颗粒及其相关的蛋白冠被运输到细胞溶酶体。蛋白水解酶在溶酶体中将蛋白冠降解为氨基酸。降解的副产物被用于合成新细胞的大分子。总氨基酸</w:t>
      </w:r>
    </w:p>
    <w:p>
      <w:pPr>
        <w:spacing w:before="0" w:after="200" w:lineRule="auto" w:line="276"/>
      </w:pPr>
      <w:r>
        <w:rPr>
          <w:b/>
        </w:rPr>
        <w:t xml:space="preserve">Abstract (EN): </w:t>
      </w:r>
      <w:r>
        <w:t>Nanoparticles designed to carry medical agents are administered to patients for the detection and treatment of cancer. Serum proteins form a protein corona on the nanoparticle surface after nanoparticles enter the bloodstream. The protein corona can impact how nanoparticles circulate, interact with, and get taken up by cancer cells. What happens to the protein corona once inside the cells remains unclear. Here, we discovered that cancer cells metabolize the protein corona to synthesize new macromolecules. After internalization, nanoparticles and their associated protein corona are trafficked to cell lysosomes. Proteolytic enzymes degrade the protein corona into amino acids in the lysosomes. The degraded byproducts are utilized for the synthesis of macromolecules for new cells. The total amount of serum proteins entering cells with the nanoparticles is greater than that in solution. Each internalized 55 nm gold nanoparticle transports an amount of protein equivalent to the uptake of over 250 individual proteins from solution. The uptake of nanoparticles creates an abundance of proteins for cells to carry out biosynthesis. These findings reveal that the nanoparticle protein corona serves as a nutrient reservoir for cancer cell metabolism.</w:t>
      </w:r>
    </w:p>
    <w:p>
      <w:pPr>
        <w:spacing w:before="120" w:after="120"/>
      </w:pPr>
      <w:r>
        <w:rPr>
          <w:sz w:val="18"/>
        </w:rPr>
        <w:t>——————————————————————————————————————————————————————————————————————</w:t>
      </w:r>
    </w:p>
    <w:p>
      <w:pPr>
        <w:spacing w:before="160" w:after="40" w:line="240" w:lineRule="auto"/>
      </w:pPr>
      <w:r>
        <w:rPr>
          <w:b/>
        </w:rPr>
        <w:t xml:space="preserve">[254] </w:t>
      </w:r>
      <w:hyperlink r:id="rId559">
        <w:r>
          <w:rPr>
            <w:color w:val="1155CC"/>
            <w:u w:val="single"/>
          </w:rPr>
          <w:t>[ASAP] 铜催化的不对称乙烯化α-氰基取代羰基化合物</w:t>
        </w:r>
      </w:hyperlink>
    </w:p>
    <w:p>
      <w:pPr>
        <w:spacing w:before="0" w:after="80"/>
      </w:pPr>
      <w:r>
        <w:rPr>
          <w:i/>
          <w:sz w:val="20"/>
        </w:rPr>
        <w:t>EN: [ASAP] Copper-Catalyzed Asymmetric Vinylation of α-Cyano Substituted Carbonyl Compounds</w:t>
      </w:r>
    </w:p>
    <w:p>
      <w:pPr>
        <w:spacing w:before="0" w:after="120"/>
      </w:pPr>
      <w:r>
        <w:rPr>
          <w:b/>
        </w:rPr>
        <w:t xml:space="preserve">Source: </w:t>
      </w:r>
      <w:r>
        <w:t>Journal of the American Chemical Society: Latest Articles (ACS Publications)</w:t>
      </w:r>
      <w:r>
        <w:t xml:space="preserve">    </w:t>
      </w:r>
      <w:r>
        <w:rPr>
          <w:b/>
        </w:rPr>
        <w:t xml:space="preserve">Pub date: </w:t>
      </w:r>
      <w:r>
        <w:t>2026-02-25 17:22:57+00:00</w:t>
      </w:r>
      <w:r>
        <w:t xml:space="preserve">    </w:t>
      </w:r>
      <w:r>
        <w:rPr>
          <w:b/>
        </w:rPr>
        <w:t xml:space="preserve">DOI: </w:t>
      </w:r>
      <w:hyperlink r:id="rId560">
        <w:r>
          <w:rPr>
            <w:color w:val="1155CC"/>
            <w:u w:val="single"/>
          </w:rPr>
          <w:t>10.1021/jacs.5c22210</w:t>
        </w:r>
      </w:hyperlink>
    </w:p>
    <w:p>
      <w:pPr>
        <w:spacing w:before="0" w:after="120"/>
      </w:pPr>
      <w:r>
        <w:rPr>
          <w:b/>
        </w:rPr>
        <w:t xml:space="preserve">Notes: </w:t>
      </w:r>
      <w:r>
        <w:t>abstract_source=pubmed</w:t>
      </w:r>
    </w:p>
    <w:p>
      <w:pPr>
        <w:spacing w:before="0" w:after="80" w:lineRule="auto" w:line="276"/>
      </w:pPr>
      <w:r>
        <w:rPr>
          <w:b/>
        </w:rPr>
        <w:t xml:space="preserve">摘要（ZH）: </w:t>
      </w:r>
      <w:r>
        <w:t>基于(S)-氮杂环丁烷-2-羧酸衍生酰胺，开发了一类有效的配体，用于Cu催化的手性选择性偶联乙烯基碘化物与α-氰基羰基化合物，包括α-烷基取代氰基乙酸酯、α-氰基内酰胺和α-氰基内酯。该不对称转化提供了α-乙烯基-α-烷基氰基乙酸酯、α-乙烯基-α-氰基内酰胺和α-乙烯基-α-氰基内酯，具有良好至优异的对映选择性（高达99% ee）。可以在这三种类型的底物的四元中心引入多种功能化的乙烯基基团。此外，该反应适用于α-烷基取代氰基乙酸酯中的简单和功能化烷基取代基。这些优势使得当前的偶联策略对于</w:t>
      </w:r>
    </w:p>
    <w:p>
      <w:pPr>
        <w:spacing w:before="0" w:after="200" w:lineRule="auto" w:line="276"/>
      </w:pPr>
      <w:r>
        <w:rPr>
          <w:b/>
        </w:rPr>
        <w:t xml:space="preserve">Abstract (EN): </w:t>
      </w:r>
      <w:r>
        <w:t>Based on (S)-azetidine-2-carboxylic acid-derived amides, a class of effective ligands has been developed for the Cu-catalyzed enantioselective coupling of vinyl iodides with α-cyano carbonyl compounds, including α-alkyl-substituted cyanoacetates, α-cyano lactams, and α-cyano lactones. This asymmetric transformation affords α-vinyl-α-alkyl cyanoacetates, α-vinyl-α-cyano lactams, and α-vinyl-α-cyano lactones in good to excellent enantioselectivities (up to 99% ee). A wide range of functionalized vinyl groups can be introduced at the quaternary center across these three types of substrates. Furthermore, the reaction accommodates both simple and functionalized alkyl substituents in the α-alkyl-substituted cyanoacetates. These advantages make the current coupling strategy highly valuable for constructing enantioenriched molecules featuring an all-carbon quaternary center bearing versatile and easily modifiable functional groups.</w:t>
      </w:r>
    </w:p>
    <w:p>
      <w:pPr>
        <w:spacing w:before="120" w:after="120"/>
      </w:pPr>
      <w:r>
        <w:rPr>
          <w:sz w:val="18"/>
        </w:rPr>
        <w:t>——————————————————————————————————————————————————————————————————————</w:t>
      </w:r>
    </w:p>
    <w:p>
      <w:pPr>
        <w:spacing w:before="160" w:after="40" w:line="240" w:lineRule="auto"/>
      </w:pPr>
      <w:r>
        <w:rPr>
          <w:b/>
        </w:rPr>
        <w:t xml:space="preserve">[255] </w:t>
      </w:r>
      <w:hyperlink r:id="rId561">
        <w:r>
          <w:rPr>
            <w:color w:val="1155CC"/>
            <w:u w:val="single"/>
          </w:rPr>
          <w:t>[ASAP] 共价-配位双驱动的原位模块化组装12连接镍基金属有机框架</w:t>
        </w:r>
      </w:hyperlink>
    </w:p>
    <w:p>
      <w:pPr>
        <w:spacing w:before="0" w:after="80"/>
      </w:pPr>
      <w:r>
        <w:rPr>
          <w:i/>
          <w:sz w:val="20"/>
        </w:rPr>
        <w:t>EN: [ASAP] Covalent-Coordination-Dual-Driven In Situ Modular Assembly of 12-Connected Nickel-Based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2026-02-25 18:12:53+00:00</w:t>
      </w:r>
      <w:r>
        <w:t xml:space="preserve">    </w:t>
      </w:r>
      <w:r>
        <w:rPr>
          <w:b/>
        </w:rPr>
        <w:t xml:space="preserve">DOI: </w:t>
      </w:r>
      <w:hyperlink r:id="rId562">
        <w:r>
          <w:rPr>
            <w:color w:val="1155CC"/>
            <w:u w:val="single"/>
          </w:rPr>
          <w:t>10.1021/jacs.5c22441</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s）的实际应用通常受到结构稳定性、合成复杂性和功能可调性之间权衡的限制。在此，我们提出了一种简便的原位模块化组装方法，通过在单锅反应中整合共价亚胺键和金属-配体配位键的形成，合成高度稳定的12连接Ni8-MOFs。该方法利用简单的前体，如醋酸镍、4-氨基吡唑和多种芳香醛，在传统回流条件下构建了31种高度结晶的Ni8-MOFs（JNU-230-JNU-260）库。我们进一步展示了这种合成策略的可扩展性和可持续性，每批次使用回收的反应溶剂进行克级生产，且不影响结晶度</w:t>
      </w:r>
    </w:p>
    <w:p>
      <w:pPr>
        <w:spacing w:before="0" w:after="200" w:lineRule="auto" w:line="276"/>
      </w:pPr>
      <w:r>
        <w:rPr>
          <w:b/>
        </w:rPr>
        <w:t xml:space="preserve">Abstract (EN): </w:t>
      </w:r>
      <w:r>
        <w:t>The practical application of metal-organic frameworks (MOFs) is often hindered by the trade-off among structural stability, synthetic complexity, and functional tunability. Herein, we present a facile in situ modular assembly of highly stable 12-connected Ni8-MOFs by integrating the formation of covalent imine bonds and metal-ligand coordination bonds in a one-pot reaction. This approach utilizes simple precursors of nickel acetate, 4-aminopyrazoles, and diverse aromatic aldehydes to construct a library of 31 highly crystalline Ni8-MOFs (JNU-230-JNU-260) under traditional refluxing conditions. We further demonstrate the scalability and sustainability of this synthetic strategy, affording gram-scale production per batch using recycled reaction solvents, with no compromise in crystallinity or porosity for at least 3 additional batches. Moreover, in situ modular assembly and donor-acceptor regulation enable the formation of JNU-244 as a highly efficient and stable heterogeneous photocatalyst, achieving a yield of up to 99% in a visible-light-driven cross-dehydrogenative coupling reaction with excellent recyclability. This work offers a new platform for the precise and sustainable construction of highly stable, functionally advanced MOFs, highlighting the power of synergistic covalent-coordination-dual driven assembly in materials design.</w:t>
      </w:r>
    </w:p>
    <w:p>
      <w:pPr>
        <w:spacing w:before="120" w:after="120"/>
      </w:pPr>
      <w:r>
        <w:rPr>
          <w:sz w:val="18"/>
        </w:rPr>
        <w:t>——————————————————————————————————————————————————————————————————————</w:t>
      </w:r>
    </w:p>
    <w:p>
      <w:pPr>
        <w:spacing w:before="160" w:after="40" w:line="240" w:lineRule="auto"/>
      </w:pPr>
      <w:r>
        <w:rPr>
          <w:b/>
        </w:rPr>
        <w:t xml:space="preserve">[256] </w:t>
      </w:r>
      <w:hyperlink r:id="rId563">
        <w:r>
          <w:rPr>
            <w:color w:val="1155CC"/>
            <w:u w:val="single"/>
          </w:rPr>
          <w:t>[ASAP] 铁催化的末端炔烃的反马氏烯丙基锌化</w:t>
        </w:r>
      </w:hyperlink>
    </w:p>
    <w:p>
      <w:pPr>
        <w:spacing w:before="0" w:after="80"/>
      </w:pPr>
      <w:r>
        <w:rPr>
          <w:i/>
          <w:sz w:val="20"/>
        </w:rPr>
        <w:t>EN: [ASAP] Iron-Catalyzed anti-Markovnikov Allylzincation of Terminal Alkynes</w:t>
      </w:r>
    </w:p>
    <w:p>
      <w:pPr>
        <w:spacing w:before="0" w:after="120"/>
      </w:pPr>
      <w:r>
        <w:rPr>
          <w:b/>
        </w:rPr>
        <w:t xml:space="preserve">Source: </w:t>
      </w:r>
      <w:r>
        <w:t>Journal of the American Chemical Society: Latest Articles (ACS Publications)</w:t>
      </w:r>
      <w:r>
        <w:t xml:space="preserve">    </w:t>
      </w:r>
      <w:r>
        <w:rPr>
          <w:b/>
        </w:rPr>
        <w:t xml:space="preserve">Pub date: </w:t>
      </w:r>
      <w:r>
        <w:t>2026-02-25 19:04:24+00:00</w:t>
      </w:r>
      <w:r>
        <w:t xml:space="preserve">    </w:t>
      </w:r>
      <w:r>
        <w:rPr>
          <w:b/>
        </w:rPr>
        <w:t xml:space="preserve">DOI: </w:t>
      </w:r>
      <w:hyperlink r:id="rId564">
        <w:r>
          <w:rPr>
            <w:color w:val="1155CC"/>
            <w:u w:val="single"/>
          </w:rPr>
          <w:t>10.1021/jacs.5c21100</w:t>
        </w:r>
      </w:hyperlink>
    </w:p>
    <w:p>
      <w:pPr>
        <w:spacing w:before="0" w:after="120"/>
      </w:pPr>
      <w:r>
        <w:rPr>
          <w:b/>
        </w:rPr>
        <w:t xml:space="preserve">Notes: </w:t>
      </w:r>
      <w:r>
        <w:t>abstract_source=pubmed</w:t>
      </w:r>
    </w:p>
    <w:p>
      <w:pPr>
        <w:spacing w:before="0" w:after="80" w:lineRule="auto" w:line="276"/>
      </w:pPr>
      <w:r>
        <w:rPr>
          <w:b/>
        </w:rPr>
        <w:t xml:space="preserve">摘要（ZH）: </w:t>
      </w:r>
      <w:r>
        <w:t>末端炔烃的烯丙基金属化主要受底物电子性质的支配，尚无有效策略实现一般末端炔烃的反Markovnikov加成（烯丙基加成到末端碳）。在此，我们报道了一种2-(亚氨基)喹啉铁催化的芳基和烷基取代末端炔烃的反Markovnikov烯丙基锌化反应。该方法提供了反Markovnikov加成产物，即1,4-二烯基锌试剂，具有高产率（高达99%）和优异的区域选择性和立体选择性（大多&gt;95:5），具有广泛的底物范围和良好的官能团耐受性。它提供了一种直接、高效的途径来合成通过已报道方法无法获得的1,4-二烯基锌试剂，并已应用于多取代1,4-二烯的简洁合成，以及</w:t>
      </w:r>
    </w:p>
    <w:p>
      <w:pPr>
        <w:spacing w:before="0" w:after="200" w:lineRule="auto" w:line="276"/>
      </w:pPr>
      <w:r>
        <w:rPr>
          <w:b/>
        </w:rPr>
        <w:t xml:space="preserve">Abstract (EN): </w:t>
      </w:r>
      <w:r>
        <w:t>Allylmetalation of terminal alkynes is predominantly governed by substrate electronic properties, leaving no effective strategy for anti-Markovnikov addition (allyl addition to the terminal carbon) of general terminal alkynes. Herein, we report a 2-(imino)quinoline iron-catalyzed anti-Markovnikov allylzincation of aryl- and alkyl-substituted terminal alkynes. This protocol affords anti-Markovnikov addition products, 1,4-dienylzinc reagents, in high yields (up to 99%) with excellent regio- and stereoselectivities (mostly &gt;95:5), featuring broad substrate scope and good functional group tolerance. It provides a direct, efficient route to 1,4-dienylzinc reagents which are inaccessible via reported methods, and has been applied to the concise synthesis of polysubstituted 1,4-dienes, as well as key intermediates for several natural products. Mechanistic studies reveal that alkyne activation by Fe(0) catalyst and the semiopen steric effect of 2-(imino)quinoline ligands are critical to overcoming electronic biases and achieving the desired selectivity. This work highlights the unique advantages of low-valent iron catalysts in regulating classical organic reaction selectivity and offers an effective method for accessing novel 1,4-dienes.</w:t>
      </w:r>
    </w:p>
    <w:p>
      <w:pPr>
        <w:spacing w:before="120" w:after="120"/>
      </w:pPr>
      <w:r>
        <w:rPr>
          <w:sz w:val="18"/>
        </w:rPr>
        <w:t>——————————————————————————————————————————————————————————————————————</w:t>
      </w:r>
    </w:p>
    <w:p>
      <w:pPr>
        <w:spacing w:before="160" w:after="40" w:line="240" w:lineRule="auto"/>
      </w:pPr>
      <w:r>
        <w:rPr>
          <w:b/>
        </w:rPr>
        <w:t xml:space="preserve">[257] </w:t>
      </w:r>
      <w:hyperlink r:id="rId565">
        <w:r>
          <w:rPr>
            <w:color w:val="1155CC"/>
            <w:u w:val="single"/>
          </w:rPr>
          <w:t>[ASAP] 跨膜螺旋的构象灵活性：如何运作及其重要性</w:t>
        </w:r>
      </w:hyperlink>
    </w:p>
    <w:p>
      <w:pPr>
        <w:spacing w:before="0" w:after="80"/>
      </w:pPr>
      <w:r>
        <w:rPr>
          <w:i/>
          <w:sz w:val="20"/>
        </w:rPr>
        <w:t>EN: [ASAP] Conformational Flexibility of Transmembrane Helices: How it Works and Where it Matters</w:t>
      </w:r>
    </w:p>
    <w:p>
      <w:pPr>
        <w:spacing w:before="0" w:after="120"/>
      </w:pPr>
      <w:r>
        <w:rPr>
          <w:b/>
        </w:rPr>
        <w:t xml:space="preserve">Source: </w:t>
      </w:r>
      <w:r>
        <w:t>Chemical Reviews: Latest Articles (ACS Publications)</w:t>
      </w:r>
      <w:r>
        <w:t xml:space="preserve">    </w:t>
      </w:r>
      <w:r>
        <w:rPr>
          <w:b/>
        </w:rPr>
        <w:t xml:space="preserve">Pub date: </w:t>
      </w:r>
      <w:r>
        <w:t>2026-02-25 19:24:17+00:00</w:t>
      </w:r>
      <w:r>
        <w:t xml:space="preserve">    </w:t>
      </w:r>
      <w:r>
        <w:rPr>
          <w:b/>
        </w:rPr>
        <w:t xml:space="preserve">DOI: </w:t>
      </w:r>
      <w:hyperlink r:id="rId566">
        <w:r>
          <w:rPr>
            <w:color w:val="1155CC"/>
            <w:u w:val="single"/>
          </w:rPr>
          <w:t>10.1021/acs.chemrev.5c00581</w:t>
        </w:r>
      </w:hyperlink>
    </w:p>
    <w:p>
      <w:pPr>
        <w:spacing w:before="0" w:after="120"/>
      </w:pPr>
      <w:r>
        <w:rPr>
          <w:b/>
        </w:rPr>
        <w:t xml:space="preserve">Notes: </w:t>
      </w:r>
      <w:r>
        <w:t>abstract_source=pubmed</w:t>
      </w:r>
    </w:p>
    <w:p>
      <w:pPr>
        <w:spacing w:before="0" w:after="80" w:lineRule="auto" w:line="276"/>
      </w:pPr>
      <w:r>
        <w:rPr>
          <w:b/>
        </w:rPr>
        <w:t xml:space="preserve">摘要（ZH）: </w:t>
      </w:r>
      <w:r>
        <w:t>越来越多的多通道和寡聚膜蛋白被发现存在于不同的结构亚态中，这些亚态代表了其功能周期的不同阶段。许多组成的跨膜螺旋局部偏离了典型的α-螺旋结构，表明其构象灵活性是功能所需的和/或与功能状态之间的结构转换有关。许多单通道蛋白的生物功能也常常依赖于其跨膜螺旋的显著构象灵活性。目前的研究集中在螺旋灵活性的类型和序列依赖性、其多样的功能角色以及其与膜内脂质环境的相互作用。本展望将阐述这些问题</w:t>
      </w:r>
    </w:p>
    <w:p>
      <w:pPr>
        <w:spacing w:before="0" w:after="200" w:lineRule="auto" w:line="276"/>
      </w:pPr>
      <w:r>
        <w:rPr>
          <w:b/>
        </w:rPr>
        <w:t xml:space="preserve">Abstract (EN): </w:t>
      </w:r>
      <w:r>
        <w:t>An increasing number of multipass and oligomeric membrane proteins is found to exist in different structural substates that represent different stages of their functional cycles. Many of their constituent transmembrane helices locally deviate from canonical α-helical structure, suggesting that their conformational flexibility is required for function and/or connected to structural conversions between functional states. Biological functions of many single-pass proteins also often depend on the substantial conformational flexibility of their transmembrane helices. Current research focuses on the types and sequence dependence of helix flexibility, its diverse functional roles, as well as its interplay with the lipid environment within a membrane. This Perspective will illustrate these issues using a number of exemplary cases, including bacteriorhodopsin, ion channels, fusogenic proteins, and intramembrane protease substrates. In addition, we will discuss some methodological aspects, including advanced hydrogen-deuterium exchange analysis that can be useful in investigating the conformational flexibility of TM-helices.</w:t>
      </w:r>
    </w:p>
    <w:p>
      <w:pPr>
        <w:spacing w:before="120" w:after="120"/>
      </w:pPr>
      <w:r>
        <w:rPr>
          <w:sz w:val="18"/>
        </w:rPr>
        <w:t>——————————————————————————————————————————————————————————————————————</w:t>
      </w:r>
    </w:p>
    <w:p>
      <w:pPr>
        <w:spacing w:before="160" w:after="40" w:line="240" w:lineRule="auto"/>
      </w:pPr>
      <w:r>
        <w:rPr>
          <w:b/>
        </w:rPr>
        <w:t xml:space="preserve">[258] </w:t>
      </w:r>
      <w:hyperlink r:id="rId567">
        <w:r>
          <w:rPr>
            <w:color w:val="1155CC"/>
            <w:u w:val="single"/>
          </w:rPr>
          <w:t>[ASAP] Au电氧化中瞬态Auδ+氧化物的直接实验证据</w:t>
        </w:r>
      </w:hyperlink>
    </w:p>
    <w:p>
      <w:pPr>
        <w:spacing w:before="0" w:after="80"/>
      </w:pPr>
      <w:r>
        <w:rPr>
          <w:i/>
          <w:sz w:val="20"/>
        </w:rPr>
        <w:t>EN: [ASAP] Direct Experimental Evidence of Transient Auδ+ Oxide in Au Electrooxidation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2026-02-25 20:34:05+00:00</w:t>
      </w:r>
      <w:r>
        <w:t xml:space="preserve">    </w:t>
      </w:r>
      <w:r>
        <w:rPr>
          <w:b/>
        </w:rPr>
        <w:t xml:space="preserve">DOI: </w:t>
      </w:r>
      <w:hyperlink r:id="rId568">
        <w:r>
          <w:rPr>
            <w:color w:val="1155CC"/>
            <w:u w:val="single"/>
          </w:rPr>
          <w:t>10.1021/jacs.5c13087</w:t>
        </w:r>
      </w:hyperlink>
    </w:p>
    <w:p>
      <w:pPr>
        <w:spacing w:before="0" w:after="120"/>
      </w:pPr>
      <w:r>
        <w:rPr>
          <w:b/>
        </w:rPr>
        <w:t xml:space="preserve">Notes: </w:t>
      </w:r>
      <w:r>
        <w:t>abstract_source=pubmed</w:t>
      </w:r>
    </w:p>
    <w:p>
      <w:pPr>
        <w:spacing w:before="0" w:after="80" w:lineRule="auto" w:line="276"/>
      </w:pPr>
      <w:r>
        <w:rPr>
          <w:b/>
        </w:rPr>
        <w:t xml:space="preserve">摘要（ZH）: </w:t>
      </w:r>
      <w:r>
        <w:t>贵金属在酸性介质中的阳极电氧化是电催化和能量转换的核心主题，因为其与氧气析出反应（OER）相关。特别是，传统上认为金电极在与OER相关的高电位下直接从金属态（Au0）氧化到三价态（Au3+）。然而，这一长期存在的范式已被最近的原位表征研究越来越多地挑战。在此，我们报告了在形成Au3+之前，直接观察到一种亚稳态的金氧化态（Auδ+，其中0 &lt; δ &lt; 3）。这种物种在0.1 M H2SO4中的Au(111)上电化学诱导，并在超高真空（UHV）下使用准原位X射线光电子能谱（XPS）观察到电极表面。一个</w:t>
      </w:r>
    </w:p>
    <w:p>
      <w:pPr>
        <w:spacing w:before="0" w:after="200" w:lineRule="auto" w:line="276"/>
      </w:pPr>
      <w:r>
        <w:rPr>
          <w:b/>
        </w:rPr>
        <w:t xml:space="preserve">Abstract (EN): </w:t>
      </w:r>
      <w:r>
        <w:t>Anodic electrooxidation of noble metals in acidic media represents a central topic in electrocatalysis and energy conversion due to its relevance for the oxygen evolution reaction (OER). In particular, gold electrodes are traditionally assumed to oxidize directly from the metallic state (Au0) to a trivalent state (Au3+) at high potentials relevant to OER. However, this long-standing paradigm has been increasingly challenged by recent in situ characterization studies. Here we report the direct observation of a metastable gold oxidation state (Auδ+, where 0 &lt; δ &lt; 3) preceding the formation of Au3+. This species is electrochemically induced on Au(111) in 0.1 M H2SO4 and observed at the electrode surface under ultrahigh vacuum (UHV) using quasi-in situ X-ray photoelectron spectroscopy (XPS). Auδ+ manifests a distinct chemical shift in XPS without conforming to a fully evolved Au3+ oxidation state. Atomic-resolution imaging via low-temperature scanning probe microscopy (LT-STM/nc-AFM) revealed that the Auδ+ phase forms an amorphous oxide layer. This study provides evidence of a two-step mechanism for Au electrooxidation accompanying the OER onset. Formation of the Auδ+ surface oxide precedes the formation of the bulk Au3+ oxide responsible for the OER. This mechanism strongly challenges the thermodynamically predicted one-step Au0 → Au3+ oxidation model. The two-step Au-oxidation mechanism parallels the proposed Pt electrooxidation pathway, suggesting a general oxidation mechanism for noble metals.</w:t>
      </w:r>
    </w:p>
    <w:p>
      <w:pPr>
        <w:spacing w:before="120" w:after="120"/>
      </w:pPr>
      <w:r>
        <w:rPr>
          <w:sz w:val="18"/>
        </w:rPr>
        <w:t>——————————————————————————————————————————————————————————————————————</w:t>
      </w:r>
    </w:p>
    <w:p>
      <w:pPr>
        <w:spacing w:before="160" w:after="40" w:line="240" w:lineRule="auto"/>
      </w:pPr>
      <w:r>
        <w:rPr>
          <w:b/>
        </w:rPr>
        <w:t xml:space="preserve">[259] </w:t>
      </w:r>
      <w:hyperlink r:id="rId569">
        <w:r>
          <w:rPr>
            <w:color w:val="1155CC"/>
            <w:u w:val="single"/>
          </w:rPr>
          <w:t>世界首例干细胞疗法显示出治疗子宫内脊柱裂的前景</w:t>
        </w:r>
      </w:hyperlink>
    </w:p>
    <w:p>
      <w:pPr>
        <w:spacing w:before="0" w:after="80"/>
      </w:pPr>
      <w:r>
        <w:rPr>
          <w:i/>
          <w:sz w:val="20"/>
        </w:rPr>
        <w:t>EN: World-first stem-cell therapy shows promise for treating spina bifida in the womb</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[260] </w:t>
      </w:r>
      <w:hyperlink r:id="rId570">
        <w:r>
          <w:rPr>
            <w:color w:val="1155CC"/>
            <w:u w:val="single"/>
          </w:rPr>
          <w:t>无结构蛋白模拟物具有酶活性</w:t>
        </w:r>
      </w:hyperlink>
    </w:p>
    <w:p>
      <w:pPr>
        <w:spacing w:before="0" w:after="80"/>
      </w:pPr>
      <w:r>
        <w:rPr>
          <w:i/>
          <w:sz w:val="20"/>
        </w:rPr>
        <w:t>EN: Unstructured protein mimics have enzymatic activity</w:t>
      </w:r>
    </w:p>
    <w:p>
      <w:pPr>
        <w:spacing w:before="0" w:after="120"/>
      </w:pPr>
      <w:r>
        <w:rPr>
          <w:b/>
        </w:rPr>
        <w:t xml:space="preserve">Source: </w:t>
      </w:r>
      <w:r>
        <w:t>Chem</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含有带电、极性和疏水单体的随机共聚物保护酶，使其能够在非生物环境中发挥作用。这些异聚物模仿了在模拟无膜细胞器的共聚物中无结构蛋白的行为。在最近一期的《Nature》杂志中，徐和Alexander-Katz领导的团队通过选择调节其化学微环境以复制酶功能的单体，设计了具有酶活性的异聚物。</w:t>
      </w:r>
    </w:p>
    <w:p>
      <w:pPr>
        <w:spacing w:before="0" w:after="200" w:lineRule="auto" w:line="276"/>
      </w:pPr>
      <w:r>
        <w:rPr>
          <w:b/>
        </w:rPr>
        <w:t xml:space="preserve">Abstract (EN): </w:t>
      </w:r>
      <w:r>
        <w:t>Random copolymers containing charged, polar, and hydrophobic monomers protect enzymes so they can function in non-biological environments. These heteropolymers imitate unstructured proteins in coacervates that mimic membraneless organelles. Reporting in a recent issue of Nature, a team led by Xu and Alexander-Katz has designed heteropolymers with enzymatic activity by selecting monomers that modulate their chemical microenvironment to replicate enzymatic functionalities.</w:t>
      </w:r>
    </w:p>
    <w:p>
      <w:pPr>
        <w:spacing w:before="120" w:after="120"/>
      </w:pPr>
      <w:r>
        <w:rPr>
          <w:sz w:val="18"/>
        </w:rPr>
        <w:t>——————————————————————————————————————————————————————————————————————</w:t>
      </w:r>
    </w:p>
    <w:p>
      <w:pPr>
        <w:spacing w:before="160" w:after="40" w:line="240" w:lineRule="auto"/>
      </w:pPr>
      <w:r>
        <w:rPr>
          <w:b/>
        </w:rPr>
        <w:t xml:space="preserve">[261] </w:t>
      </w:r>
      <w:hyperlink r:id="rId571">
        <w:r>
          <w:rPr>
            <w:color w:val="1155CC"/>
            <w:u w:val="single"/>
          </w:rPr>
          <w:t>使坚韧的水凝胶各向同性</w:t>
        </w:r>
      </w:hyperlink>
    </w:p>
    <w:p>
      <w:pPr>
        <w:spacing w:before="0" w:after="80"/>
      </w:pPr>
      <w:r>
        <w:rPr>
          <w:i/>
          <w:sz w:val="20"/>
        </w:rPr>
        <w:t>EN: Making tough hydrogels isotropic</w:t>
      </w:r>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[262] </w:t>
      </w:r>
      <w:hyperlink r:id="rId572">
        <w:r>
          <w:rPr>
            <w:color w:val="1155CC"/>
            <w:u w:val="single"/>
          </w:rPr>
          <w:t>这种化合物增强了小鼠的长期记忆——但仅限于雌性</w:t>
        </w:r>
      </w:hyperlink>
    </w:p>
    <w:p>
      <w:pPr>
        <w:spacing w:before="0" w:after="80"/>
      </w:pPr>
      <w:r>
        <w:rPr>
          <w:i/>
          <w:sz w:val="20"/>
        </w:rPr>
        <w:t>EN: This compound enhances long-term memory of mice — but only in females</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[263] </w:t>
      </w:r>
      <w:hyperlink r:id="rId573">
        <w:r>
          <w:rPr>
            <w:color w:val="1155CC"/>
            <w:u w:val="single"/>
          </w:rPr>
          <w:t>健康影响在大鼠接触杀菌剂后持续20代</w:t>
        </w:r>
      </w:hyperlink>
    </w:p>
    <w:p>
      <w:pPr>
        <w:spacing w:before="0" w:after="80"/>
      </w:pPr>
      <w:r>
        <w:rPr>
          <w:i/>
          <w:sz w:val="20"/>
        </w:rPr>
        <w:t>EN: Health effects linger 20 generations after rats are exposed to fungicide</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[264] </w:t>
      </w:r>
      <w:hyperlink r:id="rId574">
        <w:r>
          <w:rPr>
            <w:color w:val="1155CC"/>
            <w:u w:val="single"/>
          </w:rPr>
          <w:t>超敏感CAR T细胞消除小鼠中难以治疗的肿瘤</w:t>
        </w:r>
      </w:hyperlink>
    </w:p>
    <w:p>
      <w:pPr>
        <w:spacing w:before="0" w:after="80"/>
      </w:pPr>
      <w:r>
        <w:rPr>
          <w:i/>
          <w:sz w:val="20"/>
        </w:rPr>
        <w:t>EN: Ultra-sensitive CAR T cells eliminate hard-to-treat tumours in mice</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[265] </w:t>
      </w:r>
      <w:hyperlink r:id="rId575">
        <w:r>
          <w:rPr>
            <w:color w:val="1155CC"/>
            <w:u w:val="single"/>
          </w:rPr>
          <w:t>联合国创建新的科学AI咨询小组：它将做什么？</w:t>
        </w:r>
      </w:hyperlink>
    </w:p>
    <w:p>
      <w:pPr>
        <w:spacing w:before="0" w:after="80"/>
      </w:pPr>
      <w:r>
        <w:rPr>
          <w:i/>
          <w:sz w:val="20"/>
        </w:rPr>
        <w:t>EN: UN creates new scientific AI advisory panel: what will it do?</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576">
        <w:r>
          <w:rPr>
            <w:color w:val="1155CC"/>
            <w:u w:val="single"/>
          </w:rPr>
          <w:t>增强脂质纳米颗粒以实现受控mRNA递送</w:t>
        </w:r>
      </w:hyperlink>
    </w:p>
    <w:p>
      <w:pPr>
        <w:spacing w:before="0" w:after="80"/>
      </w:pPr>
      <w:r>
        <w:rPr>
          <w:i/>
          <w:sz w:val="20"/>
        </w:rPr>
        <w:t>EN: Reinforcing lipid nanoparticles for controlled mRNA delivery</w:t>
      </w:r>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[267] </w:t>
      </w:r>
      <w:hyperlink r:id="rId577">
        <w:r>
          <w:rPr>
            <w:color w:val="1155CC"/>
            <w:u w:val="single"/>
          </w:rPr>
          <w:t>尼安德特人父亲，人类母亲：研究揭示古代繁殖模式</w:t>
        </w:r>
      </w:hyperlink>
    </w:p>
    <w:p>
      <w:pPr>
        <w:spacing w:before="0" w:after="80"/>
      </w:pPr>
      <w:r>
        <w:rPr>
          <w:i/>
          <w:sz w:val="20"/>
        </w:rPr>
        <w:t>EN: Neanderthal dad, human mum: study reveals ancient procreation pattern</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578">
        <w:r>
          <w:rPr>
            <w:color w:val="1155CC"/>
            <w:u w:val="single"/>
          </w:rPr>
          <w:t>作者更正：HMGN1介导的心肌重编程是21三体综合征心脏缺陷的基础</w:t>
        </w:r>
      </w:hyperlink>
    </w:p>
    <w:p>
      <w:pPr>
        <w:spacing w:before="0" w:after="80"/>
      </w:pPr>
      <w:r>
        <w:rPr>
          <w:i/>
          <w:sz w:val="20"/>
        </w:rPr>
        <w:t>EN: Author Correction: Myocardial reprogramming by HMGN1 underlies heart defects in trisomy 21</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[269] </w:t>
      </w:r>
      <w:hyperlink r:id="rId579">
        <w:r>
          <w:rPr>
            <w:color w:val="1155CC"/>
            <w:u w:val="single"/>
          </w:rPr>
          <w:t>使用极限学习机进行能源生产和消费的短期预测：一种全面的基于MIMO的ELM方法</w:t>
        </w:r>
      </w:hyperlink>
    </w:p>
    <w:p>
      <w:pPr>
        <w:spacing w:before="0" w:after="80"/>
      </w:pPr>
      <w:r>
        <w:rPr>
          <w:i/>
          <w:sz w:val="20"/>
        </w:rPr>
        <w:t>EN: Short-term forecasting of energy production and consumption using extreme learning machine: A comprehensive MIMO based ELM approach</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[270] </w:t>
      </w:r>
      <w:hyperlink r:id="rId580">
        <w:r>
          <w:rPr>
            <w:color w:val="1155CC"/>
            <w:u w:val="single"/>
          </w:rPr>
          <w:t>每日简报：干细胞治疗增强了与年龄相关的虚弱人群的体质</w:t>
        </w:r>
      </w:hyperlink>
    </w:p>
    <w:p>
      <w:pPr>
        <w:spacing w:before="0" w:after="80"/>
      </w:pPr>
      <w:r>
        <w:rPr>
          <w:i/>
          <w:sz w:val="20"/>
        </w:rPr>
        <w:t>EN: Daily briefing: Stem-cell treatment strengthens people with age-related frailty</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[271] </w:t>
      </w:r>
      <w:hyperlink r:id="rId581">
        <w:r>
          <w:rPr>
            <w:color w:val="1155CC"/>
            <w:u w:val="single"/>
          </w:rPr>
          <w:t>使用D2O的异质催化氘化及氘标记应用的进展</w:t>
        </w:r>
      </w:hyperlink>
    </w:p>
    <w:p>
      <w:pPr>
        <w:spacing w:before="0" w:after="80"/>
      </w:pPr>
      <w:r>
        <w:rPr>
          <w:i/>
          <w:sz w:val="20"/>
        </w:rPr>
        <w:t>EN: Heterogeneous catalytic deuteration using D2O and advances in the application of deuterium labelling</w:t>
      </w:r>
    </w:p>
    <w:p>
      <w:pPr>
        <w:spacing w:before="0" w:after="120"/>
      </w:pPr>
      <w:r>
        <w:rPr>
          <w:b/>
        </w:rPr>
        <w:t xml:space="preserve">Source: </w:t>
      </w:r>
      <w:r>
        <w:t>RSC - Chem. Soc. Rev. latest articles</w:t>
      </w:r>
      <w:r>
        <w:t xml:space="preserve">    </w:t>
      </w:r>
      <w:r>
        <w:rPr>
          <w:b/>
        </w:rPr>
        <w:t xml:space="preserve">Pub date: </w:t>
      </w:r>
      <w:r>
        <w:t>2026-02-26 00:00:00+00:00</w:t>
      </w:r>
    </w:p>
    <w:p>
      <w:pPr>
        <w:spacing w:before="0" w:after="120"/>
      </w:pPr>
      <w:r>
        <w:rPr>
          <w:b/>
        </w:rPr>
        <w:t xml:space="preserve">Notes: </w:t>
      </w:r>
      <w:r>
        <w:t>abstract_source=rsc_html</w:t>
      </w:r>
    </w:p>
    <w:p>
      <w:pPr>
        <w:spacing w:before="0" w:after="80" w:lineRule="auto" w:line="276"/>
      </w:pPr>
      <w:r>
        <w:rPr>
          <w:b/>
        </w:rPr>
        <w:t xml:space="preserve">摘要（ZH）: </w:t>
      </w:r>
      <w:r>
        <w:t>多年来，氘标记一直是化学、制药和生物研究中的重要工具。最近，其在新兴领域如氘代代谢成像（DMI）和发光材料开发中的应用引起了极大兴趣。对有机化合物氘代的需求显著增加，导致在过去五年中开发了各种异质催化氘代方法，包括纳米催化和电催化。值得注意的是，许多这些氘代反应使用相对便宜、环保和安全的D2O，从而提高了操作便利性。本综述旨在总结使用D2O的异质催化氘代的最新进展，并突出创新的a</w:t>
      </w:r>
    </w:p>
    <w:p>
      <w:pPr>
        <w:spacing w:before="0" w:after="200" w:lineRule="auto" w:line="276"/>
      </w:pPr>
      <w:r>
        <w:rPr>
          <w:b/>
        </w:rPr>
        <w:t xml:space="preserve">Abstract (EN): </w:t>
      </w:r>
      <w:r>
        <w:t>Deuterium labelling has been a vital tool in chemical, pharmaceutical, and biological research for many years. Recently, there has been a surge of interest in its applications in emerging fields such as deuterium metabolic imaging (DMI) and luminescent material development. The demand for deuteration of organic compounds has increased significantly, resulting in the development of various heterogeneous catalytic deuteration methodologies, including nanocatalysis and electrocatalysis, over the past five years. Notably, many of these deuteration reactions utilize relatively inexpensive, environmentally friendly, and safe D2O, which enhances operational convenience. This review aims to summarize recent advancements in heterogeneous catalytic deuteration using D2O and to highlight innovative applications of deuterium labelling, including deuterium metabolic imaging, deuterated luminescent materials, and quantitative mass spectrometry.</w:t>
      </w:r>
    </w:p>
    <w:p>
      <w:pPr>
        <w:spacing w:before="120" w:after="120"/>
      </w:pPr>
      <w:r>
        <w:rPr>
          <w:sz w:val="18"/>
        </w:rPr>
        <w:t>——————————————————————————————————————————————————————————————————————</w:t>
      </w:r>
    </w:p>
    <w:p>
      <w:pPr>
        <w:spacing w:before="160" w:after="40" w:line="240" w:lineRule="auto"/>
      </w:pPr>
      <w:r>
        <w:rPr>
          <w:b/>
        </w:rPr>
        <w:t xml:space="preserve">[272] </w:t>
      </w:r>
      <w:hyperlink r:id="rId582">
        <w:r>
          <w:rPr>
            <w:color w:val="1155CC"/>
            <w:u w:val="single"/>
          </w:rPr>
          <w:t>为什么在学术界谈论转向工业界的职业变动是禁忌话题</w:t>
        </w:r>
      </w:hyperlink>
    </w:p>
    <w:p>
      <w:pPr>
        <w:spacing w:before="0" w:after="80"/>
      </w:pPr>
      <w:r>
        <w:rPr>
          <w:i/>
          <w:sz w:val="20"/>
        </w:rPr>
        <w:t>EN: Why an industry career move is a taboo topic in academia</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583">
        <w:r>
          <w:rPr>
            <w:color w:val="1155CC"/>
            <w:u w:val="single"/>
          </w:rPr>
          <w:t>通过时间分辨光学和X射线光谱揭示氧化物种在水氧化中的关键作用</w:t>
        </w:r>
      </w:hyperlink>
    </w:p>
    <w:p>
      <w:pPr>
        <w:spacing w:before="0" w:after="80"/>
      </w:pPr>
      <w:r>
        <w:rPr>
          <w:i/>
          <w:sz w:val="20"/>
        </w:rPr>
        <w:t>EN: Key role of oxidizing species driving water oxidation revealed by time-resolved optical and X-ray spectroscopies</w:t>
      </w:r>
    </w:p>
    <w:p>
      <w:pPr>
        <w:spacing w:before="0" w:after="120"/>
      </w:pPr>
      <w:r>
        <w:rPr>
          <w:b/>
        </w:rPr>
        <w:t xml:space="preserve">Source: </w:t>
      </w:r>
      <w:r>
        <w:t>Nature Materials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氧化态是理解电催化剂的活性状态、反应机制和催化性能的基础。然而，在复杂的固-液界面上确定它们是具有挑战性的。在此，我们使用多模态光谱法研究极化的氧化铱（IrOx）电极，这是一种模型水氧化催化剂，以识别与电位相关的铱和氧的氧化态。通过整合多种原位光谱（光学（紫外-可见）、Ir L边缘和O K边缘X射线吸收光谱）与电化学质谱和密度泛函理论计算，我们识别出Ir5d带的电子密度的顺序耗尽（对应于Ir3+→Ir4+→Ir5+），随后从O2p带移除电子，形成电负性。</w:t>
      </w:r>
    </w:p>
    <w:p>
      <w:pPr>
        <w:spacing w:before="0" w:after="200" w:lineRule="auto" w:line="276"/>
      </w:pPr>
      <w:r>
        <w:rPr>
          <w:b/>
        </w:rPr>
        <w:t xml:space="preserve">Abstract (EN): </w:t>
      </w:r>
      <w:r>
        <w:t>Oxidation states underpin the understanding of active states, reaction mechanisms and catalytic performance of electrocatalysts. However, determining them at complex solid–liquid interfaces is challenging. Here we use multimodal spectroscopy to investigate polarized iridium oxide (IrOx) electrodes, a model water oxidation catalyst, to identify potential-dependent iridium and oxygen oxidation states. By integrating multiple operando spectroscopies (optical (ultraviolet–visible), Ir L-edge and O K-edge X-ray absorption spectroscopy) with electrochemistry mass spectrometry and density functional theory calculations, we identify the sequential depletion of electron densities from the Ir5d band (corresponding to Ir3+→Ir4+→Ir5+), followed by electron removal from the O2p band, forming electrophilic oxygen species (O−1) due to enhanced Ir–O covalency and electronic state overlap. Time-resolved measurements reveal distinct lifetimes for Ir5+ and O−1 states under water oxidation conditions, Ir5+ remains unreactive whereas O−1 is consumed at a time constant commensurate with the reaction rate, indicating that O−1 drives the oxygen evolution reaction. These findings demonstrate the necessity of using multiple operando techniques to gain a unified understanding of the evolution of oxidation states and active sites with potential for water oxidation on oxide catalysts.</w:t>
      </w:r>
    </w:p>
    <w:p>
      <w:pPr>
        <w:spacing w:before="120" w:after="120"/>
      </w:pPr>
      <w:r>
        <w:rPr>
          <w:sz w:val="18"/>
        </w:rPr>
        <w:t>——————————————————————————————————————————————————————————————————————</w:t>
      </w:r>
    </w:p>
    <w:p>
      <w:pPr>
        <w:spacing w:before="160" w:after="40" w:line="240" w:lineRule="auto"/>
      </w:pPr>
      <w:r>
        <w:rPr>
          <w:b/>
        </w:rPr>
        <w:t xml:space="preserve">[274] </w:t>
      </w:r>
      <w:hyperlink r:id="rId584">
        <w:r>
          <w:rPr>
            <w:color w:val="1155CC"/>
            <w:u w:val="single"/>
          </w:rPr>
          <w:t>通过等离子体催化剂与仿生反应器的协同作用实现有序可扩展的太阳能驱动甲烷干重整</w:t>
        </w:r>
      </w:hyperlink>
    </w:p>
    <w:p>
      <w:pPr>
        <w:spacing w:before="0" w:after="80"/>
      </w:pPr>
      <w:r>
        <w:rPr>
          <w:i/>
          <w:sz w:val="20"/>
        </w:rPr>
        <w:t>EN: Ordered scalable solar-driven dry reforming of methane via synergy of plasmonic catalysts with biomimetic reactors</w:t>
      </w:r>
    </w:p>
    <w:p>
      <w:pPr>
        <w:spacing w:before="0" w:after="120"/>
      </w:pPr>
      <w:r>
        <w:rPr>
          <w:b/>
        </w:rPr>
        <w:t xml:space="preserve">Source: </w:t>
      </w:r>
      <w:r>
        <w:t>Joule</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太阳能驱动的甲烷干重整有望同时解决全球能源和环境挑战。该研究提出了一种新颖的策略，将等离子体纳米合金催化剂与仿生蝴蝶翅膀启发的泡沫反应器相结合，以实现有序、可扩展的太阳能驱动甲烷干重整。</w:t>
      </w:r>
    </w:p>
    <w:p>
      <w:pPr>
        <w:spacing w:before="0" w:after="200" w:lineRule="auto" w:line="276"/>
      </w:pPr>
      <w:r>
        <w:rPr>
          <w:b/>
        </w:rPr>
        <w:t xml:space="preserve">Abstract (EN): </w:t>
      </w:r>
      <w:r>
        <w:t>Solar-driven dry reforming of methane holds promise for addressing global energy and environmental challenges simultaneously. This work proposes a novel strategy that synergizes plasmonic meta-nanoalloy catalysts with biomimetic butterfly wing-inspired foam reactors to achieve ordered, scalable solar-driven dry reforming of methane.</w:t>
      </w:r>
    </w:p>
    <w:p>
      <w:pPr>
        <w:spacing w:before="120" w:after="120"/>
      </w:pPr>
      <w:r>
        <w:rPr>
          <w:sz w:val="18"/>
        </w:rPr>
        <w:t>——————————————————————————————————————————————————————————————————————</w:t>
      </w:r>
    </w:p>
    <w:p>
      <w:pPr>
        <w:spacing w:before="160" w:after="40" w:line="240" w:lineRule="auto"/>
      </w:pPr>
      <w:r>
        <w:rPr>
          <w:b/>
        </w:rPr>
        <w:t xml:space="preserve">[275] </w:t>
      </w:r>
      <w:hyperlink r:id="rId585">
        <w:r>
          <w:rPr>
            <w:color w:val="1155CC"/>
            <w:u w:val="single"/>
          </w:rPr>
          <w:t>肿瘤相关的CD19+巨噬细胞在肝细胞癌中诱导免疫抑制性微环境</w:t>
        </w:r>
      </w:hyperlink>
    </w:p>
    <w:p>
      <w:pPr>
        <w:spacing w:before="0" w:after="80"/>
      </w:pPr>
      <w:r>
        <w:rPr>
          <w:i/>
          <w:sz w:val="20"/>
        </w:rPr>
        <w:t>EN: Tumor-associated CD19+ macrophages induce immunosuppressive microenvironment in hepatocellular carcinoma</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肿瘤相关巨噬细胞是人类癌症中免疫抑制微环境的关键组成部分。然而，由于对其异质性亚群和不同功能的了解有限，临床上针对巨噬细胞的治疗一直是一个挑战。在此，我们识别出一种与临床相关的CD19+巨噬细胞亚群，该亚群在多种癌症中富集，特别是在肝细胞癌（HCC）中。CD19+巨噬细胞表现出程序性细胞死亡1配体1（PD-L1）和CD73的水平增加，线粒体氧化增强，吞噬作用受损，表明其免疫抑制功能。用抗CD19嵌合抗原受体T（CAR-T）细胞靶向CD19+巨噬细胞抑制了HCC肿瘤生长。我们识别出P</w:t>
      </w:r>
    </w:p>
    <w:p>
      <w:pPr>
        <w:spacing w:before="0" w:after="200" w:lineRule="auto" w:line="276"/>
      </w:pPr>
      <w:r>
        <w:rPr>
          <w:b/>
        </w:rPr>
        <w:t xml:space="preserve">Abstract (EN): </w:t>
      </w:r>
      <w:r>
        <w:t>Tumor-associated macrophages are a key component that contributes to the immunosuppressive microenvironment in human cancers. However, therapeutic targeting of macrophages has been a challenge in clinic due to the limited understanding of their heterogeneous subpopulations and distinct functions. Here, we identify a clinically relevant CD19+ subpopulation of macrophages that is enriched in many types of cancer, particularly in hepatocellular carcinoma (HCC). The CD19+ macrophages exhibit increased levels of programmed cell death 1 ligand 1 (PD-L1) and CD73, enhanced mitochondrial oxidation, and compromised phagocytosis, indicating their immunosuppressive functions. Targeting CD19+ macrophages with anti-CD19 chimeric antigen receptor T (CAR-T) cells inhibited HCC tumor growth. We identify Paired Box 5 (PAX5) as a primary driver of up-regulated mitochondrial biogenesis in CD19+ macrophages, which depletes cytoplasmic Ca2+, leading to lysosomal deficiency and consequent accumulation of CD73 and PD-L1. Inhibiting CD73 or mitochondrial oxidation enhanced the efficacy of immune checkpoint blockade therapy in treating HCC, suggesting great promise for CD19+ macrophage-targeting therapeutics.</w:t>
      </w:r>
    </w:p>
    <w:p>
      <w:pPr>
        <w:spacing w:before="120" w:after="120"/>
      </w:pPr>
      <w:r>
        <w:rPr>
          <w:sz w:val="18"/>
        </w:rPr>
        <w:t>——————————————————————————————————————————————————————————————————————</w:t>
      </w:r>
    </w:p>
    <w:p>
      <w:pPr>
        <w:spacing w:before="160" w:after="40" w:line="240" w:lineRule="auto"/>
      </w:pPr>
      <w:r>
        <w:rPr>
          <w:b/>
        </w:rPr>
        <w:t xml:space="preserve">[276] </w:t>
      </w:r>
      <w:hyperlink r:id="rId586">
        <w:r>
          <w:rPr>
            <w:color w:val="1155CC"/>
            <w:u w:val="single"/>
          </w:rPr>
          <w:t>通过多底物突变扫描解码多功能酶的底物特异性范围</w:t>
        </w:r>
      </w:hyperlink>
    </w:p>
    <w:p>
      <w:pPr>
        <w:spacing w:before="0" w:after="80"/>
      </w:pPr>
      <w:r>
        <w:rPr>
          <w:i/>
          <w:sz w:val="20"/>
        </w:rPr>
        <w:t>EN: Decoding the substrate specificity landscape of a promiscuous enzyme through multi-substrate mutational scanning</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底物特异性是酶功能的决定性特征，但其分子基础仍然难以解码和工程化。在此，我们利用酶邻近测序（EP-Seq）系统地绘制单点和组合突变如何重塑红色假丝酵母（Rhodotorula gracilis）D-氨基酸氧化酶（DAOx）这一模型多功能酶的底物偏好。我们生成约40,000个序列-表型对，使我们能够分析约6,500个独特的DAOx变体在五种具有不同物理化学性质的D-氨基酸底物上的活性。我们的分析显示，底物特异性突变分布在整个酶结构中。靠近活性位点的突变会导致强烈的特异性转变，但也会带来催化惩罚，而远端突变</w:t>
      </w:r>
    </w:p>
    <w:p>
      <w:pPr>
        <w:spacing w:before="0" w:after="200" w:lineRule="auto" w:line="276"/>
      </w:pPr>
      <w:r>
        <w:rPr>
          <w:b/>
        </w:rPr>
        <w:t xml:space="preserve">Abstract (EN): </w:t>
      </w:r>
      <w:r>
        <w:t>Substrate specificity is a defining feature of enzyme function, but its molecular underpinnings remain difficult to decode and engineer. Here, we leverage enzyme proximity sequencing (EP-Seq) to systematically map how single-point and combinatorial mutations reshape the substrate preferences of D-amino acid oxidase (DAOx) from Rhodotorula gracilis, a model promiscuous enzyme. We generate ~40,000 sequence–phenotype pairs, enabling us to profile the activities of ~6,500 unique DAOx variants against five D-amino acid substrates with distinct physicochemical properties. Our analysis reveals that substrate-specific mutations are distributed throughout the enzyme structure. Mutations near the active site drive strong specificity shifts but also incur catalytic penalties, while distal mutations subtly rewire intramolecular contacts in order to modulate specificity with minimal loss of activity. We identify and validate positional hotspots that act allosterically to influence specificity, and characterize key variants that acquire exclusive substrate specificity or exhibit up to 230-fold changes in substrate preference. Combining mutations with complementary effects further sharpens substrate discrimination, enabling rational design of highly selective biocatalysts. This work establishes a powerful framework for decoding enzyme specificity and provides foundational datasets to advance AI-guided enzyme engineering.</w:t>
      </w:r>
    </w:p>
    <w:p>
      <w:pPr>
        <w:spacing w:before="120" w:after="120"/>
      </w:pPr>
      <w:r>
        <w:rPr>
          <w:sz w:val="18"/>
        </w:rPr>
        <w:t>——————————————————————————————————————————————————————————————————————</w:t>
      </w:r>
    </w:p>
    <w:p>
      <w:pPr>
        <w:spacing w:before="160" w:after="40" w:line="240" w:lineRule="auto"/>
      </w:pPr>
      <w:r>
        <w:rPr>
          <w:b/>
        </w:rPr>
        <w:t xml:space="preserve">[277] </w:t>
      </w:r>
      <w:hyperlink r:id="rId587">
        <w:r>
          <w:rPr>
            <w:color w:val="1155CC"/>
            <w:u w:val="single"/>
          </w:rPr>
          <w:t>采用铸造厂启发策略构建二维微处理器</w:t>
        </w:r>
      </w:hyperlink>
    </w:p>
    <w:p>
      <w:pPr>
        <w:spacing w:before="0" w:after="80"/>
      </w:pPr>
      <w:r>
        <w:rPr>
          <w:i/>
          <w:sz w:val="20"/>
        </w:rPr>
        <w:t>EN: Building two-dimensional microprocessors with a foundry-inspired strategy</w:t>
      </w:r>
    </w:p>
    <w:p>
      <w:pPr>
        <w:spacing w:before="0" w:after="120"/>
      </w:pPr>
      <w:r>
        <w:rPr>
          <w:b/>
        </w:rPr>
        <w:t xml:space="preserve">Source: </w:t>
      </w:r>
      <w:r>
        <w:t>Nature Electronics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[278] </w:t>
      </w:r>
      <w:hyperlink r:id="rId588">
        <w:r>
          <w:rPr>
            <w:color w:val="1155CC"/>
            <w:u w:val="single"/>
          </w:rPr>
          <w:t>重新构想部门耦合：将零散的观点综合为统一的框架</w:t>
        </w:r>
      </w:hyperlink>
    </w:p>
    <w:p>
      <w:pPr>
        <w:spacing w:before="0" w:after="80"/>
      </w:pPr>
      <w:r>
        <w:rPr>
          <w:i/>
          <w:sz w:val="20"/>
        </w:rPr>
        <w:t>EN: Sector coupling reimagined: Synthesizing fragmented perspectives into a unified framework</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[279] </w:t>
      </w:r>
      <w:hyperlink r:id="rId589">
        <w:r>
          <w:rPr>
            <w:color w:val="1155CC"/>
            <w:u w:val="single"/>
          </w:rPr>
          <w:t>COVID引发的远程学习期间STEM教育差距及解决策略</w:t>
        </w:r>
      </w:hyperlink>
    </w:p>
    <w:p>
      <w:pPr>
        <w:spacing w:before="0" w:after="80"/>
      </w:pPr>
      <w:r>
        <w:rPr>
          <w:i/>
          <w:sz w:val="20"/>
        </w:rPr>
        <w:t>EN: Educational disparities in STEM during COVID-induced distance learning and a potential strategy to address them</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COVID-19大流行导致学校广泛关闭，并迅速转向远程学习，引发了对学生成功的后果的担忧。本研究利用美国一所公立大学的学生课程记录，探讨COVID引发的远程学习期间STEM（科学、技术、工程和数学）课程的学术成果。我们特别关注来自服务不足人群的学生以及学术成绩低于平均水平的学生。采用预期短缺回归策略，我们研究了处于底部五分之一的结果，并比较了家庭收入最低或没有父母拥有四年制大学学位的学生与不属于这种情况的同龄人在远程和面对面学习中的差异。我们展示</w:t>
      </w:r>
    </w:p>
    <w:p>
      <w:pPr>
        <w:spacing w:before="0" w:after="200" w:lineRule="auto" w:line="276"/>
      </w:pPr>
      <w:r>
        <w:rPr>
          <w:b/>
        </w:rPr>
        <w:t xml:space="preserve">Abstract (EN): </w:t>
      </w:r>
      <w:r>
        <w:t>The COVID-19 pandemic prompted widespread school closures and a swift transition to distance learning, raising concerns about consequences for student success. This study explores academic outcomes in STEM (Science, Technology, Engineering, and Mathematics) courses during COVID-induced distance learning using student-course records at an U.S. public university. We particularly focus on students from underserved populations and who have below average academic outcomes. Employing an expected shortfall regression strategy, we examine outcomes in the bottom quintile and compare differences between students whose household income were in the lowest bracket or without a parent holding a four-year college degree and peers for whom this was not the case, in distance and in-person learning. We show that during distance learning, students in disadvantaged populations in the lowest quintile had average grade differences of 0.11 and 0.06 points, respectively. We also find that targeted instructional changes in an introductory physics course were associated with narrower achievement gaps. These results suggest that while distance learning posed challenges for underserved students, deliberate strategies to increase interaction may potentially support greater equity in STEM education.</w:t>
      </w:r>
    </w:p>
    <w:p>
      <w:pPr>
        <w:spacing w:before="120" w:after="120"/>
      </w:pPr>
      <w:r>
        <w:rPr>
          <w:sz w:val="18"/>
        </w:rPr>
        <w:t>——————————————————————————————————————————————————————————————————————</w:t>
      </w:r>
    </w:p>
    <w:p>
      <w:pPr>
        <w:spacing w:before="160" w:after="40" w:line="240" w:lineRule="auto"/>
      </w:pPr>
      <w:r>
        <w:rPr>
          <w:b/>
        </w:rPr>
        <w:t xml:space="preserve">[280] </w:t>
      </w:r>
      <w:hyperlink r:id="rId590">
        <w:r>
          <w:rPr>
            <w:color w:val="1155CC"/>
            <w:u w:val="single"/>
          </w:rPr>
          <w:t>嵌入级联水电等效输出界限的日前市场清算模型</w:t>
        </w:r>
      </w:hyperlink>
    </w:p>
    <w:p>
      <w:pPr>
        <w:spacing w:before="0" w:after="80"/>
      </w:pPr>
      <w:r>
        <w:rPr>
          <w:i/>
          <w:sz w:val="20"/>
        </w:rPr>
        <w:t>EN: A day-ahead market clearing model embedded with equivalent output bounds of cascaded hydropower</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591">
        <w:r>
          <w:rPr>
            <w:color w:val="1155CC"/>
            <w:u w:val="single"/>
          </w:rPr>
          <w:t>超图上的谣言传播</w:t>
        </w:r>
      </w:hyperlink>
    </w:p>
    <w:p>
      <w:pPr>
        <w:spacing w:before="0" w:after="80"/>
      </w:pPr>
      <w:r>
        <w:rPr>
          <w:i/>
          <w:sz w:val="20"/>
        </w:rPr>
        <w:t>EN: Rumor propagation on hypergraphs</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信息和谣言通过社交媒体平台，尤其是在群体环境中的快速传播，促使我们需要更复杂的谣言传播模型。传统的成对模型未能考虑群体互动，这一限制我们通过提出基于超图的高阶谣言模型来解决。我们的模型包含一个基于群体的湮灭机制，当知道谣言的超边比例超过阈值时，传播者变为抑制者。该动态具有两种不同的亚临界行为：指数衰减和幂律衰减，具体取决于超图的异质性。有趣的是，在我们分析的参数集下，我们发现了在均质和异质超图中都存在的连续相变。</w:t>
      </w:r>
    </w:p>
    <w:p>
      <w:pPr>
        <w:spacing w:before="0" w:after="200" w:lineRule="auto" w:line="276"/>
      </w:pPr>
      <w:r>
        <w:rPr>
          <w:b/>
        </w:rPr>
        <w:t xml:space="preserve">Abstract (EN): </w:t>
      </w:r>
      <w:r>
        <w:t>The rapid spread of information and rumors through social media platforms, especially in group settings, motivates the need for more sophisticated models of rumor propagation. Traditional pairwise models do not account for group interactions, a limitation that we address by proposing a higher-order rumor model based on hypergraphs. Our model incorporates a group-based annihilation mechanism, where a spreader becomes a stifler when the fraction of hyperedges aware of the rumor exceeds a threshold. The dynamics has two distinct subcritical behaviors: exponential and power-law decay, which can coexist depending on the heterogeneity of the hypergraph. Interestingly, in the set of parameters we analysed, we found continuous phase transitions in both homogeneous and heterogeneous hypergraphs. This finding aligns with the literature suggesting that real-world rumor propagation occurs near criticality. Finally, we validated our model using empirical data from Telegram and email cascades, which provides additional evidence and possible explanations for this criticality claim. These results open the door to a more detailed understanding of rumor dynamics in higher-order systems.</w:t>
      </w:r>
    </w:p>
    <w:p>
      <w:pPr>
        <w:spacing w:before="120" w:after="120"/>
      </w:pPr>
      <w:r>
        <w:rPr>
          <w:sz w:val="18"/>
        </w:rPr>
        <w:t>——————————————————————————————————————————————————————————————————————</w:t>
      </w:r>
    </w:p>
    <w:p>
      <w:pPr>
        <w:spacing w:before="160" w:after="40" w:line="240" w:lineRule="auto"/>
      </w:pPr>
      <w:r>
        <w:rPr>
          <w:b/>
        </w:rPr>
        <w:t xml:space="preserve">[282] </w:t>
      </w:r>
      <w:hyperlink r:id="rId592">
        <w:r>
          <w:rPr>
            <w:color w:val="1155CC"/>
            <w:u w:val="single"/>
          </w:rPr>
          <w:t>物联网支持的能源-移动性集成互操作性：协议、平台和标准的系统综述</w:t>
        </w:r>
      </w:hyperlink>
    </w:p>
    <w:p>
      <w:pPr>
        <w:spacing w:before="0" w:after="80"/>
      </w:pPr>
      <w:r>
        <w:rPr>
          <w:i/>
          <w:sz w:val="20"/>
        </w:rPr>
        <w:t>EN: IoT-enabled interoperability for energy-mobility integration: A systematic review of protocols, platforms, and standards</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593">
        <w:r>
          <w:rPr>
            <w:color w:val="1155CC"/>
            <w:u w:val="single"/>
          </w:rPr>
          <w:t>通过量子效应延长寿命</w:t>
        </w:r>
      </w:hyperlink>
    </w:p>
    <w:p>
      <w:pPr>
        <w:spacing w:before="0" w:after="80"/>
      </w:pPr>
      <w:r>
        <w:rPr>
          <w:i/>
          <w:sz w:val="20"/>
        </w:rPr>
        <w:t>EN: Longer lifetimes through quantum effects</w:t>
      </w:r>
    </w:p>
    <w:p>
      <w:pPr>
        <w:spacing w:before="0" w:after="120"/>
      </w:pPr>
      <w:r>
        <w:rPr>
          <w:b/>
        </w:rPr>
        <w:t xml:space="preserve">Source: </w:t>
      </w:r>
      <w:r>
        <w:t>Nature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594">
        <w:r>
          <w:rPr>
            <w:color w:val="1155CC"/>
            <w:u w:val="single"/>
          </w:rPr>
          <w:t>作为WNT激活的G蛋白偶联受体功能的异源TRP通道</w:t>
        </w:r>
      </w:hyperlink>
    </w:p>
    <w:p>
      <w:pPr>
        <w:spacing w:before="0" w:after="80"/>
      </w:pPr>
      <w:r>
        <w:rPr>
          <w:i/>
          <w:sz w:val="20"/>
        </w:rPr>
        <w:t>EN: A heteromeric TRP channel that functions as a WNT-activated G protein-coupled receptor</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人类基因组包含大约800个G蛋白偶联受体（GPCRs），所有这些受体都具有共同的7跨膜结构域架构。在此，我们展示了PKD1，这是一种具有非典型瞬时受体电位（TRP）通道架构的11跨膜蛋白，作为具有独特生化特性的GPCR发挥功能。PKD1作为WNT激活的受体，直接与异三聚体Gαi1-3亚基偶联，以抑制细胞内cAMP的积累。虽然PKD1包含配体结合和G蛋白募集位点，但PKD2，一个关联的TRP通道亚基，将PKD1引导至质膜以作为GPCR运作。这代表了与经典GPCR架构的显著偏离，并扩展了TRP通道家族的功能范围。鉴于e中的突变</w:t>
      </w:r>
    </w:p>
    <w:p>
      <w:pPr>
        <w:spacing w:before="0" w:after="200" w:lineRule="auto" w:line="276"/>
      </w:pPr>
      <w:r>
        <w:rPr>
          <w:b/>
        </w:rPr>
        <w:t xml:space="preserve">Abstract (EN): </w:t>
      </w:r>
      <w:r>
        <w:t>The human genome contains approximately 800 G protein-coupled receptors (GPCRs), all characterized by a common 7-transmembrane domain architecture. Here, we show that PKD1, an 11-transmembrane protein with a noncanonical transient receptor potential (TRP) channel architecture, functions as a GPCR with unique biochemical properties. PKD1 acts as a WNT-activated receptor, directly coupling to heterotrimeric Gαi1-3 subunits to inhibit cellular cAMP accumulation. While PKD1 contains both ligand-binding and G protein recruitment sites, PKD2, an associating TRP channel subunit, chaperones PKD1 to the plasma membrane to operate as a GPCR. This represents a striking departure from classical GPCR architecture and expands the functional repertoire of the TRP channel family. Given that mutations in either PKD1 or PKD2 are linked to autosomal dominant polycystic kidney disease, a multisystemic disorder marked by elevated cAMP levels, our results provide molecular insights into disease pathogenesis and highlight potential new therapeutic avenues for this debilitating and costly condition.</w:t>
      </w:r>
    </w:p>
    <w:p>
      <w:pPr>
        <w:spacing w:before="120" w:after="120"/>
      </w:pPr>
      <w:r>
        <w:rPr>
          <w:sz w:val="18"/>
        </w:rPr>
        <w:t>——————————————————————————————————————————————————————————————————————</w:t>
      </w:r>
    </w:p>
    <w:p>
      <w:pPr>
        <w:spacing w:before="160" w:after="40" w:line="240" w:lineRule="auto"/>
      </w:pPr>
      <w:r>
        <w:rPr>
          <w:b/>
        </w:rPr>
        <w:t xml:space="preserve">[285] </w:t>
      </w:r>
      <w:hyperlink r:id="rId595">
        <w:r>
          <w:rPr>
            <w:color w:val="1155CC"/>
            <w:u w:val="single"/>
          </w:rPr>
          <w:t>创建完全互联二维微处理器的铸造策略</w:t>
        </w:r>
      </w:hyperlink>
    </w:p>
    <w:p>
      <w:pPr>
        <w:spacing w:before="0" w:after="80"/>
      </w:pPr>
      <w:r>
        <w:rPr>
          <w:i/>
          <w:sz w:val="20"/>
        </w:rPr>
        <w:t>EN: A towards-foundry strategy for creating fully interconnected two-dimensional microprocessors</w:t>
      </w:r>
    </w:p>
    <w:p>
      <w:pPr>
        <w:spacing w:before="0" w:after="120"/>
      </w:pPr>
      <w:r>
        <w:rPr>
          <w:b/>
        </w:rPr>
        <w:t xml:space="preserve">Source: </w:t>
      </w:r>
      <w:r>
        <w:t>Nature Electronics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二维（2D）材料可用于构建下一代电子产品。然而，基于2D材料的大规模芯片包含数百个晶体管，面临与低产量和实验室制造相关的问题。在此，我们报告了一种面向代工厂的策略，以创建基于转移2D材料的大规模电路。该方法使用六个方面的测试和反复迭代优化：电路设计、布局设计、材料生长、材料转移、器件制造和芯片探测。我们制造了大约130批样品进行测试，以提高每个规模的产量，从单个晶体管到电路模块再到完整的微处理器。我们创建了几乎100%产量的单个晶体管，开关比大于107，反相器增益约为</w:t>
      </w:r>
    </w:p>
    <w:p>
      <w:pPr>
        <w:spacing w:before="0" w:after="200" w:lineRule="auto" w:line="276"/>
      </w:pPr>
      <w:r>
        <w:rPr>
          <w:b/>
        </w:rPr>
        <w:t xml:space="preserve">Abstract (EN): </w:t>
      </w:r>
      <w:r>
        <w:t>Two-dimensional (2D) materials can be used to build next-generation electronics. However, large-scale chips containing hundreds of transistors based on 2D materials suffer from problems related to low yield and laboratory fabrication. Here we report a towards-foundry strategy to create large-scale circuits based on transferred 2D materials. The approach uses testing and repeated iterative optimization of six aspects: circuit design, layout design, material growth, material transfer, device fabrication and chip probing. We fabricate around 130 batches of samples for testing to improve the yield at each scale, from single transistors to circuit modules to a complete microprocessor. We create single transistors with nearly 100% yield, on/off ratios greater than 107 and inverter gains of approximately 400 on average. The statistical yields for the arithmetic logic unit, control unit and D-latch circuit modules are found to be 96.5%, 79.5% and 61.5%, respectively. The resulting 2D microprocessor exhibits excellent signal integrity and stability, as well as low-energy-consumption characteristics that are superior to those of early Intel central processing units.</w:t>
      </w:r>
    </w:p>
    <w:p>
      <w:pPr>
        <w:spacing w:before="120" w:after="120"/>
      </w:pPr>
      <w:r>
        <w:rPr>
          <w:sz w:val="18"/>
        </w:rPr>
        <w:t>——————————————————————————————————————————————————————————————————————</w:t>
      </w:r>
    </w:p>
    <w:p>
      <w:pPr>
        <w:spacing w:before="160" w:after="40" w:line="240" w:lineRule="auto"/>
      </w:pPr>
      <w:r>
        <w:rPr>
          <w:b/>
        </w:rPr>
        <w:t xml:space="preserve">[286] </w:t>
      </w:r>
      <w:hyperlink r:id="rId596">
        <w:r>
          <w:rPr>
            <w:color w:val="1155CC"/>
            <w:u w:val="single"/>
          </w:rPr>
          <w:t>作者更正：H3.3沉积抵消了胚胎干细胞中着丝粒中心H3.1的复制依赖性富集</w:t>
        </w:r>
      </w:hyperlink>
    </w:p>
    <w:p>
      <w:pPr>
        <w:spacing w:before="0" w:after="80"/>
      </w:pPr>
      <w:r>
        <w:rPr>
          <w:i/>
          <w:sz w:val="20"/>
        </w:rPr>
        <w:t>EN: Author Correction: H3.3 deposition counteracts the replication-dependent enrichment of H3.1 at chromocenters in embryonic stem cells</w:t>
      </w:r>
    </w:p>
    <w:p>
      <w:pPr>
        <w:spacing w:before="0" w:after="120"/>
      </w:pPr>
      <w:r>
        <w:rPr>
          <w:b/>
        </w:rPr>
        <w:t xml:space="preserve">Source: </w:t>
      </w:r>
      <w:r>
        <w:t>Nature Communications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[287] </w:t>
      </w:r>
      <w:hyperlink r:id="rId597">
        <w:r>
          <w:rPr>
            <w:color w:val="1155CC"/>
            <w:u w:val="single"/>
          </w:rPr>
          <w:t>针对子宫内膜的mRNA-脂质纳米颗粒用于治疗生殖系统疾病</w:t>
        </w:r>
      </w:hyperlink>
    </w:p>
    <w:p>
      <w:pPr>
        <w:spacing w:before="0" w:after="80"/>
      </w:pPr>
      <w:r>
        <w:rPr>
          <w:i/>
          <w:sz w:val="20"/>
        </w:rPr>
        <w:t>EN: Endometrium-targeted mRNA-lipid nanoparticles for treating reproductive conditions</w:t>
      </w:r>
    </w:p>
    <w:p>
      <w:pPr>
        <w:spacing w:before="0" w:after="120"/>
      </w:pPr>
      <w:r>
        <w:rPr>
          <w:b/>
        </w:rPr>
        <w:t xml:space="preserve">Source: </w:t>
      </w:r>
      <w:r>
        <w:t>Nature Nanotechnology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598">
        <w:r>
          <w:rPr>
            <w:color w:val="1155CC"/>
            <w:u w:val="single"/>
          </w:rPr>
          <w:t>铝废料的直接升级回收</w:t>
        </w:r>
      </w:hyperlink>
    </w:p>
    <w:p>
      <w:pPr>
        <w:spacing w:before="0" w:after="80"/>
      </w:pPr>
      <w:r>
        <w:rPr>
          <w:i/>
          <w:sz w:val="20"/>
        </w:rPr>
        <w:t>EN: Direct upcycling of aluminium scrap</w:t>
      </w:r>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[289] </w:t>
      </w:r>
      <w:hyperlink r:id="rId599">
        <w:r>
          <w:rPr>
            <w:color w:val="1155CC"/>
            <w:u w:val="single"/>
          </w:rPr>
          <w:t>中国千年土地碳排放被过去四十年的碳汇抵消</w:t>
        </w:r>
      </w:hyperlink>
    </w:p>
    <w:p>
      <w:pPr>
        <w:spacing w:before="0" w:after="80"/>
      </w:pPr>
      <w:r>
        <w:rPr>
          <w:i/>
          <w:sz w:val="20"/>
        </w:rPr>
        <w:t>EN: Millennial land carbon emissions in China offset by carbon sinks of the past four decades</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中国经历了显著的千年尺度气候和人为土地利用变化，但其对陆地碳动态的综合影响仍然很少被研究。在此，我们使用由重建的气候和土地覆盖强迫驱动的陆地表面模型量化了851–2022年间陆地有机碳的时空变化。模拟结果显示，中国的前工业千年陆地碳动态与全球碳储量和大气CO2波动一致，例如12世纪与中世纪气候异常温暖的宋代土地利用相关的~284 ppm峰值。值得注意的是，中国在1700–1900年间的总陆地碳排放（13 ± 0.5 PgC）占全球陆地碳排放的22%，东北和西南地区经历了最大的历史</w:t>
      </w:r>
    </w:p>
    <w:p>
      <w:pPr>
        <w:spacing w:before="0" w:after="200" w:lineRule="auto" w:line="276"/>
      </w:pPr>
      <w:r>
        <w:rPr>
          <w:b/>
        </w:rPr>
        <w:t xml:space="preserve">Abstract (EN): </w:t>
      </w:r>
      <w:r>
        <w:t>China experienced substantial millennial-scale climate and anthropogenic land use changes, yet their combined impacts on land carbon dynamics remain largely unexamined. Here, we quantify spatiotemporal changes in terrestrial organic carbon over 851–2022 using a land surface model driven by reconstructed climate and land cover forcings. Simulated results show China’s pre-industrial millennial land carbon dynamics aligned with global carbon stock and atmospheric CO2 fluctuations, such as the ~284 ppm peak in the 12th century linked to land use during the Medieval Climate Anomaly-warmed Song Dynasty. Notably, China’s total land carbon emissions (13 ± 0.5 PgC) accounted for 22% of global land carbon emissions during 1700–1900, with Northeast and Southwest China experiencing the largest historical land carbon losses from intensive deforestation. Nevertheless, the 17.0 ± 1.7 PgC emissions during 851–1980 were fully offset by rapid carbon sinks over 1980–2022, driven by CO2 fertilization and large-scale afforestation. These findings provide insights into China’s historical land carbon dynamics, their underlying drivers, and global implications.</w:t>
      </w:r>
    </w:p>
    <w:p>
      <w:pPr>
        <w:spacing w:before="120" w:after="120"/>
      </w:pPr>
      <w:r>
        <w:rPr>
          <w:sz w:val="18"/>
        </w:rPr>
        <w:t>——————————————————————————————————————————————————————————————————————</w:t>
      </w:r>
    </w:p>
    <w:p>
      <w:pPr>
        <w:spacing w:before="160" w:after="40" w:line="240" w:lineRule="auto"/>
      </w:pPr>
      <w:r>
        <w:rPr>
          <w:b/>
        </w:rPr>
        <w:t xml:space="preserve">[290] </w:t>
      </w:r>
      <w:hyperlink r:id="rId600">
        <w:r>
          <w:rPr>
            <w:color w:val="1155CC"/>
            <w:u w:val="single"/>
          </w:rPr>
          <w:t>基于变压器增强的多智能体强化学习在时间变化交通下的动态电动物流车队路径规划</w:t>
        </w:r>
      </w:hyperlink>
    </w:p>
    <w:p>
      <w:pPr>
        <w:spacing w:before="0" w:after="80"/>
      </w:pPr>
      <w:r>
        <w:rPr>
          <w:i/>
          <w:sz w:val="20"/>
        </w:rPr>
        <w:t>EN: Transformer-enhanced multi-agent reinforcement learning for dynamic electric logistics Fleet routing under time-varying traffic</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[291] </w:t>
      </w:r>
      <w:hyperlink r:id="rId601">
        <w:r>
          <w:rPr>
            <w:color w:val="1155CC"/>
            <w:u w:val="single"/>
          </w:rPr>
          <w:t>模拟受体的立体嗅觉用于同时气味识别和空间定位</w:t>
        </w:r>
      </w:hyperlink>
    </w:p>
    <w:p>
      <w:pPr>
        <w:spacing w:before="0" w:after="80"/>
      </w:pPr>
      <w:r>
        <w:rPr>
          <w:i/>
          <w:sz w:val="20"/>
        </w:rPr>
        <w:t>EN: Receptor‐Mimetic Stereo Olfaction for Simultaneous Odor Recognition and Spatial Localization</w:t>
      </w:r>
    </w:p>
    <w:p>
      <w:pPr>
        <w:spacing w:before="0" w:after="120"/>
      </w:pPr>
      <w:r>
        <w:rPr>
          <w:b/>
        </w:rPr>
        <w:t xml:space="preserve">Source: </w:t>
      </w:r>
      <w:r>
        <w:t>Wiley: Advanced Materials: Table of Contents</w:t>
      </w:r>
      <w:r>
        <w:t xml:space="preserve">    </w:t>
      </w:r>
      <w:r>
        <w:rPr>
          <w:b/>
        </w:rPr>
        <w:t xml:space="preserve">Pub date: </w:t>
      </w:r>
      <w:r>
        <w:t>2026-02-26 06:16:45+00:00</w:t>
      </w:r>
      <w:r>
        <w:t xml:space="preserve">    </w:t>
      </w:r>
      <w:r>
        <w:rPr>
          <w:b/>
        </w:rPr>
        <w:t xml:space="preserve">DOI: </w:t>
      </w:r>
      <w:hyperlink r:id="rId602">
        <w:r>
          <w:rPr>
            <w:color w:val="1155CC"/>
            <w:u w:val="single"/>
          </w:rPr>
          <w:t>10.1002/adma.202521410</w:t>
        </w:r>
      </w:hyperlink>
    </w:p>
    <w:p>
      <w:pPr>
        <w:spacing w:before="0" w:after="120"/>
      </w:pPr>
      <w:r>
        <w:rPr>
          <w:b/>
        </w:rPr>
        <w:t xml:space="preserve">Notes: </w:t>
      </w:r>
      <w:r>
        <w:t>abstract_source=pubmed</w:t>
      </w:r>
    </w:p>
    <w:p>
      <w:pPr>
        <w:spacing w:before="0" w:after="80" w:lineRule="auto" w:line="276"/>
      </w:pPr>
      <w:r>
        <w:rPr>
          <w:b/>
        </w:rPr>
        <w:t xml:space="preserve">摘要（ZH）: </w:t>
      </w:r>
      <w:r>
        <w:t>气味羽流是化学物理场，其中分子身份与包括扩散和湍流在内的传输现象相结合。在动物中，解码这种联合信息是导航和社会行为的基础。然而，人工系统将身份和位置视为独立问题，通过不同的方式解决。在此，我们提出AROMA（人工受体-嗅觉模拟阵列），这是一种立体嗅觉策略，其中受体模拟传感器捕捉羽流动态，使得能够同时解码混合物成分和基于分析物依赖的动力学模式的3D源位置。AROMA建立在混合配体金纳米粒子上，其相分离的单分子层和非加性界面能量学模拟了嗅觉GPCRs的多重选择性。在天线中部署</w:t>
      </w:r>
    </w:p>
    <w:p>
      <w:pPr>
        <w:spacing w:before="0" w:after="200" w:lineRule="auto" w:line="276"/>
      </w:pPr>
      <w:r>
        <w:rPr>
          <w:b/>
        </w:rPr>
        <w:t xml:space="preserve">Abstract (EN): </w:t>
      </w:r>
      <w:r>
        <w:t>Odor plumes are chemophysical fields where molecular identity is coupled to transport phenomena including diffusion and turbulence. In animals, decoding this joint information underlies navigation and social behavior. However, artificial systems treat identity and location as independent problems, solved by distinct modalities. Here we present AROMA (Artificial Receptor-Olfaction Mimetic Array), a stereo olfaction strategy in which receptor-mimetic sensors capture plume dynamics, enabling concurrent decoding of mixture composition and 3D source location from analyte-dependent kinetic patterns. AROMA is built on mixed-ligand gold nanoparticles whose phase-separated monolayers and non-additive interfacial energetics emulate the promiscuous selectivity of olfactory GPCRs. Deployed in an antenna-like, spatially separated configuration, these sensors convert evolving concentration fields into disparities in onset, rise, and amplitude that encode geometric information. Trained on 50 plume trials of six-odorant mixtures sampled by a 30-channel array in an 18 cm cubic chamber, a multi-task Transformer achieves 86.7% mixture identification accuracy and a 3D localization error of 2.84 ± 0.87 cm. We demonstrate room-scale source tracking with a mobile robot indoors under natural airflow. By translating plume dynamics into a unified latent representation, AROMA advances artificial olfaction from static molecular discrimination toward spatial intelligence, offering a general framework for environmental monitoring and autonomous navigation.</w:t>
      </w:r>
    </w:p>
    <w:p>
      <w:pPr>
        <w:spacing w:before="120" w:after="120"/>
      </w:pPr>
      <w:r>
        <w:rPr>
          <w:sz w:val="18"/>
        </w:rPr>
        <w:t>——————————————————————————————————————————————————————————————————————</w:t>
      </w:r>
    </w:p>
    <w:p>
      <w:pPr>
        <w:spacing w:before="160" w:after="40" w:line="240" w:lineRule="auto"/>
      </w:pPr>
      <w:r>
        <w:rPr>
          <w:b/>
        </w:rPr>
        <w:t xml:space="preserve">[292] </w:t>
      </w:r>
      <w:hyperlink r:id="rId603">
        <w:r>
          <w:rPr>
            <w:color w:val="1155CC"/>
            <w:u w:val="single"/>
          </w:rPr>
          <w:t>用于单个活细胞中线粒体-细胞质通讯定量表征的双回路纳米移液管</w:t>
        </w:r>
      </w:hyperlink>
    </w:p>
    <w:p>
      <w:pPr>
        <w:spacing w:before="0" w:after="80"/>
      </w:pPr>
      <w:r>
        <w:rPr>
          <w:i/>
          <w:sz w:val="20"/>
        </w:rPr>
        <w:t>EN: Dual‐Circuit Nanopipette for Quantitative Characterization of Mitochondrial‐Cytosolic Communications in Single Living Cell</w:t>
      </w:r>
    </w:p>
    <w:p>
      <w:pPr>
        <w:spacing w:before="0" w:after="120"/>
      </w:pPr>
      <w:r>
        <w:rPr>
          <w:b/>
        </w:rPr>
        <w:t xml:space="preserve">Source: </w:t>
      </w:r>
      <w:r>
        <w:t>Wiley: Angewandte Chemie International Edition: Table of Contents</w:t>
      </w:r>
      <w:r>
        <w:t xml:space="preserve">    </w:t>
      </w:r>
      <w:r>
        <w:rPr>
          <w:b/>
        </w:rPr>
        <w:t xml:space="preserve">Pub date: </w:t>
      </w:r>
      <w:r>
        <w:t>2026-02-26 06:16:56+00:00</w:t>
      </w:r>
      <w:r>
        <w:t xml:space="preserve">    </w:t>
      </w:r>
      <w:r>
        <w:rPr>
          <w:b/>
        </w:rPr>
        <w:t xml:space="preserve">DOI: </w:t>
      </w:r>
      <w:hyperlink r:id="rId604">
        <w:r>
          <w:rPr>
            <w:color w:val="1155CC"/>
            <w:u w:val="single"/>
          </w:rPr>
          <w:t>10.1002/anie.4039681</w:t>
        </w:r>
      </w:hyperlink>
    </w:p>
    <w:p>
      <w:pPr>
        <w:spacing w:before="0" w:after="120"/>
      </w:pPr>
      <w:r>
        <w:rPr>
          <w:b/>
        </w:rPr>
        <w:t xml:space="preserve">Notes: </w:t>
      </w:r>
      <w:r>
        <w:t>abstract_source=pubmed</w:t>
      </w:r>
    </w:p>
    <w:p>
      <w:pPr>
        <w:spacing w:before="0" w:after="80" w:lineRule="auto" w:line="276"/>
      </w:pPr>
      <w:r>
        <w:rPr>
          <w:b/>
        </w:rPr>
        <w:t xml:space="preserve">摘要（ZH）: </w:t>
      </w:r>
      <w:r>
        <w:t>对活细胞中亚细胞隔室之间复杂通信的定量分析在化学和生物学中构成了重大挑战。在此，我们提出了一种具有高时空分辨率的双电路纳米移液器平台，允许在同一活细胞内共同追踪来自线粒体及其相邻细胞质的活性氧（ROS）动态。我们的研究发现，单个线粒体中的瞬时ROS水平表现出显著波动，或超过或低于其周围细胞质中测量的水平。这种变化通常被平均测量所掩盖，强调了亚细胞隔室之间的动态相互作用，同时保持功能自主性。重要的是，我们的定量分析</w:t>
      </w:r>
    </w:p>
    <w:p>
      <w:pPr>
        <w:spacing w:before="0" w:after="200" w:lineRule="auto" w:line="276"/>
      </w:pPr>
      <w:r>
        <w:rPr>
          <w:b/>
        </w:rPr>
        <w:t xml:space="preserve">Abstract (EN): </w:t>
      </w:r>
      <w:r>
        <w:t>The quantitative analysis of intricate communications linking subcellular compartments in living cells poses a significant challenge in chemistry and biology. Here, we present a dual-circuit nanopipette platform with high spatiotemporal resolution allowing for the co-tracking of reactive oxygen species (ROS) dynamics from a mitochondrion and its adjacent cytosol within the same living cell. Our findings uncover that transient ROS levels in individual mitochondrion exhibit significant fluctuations, either exceeding or falling below those measured in its surrounding cytosol. Such variations, typically obscured by averaged measurements, underscore the dynamic interplay between subcellular compartments, while simultaneously retaining functional autonomy. Importantly, our quantitative analysis indicates that ROS generated by mitochondria initiates a positive feedback mechanism that amplifies cytosolic ROS levels. Additionally, the average duration for cytosolic ROS levels to return to baseline in cyclosporin A (CsA) pretreated cells was comparable to that observed in untreated cells. This extended time is attributed to a negative feedback loop triggered by mitochondrial ROS, which enhances overall ROS clearance efficiency. Collectively, this nanopipette offers a robust platform for dissecting the complex sspatiotemporal dynamics of ROS at the single-organelle level, thereby acquiring simultaneous insights into the communication mechanisms between organelles and their immediate cytosolic surroundings.</w:t>
      </w:r>
    </w:p>
    <w:p>
      <w:pPr>
        <w:spacing w:before="120" w:after="120"/>
      </w:pPr>
      <w:r>
        <w:rPr>
          <w:sz w:val="18"/>
        </w:rPr>
        <w:t>——————————————————————————————————————————————————————————————————————</w:t>
      </w:r>
    </w:p>
    <w:p>
      <w:pPr>
        <w:spacing w:before="160" w:after="40" w:line="240" w:lineRule="auto"/>
      </w:pPr>
      <w:r>
        <w:rPr>
          <w:b/>
        </w:rPr>
        <w:t xml:space="preserve">[293] </w:t>
      </w:r>
      <w:hyperlink r:id="rId605">
        <w:r>
          <w:rPr>
            <w:color w:val="1155CC"/>
            <w:u w:val="single"/>
          </w:rPr>
          <w:t>在大肠杆菌中受控递送和光诱导释放魔法点核苷酸</w:t>
        </w:r>
      </w:hyperlink>
    </w:p>
    <w:p>
      <w:pPr>
        <w:spacing w:before="0" w:after="80"/>
      </w:pPr>
      <w:r>
        <w:rPr>
          <w:i/>
          <w:sz w:val="20"/>
        </w:rPr>
        <w:t>EN: Controlled Delivery and Light‐Induced Release of Magic Spot Nucleotides in Escherichia coli</w:t>
      </w:r>
    </w:p>
    <w:p>
      <w:pPr>
        <w:spacing w:before="0" w:after="120"/>
      </w:pPr>
      <w:r>
        <w:rPr>
          <w:b/>
        </w:rPr>
        <w:t xml:space="preserve">Source: </w:t>
      </w:r>
      <w:r>
        <w:t>Wiley: Angewandte Chemie International Edition: Table of Contents</w:t>
      </w:r>
      <w:r>
        <w:t xml:space="preserve">    </w:t>
      </w:r>
      <w:r>
        <w:rPr>
          <w:b/>
        </w:rPr>
        <w:t xml:space="preserve">Pub date: </w:t>
      </w:r>
      <w:r>
        <w:t>2026-02-26 06:19:12+00:00</w:t>
      </w:r>
      <w:r>
        <w:t xml:space="preserve">    </w:t>
      </w:r>
      <w:r>
        <w:rPr>
          <w:b/>
        </w:rPr>
        <w:t xml:space="preserve">DOI: </w:t>
      </w:r>
      <w:hyperlink r:id="rId606">
        <w:r>
          <w:rPr>
            <w:color w:val="1155CC"/>
            <w:u w:val="single"/>
          </w:rPr>
          <w:t>10.1002/anie.202523307</w:t>
        </w:r>
      </w:hyperlink>
    </w:p>
    <w:p>
      <w:pPr>
        <w:spacing w:before="0" w:after="120"/>
      </w:pPr>
      <w:r>
        <w:rPr>
          <w:b/>
        </w:rPr>
        <w:t xml:space="preserve">Notes: </w:t>
      </w:r>
      <w:r>
        <w:t>abstract_source=pubmed</w:t>
      </w:r>
    </w:p>
    <w:p>
      <w:pPr>
        <w:spacing w:before="0" w:after="80" w:lineRule="auto" w:line="276"/>
      </w:pPr>
      <w:r>
        <w:rPr>
          <w:b/>
        </w:rPr>
        <w:t xml:space="preserve">摘要（ZH）: </w:t>
      </w:r>
      <w:r>
        <w:t>“魔法点”核苷酸（MSNs）ppGpp和pppGpp构成了细菌警报素，协调保守的严格反应，这是一种全球调节机制，使细菌能够适应营养缺乏和其他环境压力。当前操控MSN水平的策略主要依赖于遗传或环境方法，这些方法缓慢且缺乏时间控制。化学工具如光笼MSN类似物可以提供对MSN水平的时间控制。然而，MSNs的高负电荷阻止了其自发通过复杂的细菌细胞包膜。在此，我们报告了光笼、可点击和同位素标记的MSN类似物的合成及其在大肠杆菌中的递送，比较了不同的方法。一种基于环糊精的合成n</w:t>
      </w:r>
    </w:p>
    <w:p>
      <w:pPr>
        <w:spacing w:before="0" w:after="200" w:lineRule="auto" w:line="276"/>
      </w:pPr>
      <w:r>
        <w:rPr>
          <w:b/>
        </w:rPr>
        <w:t xml:space="preserve">Abstract (EN): </w:t>
      </w:r>
      <w:r>
        <w:t>The "magic spot" nucleotides (MSNs) ppGpp and pppGpp constitute bacterial alarmones that orchestrate the conserved stringent response, a global regulatory mechanism enabling bacteria to adapt to nutrient deprivation and other environmental stresses. Current strategies to manipulate MSN levels rely mainly on genetic or environmental approaches, which are slow and lack temporal control. Chemical tools such as photocaged MSN analogues could provide such temporal control over MSN levels. However, the high negative charge of MSNs prevents spontaneous passage through the complex bacterial cell envelope. Here, we report the synthesis of photocaged, clickable, and isotope-labeled MSN analogues and their delivery into Escherichia coli comparing different approaches. A cyclodextrin-based synthetic nucleotide transporter facilitated uptake. Upon 400 nm irradiation, these probes were photo-released inside living cells, where we tracked their conversion from pppGpp to ppGpp by capillary electrophoresis mass spectrometry and demonstrated their ability to alter growth in a (p)ppGpp0 mutant. These probes lay the foundation for spatially and temporally controlled studies of MSN function and of other highly negatively charged metabolites in vivo.</w:t>
      </w:r>
    </w:p>
    <w:p>
      <w:pPr>
        <w:spacing w:before="120" w:after="120"/>
      </w:pPr>
      <w:r>
        <w:rPr>
          <w:sz w:val="18"/>
        </w:rPr>
        <w:t>——————————————————————————————————————————————————————————————————————</w:t>
      </w:r>
    </w:p>
    <w:p>
      <w:pPr>
        <w:spacing w:before="160" w:after="40" w:line="240" w:lineRule="auto"/>
      </w:pPr>
      <w:r>
        <w:rPr>
          <w:b/>
        </w:rPr>
        <w:t xml:space="preserve">[294] </w:t>
      </w:r>
      <w:hyperlink r:id="rId607">
        <w:r>
          <w:rPr>
            <w:color w:val="1155CC"/>
            <w:u w:val="single"/>
          </w:rPr>
          <w:t>异质光(电)催化剂中的极化子</w:t>
        </w:r>
      </w:hyperlink>
    </w:p>
    <w:p>
      <w:pPr>
        <w:spacing w:before="0" w:after="80"/>
      </w:pPr>
      <w:r>
        <w:rPr>
          <w:i/>
          <w:sz w:val="20"/>
        </w:rPr>
        <w:t>EN: Polarons in Heterogeneous Photo(electro)Catalysts</w:t>
      </w:r>
    </w:p>
    <w:p>
      <w:pPr>
        <w:spacing w:before="0" w:after="120"/>
      </w:pPr>
      <w:r>
        <w:rPr>
          <w:b/>
        </w:rPr>
        <w:t xml:space="preserve">Source: </w:t>
      </w:r>
      <w:r>
        <w:t>Wiley: Angewandte Chemie International Edition: Table of Contents</w:t>
      </w:r>
      <w:r>
        <w:t xml:space="preserve">    </w:t>
      </w:r>
      <w:r>
        <w:rPr>
          <w:b/>
        </w:rPr>
        <w:t xml:space="preserve">Pub date: </w:t>
      </w:r>
      <w:r>
        <w:t>2026-02-26 06:19:19+00:00</w:t>
      </w:r>
      <w:r>
        <w:t xml:space="preserve">    </w:t>
      </w:r>
      <w:r>
        <w:rPr>
          <w:b/>
        </w:rPr>
        <w:t xml:space="preserve">DOI: </w:t>
      </w:r>
      <w:hyperlink r:id="rId608">
        <w:r>
          <w:rPr>
            <w:color w:val="1155CC"/>
            <w:u w:val="single"/>
          </w:rPr>
          <w:t>10.1002/anie.202522726</w:t>
        </w:r>
      </w:hyperlink>
    </w:p>
    <w:p>
      <w:pPr>
        <w:spacing w:before="0" w:after="120"/>
      </w:pPr>
      <w:r>
        <w:rPr>
          <w:b/>
        </w:rPr>
        <w:t xml:space="preserve">Notes: </w:t>
      </w:r>
      <w:r>
        <w:t>abstract_source=pubmed</w:t>
      </w:r>
    </w:p>
    <w:p>
      <w:pPr>
        <w:spacing w:before="0" w:after="80" w:lineRule="auto" w:line="276"/>
      </w:pPr>
      <w:r>
        <w:rPr>
          <w:b/>
        </w:rPr>
        <w:t xml:space="preserve">摘要（ZH）: </w:t>
      </w:r>
      <w:r>
        <w:t>异质光(电)催化涉及光子吸收、载流子分离、极化子形成、俘获、体相和表面复合、载流子提取和表面催化的连续步骤。其中，极化子的形成和动力学，即由强电子-晶格相互作用产生的准粒子，扮演着关键但常被低估的角色。极化子的超快寿命范围从飞秒到皮秒，难以控制，但对光子吸收、载流子迁移率、复合速率和催化活性有重要影响。近年来，时间分辨光谱、扫描探针显微镜和理论建模的进展使得在各种光催化体系中直接观察和机制解释极化子态成为可能。</w:t>
      </w:r>
    </w:p>
    <w:p>
      <w:pPr>
        <w:spacing w:before="0" w:after="200" w:lineRule="auto" w:line="276"/>
      </w:pPr>
      <w:r>
        <w:rPr>
          <w:b/>
        </w:rPr>
        <w:t xml:space="preserve">Abstract (EN): </w:t>
      </w:r>
      <w:r>
        <w:t>Heterogeneous photo(electro)catalysis involves sequential steps of photon absorption, charge separation, polaron formation, trapping, bulk and surface recombination, charge extraction, and surface catalysis. Among these, the formation and dynamics of polarons, quasiparticles resulting from strong electron-lattice interactions, play a pivotal yet often underappreciated role. With ultrafast lifetimes ranging from femtoseconds to picoseconds, polarons are challenging to control, but they crucially influence photon absorption, charge carrier mobility, recombination rates, and catalytic reactivity. Recent advances in time-resolved spectroscopy, scanning probe microscopy, and theoretical modeling have enabled direct observation and mechanistic interpretation of polaronic states in various photoactive semiconductors. This minireview aims to provide a comprehensive and pedagogical overview of polaron phenomena in heterogeneous photo(electro)catalysts, with a focus on how they affect key material functionalities. Special emphasis is placed on correlating material performance with polaron behavior through state-of-the-art experimental characterization and modeling techniques. By highlighting mechanistic insights and unifying design principles, this minireview aims to guide the rational engineering of semiconductors with tailored polaronic properties for enhanced photo(electro)catalytic performance.</w:t>
      </w:r>
    </w:p>
    <w:p>
      <w:pPr>
        <w:spacing w:before="120" w:after="120"/>
      </w:pPr>
      <w:r>
        <w:rPr>
          <w:sz w:val="18"/>
        </w:rPr>
        <w:t>——————————————————————————————————————————————————————————————————————</w:t>
      </w:r>
    </w:p>
    <w:p>
      <w:pPr>
        <w:spacing w:before="160" w:after="40" w:line="240" w:lineRule="auto"/>
      </w:pPr>
      <w:r>
        <w:rPr>
          <w:b/>
        </w:rPr>
        <w:t xml:space="preserve">[295] </w:t>
      </w:r>
      <w:hyperlink r:id="rId609">
        <w:r>
          <w:rPr>
            <w:color w:val="1155CC"/>
            <w:u w:val="single"/>
          </w:rPr>
          <w:t>具有白光发射和多色余辉的光致变色金属有机框架用于高级防伪和加密</w:t>
        </w:r>
      </w:hyperlink>
    </w:p>
    <w:p>
      <w:pPr>
        <w:spacing w:before="0" w:after="80"/>
      </w:pPr>
      <w:r>
        <w:rPr>
          <w:i/>
          <w:sz w:val="20"/>
        </w:rPr>
        <w:t>EN: Photochromic Metal‐Organic Frameworks With White‐Light Emission, and Multicolor Afterglow for Advanced Anti‐Counterfeiting and Encryption</w:t>
      </w:r>
    </w:p>
    <w:p>
      <w:pPr>
        <w:spacing w:before="0" w:after="120"/>
      </w:pPr>
      <w:r>
        <w:rPr>
          <w:b/>
        </w:rPr>
        <w:t xml:space="preserve">Source: </w:t>
      </w:r>
      <w:r>
        <w:t>Wiley: Angewandte Chemie International Edition: Table of Contents</w:t>
      </w:r>
      <w:r>
        <w:t xml:space="preserve">    </w:t>
      </w:r>
      <w:r>
        <w:rPr>
          <w:b/>
        </w:rPr>
        <w:t xml:space="preserve">Pub date: </w:t>
      </w:r>
      <w:r>
        <w:t>2026-02-26 06:21:01+00:00</w:t>
      </w:r>
      <w:r>
        <w:t xml:space="preserve">    </w:t>
      </w:r>
      <w:r>
        <w:rPr>
          <w:b/>
        </w:rPr>
        <w:t xml:space="preserve">DOI: </w:t>
      </w:r>
      <w:hyperlink r:id="rId610">
        <w:r>
          <w:rPr>
            <w:color w:val="1155CC"/>
            <w:u w:val="single"/>
          </w:rPr>
          <w:t>10.1002/anie.7328455</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s）的合理设计，集成长余辉发光（LAL）、光致变色和多色发射，仍然是先进防伪和信息加密应用中理想但具有挑战性的目标。在此，通过电子缺乏的三嗪基配体（L）与CdX2的水热反应，合成了一系列卤化物调节的X-MOFs（X = Cl, Br, I），集成了光致发光和光致变色。这些X-MOFs的刚性框架结合卤素工程，实现了可调的多路径发光。同时，卤素的参与和配体的电荷分布促进了有效的光诱导电子转移。在长时间紫外线照射下，光致变色和光热响应直接来自于</w:t>
      </w:r>
    </w:p>
    <w:p>
      <w:pPr>
        <w:spacing w:before="0" w:after="200" w:lineRule="auto" w:line="276"/>
      </w:pPr>
      <w:r>
        <w:rPr>
          <w:b/>
        </w:rPr>
        <w:t xml:space="preserve">Abstract (EN): </w:t>
      </w:r>
      <w:r>
        <w:t>Rational design of metal-organic frameworks (MOFs) with integrated long-afterglow luminescence (LAL), photochromism, and multicolor emission remains desirable yet challenging for advanced anti-counterfeiting and information encryption applications. Herein, a series of halide-tuned X-MOFs (X = Cl, Br, and I) integrating photoluminescence and photochromism were synthesized via hydrothermal reaction of an electron-deficient triazine-based ligand (L) with CdX2. The rigid framework, combined with halogen engineering, enables tunable multi-path luminescence in these X-MOFs. Meanwhile, the involvement of halogens and charge distribution of the ligand facilitate effective photoinduced electron transfer. Upon prolonged UV exposure, photochromic and photothermal responses result directly from the accumulation of HL· free radicals. Owing to the coexistence of photoinduced electron-transfer quenching and charge-transfer emission, the X-MOFs exhibit not only irradiation-time-, excitation-, and temperature-dependent cold-to-warm white-light tunability, but also excitation-, temperature-, and time-responsive multicolor LAL spanning green to yellow or orange. Combined theoretical analyses elucidate the multipath luminescence originating from intra- and intermolecular charge transfer in the rigid framework, and photochromic behavior arising from electron transfer between the pyridine and triazine in the ligand backbone. These multifunctional MOFs exhibit great promise for high-security information encryption and anti-counterfeiting, offering a straightforward strategy for designing advanced luminescent materials.</w:t>
      </w:r>
    </w:p>
    <w:p>
      <w:pPr>
        <w:spacing w:before="120" w:after="120"/>
      </w:pPr>
      <w:r>
        <w:rPr>
          <w:sz w:val="18"/>
        </w:rPr>
        <w:t>——————————————————————————————————————————————————————————————————————</w:t>
      </w:r>
    </w:p>
    <w:p>
      <w:pPr>
        <w:spacing w:before="160" w:after="40" w:line="240" w:lineRule="auto"/>
      </w:pPr>
      <w:r>
        <w:rPr>
          <w:b/>
        </w:rPr>
        <w:t xml:space="preserve">[296] </w:t>
      </w:r>
      <w:hyperlink r:id="rId611">
        <w:r>
          <w:rPr>
            <w:color w:val="1155CC"/>
            <w:u w:val="single"/>
          </w:rPr>
          <w:t>用于全彩色图像编码和解码的化学原色像素</w:t>
        </w:r>
      </w:hyperlink>
    </w:p>
    <w:p>
      <w:pPr>
        <w:spacing w:before="0" w:after="80"/>
      </w:pPr>
      <w:r>
        <w:rPr>
          <w:i/>
          <w:sz w:val="20"/>
        </w:rPr>
        <w:t>EN: Chemical Primary Color Pixels for Full‐Color Image Encoding and Decoding</w:t>
      </w:r>
    </w:p>
    <w:p>
      <w:pPr>
        <w:spacing w:before="0" w:after="120"/>
      </w:pPr>
      <w:r>
        <w:rPr>
          <w:b/>
        </w:rPr>
        <w:t xml:space="preserve">Source: </w:t>
      </w:r>
      <w:r>
        <w:t>Wiley: Angewandte Chemie International Edition: Table of Contents</w:t>
      </w:r>
      <w:r>
        <w:t xml:space="preserve">    </w:t>
      </w:r>
      <w:r>
        <w:rPr>
          <w:b/>
        </w:rPr>
        <w:t xml:space="preserve">Pub date: </w:t>
      </w:r>
      <w:r>
        <w:t>2026-02-26 06:24:12+00:00</w:t>
      </w:r>
      <w:r>
        <w:t xml:space="preserve">    </w:t>
      </w:r>
      <w:r>
        <w:rPr>
          <w:b/>
        </w:rPr>
        <w:t xml:space="preserve">DOI: </w:t>
      </w:r>
      <w:hyperlink r:id="rId612">
        <w:r>
          <w:rPr>
            <w:color w:val="1155CC"/>
            <w:u w:val="single"/>
          </w:rPr>
          <w:t>10.1002/anie.3633333</w:t>
        </w:r>
      </w:hyperlink>
    </w:p>
    <w:p>
      <w:pPr>
        <w:spacing w:before="0" w:after="120"/>
      </w:pPr>
      <w:r>
        <w:rPr>
          <w:b/>
        </w:rPr>
        <w:t xml:space="preserve">Notes: </w:t>
      </w:r>
      <w:r>
        <w:t>abstract_source=pubmed</w:t>
      </w:r>
    </w:p>
    <w:p>
      <w:pPr>
        <w:spacing w:before="0" w:after="80" w:lineRule="auto" w:line="276"/>
      </w:pPr>
      <w:r>
        <w:rPr>
          <w:b/>
        </w:rPr>
        <w:t xml:space="preserve">摘要（ZH）: </w:t>
      </w:r>
      <w:r>
        <w:t>反射显示器使用与眼睛兼容的环境光来展示图像，因此比发光显示器具有更好的可读性和更高的能效。适用于反射显示的原色可以通过各种化学显色反应轻松产生，但从原色到彩色像素，二进制数据的分配和指令是必不可少的，这反过来又通过编码和解码指导彩色图像的生成。在此，我们提出了一种化学原色像素策略，使用玫瑰苯胺（RB，一种著名逻辑门分子荧光素的衍生物）与显色底物3,3',5,5'-四甲基联苯胺（TMB）结合，以实现化学原色像素。具体来说，RB的pH依赖性光敏化活性被探</w:t>
      </w:r>
    </w:p>
    <w:p>
      <w:pPr>
        <w:spacing w:before="0" w:after="200" w:lineRule="auto" w:line="276"/>
      </w:pPr>
      <w:r>
        <w:rPr>
          <w:b/>
        </w:rPr>
        <w:t xml:space="preserve">Abstract (EN): </w:t>
      </w:r>
      <w:r>
        <w:t>Reflective displays use eye-compatible ambient light to showcase the image, thus featuring better readability and higher energy efficiency over the emissive displays. Primary colors suitable for reflective display can be easily produced via various chemical chromogenic reactions, but from primary colors to color pixels, assigning and instruction of binary data is essential, which in turn guide the generation of colorful images via encoding and decoding. Herein, we proposed a chemical primary color pixel strategy using Rose Bengal (RB, a derivative of the well-known logic gate molecule fluorescein), together with a chromogenic substrate 3,3',5,5'-tetramethylbenzidine (TMB), to achieve chemical primary color pixels. Specificall Yey, the pH-dependent photosensitization activity of RB was explored (oxidation of TMB) and combined with the pH-modulated refreshable TMB-based chromogenic reaction, which allowed the use of pH and light to dually modulate the chromogenic reaction for CMY primary color output. Meanwhile, such system could perform binary logic gates, and was capable of decoding and encoding the binary data of images. The resultant chemical primary color pixels featured a full-color gamut and facile refreshing, which permitted image display in a full-color reflective mode with a resolution of 51 PPI and extreme visual comfort.</w:t>
      </w:r>
    </w:p>
    <w:p>
      <w:pPr>
        <w:spacing w:before="120" w:after="120"/>
      </w:pPr>
      <w:r>
        <w:rPr>
          <w:sz w:val="18"/>
        </w:rPr>
        <w:t>——————————————————————————————————————————————————————————————————————</w:t>
      </w:r>
    </w:p>
    <w:p>
      <w:pPr>
        <w:spacing w:before="160" w:after="40" w:line="240" w:lineRule="auto"/>
      </w:pPr>
      <w:r>
        <w:rPr>
          <w:b/>
        </w:rPr>
        <w:t xml:space="preserve">[297] </w:t>
      </w:r>
      <w:hyperlink r:id="rId613">
        <w:r>
          <w:rPr>
            <w:color w:val="1155CC"/>
            <w:u w:val="single"/>
          </w:rPr>
          <w:t>数据显示2025年NIH资助成功率急剧下降</w:t>
        </w:r>
      </w:hyperlink>
    </w:p>
    <w:p>
      <w:pPr>
        <w:spacing w:before="0" w:after="80"/>
      </w:pPr>
      <w:r>
        <w:rPr>
          <w:i/>
          <w:sz w:val="20"/>
        </w:rPr>
        <w:t>EN: Data show sharp drops in NIH funding success in 2025</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14">
        <w:r>
          <w:rPr>
            <w:color w:val="1155CC"/>
            <w:u w:val="single"/>
          </w:rPr>
          <w:t>10.1126/science.aeg7168</w:t>
        </w:r>
      </w:hyperlink>
    </w:p>
    <w:p>
      <w:pPr>
        <w:spacing w:before="0" w:after="120"/>
      </w:pPr>
      <w:r>
        <w:rPr>
          <w:b/>
        </w:rPr>
        <w:t xml:space="preserve">Notes: </w:t>
      </w:r>
      <w:r>
        <w:t>abstract_source=crossref</w:t>
      </w:r>
    </w:p>
    <w:p>
      <w:pPr>
        <w:spacing w:before="0" w:after="80" w:lineRule="auto" w:line="276"/>
      </w:pPr>
      <w:r>
        <w:rPr>
          <w:b/>
        </w:rPr>
        <w:t xml:space="preserve">摘要（ZH）: </w:t>
      </w:r>
      <w:r>
        <w:t>年轻研究人员因白宫实施的多年资助政策而失利</w:t>
      </w:r>
    </w:p>
    <w:p>
      <w:pPr>
        <w:spacing w:before="0" w:after="200" w:lineRule="auto" w:line="276"/>
      </w:pPr>
      <w:r>
        <w:rPr>
          <w:b/>
        </w:rPr>
        <w:t xml:space="preserve">Abstract (EN): </w:t>
      </w:r>
      <w:r>
        <w:t>Young investigators lose out as result of multiyear funding policy imposed by White House</w:t>
      </w:r>
    </w:p>
    <w:p>
      <w:pPr>
        <w:spacing w:before="120" w:after="120"/>
      </w:pPr>
      <w:r>
        <w:rPr>
          <w:sz w:val="18"/>
        </w:rPr>
        <w:t>——————————————————————————————————————————————————————————————————————</w:t>
      </w:r>
    </w:p>
    <w:p>
      <w:pPr>
        <w:spacing w:before="160" w:after="40" w:line="240" w:lineRule="auto"/>
      </w:pPr>
      <w:r>
        <w:rPr>
          <w:b/>
        </w:rPr>
        <w:t xml:space="preserve">[298] </w:t>
      </w:r>
      <w:hyperlink r:id="rId615">
        <w:r>
          <w:rPr>
            <w:color w:val="1155CC"/>
            <w:u w:val="single"/>
          </w:rPr>
          <w:t>其他期刊中的内容</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16">
        <w:r>
          <w:rPr>
            <w:color w:val="1155CC"/>
            <w:u w:val="single"/>
          </w:rPr>
          <w:t>10.1126/science.aeg6836</w:t>
        </w:r>
      </w:hyperlink>
    </w:p>
    <w:p>
      <w:pPr>
        <w:spacing w:before="0" w:after="120"/>
      </w:pPr>
      <w:r>
        <w:rPr>
          <w:b/>
        </w:rPr>
        <w:t xml:space="preserve">Notes: </w:t>
      </w:r>
      <w:r>
        <w:t>abstract_source=crossref</w:t>
      </w:r>
    </w:p>
    <w:p>
      <w:pPr>
        <w:spacing w:before="0" w:after="80" w:lineRule="auto" w:line="276"/>
      </w:pPr>
      <w:r>
        <w:rPr>
          <w:b/>
        </w:rPr>
        <w:t xml:space="preserve">摘要（ZH）: </w:t>
      </w:r>
      <w:r>
        <w:t>当前科学文献的编辑精选</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[299] </w:t>
      </w:r>
      <w:hyperlink r:id="rId617">
        <w:r>
          <w:rPr>
            <w:color w:val="1155CC"/>
            <w:u w:val="single"/>
          </w:rPr>
          <w:t>据称中国核爆可能重新点燃测试</w:t>
        </w:r>
      </w:hyperlink>
    </w:p>
    <w:p>
      <w:pPr>
        <w:spacing w:before="0" w:after="80"/>
      </w:pPr>
      <w:r>
        <w:rPr>
          <w:i/>
          <w:sz w:val="20"/>
        </w:rPr>
        <w:t>EN: Alleged Chinese nuclear blast may reignite testing</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18">
        <w:r>
          <w:rPr>
            <w:color w:val="1155CC"/>
            <w:u w:val="single"/>
          </w:rPr>
          <w:t>10.1126/science.aeg7162</w:t>
        </w:r>
      </w:hyperlink>
    </w:p>
    <w:p>
      <w:pPr>
        <w:spacing w:before="0" w:after="120"/>
      </w:pPr>
      <w:r>
        <w:rPr>
          <w:b/>
        </w:rPr>
        <w:t xml:space="preserve">Notes: </w:t>
      </w:r>
      <w:r>
        <w:t>abstract_source=crossref</w:t>
      </w:r>
    </w:p>
    <w:p>
      <w:pPr>
        <w:spacing w:before="0" w:after="80" w:lineRule="auto" w:line="276"/>
      </w:pPr>
      <w:r>
        <w:rPr>
          <w:b/>
        </w:rPr>
        <w:t xml:space="preserve">摘要（ZH）: </w:t>
      </w:r>
      <w:r>
        <w:t>随着新的全球军备竞赛迫在眉睫，指控突显出监测低当量试验的局限性</w:t>
      </w:r>
    </w:p>
    <w:p>
      <w:pPr>
        <w:spacing w:before="0" w:after="200" w:lineRule="auto" w:line="276"/>
      </w:pPr>
      <w:r>
        <w:rPr>
          <w:b/>
        </w:rPr>
        <w:t xml:space="preserve">Abstract (EN): </w:t>
      </w:r>
      <w:r>
        <w:t>As new global arms race looms, accusation highlights limits to monitoring low-yield tests</w:t>
      </w:r>
    </w:p>
    <w:p>
      <w:pPr>
        <w:spacing w:before="120" w:after="120"/>
      </w:pPr>
      <w:r>
        <w:rPr>
          <w:sz w:val="18"/>
        </w:rPr>
        <w:t>——————————————————————————————————————————————————————————————————————</w:t>
      </w:r>
    </w:p>
    <w:p>
      <w:pPr>
        <w:spacing w:before="160" w:after="40" w:line="240" w:lineRule="auto"/>
      </w:pPr>
      <w:r>
        <w:rPr>
          <w:b/>
        </w:rPr>
        <w:t xml:space="preserve">[300] </w:t>
      </w:r>
      <w:hyperlink r:id="rId619">
        <w:r>
          <w:rPr>
            <w:color w:val="1155CC"/>
            <w:u w:val="single"/>
          </w:rPr>
          <w:t>敏感的CAR T细胞重新定义实体肿瘤中可靶向的CD70表达</w:t>
        </w:r>
      </w:hyperlink>
    </w:p>
    <w:p>
      <w:pPr>
        <w:spacing w:before="0" w:after="80"/>
      </w:pPr>
      <w:r>
        <w:rPr>
          <w:i/>
          <w:sz w:val="20"/>
        </w:rPr>
        <w:t>EN: Sensitive CAR T cells redefine targetable CD70 expression in solid tumors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20">
        <w:r>
          <w:rPr>
            <w:color w:val="1155CC"/>
            <w:u w:val="single"/>
          </w:rPr>
          <w:t>10.1126/science.adv7378</w:t>
        </w:r>
      </w:hyperlink>
    </w:p>
    <w:p>
      <w:pPr>
        <w:spacing w:before="0" w:after="120"/>
      </w:pPr>
      <w:r>
        <w:rPr>
          <w:b/>
        </w:rPr>
        <w:t xml:space="preserve">Notes: </w:t>
      </w:r>
      <w:r>
        <w:t>abstract_source=crossref</w:t>
      </w:r>
    </w:p>
    <w:p>
      <w:pPr>
        <w:spacing w:before="0" w:after="80" w:lineRule="auto" w:line="276"/>
      </w:pPr>
      <w:r>
        <w:rPr>
          <w:b/>
        </w:rPr>
        <w:t xml:space="preserve">摘要（ZH）: </w:t>
      </w:r>
      <w:r>
        <w:t>实体肿瘤抗原异质性是癌症免疫疗法（包括嵌合抗原受体（CAR）T细胞）面临的主要挑战。与B细胞恶性肿瘤的CD19不同，尚未发现实体肿瘤中具有全细胞表达且在正常重要细胞中缺失的靶标。CD70是一个有前途的候选者，生理上局限于免疫细胞亚群，并在许多癌症中异常表达。我们表明，肿瘤中异质的CD70表达是表观遗传调控的，在个体细胞中从高到非常低不等，通过常规检测方法显示为阴性。使用一种高灵敏度的CD70受体，HLA非依赖性T细胞（HIT）受体共同表达CD80和4-1BBL进行共刺激，我们有效消除了逃避原型CAR T细胞的CD70异质性肿瘤。</w:t>
      </w:r>
    </w:p>
    <w:p>
      <w:pPr>
        <w:spacing w:before="0" w:after="200" w:lineRule="auto" w:line="276"/>
      </w:pPr>
      <w:r>
        <w:rPr>
          <w:b/>
        </w:rPr>
        <w:t xml:space="preserve">Abstract (EN): </w:t>
      </w:r>
      <w:r>
        <w:t>Solid tumor antigen heterogeneity is a major challenge for cancer immunotherapies, including chimeric antigen receptor (CAR) T cells. Unlike CD19 for B cell malignancies, no target with pan-cellular expression in solid tumors and absence in normal vital cells has been identified. CD70 is a promising candidate, physiologically confined to immune cell subsets and aberrantly expressed in many cancers. We show that heterogeneous CD70 expression in tumors is epigenetically regulated, ranging from high to very low in individual cells, appearing negative by conventional detection methods. Using a highly sensitive CD70 receptor, HLA-independent T cell (HIT) receptor coexpressing CD80 and 4-1BBL for costimulation, we efficiently eliminated CD70-heterogeneous tumors that evade prototypic CAR T cells. These findings provide a potential strategy to treat a broad range of solid tumors.</w:t>
      </w:r>
    </w:p>
    <w:p>
      <w:pPr>
        <w:spacing w:before="120" w:after="120"/>
      </w:pPr>
      <w:r>
        <w:rPr>
          <w:sz w:val="18"/>
        </w:rPr>
        <w:t>——————————————————————————————————————————————————————————————————————</w:t>
      </w:r>
    </w:p>
    <w:p>
      <w:pPr>
        <w:spacing w:before="160" w:after="40" w:line="240" w:lineRule="auto"/>
      </w:pPr>
      <w:r>
        <w:rPr>
          <w:b/>
        </w:rPr>
        <w:t xml:space="preserve">[301] </w:t>
      </w:r>
      <w:hyperlink r:id="rId621">
        <w:r>
          <w:rPr>
            <w:color w:val="1155CC"/>
            <w:u w:val="single"/>
          </w:rPr>
          <w:t>消逝的旋律</w:t>
        </w:r>
      </w:hyperlink>
    </w:p>
    <w:p>
      <w:pPr>
        <w:spacing w:before="0" w:after="80"/>
      </w:pPr>
      <w:r>
        <w:rPr>
          <w:i/>
          <w:sz w:val="20"/>
        </w:rPr>
        <w:t>EN: Fading melodies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22">
        <w:r>
          <w:rPr>
            <w:color w:val="1155CC"/>
            <w:u w:val="single"/>
          </w:rPr>
          <w:t>10.1126/science.aeg6834</w:t>
        </w:r>
      </w:hyperlink>
    </w:p>
    <w:p>
      <w:pPr>
        <w:spacing w:before="0" w:after="120"/>
      </w:pPr>
      <w:r>
        <w:rPr>
          <w:b/>
        </w:rPr>
        <w:t xml:space="preserve">Notes: </w:t>
      </w:r>
      <w:r>
        <w:t>abstract_source=crossref</w:t>
      </w:r>
    </w:p>
    <w:p>
      <w:pPr>
        <w:spacing w:before="0" w:after="80" w:lineRule="auto" w:line="276"/>
      </w:pPr>
      <w:r>
        <w:rPr>
          <w:b/>
        </w:rPr>
        <w:t xml:space="preserve">摘要（ZH）: </w:t>
      </w:r>
      <w:r>
        <w:t>完整的热带森林正在经历神秘的鸟类数量下降。是否正在酝酿另一个“寂静的春天”？</w:t>
      </w:r>
    </w:p>
    <w:p>
      <w:pPr>
        <w:spacing w:before="0" w:after="200" w:lineRule="auto" w:line="276"/>
      </w:pPr>
      <w:r>
        <w:rPr>
          <w:b/>
        </w:rPr>
        <w:t xml:space="preserve">Abstract (EN): </w:t>
      </w:r>
      <w:r>
        <w:t>Intact tropical forests are seeing mysterious bird declines. Is another “silent spring” brewing?</w:t>
      </w:r>
    </w:p>
    <w:p>
      <w:pPr>
        <w:spacing w:before="120" w:after="120"/>
      </w:pPr>
      <w:r>
        <w:rPr>
          <w:sz w:val="18"/>
        </w:rPr>
        <w:t>——————————————————————————————————————————————————————————————————————</w:t>
      </w:r>
    </w:p>
    <w:p>
      <w:pPr>
        <w:spacing w:before="160" w:after="40" w:line="240" w:lineRule="auto"/>
      </w:pPr>
      <w:r>
        <w:rPr>
          <w:b/>
        </w:rPr>
        <w:t xml:space="preserve">[302] </w:t>
      </w:r>
      <w:hyperlink r:id="rId623">
        <w:r>
          <w:rPr>
            <w:color w:val="1155CC"/>
            <w:u w:val="single"/>
          </w:rPr>
          <w:t>AAAS宣布2026年获奖者</w:t>
        </w:r>
      </w:hyperlink>
    </w:p>
    <w:p>
      <w:pPr>
        <w:spacing w:before="0" w:after="80"/>
      </w:pPr>
      <w:r>
        <w:rPr>
          <w:i/>
          <w:sz w:val="20"/>
        </w:rPr>
        <w:t>EN: AAAS announces 2026 award winners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24">
        <w:r>
          <w:rPr>
            <w:color w:val="1155CC"/>
            <w:u w:val="single"/>
          </w:rPr>
          <w:t>10.1126/science.aeg6310</w:t>
        </w:r>
      </w:hyperlink>
    </w:p>
    <w:p>
      <w:pPr>
        <w:spacing w:before="0" w:after="120"/>
      </w:pPr>
      <w:r>
        <w:rPr>
          <w:b/>
        </w:rPr>
        <w:t xml:space="preserve">Notes: </w:t>
      </w:r>
      <w:r>
        <w:t>abstract_source=openalex</w:t>
      </w:r>
    </w:p>
    <w:p>
      <w:pPr>
        <w:spacing w:before="0" w:after="80" w:lineRule="auto" w:line="276"/>
      </w:pPr>
      <w:r>
        <w:rPr>
          <w:b/>
        </w:rPr>
        <w:t xml:space="preserve">摘要（ZH）: </w:t>
      </w:r>
      <w:r>
        <w:t>美国科学促进会宣布了2026年八项奖项的获奖者，这些奖项表彰科学家、工程师、创新者和公务员对科学和社会的贡献。获奖者的成就包括为环境健康提供历史性的科学政策指导、倡导消除学术界的骚扰以及指导下一代土著科学家等成就。</w:t>
      </w:r>
    </w:p>
    <w:p>
      <w:pPr>
        <w:spacing w:before="0" w:after="200" w:lineRule="auto" w:line="276"/>
      </w:pPr>
      <w:r>
        <w:rPr>
          <w:b/>
        </w:rPr>
        <w:t xml:space="preserve">Abstract (EN): </w:t>
      </w:r>
      <w:r>
        <w:t>The American Association for the Advancement of Science has announced the 2026 winners of eight awards that recognize scientists, engineers, innovators, and public servants for their contributions to science and society. The winners’ achievements include historic science policy guidance for environmental health, advocacy to eliminate harassment in academia, and mentoring the next generation of Indigenous scientists, among other accomplishments.</w:t>
      </w:r>
    </w:p>
    <w:p>
      <w:pPr>
        <w:spacing w:before="120" w:after="120"/>
      </w:pPr>
      <w:r>
        <w:rPr>
          <w:sz w:val="18"/>
        </w:rPr>
        <w:t>——————————————————————————————————————————————————————————————————————</w:t>
      </w:r>
    </w:p>
    <w:p>
      <w:pPr>
        <w:spacing w:before="160" w:after="40" w:line="240" w:lineRule="auto"/>
      </w:pPr>
      <w:r>
        <w:rPr>
          <w:b/>
        </w:rPr>
        <w:t xml:space="preserve">[303] </w:t>
      </w:r>
      <w:hyperlink r:id="rId625">
        <w:r>
          <w:rPr>
            <w:color w:val="1155CC"/>
            <w:u w:val="single"/>
          </w:rPr>
          <w:t>在欧盟共同计算树木</w:t>
        </w:r>
      </w:hyperlink>
    </w:p>
    <w:p>
      <w:pPr>
        <w:spacing w:before="0" w:after="80"/>
      </w:pPr>
      <w:r>
        <w:rPr>
          <w:i/>
          <w:sz w:val="20"/>
        </w:rPr>
        <w:t>EN: Counting trees together in the EU</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26">
        <w:r>
          <w:rPr>
            <w:color w:val="1155CC"/>
            <w:u w:val="single"/>
          </w:rPr>
          <w:t>10.1126/science.aee7957</w:t>
        </w:r>
      </w:hyperlink>
    </w:p>
    <w:p>
      <w:pPr>
        <w:spacing w:before="0" w:after="120"/>
      </w:pPr>
      <w:r>
        <w:rPr>
          <w:b/>
        </w:rPr>
        <w:t xml:space="preserve">Notes: </w:t>
      </w:r>
      <w:r>
        <w:t>abstract_source=crossref</w:t>
      </w:r>
    </w:p>
    <w:p>
      <w:pPr>
        <w:spacing w:before="0" w:after="80" w:lineRule="auto" w:line="276"/>
      </w:pPr>
      <w:r>
        <w:rPr>
          <w:b/>
        </w:rPr>
        <w:t xml:space="preserve">摘要（ZH）: </w:t>
      </w:r>
      <w:r>
        <w:t>欧盟（EU）的执行机构欧盟委员会长期以来一直致力于改善对欧洲关键资源之一——森林的监测。森林及其面临的压力不必承认政治边界，但监测工作分散且不均匀，导致来自成员国各自监测工作的过时、不完整信息的无协调拼凑。然而，在2025年底，欧洲议会否决了旨在增强、协调和统一欧洲森林监测的拟议欧盟森林监测法。尽管遭遇这一挫折，但在欧盟范围内进行更好监测和分析的需求不断增长。新的机会出现，创造一个可行的自下而上的解决方案。</w:t>
      </w:r>
    </w:p>
    <w:p>
      <w:pPr>
        <w:spacing w:before="0" w:after="200" w:lineRule="auto" w:line="276"/>
      </w:pPr>
      <w:r>
        <w:rPr>
          <w:b/>
        </w:rPr>
        <w:t xml:space="preserve">Abstract (EN): </w:t>
      </w:r>
      <w:r>
        <w:t>The European Commission, the executive body of the European Union (EU), has long sought to improve the monitoring of one of Europe’s critical resources, its forests. Forests and the pressures they face need not acknowledge political boundaries, yet monitoring is scattered and heterogeneous, delivering an uncoordinated patchwork of outdated, incomplete information from across member states’ individual monitoring efforts. However, in late 2025, the European Parliament rejected the proposed EU forest monitoring law that aimed at enhancing, harmonizing, and coordinating European forest monitoring. Despite this setback, the need for better monitoring and analysis at EU scale grows. New opportunities arise to create a workable and bottom-up solution.</w:t>
      </w:r>
    </w:p>
    <w:p>
      <w:pPr>
        <w:spacing w:before="120" w:after="120"/>
      </w:pPr>
      <w:r>
        <w:rPr>
          <w:sz w:val="18"/>
        </w:rPr>
        <w:t>——————————————————————————————————————————————————————————————————————</w:t>
      </w:r>
    </w:p>
    <w:p>
      <w:pPr>
        <w:spacing w:before="160" w:after="40" w:line="240" w:lineRule="auto"/>
      </w:pPr>
      <w:r>
        <w:rPr>
          <w:b/>
        </w:rPr>
        <w:t xml:space="preserve">[304] </w:t>
      </w:r>
      <w:hyperlink r:id="rId627">
        <w:r>
          <w:rPr>
            <w:color w:val="1155CC"/>
            <w:u w:val="single"/>
          </w:rPr>
          <w:t>保险中的遗传信息：州监管的指导问题</w:t>
        </w:r>
      </w:hyperlink>
    </w:p>
    <w:p>
      <w:pPr>
        <w:spacing w:before="0" w:after="80"/>
      </w:pPr>
      <w:r>
        <w:rPr>
          <w:i/>
          <w:sz w:val="20"/>
        </w:rPr>
        <w:t>EN: Genetic information in insurance: Guiding questions for state regulation</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28">
        <w:r>
          <w:rPr>
            <w:color w:val="1155CC"/>
            <w:u w:val="single"/>
          </w:rPr>
          <w:t>10.1126/science.aee2317</w:t>
        </w:r>
      </w:hyperlink>
    </w:p>
    <w:p>
      <w:pPr>
        <w:spacing w:before="0" w:after="120"/>
      </w:pPr>
      <w:r>
        <w:rPr>
          <w:b/>
        </w:rPr>
        <w:t xml:space="preserve">Notes: </w:t>
      </w:r>
      <w:r>
        <w:t>abstract_source=crossref</w:t>
      </w:r>
    </w:p>
    <w:p>
      <w:pPr>
        <w:spacing w:before="0" w:after="80" w:lineRule="auto" w:line="276"/>
      </w:pPr>
      <w:r>
        <w:rPr>
          <w:b/>
        </w:rPr>
        <w:t xml:space="preserve">摘要（ZH）: </w:t>
      </w:r>
      <w:r>
        <w:t>许多立法努力未能充分解决公众对保险中遗传歧视的担忧</w:t>
      </w:r>
    </w:p>
    <w:p>
      <w:pPr>
        <w:spacing w:before="0" w:after="200" w:lineRule="auto" w:line="276"/>
      </w:pPr>
      <w:r>
        <w:rPr>
          <w:b/>
        </w:rPr>
        <w:t xml:space="preserve">Abstract (EN): </w:t>
      </w:r>
      <w:r>
        <w:t>Many legislative efforts do not adequately address public concerns of genetic discrimination in insurance</w:t>
      </w:r>
    </w:p>
    <w:p>
      <w:pPr>
        <w:spacing w:before="120" w:after="120"/>
      </w:pPr>
      <w:r>
        <w:rPr>
          <w:sz w:val="18"/>
        </w:rPr>
        <w:t>——————————————————————————————————————————————————————————————————————</w:t>
      </w:r>
    </w:p>
    <w:p>
      <w:pPr>
        <w:spacing w:before="160" w:after="40" w:line="240" w:lineRule="auto"/>
      </w:pPr>
      <w:r>
        <w:rPr>
          <w:b/>
        </w:rPr>
        <w:t xml:space="preserve">[305] </w:t>
      </w:r>
      <w:hyperlink r:id="rId629">
        <w:r>
          <w:rPr>
            <w:color w:val="1155CC"/>
            <w:u w:val="single"/>
          </w:rPr>
          <w:t>两个自由端匹配</w:t>
        </w:r>
      </w:hyperlink>
    </w:p>
    <w:p>
      <w:pPr>
        <w:spacing w:before="0" w:after="80"/>
      </w:pPr>
      <w:r>
        <w:rPr>
          <w:i/>
          <w:sz w:val="20"/>
        </w:rPr>
        <w:t>EN: Two free ends make a match</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30">
        <w:r>
          <w:rPr>
            <w:color w:val="1155CC"/>
            <w:u w:val="single"/>
          </w:rPr>
          <w:t>10.1126/science.aef5647</w:t>
        </w:r>
      </w:hyperlink>
    </w:p>
    <w:p>
      <w:pPr>
        <w:spacing w:before="0" w:after="120"/>
      </w:pPr>
      <w:r>
        <w:rPr>
          <w:b/>
        </w:rPr>
        <w:t xml:space="preserve">Notes: </w:t>
      </w:r>
      <w:r>
        <w:t>abstract_source=crossref</w:t>
      </w:r>
    </w:p>
    <w:p>
      <w:pPr>
        <w:spacing w:before="0" w:after="80" w:lineRule="auto" w:line="276"/>
      </w:pPr>
      <w:r>
        <w:rPr>
          <w:b/>
        </w:rPr>
        <w:t xml:space="preserve">摘要（ZH）: </w:t>
      </w:r>
      <w:r>
        <w:t>一种肽催化剂通过两个同步反应将线性分子转变为环状</w:t>
      </w:r>
    </w:p>
    <w:p>
      <w:pPr>
        <w:spacing w:before="0" w:after="200" w:lineRule="auto" w:line="276"/>
      </w:pPr>
      <w:r>
        <w:rPr>
          <w:b/>
        </w:rPr>
        <w:t xml:space="preserve">Abstract (EN): </w:t>
      </w:r>
      <w:r>
        <w:t>A peptide catalyst turns a linear molecule into a ring through two synchronous reactions</w:t>
      </w:r>
    </w:p>
    <w:p>
      <w:pPr>
        <w:spacing w:before="120" w:after="120"/>
      </w:pPr>
      <w:r>
        <w:rPr>
          <w:sz w:val="18"/>
        </w:rPr>
        <w:t>——————————————————————————————————————————————————————————————————————</w:t>
      </w:r>
    </w:p>
    <w:p>
      <w:pPr>
        <w:spacing w:before="160" w:after="40" w:line="240" w:lineRule="auto"/>
      </w:pPr>
      <w:r>
        <w:rPr>
          <w:b/>
        </w:rPr>
        <w:t xml:space="preserve">[306] </w:t>
      </w:r>
      <w:hyperlink r:id="rId631">
        <w:r>
          <w:rPr>
            <w:color w:val="1155CC"/>
            <w:u w:val="single"/>
          </w:rPr>
          <w:t>首次，ChatGPT帮助在理论物理学中开辟新天地</w:t>
        </w:r>
      </w:hyperlink>
    </w:p>
    <w:p>
      <w:pPr>
        <w:spacing w:before="0" w:after="80"/>
      </w:pPr>
      <w:r>
        <w:rPr>
          <w:i/>
          <w:sz w:val="20"/>
        </w:rPr>
        <w:t>EN: In a first, ChatGPT helps break new ground in theoretical physics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32">
        <w:r>
          <w:rPr>
            <w:color w:val="1155CC"/>
            <w:u w:val="single"/>
          </w:rPr>
          <w:t>10.1126/science.aeg7163</w:t>
        </w:r>
      </w:hyperlink>
    </w:p>
    <w:p>
      <w:pPr>
        <w:spacing w:before="0" w:after="120"/>
      </w:pPr>
      <w:r>
        <w:rPr>
          <w:b/>
        </w:rPr>
        <w:t xml:space="preserve">Notes: </w:t>
      </w:r>
      <w:r>
        <w:t>abstract_source=crossref</w:t>
      </w:r>
    </w:p>
    <w:p>
      <w:pPr>
        <w:spacing w:before="0" w:after="80" w:lineRule="auto" w:line="276"/>
      </w:pPr>
      <w:r>
        <w:rPr>
          <w:b/>
        </w:rPr>
        <w:t xml:space="preserve">摘要（ZH）: </w:t>
      </w:r>
      <w:r>
        <w:t>物理学家结合人类智慧和AI辅助数学，证明一个备受质疑的粒子相互作用实际上是可能的</w:t>
      </w:r>
    </w:p>
    <w:p>
      <w:pPr>
        <w:spacing w:before="0" w:after="200" w:lineRule="auto" w:line="276"/>
      </w:pPr>
      <w:r>
        <w:rPr>
          <w:b/>
        </w:rPr>
        <w:t xml:space="preserve">Abstract (EN): </w:t>
      </w:r>
      <w:r>
        <w:t>Physicists combined human acumen and AI-assisted math to show that a doubted particle interaction is possible after all</w:t>
      </w:r>
    </w:p>
    <w:p>
      <w:pPr>
        <w:spacing w:before="120" w:after="120"/>
      </w:pPr>
      <w:r>
        <w:rPr>
          <w:sz w:val="18"/>
        </w:rPr>
        <w:t>——————————————————————————————————————————————————————————————————————</w:t>
      </w:r>
    </w:p>
    <w:p>
      <w:pPr>
        <w:spacing w:before="160" w:after="40" w:line="240" w:lineRule="auto"/>
      </w:pPr>
      <w:r>
        <w:rPr>
          <w:b/>
        </w:rPr>
        <w:t xml:space="preserve">[307] </w:t>
      </w:r>
      <w:hyperlink r:id="rId633">
        <w:r>
          <w:rPr>
            <w:color w:val="1155CC"/>
            <w:u w:val="single"/>
          </w:rPr>
          <w:t>投资者被提名为NSF负责人，机构重组</w:t>
        </w:r>
      </w:hyperlink>
    </w:p>
    <w:p>
      <w:pPr>
        <w:spacing w:before="0" w:after="80"/>
      </w:pPr>
      <w:r>
        <w:rPr>
          <w:i/>
          <w:sz w:val="20"/>
        </w:rPr>
        <w:t>EN: Investor nominated to head NSF in agency shake-up</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34">
        <w:r>
          <w:rPr>
            <w:color w:val="1155CC"/>
            <w:u w:val="single"/>
          </w:rPr>
          <w:t>10.1126/science.aeg7166</w:t>
        </w:r>
      </w:hyperlink>
    </w:p>
    <w:p>
      <w:pPr>
        <w:spacing w:before="0" w:after="120"/>
      </w:pPr>
      <w:r>
        <w:rPr>
          <w:b/>
        </w:rPr>
        <w:t xml:space="preserve">Notes: </w:t>
      </w:r>
      <w:r>
        <w:t>abstract_source=crossref</w:t>
      </w:r>
    </w:p>
    <w:p>
      <w:pPr>
        <w:spacing w:before="0" w:after="80" w:lineRule="auto" w:line="276"/>
      </w:pPr>
      <w:r>
        <w:rPr>
          <w:b/>
        </w:rPr>
        <w:t xml:space="preserve">摘要（ZH）: </w:t>
      </w:r>
      <w:r>
        <w:t>此举导致CDC领导层空缺——将由NIH主任填补</w:t>
      </w:r>
    </w:p>
    <w:p>
      <w:pPr>
        <w:spacing w:before="0" w:after="200" w:lineRule="auto" w:line="276"/>
      </w:pPr>
      <w:r>
        <w:rPr>
          <w:b/>
        </w:rPr>
        <w:t xml:space="preserve">Abstract (EN): </w:t>
      </w:r>
      <w:r>
        <w:t>Move leaves CDC leadership vacancy—to be filled by NIH director</w:t>
      </w:r>
    </w:p>
    <w:p>
      <w:pPr>
        <w:spacing w:before="120" w:after="120"/>
      </w:pPr>
      <w:r>
        <w:rPr>
          <w:sz w:val="18"/>
        </w:rPr>
        <w:t>——————————————————————————————————————————————————————————————————————</w:t>
      </w:r>
    </w:p>
    <w:p>
      <w:pPr>
        <w:spacing w:before="160" w:after="40" w:line="240" w:lineRule="auto"/>
      </w:pPr>
      <w:r>
        <w:rPr>
          <w:b/>
        </w:rPr>
        <w:t xml:space="preserve">[308] </w:t>
      </w:r>
      <w:hyperlink r:id="rId635">
        <w:r>
          <w:rPr>
            <w:color w:val="1155CC"/>
            <w:u w:val="single"/>
          </w:rPr>
          <w:t>染色质动态塑造器官衰老</w:t>
        </w:r>
      </w:hyperlink>
    </w:p>
    <w:p>
      <w:pPr>
        <w:spacing w:before="0" w:after="80"/>
      </w:pPr>
      <w:r>
        <w:rPr>
          <w:i/>
          <w:sz w:val="20"/>
        </w:rPr>
        <w:t>EN: Chromatin dynamics shape aging across organs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36">
        <w:r>
          <w:rPr>
            <w:color w:val="1155CC"/>
            <w:u w:val="single"/>
          </w:rPr>
          <w:t>10.1126/science.aef5650</w:t>
        </w:r>
      </w:hyperlink>
    </w:p>
    <w:p>
      <w:pPr>
        <w:spacing w:before="0" w:after="120"/>
      </w:pPr>
      <w:r>
        <w:rPr>
          <w:b/>
        </w:rPr>
        <w:t xml:space="preserve">Notes: </w:t>
      </w:r>
      <w:r>
        <w:t>abstract_source=crossref</w:t>
      </w:r>
    </w:p>
    <w:p>
      <w:pPr>
        <w:spacing w:before="0" w:after="80" w:lineRule="auto" w:line="276"/>
      </w:pPr>
      <w:r>
        <w:rPr>
          <w:b/>
        </w:rPr>
        <w:t xml:space="preserve">摘要（ZH）: </w:t>
      </w:r>
      <w:r>
        <w:t>与年龄相关的染色质重塑包括跨细胞类型、性别和器官的共享和特定特征</w:t>
      </w:r>
    </w:p>
    <w:p>
      <w:pPr>
        <w:spacing w:before="0" w:after="200" w:lineRule="auto" w:line="276"/>
      </w:pPr>
      <w:r>
        <w:rPr>
          <w:b/>
        </w:rPr>
        <w:t xml:space="preserve">Abstract (EN): </w:t>
      </w:r>
      <w:r>
        <w:t>Age-related chromatin remodeling includes shared and specific signatures across cell types, sex, and organs</w:t>
      </w:r>
    </w:p>
    <w:p>
      <w:pPr>
        <w:spacing w:before="120" w:after="120"/>
      </w:pPr>
      <w:r>
        <w:rPr>
          <w:sz w:val="18"/>
        </w:rPr>
        <w:t>——————————————————————————————————————————————————————————————————————</w:t>
      </w:r>
    </w:p>
    <w:p>
      <w:pPr>
        <w:spacing w:before="160" w:after="40" w:line="240" w:lineRule="auto"/>
      </w:pPr>
      <w:r>
        <w:rPr>
          <w:b/>
        </w:rPr>
        <w:t xml:space="preserve">[309] </w:t>
      </w:r>
      <w:hyperlink r:id="rId637">
        <w:r>
          <w:rPr>
            <w:color w:val="1155CC"/>
            <w:u w:val="single"/>
          </w:rPr>
          <w:t>尼安德特男性与现代人类女性配对</w:t>
        </w:r>
      </w:hyperlink>
    </w:p>
    <w:p>
      <w:pPr>
        <w:spacing w:before="0" w:after="80"/>
      </w:pPr>
      <w:r>
        <w:rPr>
          <w:i/>
          <w:sz w:val="20"/>
        </w:rPr>
        <w:t>EN: Neanderthal males paired with modern human females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38">
        <w:r>
          <w:rPr>
            <w:color w:val="1155CC"/>
            <w:u w:val="single"/>
          </w:rPr>
          <w:t>10.1126/science.aeg7164</w:t>
        </w:r>
      </w:hyperlink>
    </w:p>
    <w:p>
      <w:pPr>
        <w:spacing w:before="0" w:after="120"/>
      </w:pPr>
      <w:r>
        <w:rPr>
          <w:b/>
        </w:rPr>
        <w:t xml:space="preserve">Notes: </w:t>
      </w:r>
      <w:r>
        <w:t>abstract_source=crossref</w:t>
      </w:r>
    </w:p>
    <w:p>
      <w:pPr>
        <w:spacing w:before="0" w:after="80" w:lineRule="auto" w:line="276"/>
      </w:pPr>
      <w:r>
        <w:rPr>
          <w:b/>
        </w:rPr>
        <w:t xml:space="preserve">摘要（ZH）: </w:t>
      </w:r>
      <w:r>
        <w:t>人类两种X染色体证明了古代交配偏向</w:t>
      </w:r>
    </w:p>
    <w:p>
      <w:pPr>
        <w:spacing w:before="0" w:after="200" w:lineRule="auto" w:line="276"/>
      </w:pPr>
      <w:r>
        <w:rPr>
          <w:b/>
        </w:rPr>
        <w:t xml:space="preserve">Abstract (EN): </w:t>
      </w:r>
      <w:r>
        <w:t>X chromosomes in both kinds of human testify to ancient mating bias</w:t>
      </w:r>
    </w:p>
    <w:p>
      <w:pPr>
        <w:spacing w:before="120" w:after="120"/>
      </w:pPr>
      <w:r>
        <w:rPr>
          <w:sz w:val="18"/>
        </w:rPr>
        <w:t>——————————————————————————————————————————————————————————————————————</w:t>
      </w:r>
    </w:p>
    <w:p>
      <w:pPr>
        <w:spacing w:before="160" w:after="40" w:line="240" w:lineRule="auto"/>
      </w:pPr>
      <w:r>
        <w:rPr>
          <w:b/>
        </w:rPr>
        <w:t xml:space="preserve">[310] </w:t>
      </w:r>
      <w:hyperlink r:id="rId639">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40">
        <w:r>
          <w:rPr>
            <w:color w:val="1155CC"/>
            <w:u w:val="single"/>
          </w:rPr>
          <w:t>10.1126/science.aeg6835</w:t>
        </w:r>
      </w:hyperlink>
    </w:p>
    <w:p>
      <w:pPr>
        <w:spacing w:before="0" w:after="120"/>
      </w:pPr>
      <w:r>
        <w:rPr>
          <w:b/>
        </w:rPr>
        <w:t xml:space="preserve">Notes: </w:t>
      </w:r>
      <w:r>
        <w:t>abstract_source=crossref</w:t>
      </w:r>
    </w:p>
    <w:p>
      <w:pPr>
        <w:spacing w:before="0" w:after="80" w:lineRule="auto" w:line="276"/>
      </w:pPr>
      <w:r>
        <w:rPr>
          <w:b/>
        </w:rPr>
        <w:t xml:space="preserve">摘要（ZH）: </w:t>
      </w:r>
      <w:r>
        <w:t>《科学》期刊家族的亮点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[311] </w:t>
      </w:r>
      <w:hyperlink r:id="rId641">
        <w:r>
          <w:rPr>
            <w:color w:val="1155CC"/>
            <w:u w:val="single"/>
          </w:rPr>
          <w:t>深空任务中的医疗准备</w:t>
        </w:r>
      </w:hyperlink>
    </w:p>
    <w:p>
      <w:pPr>
        <w:spacing w:before="0" w:after="80"/>
      </w:pPr>
      <w:r>
        <w:rPr>
          <w:i/>
          <w:sz w:val="20"/>
        </w:rPr>
        <w:t>EN: Medical preparedness in deep-space missions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42">
        <w:r>
          <w:rPr>
            <w:color w:val="1155CC"/>
            <w:u w:val="single"/>
          </w:rPr>
          <w:t>10.1126/science.aef9576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[312] </w:t>
      </w:r>
      <w:hyperlink r:id="rId643">
        <w:r>
          <w:rPr>
            <w:color w:val="1155CC"/>
            <w:u w:val="single"/>
          </w:rPr>
          <w:t>如何逐个细胞构建睾丸</w:t>
        </w:r>
      </w:hyperlink>
    </w:p>
    <w:p>
      <w:pPr>
        <w:spacing w:before="0" w:after="80"/>
      </w:pPr>
      <w:r>
        <w:rPr>
          <w:i/>
          <w:sz w:val="20"/>
        </w:rPr>
        <w:t>EN: How to build a testis, cell by cell</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44">
        <w:r>
          <w:rPr>
            <w:color w:val="1155CC"/>
            <w:u w:val="single"/>
          </w:rPr>
          <w:t>10.1126/science.aef2220</w:t>
        </w:r>
      </w:hyperlink>
    </w:p>
    <w:p>
      <w:pPr>
        <w:spacing w:before="0" w:after="120"/>
      </w:pPr>
      <w:r>
        <w:rPr>
          <w:b/>
        </w:rPr>
        <w:t xml:space="preserve">Notes: </w:t>
      </w:r>
      <w:r>
        <w:t>abstract_source=crossref</w:t>
      </w:r>
    </w:p>
    <w:p>
      <w:pPr>
        <w:spacing w:before="0" w:after="80" w:lineRule="auto" w:line="276"/>
      </w:pPr>
      <w:r>
        <w:rPr>
          <w:b/>
        </w:rPr>
        <w:t xml:space="preserve">摘要（ZH）: </w:t>
      </w:r>
      <w:r>
        <w:t>工程化的多能干细胞形成模拟功能性睾丸的体细胞和生殖细胞</w:t>
      </w:r>
    </w:p>
    <w:p>
      <w:pPr>
        <w:spacing w:before="0" w:after="200" w:lineRule="auto" w:line="276"/>
      </w:pPr>
      <w:r>
        <w:rPr>
          <w:b/>
        </w:rPr>
        <w:t xml:space="preserve">Abstract (EN): </w:t>
      </w:r>
      <w:r>
        <w:t>Engineered pluripotent stem cells form somatic and germ cells that mimic a functional testis</w:t>
      </w:r>
    </w:p>
    <w:p>
      <w:pPr>
        <w:spacing w:before="120" w:after="120"/>
      </w:pPr>
      <w:r>
        <w:rPr>
          <w:sz w:val="18"/>
        </w:rPr>
        <w:t>——————————————————————————————————————————————————————————————————————</w:t>
      </w:r>
    </w:p>
    <w:p>
      <w:pPr>
        <w:spacing w:before="160" w:after="40" w:line="240" w:lineRule="auto"/>
      </w:pPr>
      <w:r>
        <w:rPr>
          <w:b/>
        </w:rPr>
        <w:t xml:space="preserve">[313] </w:t>
      </w:r>
      <w:hyperlink r:id="rId645">
        <w:r>
          <w:rPr>
            <w:color w:val="1155CC"/>
            <w:u w:val="single"/>
          </w:rPr>
          <w:t>有机催化剂控制的立体选择性头尾大环化反应</w:t>
        </w:r>
      </w:hyperlink>
    </w:p>
    <w:p>
      <w:pPr>
        <w:spacing w:before="0" w:after="80"/>
      </w:pPr>
      <w:r>
        <w:rPr>
          <w:i/>
          <w:sz w:val="20"/>
        </w:rPr>
        <w:t>EN: Organocatalyst-controlled stereoselective head-to-tail macrocyclizations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46">
        <w:r>
          <w:rPr>
            <w:color w:val="1155CC"/>
            <w:u w:val="single"/>
          </w:rPr>
          <w:t>10.1126/science.aec8992</w:t>
        </w:r>
      </w:hyperlink>
    </w:p>
    <w:p>
      <w:pPr>
        <w:spacing w:before="0" w:after="120"/>
      </w:pPr>
      <w:r>
        <w:rPr>
          <w:b/>
        </w:rPr>
        <w:t xml:space="preserve">Notes: </w:t>
      </w:r>
      <w:r>
        <w:t>abstract_source=crossref</w:t>
      </w:r>
    </w:p>
    <w:p>
      <w:pPr>
        <w:spacing w:before="0" w:after="80" w:lineRule="auto" w:line="276"/>
      </w:pPr>
      <w:r>
        <w:rPr>
          <w:b/>
        </w:rPr>
        <w:t xml:space="preserve">摘要（ZH）: </w:t>
      </w:r>
      <w:r>
        <w:t>手性大环是新药发现的关键。然而，它们的合成具有挑战性，通常需要在线性前体中安装常常繁琐的立体化学特征。在这项研究中，我们报告了一种催化剂控制的立体选择性头尾大环化方法。该方法利用双功能肽催化剂来模板线性前体的末端官能团，从而优先进行分子内反应而非分子间反应，并实现对新生立体中心立体化学的精确控制。从非手性线性前体中获得了多种12至18元大环内酯和内酰胺。即使在环化手性线性前体时，有机催化剂也能决定立体化学结果。该催化剂控制</w:t>
      </w:r>
    </w:p>
    <w:p>
      <w:pPr>
        <w:spacing w:before="0" w:after="200" w:lineRule="auto" w:line="276"/>
      </w:pPr>
      <w:r>
        <w:rPr>
          <w:b/>
        </w:rPr>
        <w:t xml:space="preserve">Abstract (EN): </w:t>
      </w:r>
      <w:r>
        <w:t>Chiral macrocycles are key to the discovery of new medicines. Their synthesis is, however, challenging and typically requires the often-cumbersome installation of stereochemical features in a linear precursor. In this study, we report a catalyst-controlled stereoselective head-to-tail macrocyclization. The method utilizes a bifunctional peptide catalyst to template the terminal functional groups of the linear precursor, thereby favoring intra- over intermolecular reaction and enabling exquisite control over the stereochemistry of the emerging stereogenic centers. Diverse 12- to 18‐membered macrocyclic lactones and lactams were obtained from achiral linear precursors. The organocatalyst even dictates the stereochemical outcome upon cyclizing a chiral linear precursor. This catalyst-controlled stereoselective head-to-tail macrocyclization provides a practical route to chiral macrocycles with predictable stereochemical outcomes. The utility was highlighted by synthesizing the core of the natural product robotnikinin.</w:t>
      </w:r>
    </w:p>
    <w:p>
      <w:pPr>
        <w:spacing w:before="120" w:after="120"/>
      </w:pPr>
      <w:r>
        <w:rPr>
          <w:sz w:val="18"/>
        </w:rPr>
        <w:t>——————————————————————————————————————————————————————————————————————</w:t>
      </w:r>
    </w:p>
    <w:p>
      <w:pPr>
        <w:spacing w:before="160" w:after="40" w:line="240" w:lineRule="auto"/>
      </w:pPr>
      <w:r>
        <w:rPr>
          <w:b/>
        </w:rPr>
        <w:t xml:space="preserve">[314] </w:t>
      </w:r>
      <w:hyperlink r:id="rId647">
        <w:r>
          <w:rPr>
            <w:color w:val="1155CC"/>
            <w:u w:val="single"/>
          </w:rPr>
          <w:t>OsWRI1a 协调水稻对氮素可用性的系统生长反应</w:t>
        </w:r>
      </w:hyperlink>
    </w:p>
    <w:p>
      <w:pPr>
        <w:spacing w:before="0" w:after="80"/>
      </w:pPr>
      <w:r>
        <w:rPr>
          <w:i/>
          <w:sz w:val="20"/>
        </w:rPr>
        <w:t>EN: OsWRI1a coordinates systemic growth responses to nitrogen availability in rice</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48">
        <w:r>
          <w:rPr>
            <w:color w:val="1155CC"/>
            <w:u w:val="single"/>
          </w:rPr>
          <w:t>10.1126/science.aeb8384</w:t>
        </w:r>
      </w:hyperlink>
    </w:p>
    <w:p>
      <w:pPr>
        <w:spacing w:before="0" w:after="120"/>
      </w:pPr>
      <w:r>
        <w:rPr>
          <w:b/>
        </w:rPr>
        <w:t xml:space="preserve">Notes: </w:t>
      </w:r>
      <w:r>
        <w:t>abstract_source=crossref</w:t>
      </w:r>
    </w:p>
    <w:p>
      <w:pPr>
        <w:spacing w:before="0" w:after="80" w:lineRule="auto" w:line="276"/>
      </w:pPr>
      <w:r>
        <w:rPr>
          <w:b/>
        </w:rPr>
        <w:t xml:space="preserve">摘要（ZH）: </w:t>
      </w:r>
      <w:r>
        <w:t>氮（N）缺乏引起的植物根冠生物量比增加在自然界中是适应性的，但对农业来说是次优的。理解调控这种发育可塑性的机制可以帮助提高作物性能，同时减少化肥的使用。我们鉴定了OsWRI1a（WRINKLED1a）作为一个调控中心，协调水稻根和芽的生长以响应外部N供应，从而稳定根冠比。在根中，OsWRI1a通过促进生长素积累来增强N响应性发育。同时，芽中的OsWRI1a刺激分蘖发育，从而促进芽的生长。我们鉴定出一个优良的OsWRI1a单倍型，在N缺乏条件下最小化根冠比波动，提高N-u</w:t>
      </w:r>
    </w:p>
    <w:p>
      <w:pPr>
        <w:spacing w:before="0" w:after="200" w:lineRule="auto" w:line="276"/>
      </w:pPr>
      <w:r>
        <w:rPr>
          <w:b/>
        </w:rPr>
        <w:t xml:space="preserve">Abstract (EN): </w:t>
      </w:r>
      <w:r>
        <w:t>Nitrogen (N) deficiency–induced increases in the root-to-shoot biomass ratio in plants are adaptive in nature but suboptimal for agriculture. Understanding the regulatory mechanisms governing this developmental plasticity could help improve crop performance while reducing fertilizer application. We identified OsWRI1a (WRINKLED1a) as a regulatory hub coordinating rice root and shoot growth in response to external N supply, thereby stabilizing the root-to-shoot ratio. In roots, OsWRI1a enhances N-responsive development by promoting auxin accumulation. Meanwhile, shoot OsWRI1a stimulates tiller development and therefore shoot growth. We identified an elite</w:t>
      </w:r>
      <w:r>
        <w:t xml:space="preserve"> </w:t>
      </w:r>
      <w:r>
        <w:t>OsWRI1a</w:t>
      </w:r>
      <w:r>
        <w:t xml:space="preserve"> </w:t>
      </w:r>
      <w:r>
        <w:t>haplotype that minimizes root-to-shoot ratio fluctuation under N deficiency, improving N-use efficiency and grain yield. Our findings reveal a central mechanism coordinating N-responsive growth allocation for sustainable agriculture.</w:t>
      </w:r>
    </w:p>
    <w:p>
      <w:pPr>
        <w:spacing w:before="120" w:after="120"/>
      </w:pPr>
      <w:r>
        <w:rPr>
          <w:sz w:val="18"/>
        </w:rPr>
        <w:t>——————————————————————————————————————————————————————————————————————</w:t>
      </w:r>
    </w:p>
    <w:p>
      <w:pPr>
        <w:spacing w:before="160" w:after="40" w:line="240" w:lineRule="auto"/>
      </w:pPr>
      <w:r>
        <w:rPr>
          <w:b/>
        </w:rPr>
        <w:t xml:space="preserve">[315] </w:t>
      </w:r>
      <w:hyperlink r:id="rId649">
        <w:r>
          <w:rPr>
            <w:color w:val="1155CC"/>
            <w:u w:val="single"/>
          </w:rPr>
          <w:t>STING 对抗 RNA 病毒</w:t>
        </w:r>
      </w:hyperlink>
    </w:p>
    <w:p>
      <w:pPr>
        <w:spacing w:before="0" w:after="80"/>
      </w:pPr>
      <w:r>
        <w:rPr>
          <w:i/>
          <w:sz w:val="20"/>
        </w:rPr>
        <w:t>EN: STING takes on RNA viruses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50">
        <w:r>
          <w:rPr>
            <w:color w:val="1155CC"/>
            <w:u w:val="single"/>
          </w:rPr>
          <w:t>10.1126/science.aef2227</w:t>
        </w:r>
      </w:hyperlink>
    </w:p>
    <w:p>
      <w:pPr>
        <w:spacing w:before="0" w:after="120"/>
      </w:pPr>
      <w:r>
        <w:rPr>
          <w:b/>
        </w:rPr>
        <w:t xml:space="preserve">Notes: </w:t>
      </w:r>
      <w:r>
        <w:t>abstract_source=crossref</w:t>
      </w:r>
    </w:p>
    <w:p>
      <w:pPr>
        <w:spacing w:before="0" w:after="80" w:lineRule="auto" w:line="276"/>
      </w:pPr>
      <w:r>
        <w:rPr>
          <w:b/>
        </w:rPr>
        <w:t xml:space="preserve">摘要（ZH）: </w:t>
      </w:r>
      <w:r>
        <w:t>一种抑制DNA病毒复制的信号通路也对RNA病毒具有保护作用</w:t>
      </w:r>
    </w:p>
    <w:p>
      <w:pPr>
        <w:spacing w:before="0" w:after="200" w:lineRule="auto" w:line="276"/>
      </w:pPr>
      <w:r>
        <w:rPr>
          <w:b/>
        </w:rPr>
        <w:t xml:space="preserve">Abstract (EN): </w:t>
      </w:r>
      <w:r>
        <w:t>A signaling pathway that inhibits DNA virus replication is also protective against RNA viruses</w:t>
      </w:r>
    </w:p>
    <w:p>
      <w:pPr>
        <w:spacing w:before="120" w:after="120"/>
      </w:pPr>
      <w:r>
        <w:rPr>
          <w:sz w:val="18"/>
        </w:rPr>
        <w:t>——————————————————————————————————————————————————————————————————————</w:t>
      </w:r>
    </w:p>
    <w:p>
      <w:pPr>
        <w:spacing w:before="160" w:after="40" w:line="240" w:lineRule="auto"/>
      </w:pPr>
      <w:r>
        <w:rPr>
          <w:b/>
        </w:rPr>
        <w:t xml:space="preserve">[316] </w:t>
      </w:r>
      <w:hyperlink r:id="rId651">
        <w:r>
          <w:rPr>
            <w:color w:val="1155CC"/>
            <w:u w:val="single"/>
          </w:rPr>
          <w:t>神秘的地峡铭文</w:t>
        </w:r>
      </w:hyperlink>
    </w:p>
    <w:p>
      <w:pPr>
        <w:spacing w:before="0" w:after="80"/>
      </w:pPr>
      <w:r>
        <w:rPr>
          <w:i/>
          <w:sz w:val="20"/>
        </w:rPr>
        <w:t>EN: The enigmatic Isthmian inscriptions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52">
        <w:r>
          <w:rPr>
            <w:color w:val="1155CC"/>
            <w:u w:val="single"/>
          </w:rPr>
          <w:t>10.1126/science.aee2603</w:t>
        </w:r>
      </w:hyperlink>
    </w:p>
    <w:p>
      <w:pPr>
        <w:spacing w:before="0" w:after="120"/>
      </w:pPr>
      <w:r>
        <w:rPr>
          <w:b/>
        </w:rPr>
        <w:t xml:space="preserve">Notes: </w:t>
      </w:r>
      <w:r>
        <w:t>abstract_source=crossref</w:t>
      </w:r>
    </w:p>
    <w:p>
      <w:pPr>
        <w:spacing w:before="0" w:after="80" w:lineRule="auto" w:line="276"/>
      </w:pPr>
      <w:r>
        <w:rPr>
          <w:b/>
        </w:rPr>
        <w:t xml:space="preserve">摘要（ZH）: </w:t>
      </w:r>
      <w:r>
        <w:t>一个长期未解读的文字获得了新的关注和有争议的解释</w:t>
      </w:r>
    </w:p>
    <w:p>
      <w:pPr>
        <w:spacing w:before="0" w:after="200" w:lineRule="auto" w:line="276"/>
      </w:pPr>
      <w:r>
        <w:rPr>
          <w:b/>
        </w:rPr>
        <w:t xml:space="preserve">Abstract (EN): </w:t>
      </w:r>
      <w:r>
        <w:t>A long-undeciphered script receives renewed attention and a contested interpretation</w:t>
      </w:r>
    </w:p>
    <w:p>
      <w:pPr>
        <w:spacing w:before="120" w:after="120"/>
      </w:pPr>
      <w:r>
        <w:rPr>
          <w:sz w:val="18"/>
        </w:rPr>
        <w:t>——————————————————————————————————————————————————————————————————————</w:t>
      </w:r>
    </w:p>
    <w:p>
      <w:pPr>
        <w:spacing w:before="160" w:after="40" w:line="240" w:lineRule="auto"/>
      </w:pPr>
      <w:r>
        <w:rPr>
          <w:b/>
        </w:rPr>
        <w:t xml:space="preserve">[317] </w:t>
      </w:r>
      <w:hyperlink r:id="rId653">
        <w:r>
          <w:rPr>
            <w:color w:val="1155CC"/>
            <w:u w:val="single"/>
          </w:rPr>
          <w:t>用于高效、光热稳定钙钛矿太阳能电池的氧化铪界面稳定化</w:t>
        </w:r>
      </w:hyperlink>
    </w:p>
    <w:p>
      <w:pPr>
        <w:spacing w:before="0" w:after="80"/>
      </w:pPr>
      <w:r>
        <w:rPr>
          <w:i/>
          <w:sz w:val="20"/>
        </w:rPr>
        <w:t>EN: Hafnium oxide interface stabilization for efficient, photothermally stable perovskite solar cells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54">
        <w:r>
          <w:rPr>
            <w:color w:val="1155CC"/>
            <w:u w:val="single"/>
          </w:rPr>
          <w:t>10.1126/science.aea3339</w:t>
        </w:r>
      </w:hyperlink>
    </w:p>
    <w:p>
      <w:pPr>
        <w:spacing w:before="0" w:after="120"/>
      </w:pPr>
      <w:r>
        <w:rPr>
          <w:b/>
        </w:rPr>
        <w:t xml:space="preserve">Notes: </w:t>
      </w:r>
      <w:r>
        <w:t>abstract_source=crossref</w:t>
      </w:r>
    </w:p>
    <w:p>
      <w:pPr>
        <w:spacing w:before="0" w:after="80" w:lineRule="auto" w:line="276"/>
      </w:pPr>
      <w:r>
        <w:rPr>
          <w:b/>
        </w:rPr>
        <w:t xml:space="preserve">摘要（ZH）: </w:t>
      </w:r>
      <w:r>
        <w:t>在空穴和电子选择性界面的有机分子层对于实现高效钙钛矿太阳能电池至关重要，但其有限的光热稳定性阻碍了设备的长期运行。我们使用原子层沉积法沉积氧化铪 (HfO</w:t>
      </w:r>
      <w:r>
        <w:t xml:space="preserve"> </w:t>
      </w:r>
      <w:r>
        <w:t>x</w:t>
      </w:r>
      <w:r>
        <w:t xml:space="preserve"> </w:t>
      </w:r>
      <w:r>
        <w:t>) 中间层，以在操作应力下稳定这些分子界面。在 NiO</w:t>
      </w:r>
      <w:r>
        <w:t xml:space="preserve"> </w:t>
      </w:r>
      <w:r>
        <w:t>x</w:t>
      </w:r>
      <w:r>
        <w:t xml:space="preserve"> </w:t>
      </w:r>
      <w:r>
        <w:t>/自组装单分子层 (SAM) 界面处，富含羟基的路易斯酸性 n-HfO</w:t>
      </w:r>
      <w:r>
        <w:t xml:space="preserve"> </w:t>
      </w:r>
      <w:r>
        <w:t>x</w:t>
      </w:r>
      <w:r>
        <w:t xml:space="preserve"> </w:t>
      </w:r>
      <w:r>
        <w:t>层（n 表示负固定电荷极性）促进了三齿磷酸的配位</w:t>
      </w:r>
    </w:p>
    <w:p>
      <w:pPr>
        <w:spacing w:before="0" w:after="200" w:lineRule="auto" w:line="276"/>
      </w:pPr>
      <w:r>
        <w:rPr>
          <w:b/>
        </w:rPr>
        <w:t xml:space="preserve">Abstract (EN): </w:t>
      </w:r>
      <w:r>
        <w:t>Organic molecular layers at both hole- and electron-selective interfaces are essential for achieving high-efficiency perovskite solar cells, yet their limited photothermal stability hinders long-term device operation. We used atomic layer deposition to deposit hafnium oxide (HfO</w:t>
      </w:r>
      <w:r>
        <w:t xml:space="preserve"> </w:t>
      </w:r>
      <w:r>
        <w:t>x</w:t>
      </w:r>
      <w:r>
        <w:t xml:space="preserve"> </w:t>
      </w:r>
      <w:r>
        <w:t>) interlayers to stabilize these molecular interfaces under operational stress. At the NiO</w:t>
      </w:r>
      <w:r>
        <w:t xml:space="preserve"> </w:t>
      </w:r>
      <w:r>
        <w:t>x</w:t>
      </w:r>
      <w:r>
        <w:t xml:space="preserve"> </w:t>
      </w:r>
      <w:r>
        <w:t>/self-assembled monolayer (SAM) interface, a hydroxyl-rich, Lewis-acidic n-HfO</w:t>
      </w:r>
      <w:r>
        <w:t xml:space="preserve"> </w:t>
      </w:r>
      <w:r>
        <w:t>x</w:t>
      </w:r>
      <w:r>
        <w:t xml:space="preserve"> </w:t>
      </w:r>
      <w:r>
        <w:t>layer (n denotes negative fixed-charge polarity) promoted tridentate phosphonic acid coordination and enhanced SAM retention and thermal durability. At the perovskite/C</w:t>
      </w:r>
      <w:r>
        <w:rPr>
          <w:vertAlign w:val="subscript"/>
        </w:rPr>
        <w:t>60</w:t>
      </w:r>
      <w:r>
        <w:t>interface, the p-HfO</w:t>
      </w:r>
      <w:r>
        <w:t xml:space="preserve"> </w:t>
      </w:r>
      <w:r>
        <w:t>x</w:t>
      </w:r>
      <w:r>
        <w:t xml:space="preserve"> </w:t>
      </w:r>
      <w:r>
        <w:t>layer (p denotes positive fixed-charge polarity) anchored 3-fluorophenylethylammonium iodide (3F-PEAI) through Hf⋯F interactions that also acted as a diffusion barrier against halide- and silver-ion migration. Devices achieved a power conversion efficiency of 27.1% (26.6% certified) and retained more than 90% of their initial efficiency for ~5000 hours under 1-sun equivalent illumination at 85°C in ambient air.</w:t>
      </w:r>
    </w:p>
    <w:p>
      <w:pPr>
        <w:spacing w:before="120" w:after="120"/>
      </w:pPr>
      <w:r>
        <w:rPr>
          <w:sz w:val="18"/>
        </w:rPr>
        <w:t>——————————————————————————————————————————————————————————————————————</w:t>
      </w:r>
    </w:p>
    <w:p>
      <w:pPr>
        <w:spacing w:before="160" w:after="40" w:line="240" w:lineRule="auto"/>
      </w:pPr>
      <w:r>
        <w:rPr>
          <w:b/>
        </w:rPr>
        <w:t xml:space="preserve">[318] </w:t>
      </w:r>
      <w:hyperlink r:id="rId655">
        <w:r>
          <w:rPr>
            <w:color w:val="1155CC"/>
            <w:u w:val="single"/>
          </w:rPr>
          <w:t>肠道微生物相互作用失衡作为健康和疾病的标志</w:t>
        </w:r>
      </w:hyperlink>
    </w:p>
    <w:p>
      <w:pPr>
        <w:spacing w:before="0" w:after="80"/>
      </w:pPr>
      <w:r>
        <w:rPr>
          <w:i/>
          <w:sz w:val="20"/>
        </w:rPr>
        <w:t>EN: Imbalance in gut microbial interactions as a marker of health and disease</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56">
        <w:r>
          <w:rPr>
            <w:color w:val="1155CC"/>
            <w:u w:val="single"/>
          </w:rPr>
          <w:t>10.1126/science.ady1729</w:t>
        </w:r>
      </w:hyperlink>
    </w:p>
    <w:p>
      <w:pPr>
        <w:spacing w:before="0" w:after="120"/>
      </w:pPr>
      <w:r>
        <w:rPr>
          <w:b/>
        </w:rPr>
        <w:t xml:space="preserve">Notes: </w:t>
      </w:r>
      <w:r>
        <w:t>abstract_source=crossref</w:t>
      </w:r>
    </w:p>
    <w:p>
      <w:pPr>
        <w:spacing w:before="0" w:after="80" w:lineRule="auto" w:line="276"/>
      </w:pPr>
      <w:r>
        <w:rPr>
          <w:b/>
        </w:rPr>
        <w:t xml:space="preserve">摘要（ZH）: </w:t>
      </w:r>
      <w:r>
        <w:t>人类肠道微生物群的不平衡或失调与多种疾病相关，但仍然知之甚少。现有的失调生物标志物未能捕捉区分健康与疾病微生物群的生态机制。我们开发了一种度量标准，即生态网络平衡指数 (ENBI)，用于量化正负微生物相互作用之间的平衡。该度量标准的灵感来自于我们在这项工作中引入的肠道微生物群动态模型中观察到的现象学，该模型揭示了具有不同新兴微生物群的替代稳定状态：一种由负相互作用主导的健康状态和一种由正相互作用主导的失调状态。ENBI 在模拟和经验中都能稳健地区分这些状态</w:t>
      </w:r>
    </w:p>
    <w:p>
      <w:pPr>
        <w:spacing w:before="0" w:after="200" w:lineRule="auto" w:line="276"/>
      </w:pPr>
      <w:r>
        <w:rPr>
          <w:b/>
        </w:rPr>
        <w:t xml:space="preserve">Abstract (EN): </w:t>
      </w:r>
      <w:r>
        <w:t>Imbalances in the human gut microbiome, or dysbioses, are associated with multiple diseases but remain poorly understood. Existing biomarkers of dysbiosis fail to capture the ecological mechanisms that differentiate healthy from diseased microbiomes. We have developed a metric, the ecological network balance index (ENBI), that quantifies the balance between positive and negative microbial interactions. This metric was inspired by the phenomenology observed in a model for gut microbiome dynamics that we introduce in this work, which revealed alternative stable states with distinct emergent microbial communities: a healthy state dominated by negative interactions and a dysbiotic state dominated by positive interactions. The ENBI robustly differentiates these states in both simulated and empirical datasets spanning multiple diseases and correlates with disease progression in conditions such as colorectal cancer, which underscores its potential as a diagnostic tool.</w:t>
      </w:r>
    </w:p>
    <w:p>
      <w:pPr>
        <w:spacing w:before="120" w:after="120"/>
      </w:pPr>
      <w:r>
        <w:rPr>
          <w:sz w:val="18"/>
        </w:rPr>
        <w:t>——————————————————————————————————————————————————————————————————————</w:t>
      </w:r>
    </w:p>
    <w:p>
      <w:pPr>
        <w:spacing w:before="160" w:after="40" w:line="240" w:lineRule="auto"/>
      </w:pPr>
      <w:r>
        <w:rPr>
          <w:b/>
        </w:rPr>
        <w:t xml:space="preserve">[319] </w:t>
      </w:r>
      <w:hyperlink r:id="rId657">
        <w:r>
          <w:rPr>
            <w:color w:val="1155CC"/>
            <w:u w:val="single"/>
          </w:rPr>
          <w:t>挑战者</w:t>
        </w:r>
      </w:hyperlink>
    </w:p>
    <w:p>
      <w:pPr>
        <w:spacing w:before="0" w:after="80"/>
      </w:pPr>
      <w:r>
        <w:rPr>
          <w:i/>
          <w:sz w:val="20"/>
        </w:rPr>
        <w:t>EN: The challengers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58">
        <w:r>
          <w:rPr>
            <w:color w:val="1155CC"/>
            <w:u w:val="single"/>
          </w:rPr>
          <w:t>10.1126/science.aee7241</w:t>
        </w:r>
      </w:hyperlink>
    </w:p>
    <w:p>
      <w:pPr>
        <w:spacing w:before="0" w:after="120"/>
      </w:pPr>
      <w:r>
        <w:rPr>
          <w:b/>
        </w:rPr>
        <w:t xml:space="preserve">Notes: </w:t>
      </w:r>
      <w:r>
        <w:t>abstract_source=crossref</w:t>
      </w:r>
    </w:p>
    <w:p>
      <w:pPr>
        <w:spacing w:before="0" w:after="80" w:lineRule="auto" w:line="276"/>
      </w:pPr>
      <w:r>
        <w:rPr>
          <w:b/>
        </w:rPr>
        <w:t xml:space="preserve">摘要（ZH）: </w:t>
      </w:r>
      <w:r>
        <w:t>正统观念的激进拒绝者在丰富的思想史中占据中心舞台</w:t>
      </w:r>
    </w:p>
    <w:p>
      <w:pPr>
        <w:spacing w:before="0" w:after="200" w:lineRule="auto" w:line="276"/>
      </w:pPr>
      <w:r>
        <w:rPr>
          <w:b/>
        </w:rPr>
        <w:t xml:space="preserve">Abstract (EN): </w:t>
      </w:r>
      <w:r>
        <w:t>Radical rejectors of orthodoxy take center stage in a rich history of ideas</w:t>
      </w:r>
    </w:p>
    <w:p>
      <w:pPr>
        <w:spacing w:before="120" w:after="120"/>
      </w:pPr>
      <w:r>
        <w:rPr>
          <w:sz w:val="18"/>
        </w:rPr>
        <w:t>——————————————————————————————————————————————————————————————————————</w:t>
      </w:r>
    </w:p>
    <w:p>
      <w:pPr>
        <w:spacing w:before="160" w:after="40" w:line="240" w:lineRule="auto"/>
      </w:pPr>
      <w:r>
        <w:rPr>
          <w:b/>
        </w:rPr>
        <w:t xml:space="preserve">[320] </w:t>
      </w:r>
      <w:hyperlink r:id="rId659">
        <w:r>
          <w:rPr>
            <w:color w:val="1155CC"/>
            <w:u w:val="single"/>
          </w:rPr>
          <w:t>尼安德特人与现代人之间的杂交具有强烈的性别偏向</w:t>
        </w:r>
      </w:hyperlink>
    </w:p>
    <w:p>
      <w:pPr>
        <w:spacing w:before="0" w:after="80"/>
      </w:pPr>
      <w:r>
        <w:rPr>
          <w:i/>
          <w:sz w:val="20"/>
        </w:rPr>
        <w:t>EN: Interbreeding between Neanderthals and modern humans was strongly sex biased</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60">
        <w:r>
          <w:rPr>
            <w:color w:val="1155CC"/>
            <w:u w:val="single"/>
          </w:rPr>
          <w:t>10.1126/science.aea6774</w:t>
        </w:r>
      </w:hyperlink>
    </w:p>
    <w:p>
      <w:pPr>
        <w:spacing w:before="0" w:after="120"/>
      </w:pPr>
      <w:r>
        <w:rPr>
          <w:b/>
        </w:rPr>
        <w:t xml:space="preserve">Notes: </w:t>
      </w:r>
      <w:r>
        <w:t>abstract_source=crossref</w:t>
      </w:r>
    </w:p>
    <w:p>
      <w:pPr>
        <w:spacing w:before="0" w:after="80" w:lineRule="auto" w:line="276"/>
      </w:pPr>
      <w:r>
        <w:rPr>
          <w:b/>
        </w:rPr>
        <w:t xml:space="preserve">摘要（ZH）: </w:t>
      </w:r>
      <w:r>
        <w:t>性别偏见在混合和其他人口过程中的反复出现是人类进化中的常见特征。对于尼安德特人与解剖学上现代人类（AMHs）之间的混合，性别偏见被提出作为解释现代人类X染色体中尼安德特人祖先相对缺乏的原因，与现代人类常染色体中的情况相比。通过观察尼安德特人X染色体中62%的相对AMH祖先过剩，我们将两组之间的杂交描述为主要是男性尼安德特人与女性AMHs。分析和数值建模表明，配偶偏好比纯粹的人口过程中的性别迁移差异模式更能简洁地解释性别偏见。</w:t>
      </w:r>
    </w:p>
    <w:p>
      <w:pPr>
        <w:spacing w:before="0" w:after="200" w:lineRule="auto" w:line="276"/>
      </w:pPr>
      <w:r>
        <w:rPr>
          <w:b/>
        </w:rPr>
        <w:t xml:space="preserve">Abstract (EN): </w:t>
      </w:r>
      <w:r>
        <w:t>Sex biases in admixture and other demographic processes are recurrent features throughout human evolution. For admixture between Neanderthals and anatomically modern humans (AMHs), sex bias has been proposed as an explanation for the relative lack of Neanderthal ancestry in modern human X chromosomes compared with that in modern human autosomes. By observing a 62% relative excess of AMH ancestry in Neanderthal X chromosomes, we characterized the interbreeding between the two groups as predominantly male Neanderthals with female AMHs. Analytic and numerical modeling presents mate preference as a more parsimonious cause of the sex bias than purely demographic processes with differential patterns of male and female migration.</w:t>
      </w:r>
    </w:p>
    <w:p>
      <w:pPr>
        <w:spacing w:before="120" w:after="120"/>
      </w:pPr>
      <w:r>
        <w:rPr>
          <w:sz w:val="18"/>
        </w:rPr>
        <w:t>——————————————————————————————————————————————————————————————————————</w:t>
      </w:r>
    </w:p>
    <w:p>
      <w:pPr>
        <w:spacing w:before="160" w:after="40" w:line="240" w:lineRule="auto"/>
      </w:pPr>
      <w:r>
        <w:rPr>
          <w:b/>
        </w:rPr>
        <w:t xml:space="preserve">[321] </w:t>
      </w:r>
      <w:hyperlink r:id="rId661">
        <w:r>
          <w:rPr>
            <w:color w:val="1155CC"/>
            <w:u w:val="single"/>
          </w:rPr>
          <w:t>拥有自己的电子邮件</w:t>
        </w:r>
      </w:hyperlink>
    </w:p>
    <w:p>
      <w:pPr>
        <w:spacing w:before="0" w:after="80"/>
      </w:pPr>
      <w:r>
        <w:rPr>
          <w:i/>
          <w:sz w:val="20"/>
        </w:rPr>
        <w:t>EN: An email of one’s own</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62">
        <w:r>
          <w:rPr>
            <w:color w:val="1155CC"/>
            <w:u w:val="single"/>
          </w:rPr>
          <w:t>10.1126/science.aeg6833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[322] </w:t>
      </w:r>
      <w:hyperlink r:id="rId663">
        <w:r>
          <w:rPr>
            <w:color w:val="1155CC"/>
            <w:u w:val="single"/>
          </w:rPr>
          <w:t>治愈一个黑人家庭对医学的不信任</w:t>
        </w:r>
      </w:hyperlink>
    </w:p>
    <w:p>
      <w:pPr>
        <w:spacing w:before="0" w:after="80"/>
      </w:pPr>
      <w:r>
        <w:rPr>
          <w:i/>
          <w:sz w:val="20"/>
        </w:rPr>
        <w:t>EN: Curing a Black family’s distrust in medicine</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64">
        <w:r>
          <w:rPr>
            <w:color w:val="1155CC"/>
            <w:u w:val="single"/>
          </w:rPr>
          <w:t>10.1126/science.aeb4867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[323] </w:t>
      </w:r>
      <w:hyperlink r:id="rId665">
        <w:r>
          <w:rPr>
            <w:color w:val="1155CC"/>
            <w:u w:val="single"/>
          </w:rPr>
          <w:t>整合根和芽的氮响应</w:t>
        </w:r>
      </w:hyperlink>
    </w:p>
    <w:p>
      <w:pPr>
        <w:spacing w:before="0" w:after="80"/>
      </w:pPr>
      <w:r>
        <w:rPr>
          <w:i/>
          <w:sz w:val="20"/>
        </w:rPr>
        <w:t>EN: Integrating root and shoot nitrogen responses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66">
        <w:r>
          <w:rPr>
            <w:color w:val="1155CC"/>
            <w:u w:val="single"/>
          </w:rPr>
          <w:t>10.1126/science.aef5612</w:t>
        </w:r>
      </w:hyperlink>
    </w:p>
    <w:p>
      <w:pPr>
        <w:spacing w:before="0" w:after="120"/>
      </w:pPr>
      <w:r>
        <w:rPr>
          <w:b/>
        </w:rPr>
        <w:t xml:space="preserve">Notes: </w:t>
      </w:r>
      <w:r>
        <w:t>abstract_source=crossref</w:t>
      </w:r>
    </w:p>
    <w:p>
      <w:pPr>
        <w:spacing w:before="0" w:after="80" w:lineRule="auto" w:line="276"/>
      </w:pPr>
      <w:r>
        <w:rPr>
          <w:b/>
        </w:rPr>
        <w:t xml:space="preserve">摘要（ZH）: </w:t>
      </w:r>
      <w:r>
        <w:t>一种转录因子可能使高产水稻植物更有效地利用氮</w:t>
      </w:r>
    </w:p>
    <w:p>
      <w:pPr>
        <w:spacing w:before="0" w:after="200" w:lineRule="auto" w:line="276"/>
      </w:pPr>
      <w:r>
        <w:rPr>
          <w:b/>
        </w:rPr>
        <w:t xml:space="preserve">Abstract (EN): </w:t>
      </w:r>
      <w:r>
        <w:t>A transcription factor may enable high-yield rice plants to use nitrogen more efficiently</w:t>
      </w:r>
    </w:p>
    <w:p>
      <w:pPr>
        <w:spacing w:before="120" w:after="120"/>
      </w:pPr>
      <w:r>
        <w:rPr>
          <w:sz w:val="18"/>
        </w:rPr>
        <w:t>——————————————————————————————————————————————————————————————————————</w:t>
      </w:r>
    </w:p>
    <w:p>
      <w:pPr>
        <w:spacing w:before="160" w:after="40" w:line="240" w:lineRule="auto"/>
      </w:pPr>
      <w:r>
        <w:rPr>
          <w:b/>
        </w:rPr>
        <w:t xml:space="preserve">[324] </w:t>
      </w:r>
      <w:hyperlink r:id="rId667">
        <w:r>
          <w:rPr>
            <w:color w:val="1155CC"/>
            <w:u w:val="single"/>
          </w:rPr>
          <w:t>北美鸟类衰退的加速热点与农业有关</w:t>
        </w:r>
      </w:hyperlink>
    </w:p>
    <w:p>
      <w:pPr>
        <w:spacing w:before="0" w:after="80"/>
      </w:pPr>
      <w:r>
        <w:rPr>
          <w:i/>
          <w:sz w:val="20"/>
        </w:rPr>
        <w:t>EN: Acceleration hotspots of North American birds’ decline are associated with agriculture</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68">
        <w:r>
          <w:rPr>
            <w:color w:val="1155CC"/>
            <w:u w:val="single"/>
          </w:rPr>
          <w:t>10.1126/science.ads0871</w:t>
        </w:r>
      </w:hyperlink>
    </w:p>
    <w:p>
      <w:pPr>
        <w:spacing w:before="0" w:after="120"/>
      </w:pPr>
      <w:r>
        <w:rPr>
          <w:b/>
        </w:rPr>
        <w:t xml:space="preserve">Notes: </w:t>
      </w:r>
      <w:r>
        <w:t>abstract_source=crossref</w:t>
      </w:r>
    </w:p>
    <w:p>
      <w:pPr>
        <w:spacing w:before="0" w:after="80" w:lineRule="auto" w:line="276"/>
      </w:pPr>
      <w:r>
        <w:rPr>
          <w:b/>
        </w:rPr>
        <w:t xml:space="preserve">摘要（ZH）: </w:t>
      </w:r>
      <w:r>
        <w:t>人类活动可能加速了种群丰度的下降，但这种加速仍未被充分研究。利用1033条北美繁殖鸟类调查路线，我们分析了1987年至2021年间261种鸟类、54个鸟类科和10种栖息地的丰度变化及其加速情况。我们显示，所有鸟类在每条本地路线上的丰度平均在整个大陆范围内下降，北美南部和温暖地区是下降的热点，而中大西洋、中西部和加利福尼亚是加速下降的热点，这与农业强度的模式相匹配。总体而言，122个物种（47%）表现出显著下降，其中63个物种也显示出这种下降的加速，67个物种显示出人均增长率的下降，这对北美鸟类种群的很大一部分提出了担忧。</w:t>
      </w:r>
    </w:p>
    <w:p>
      <w:pPr>
        <w:spacing w:before="0" w:after="200" w:lineRule="auto" w:line="276"/>
      </w:pPr>
      <w:r>
        <w:rPr>
          <w:b/>
        </w:rPr>
        <w:t xml:space="preserve">Abstract (EN): </w:t>
      </w:r>
      <w:r>
        <w:t>Human activities might have accelerated declines of population abundance, but this acceleration remains underexplored. Using 1033 North American Breeding Bird Survey routes, we analyze abundance change and its acceleration for 261 bird species, 54 avian families, and 10 habitats from 1987 to 2021. We show an average continent-wide decline of abundance of all birds per local route, with hotspots of decline in southern and warm parts of North America and hotspots of accelerating decline in the Mid-Atlantic, Midwest, and California, matching patterns of agricultural intensity. Overall, 122 species (47%) exhibit significant declines, of which 63 also show acceleration of this decline, and 67 show declining per-capita growth rate, raising concerns for a large part of North American bird populations. These findings suggest that bird abundance decline is mostly accelerating, with spatial patterns of this acceleration indicating that agricultural intensity may be a driver of this trend.</w:t>
      </w:r>
    </w:p>
    <w:p>
      <w:pPr>
        <w:spacing w:before="120" w:after="120"/>
      </w:pPr>
      <w:r>
        <w:rPr>
          <w:sz w:val="18"/>
        </w:rPr>
        <w:t>——————————————————————————————————————————————————————————————————————</w:t>
      </w:r>
    </w:p>
    <w:p>
      <w:pPr>
        <w:spacing w:before="160" w:after="40" w:line="240" w:lineRule="auto"/>
      </w:pPr>
      <w:r>
        <w:rPr>
          <w:b/>
        </w:rPr>
        <w:t xml:space="preserve">[325] </w:t>
      </w:r>
      <w:hyperlink r:id="rId669">
        <w:r>
          <w:rPr>
            <w:color w:val="1155CC"/>
            <w:u w:val="single"/>
          </w:rPr>
          <w:t>伊斯兰对科学方法的影响</w:t>
        </w:r>
      </w:hyperlink>
    </w:p>
    <w:p>
      <w:pPr>
        <w:spacing w:before="0" w:after="80"/>
      </w:pPr>
      <w:r>
        <w:rPr>
          <w:i/>
          <w:sz w:val="20"/>
        </w:rPr>
        <w:t>EN: Islamic influence on the scientific method</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670">
        <w:r>
          <w:rPr>
            <w:color w:val="1155CC"/>
            <w:u w:val="single"/>
          </w:rPr>
          <w:t>10.1126/science.aef2236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[326] </w:t>
      </w:r>
      <w:hyperlink r:id="rId671">
        <w:r>
          <w:rPr>
            <w:color w:val="1155CC"/>
            <w:u w:val="single"/>
          </w:rPr>
          <w:t>有机磷化物：用于铜(I)卡宾基TADF发射器和光催化剂的新型发光配体</w:t>
        </w:r>
      </w:hyperlink>
    </w:p>
    <w:p>
      <w:pPr>
        <w:spacing w:before="0" w:after="80"/>
      </w:pPr>
      <w:r>
        <w:rPr>
          <w:i/>
          <w:sz w:val="20"/>
        </w:rPr>
        <w:t>EN: Organophosphides: A New Class of Luminophore Ligands for Copper(I) Carbene Based TADF Emitters and Photocatalysts</w:t>
      </w:r>
    </w:p>
    <w:p>
      <w:pPr>
        <w:spacing w:before="0" w:after="120"/>
      </w:pPr>
      <w:r>
        <w:rPr>
          <w:b/>
        </w:rPr>
        <w:t xml:space="preserve">Source: </w:t>
      </w:r>
      <w:r>
        <w:t>Wiley: Angewandte Chemie International Edition: Table of Contents</w:t>
      </w:r>
      <w:r>
        <w:t xml:space="preserve">    </w:t>
      </w:r>
      <w:r>
        <w:rPr>
          <w:b/>
        </w:rPr>
        <w:t xml:space="preserve">Pub date: </w:t>
      </w:r>
      <w:r>
        <w:t>2026-02-26 07:26:43+00:00</w:t>
      </w:r>
      <w:r>
        <w:t xml:space="preserve">    </w:t>
      </w:r>
      <w:r>
        <w:rPr>
          <w:b/>
        </w:rPr>
        <w:t xml:space="preserve">DOI: </w:t>
      </w:r>
      <w:hyperlink r:id="rId672">
        <w:r>
          <w:rPr>
            <w:color w:val="1155CC"/>
            <w:u w:val="single"/>
          </w:rPr>
          <w:t>10.1002/anie.202518530</w:t>
        </w:r>
      </w:hyperlink>
    </w:p>
    <w:p>
      <w:pPr>
        <w:spacing w:before="0" w:after="120"/>
      </w:pPr>
      <w:r>
        <w:rPr>
          <w:b/>
        </w:rPr>
        <w:t xml:space="preserve">Notes: </w:t>
      </w:r>
      <w:r>
        <w:t>abstract_source=pubmed</w:t>
      </w:r>
    </w:p>
    <w:p>
      <w:pPr>
        <w:spacing w:before="0" w:after="80" w:lineRule="auto" w:line="276"/>
      </w:pPr>
      <w:r>
        <w:rPr>
          <w:b/>
        </w:rPr>
        <w:t xml:space="preserve">摘要（ZH）: </w:t>
      </w:r>
      <w:r>
        <w:t>发光的卡宾铜(I)电荷转移配合物是光子应用中有前景的分子材料候选者。除了对受体卡宾的空间和电子修饰外，大多数研究都致力于酰胺供体配体以控制发光特性，而其余的pnictogen组作为阴离子电子供体配体在光物理上代表性不足。在此，我们展示了二甲苯基磷化物（Mes2P-）作为[Cu(cAAC)(PMes2)]（cAAC = 环状氨基（烷基）卡宾）中的较重同系物，产生橙色发射，固态下的量子产率高达ϕmax = 0.52，与相关酰胺配合物相比，由于磷的电负性较低，发射波长红移约3000 cm-1。时间分辨变</w:t>
      </w:r>
    </w:p>
    <w:p>
      <w:pPr>
        <w:spacing w:before="0" w:after="200" w:lineRule="auto" w:line="276"/>
      </w:pPr>
      <w:r>
        <w:rPr>
          <w:b/>
        </w:rPr>
        <w:t xml:space="preserve">Abstract (EN): </w:t>
      </w:r>
      <w:r>
        <w:t>Luminescent carbene copper(I) charge transfer complexes are promising candidates as molecular materials for photonic applications. Apart from steric and electronic modification of the acceptor carbene, most of the research has been dedicated to amide donor ligands to control the luminescence properties, while the remaining pnictogen group as anionic electron donating ligands is photophysically underrepresented. Herein, we demonstrate that dimesityl phosphide (Mes2P-) as a heavier homologue in [Cu(cAAC)(PMes2)] (cAAC = cyclic amino(alkyl) carbene) gives rise to orange emission with quantum yields of up to ϕmax  = 0.52 in the solid state that is bathochromically shifted by ∼3000 cm-1 in comparison to related amide complexes due to the lower electronegativity of phosphorus. Time-resolved variable temperature studies reveals that the µs-lifetimes and radiative rate constants of ca. kr  =  5 ⋅ 104 s-1 are due to thermally activated delayed fluorescence (TADF) as the dominating emission mechanism at room temperature. In polystyrene matrices, the complexes exhibit environment dependent chiroptical properties (up to glum  =  10-2, BCPL  =  1.31 M-1 cm-1, kCPL  =  41.5 s-1) and are efficient blue light photocatalysts for hydrophosphination of alkynes in solution, highlighting the potential of heavier pnictogen ligands for photonic materials.</w:t>
      </w:r>
    </w:p>
    <w:p>
      <w:pPr>
        <w:spacing w:before="120" w:after="120"/>
      </w:pPr>
      <w:r>
        <w:rPr>
          <w:sz w:val="18"/>
        </w:rPr>
        <w:t>——————————————————————————————————————————————————————————————————————</w:t>
      </w:r>
    </w:p>
    <w:p>
      <w:pPr>
        <w:spacing w:before="160" w:after="40" w:line="240" w:lineRule="auto"/>
      </w:pPr>
      <w:r>
        <w:rPr>
          <w:b/>
        </w:rPr>
        <w:t xml:space="preserve">[327] </w:t>
      </w:r>
      <w:hyperlink r:id="rId673">
        <w:r>
          <w:rPr>
            <w:color w:val="1155CC"/>
            <w:u w:val="single"/>
          </w:rPr>
          <w:t>通过苯并噻吩杂环融合策略实现高性能多共振热激活延迟荧光（MR-TADF）蓝色发射器</w:t>
        </w:r>
      </w:hyperlink>
    </w:p>
    <w:p>
      <w:pPr>
        <w:spacing w:before="0" w:after="80"/>
      </w:pPr>
      <w:r>
        <w:rPr>
          <w:i/>
          <w:sz w:val="20"/>
        </w:rPr>
        <w:t>EN: Achieving High‐Performance Multi‐Resonance Thermally Activated Delayed Fluorescence (MR‐TADF) Blue Emitter Using Benzothiophene Heterocyclic Fusion Strategy</w:t>
      </w:r>
    </w:p>
    <w:p>
      <w:pPr>
        <w:spacing w:before="0" w:after="120"/>
      </w:pPr>
      <w:r>
        <w:rPr>
          <w:b/>
        </w:rPr>
        <w:t xml:space="preserve">Source: </w:t>
      </w:r>
      <w:r>
        <w:t>Wiley: Angewandte Chemie International Edition: Table of Contents</w:t>
      </w:r>
      <w:r>
        <w:t xml:space="preserve">    </w:t>
      </w:r>
      <w:r>
        <w:rPr>
          <w:b/>
        </w:rPr>
        <w:t xml:space="preserve">Pub date: </w:t>
      </w:r>
      <w:r>
        <w:t>2026-02-26 07:39:39+00:00</w:t>
      </w:r>
      <w:r>
        <w:t xml:space="preserve">    </w:t>
      </w:r>
      <w:r>
        <w:rPr>
          <w:b/>
        </w:rPr>
        <w:t xml:space="preserve">DOI: </w:t>
      </w:r>
      <w:hyperlink r:id="rId674">
        <w:r>
          <w:rPr>
            <w:color w:val="1155CC"/>
            <w:u w:val="single"/>
          </w:rPr>
          <w:t>10.1002/anie.2644336</w:t>
        </w:r>
      </w:hyperlink>
    </w:p>
    <w:p>
      <w:pPr>
        <w:spacing w:before="0" w:after="120"/>
      </w:pPr>
      <w:r>
        <w:rPr>
          <w:b/>
        </w:rPr>
        <w:t xml:space="preserve">Notes: </w:t>
      </w:r>
      <w:r>
        <w:t>abstract_source=pubmed</w:t>
      </w:r>
    </w:p>
    <w:p>
      <w:pPr>
        <w:spacing w:before="0" w:after="80" w:lineRule="auto" w:line="276"/>
      </w:pPr>
      <w:r>
        <w:rPr>
          <w:b/>
        </w:rPr>
        <w:t xml:space="preserve">摘要（ZH）: </w:t>
      </w:r>
      <w:r>
        <w:t>为了满足超高清显示领域日益增长的需求，多共振热激活延迟荧光（MR-TADF）材料因其窄带发射特性而受到广泛关注。然而，这些材料的发展仍面临许多挑战，如化学修饰方法有限和器件效率严重下降。在此，采用苯并噻吩（BZT）杂环融合策略对经典的单硼和双硼MR-TADF发射体进行化学修饰，形成两个新衍生物（SS-B和SS-2B）。通过理论与实验相结合，揭示了由于BZT单元的融合引入而导致发射特性改善的内在机制，从而实现了高效和高对</w:t>
      </w:r>
    </w:p>
    <w:p>
      <w:pPr>
        <w:spacing w:before="0" w:after="200" w:lineRule="auto" w:line="276"/>
      </w:pPr>
      <w:r>
        <w:rPr>
          <w:b/>
        </w:rPr>
        <w:t xml:space="preserve">Abstract (EN): </w:t>
      </w:r>
      <w:r>
        <w:t>To meet the growing demands in the field of ultra-high-definition display, multi-resonance thermally activated delayed fluorescence (MR-TADF) materials have attracted extensive attention due to their narrowband emission characteristics. However, the development of these materials still faces many challenges, such as limited chemical modification methods and severe device efficiency roll-off. Herein, the benzothiophene (BZT) heterocyclic fusion strategy was adopted to chemically modify the classical single-boron and dual-boron MR-TADF emitters into two new derivatives (SS-B and SS-2B). By combining theory with experiments, the intrinsic mechanism of the improvements in emission properties was revealed due to the fusion incorporation of BZT units, resulting in the high-efficiency and high-color-purity doped blue organic light-emitting diode (OLED) with effective suppression of efficiency roll-off. The full width at half maximum (FWHM) of their electroluminescence spectra are only 26 and 29 nm for SS-B and SS-2B, respectively. Their maximum external quantum efficiencies (EQEmax) are as high as 34.34% and 37.23% respectively, and the EQE roll-off of SS-2B is only 4.9% at 100 cd·m-2. This work not only provides a better understanding of the photophysical nature of boron/nitrogen (B/N) molecular systems, but also offers a new strategy for improving the electroluminescence performance of MR-TADF materials.</w:t>
      </w:r>
    </w:p>
    <w:p>
      <w:pPr>
        <w:spacing w:before="120" w:after="120"/>
      </w:pPr>
      <w:r>
        <w:rPr>
          <w:sz w:val="18"/>
        </w:rPr>
        <w:t>——————————————————————————————————————————————————————————————————————</w:t>
      </w:r>
    </w:p>
    <w:p>
      <w:pPr>
        <w:spacing w:before="160" w:after="40" w:line="240" w:lineRule="auto"/>
      </w:pPr>
      <w:r>
        <w:rPr>
          <w:b/>
        </w:rPr>
        <w:t xml:space="preserve">[328] </w:t>
      </w:r>
      <w:hyperlink r:id="rId675">
        <w:r>
          <w:rPr>
            <w:color w:val="1155CC"/>
            <w:u w:val="single"/>
          </w:rPr>
          <w:t>限制π-共轭基团的调整以在硫酸盐中实现创纪录的深紫外非线性</w:t>
        </w:r>
      </w:hyperlink>
    </w:p>
    <w:p>
      <w:pPr>
        <w:spacing w:before="0" w:after="80"/>
      </w:pPr>
      <w:r>
        <w:rPr>
          <w:i/>
          <w:sz w:val="20"/>
        </w:rPr>
        <w:t>EN: Confinement π‐Conjugated Moiety Tailoring to Achieve Record Deep‐UV Nonlinearity in Sulfates</w:t>
      </w:r>
    </w:p>
    <w:p>
      <w:pPr>
        <w:spacing w:before="0" w:after="120"/>
      </w:pPr>
      <w:r>
        <w:rPr>
          <w:b/>
        </w:rPr>
        <w:t xml:space="preserve">Source: </w:t>
      </w:r>
      <w:r>
        <w:t>Wiley: Angewandte Chemie International Edition: Table of Contents</w:t>
      </w:r>
      <w:r>
        <w:t xml:space="preserve">    </w:t>
      </w:r>
      <w:r>
        <w:rPr>
          <w:b/>
        </w:rPr>
        <w:t xml:space="preserve">Pub date: </w:t>
      </w:r>
      <w:r>
        <w:t>2026-02-26 07:42:27+00:00</w:t>
      </w:r>
      <w:r>
        <w:t xml:space="preserve">    </w:t>
      </w:r>
      <w:r>
        <w:rPr>
          <w:b/>
        </w:rPr>
        <w:t xml:space="preserve">DOI: </w:t>
      </w:r>
      <w:hyperlink r:id="rId676">
        <w:r>
          <w:rPr>
            <w:color w:val="1155CC"/>
            <w:u w:val="single"/>
          </w:rPr>
          <w:t>10.1002/anie.4703576</w:t>
        </w:r>
      </w:hyperlink>
    </w:p>
    <w:p>
      <w:pPr>
        <w:spacing w:before="0" w:after="120"/>
      </w:pPr>
      <w:r>
        <w:rPr>
          <w:b/>
        </w:rPr>
        <w:t xml:space="preserve">Notes: </w:t>
      </w:r>
      <w:r>
        <w:t>abstract_source=pubmed</w:t>
      </w:r>
    </w:p>
    <w:p>
      <w:pPr>
        <w:spacing w:before="0" w:after="80" w:lineRule="auto" w:line="276"/>
      </w:pPr>
      <w:r>
        <w:rPr>
          <w:b/>
        </w:rPr>
        <w:t xml:space="preserve">摘要（ZH）: </w:t>
      </w:r>
      <w:r>
        <w:t>开发具有多种性能同时高性能的深紫外非线性光学（DUV NLO）材料仍然是一个重大挑战。关键性能，如短紫外截止边缘、强二次谐波生成（SHG）响应和适当的双折射，通常相互制约。本研究介绍了一种新颖的“一石三鸟”策略，利用一个受限的π-共轭功能团[OOCCH(NH3)CH2SO3]-，将其整合到硫酸盐框架中。该方法在保持硫酸盐固有的大带隙的同时，增强了极化率各向异性和超极化率。该策略在平衡关键性能指标方面取得了突破。使用这一新设计，我们成功合成了一种新型DUV NLO磺酸盐，Li[</w:t>
      </w:r>
    </w:p>
    <w:p>
      <w:pPr>
        <w:spacing w:before="0" w:after="200" w:lineRule="auto" w:line="276"/>
      </w:pPr>
      <w:r>
        <w:rPr>
          <w:b/>
        </w:rPr>
        <w:t xml:space="preserve">Abstract (EN): </w:t>
      </w:r>
      <w:r>
        <w:t>The development of deep ultraviolet nonlinear optical (DUV NLO) materials with simultaneous high performance across multiple properties remains a significant challenge. Key properties, such as a short UV cutoff edge, strong second-harmonic generation (SHG) response, and suitable birefringence, are often mutually constrained. This study introduces a novel "Three Birds with One Stone" strategy, utilizing a confined π-conjugated functional group, [OOCCH(NH3)CH2SO3]-, integrated into the sulfate framework. The approach enhances both polarizability anisotropy and hyperpolarizability while preserving the large band gap inherent to sulfates. This strategy achieves a breakthrough in balancing key performance metrics. Using this new design, we successfully synthesized a novel DUV NLO sulfonate, Li[OOCCH(NH3)CH2SO3] (LCNS), which demonstrates excellent optical properties, including a short UV cutoff edge (177 nm), a record SHG response (4.5 × KDP), and exceptional birefringence (0.090@589 nm) among DUV NLO sulfonates. This work not only provides a promising candidate for DUV NLO applications but also introduces an innovative strategy for the development of advanced DUV NLO materials.</w:t>
      </w:r>
    </w:p>
    <w:p>
      <w:pPr>
        <w:spacing w:before="120" w:after="120"/>
      </w:pPr>
      <w:r>
        <w:rPr>
          <w:sz w:val="18"/>
        </w:rPr>
        <w:t>——————————————————————————————————————————————————————————————————————</w:t>
      </w:r>
    </w:p>
    <w:p>
      <w:pPr>
        <w:spacing w:before="160" w:after="40" w:line="240" w:lineRule="auto"/>
      </w:pPr>
      <w:r>
        <w:rPr>
          <w:b/>
        </w:rPr>
        <w:t xml:space="preserve">[329] </w:t>
      </w:r>
      <w:hyperlink r:id="rId677">
        <w:r>
          <w:rPr>
            <w:color w:val="1155CC"/>
            <w:u w:val="single"/>
          </w:rPr>
          <w:t>在异构体介孔铝-萨伦共价有机聚合物纤维上实现长波长可见光Griffith型氧光活化</w:t>
        </w:r>
      </w:hyperlink>
    </w:p>
    <w:p>
      <w:pPr>
        <w:spacing w:before="0" w:after="80"/>
      </w:pPr>
      <w:r>
        <w:rPr>
          <w:i/>
          <w:sz w:val="20"/>
        </w:rPr>
        <w:t>EN: Long‐Wavelength Visible Griffith‐Type Oxygen Photoactivation on Isomeric Mesoporous Al‐Salen Covalent Organic Polymer Fibers</w:t>
      </w:r>
    </w:p>
    <w:p>
      <w:pPr>
        <w:spacing w:before="0" w:after="120"/>
      </w:pPr>
      <w:r>
        <w:rPr>
          <w:b/>
        </w:rPr>
        <w:t xml:space="preserve">Source: </w:t>
      </w:r>
      <w:r>
        <w:t>Wiley: Angewandte Chemie International Edition: Table of Contents</w:t>
      </w:r>
      <w:r>
        <w:t xml:space="preserve">    </w:t>
      </w:r>
      <w:r>
        <w:rPr>
          <w:b/>
        </w:rPr>
        <w:t xml:space="preserve">Pub date: </w:t>
      </w:r>
      <w:r>
        <w:t>2026-02-26 07:45:58+00:00</w:t>
      </w:r>
      <w:r>
        <w:t xml:space="preserve">    </w:t>
      </w:r>
      <w:r>
        <w:rPr>
          <w:b/>
        </w:rPr>
        <w:t xml:space="preserve">DOI: </w:t>
      </w:r>
      <w:hyperlink r:id="rId678">
        <w:r>
          <w:rPr>
            <w:color w:val="1155CC"/>
            <w:u w:val="single"/>
          </w:rPr>
          <w:t>10.1002/anie.7982319</w:t>
        </w:r>
      </w:hyperlink>
    </w:p>
    <w:p>
      <w:pPr>
        <w:spacing w:before="0" w:after="120"/>
      </w:pPr>
      <w:r>
        <w:rPr>
          <w:b/>
        </w:rPr>
        <w:t xml:space="preserve">Notes: </w:t>
      </w:r>
      <w:r>
        <w:t>abstract_source=pubmed</w:t>
      </w:r>
    </w:p>
    <w:p>
      <w:pPr>
        <w:spacing w:before="0" w:after="80" w:lineRule="auto" w:line="276"/>
      </w:pPr>
      <w:r>
        <w:rPr>
          <w:b/>
        </w:rPr>
        <w:t xml:space="preserve">摘要（ZH）: </w:t>
      </w:r>
      <w:r>
        <w:t>共价有机聚合物（COPs）作为高效太阳能驱动的能量转化为化学品的光催化剂展现出良好前景。然而，能够有效收集长波长可见光到近红外（L-Vis-NIR）光（λ &gt; 600 nm）的COPs实现这些光化学转化仍然很少见。在此，展示了两种异构的介孔Al-Salen COP纤维作为L-Vis-NIR响应的光催化剂，用于高效的Griffith型氧活化以生产过氧化氢（H2O2）。在使用1,2,3,4-四氢异喹啉作为牺牲试剂的情况下，两个COPs在普通家用LED灯（680-690 nm, 3.18 mW cm-2）照射下实现了约1607 µmol gcat -1 h-1的高H2O2生产率，太阳能到化学能的效率约为5.0%。它们的高效</w:t>
      </w:r>
    </w:p>
    <w:p>
      <w:pPr>
        <w:spacing w:before="0" w:after="200" w:lineRule="auto" w:line="276"/>
      </w:pPr>
      <w:r>
        <w:rPr>
          <w:b/>
        </w:rPr>
        <w:t xml:space="preserve">Abstract (EN): </w:t>
      </w:r>
      <w:r>
        <w:t>Covalent organic polymers (COPs) have emerged as promising photocatalysts for efficient solar-driven conversion of energy into chemicals. However, it remains rare for COPs capable of effectively harvesting long-wavelength visible to near-infrared (L-Vis-NIR) light (λ &gt; 600 nm) to achieve these photochemical transformations. Here, two isomeric mesoporous Al-Salen COP fibers are demonstrated as L-Vis-NIR-responsive photocatalysts for efficient Griffith-type oxygen activation to produce hydrogen peroxide (H2O2). Both COPs achieve a high H2O2 production rate of about 1607 µmol gcat -1 h-1 under irradiation of common domestic LED lights (680-690 nm, 3.18 mW cm-2) using 1,2,3,4-tetrahydroisoquinoline as a sacrificial reagent with a high solar to chemical efficiency of about 5.0%. Their efficient L-Vis-NIR-responsive photocatalytic performance is attributed to their narrow band gaps of about 1.5 eV, efficient charge separation facilitated by integrated electron-donor (benzene ring) and electron-acceptor (Al-Salen Lewis acid site) structures, and a direct Griffith-type photo-activation mechanism for oxygen. No significant isomerism effect is observed in their photocatalytic performance, attributed to the similar photoinduced charge carrier behaviors mainly affected by the local Al-Salen moieties rather than the topological structure. This study highlights isomeric Al-based COPs as effective platforms for L-Vis-NIR photocatalysis and opens avenues for the development of Al-based COP photocatalysts for diverse chemical transformations.</w:t>
      </w:r>
    </w:p>
    <w:p>
      <w:pPr>
        <w:spacing w:before="120" w:after="120"/>
      </w:pPr>
      <w:r>
        <w:rPr>
          <w:sz w:val="18"/>
        </w:rPr>
        <w:t>——————————————————————————————————————————————————————————————————————</w:t>
      </w:r>
    </w:p>
    <w:p>
      <w:pPr>
        <w:spacing w:before="160" w:after="40" w:line="240" w:lineRule="auto"/>
      </w:pPr>
      <w:r>
        <w:rPr>
          <w:b/>
        </w:rPr>
        <w:t xml:space="preserve">[330] </w:t>
      </w:r>
      <w:hyperlink r:id="rId679">
        <w:r>
          <w:rPr>
            <w:color w:val="1155CC"/>
            <w:u w:val="single"/>
          </w:rPr>
          <w:t>哺乳动物衰老中的全身细胞动态和表观基因组重塑</w:t>
        </w:r>
      </w:hyperlink>
    </w:p>
    <w:p>
      <w:pPr>
        <w:spacing w:before="0" w:after="80"/>
      </w:pPr>
      <w:r>
        <w:rPr>
          <w:i/>
          <w:sz w:val="20"/>
        </w:rPr>
        <w:t>EN: Organism-wide cellular dynamics and epigenomic remodeling in mammalian aging</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680">
        <w:r>
          <w:rPr>
            <w:color w:val="1155CC"/>
            <w:u w:val="single"/>
          </w:rPr>
          <w:t>10.1126/science.adw6273</w:t>
        </w:r>
      </w:hyperlink>
    </w:p>
    <w:p>
      <w:pPr>
        <w:spacing w:before="0" w:after="120"/>
      </w:pPr>
      <w:r>
        <w:rPr>
          <w:b/>
        </w:rPr>
        <w:t xml:space="preserve">Notes: </w:t>
      </w:r>
      <w:r>
        <w:t>abstract_source=crossref</w:t>
      </w:r>
    </w:p>
    <w:p>
      <w:pPr>
        <w:spacing w:before="0" w:after="80" w:lineRule="auto" w:line="276"/>
      </w:pPr>
      <w:r>
        <w:rPr>
          <w:b/>
        </w:rPr>
        <w:t xml:space="preserve">摘要（ZH）: </w:t>
      </w:r>
      <w:r>
        <w:t>为了研究衰老过程中全身细胞变化和表观基因组动态，我们构建了一个跨越21个小鼠组织、三个年龄组和两性别的单细胞染色质可及性图谱。我们发现536种器官特异性细胞类型和1828种更细分的亚型中约四分之一表现出显著的年龄相关群体变化。广泛分布的谱系的细胞状态显示出与年龄同步的动态，表明协调这些变化的系统信号。分子分析识别出这些变化的内在调节因子（染色质峰、转录因子活性）和外在因素（细胞因子程序）。此外，约40%的衰老相关群体动态是性别依赖的，数万个峰值发生变化</w:t>
      </w:r>
    </w:p>
    <w:p>
      <w:pPr>
        <w:spacing w:before="0" w:after="200" w:lineRule="auto" w:line="276"/>
      </w:pPr>
      <w:r>
        <w:rPr>
          <w:b/>
        </w:rPr>
        <w:t xml:space="preserve">Abstract (EN): </w:t>
      </w:r>
      <w:r>
        <w:t>To investigate organism-wide cellular alterations and epigenomic dynamics during aging, we constructed a single-cell chromatin accessibility atlas spanning 21 mouse tissues across three age groups and both sexes. We found that around one-quarter of 536 organ-specific cell types and 1828 finer-grained subtypes exhibited considerable age-related population shifts. Cellular states from broadly distributed lineages displayed synchronized dynamics with age, indicating systemic signals that coordinate these changes. Molecular analyses identified both intrinsic regulators (chromatin peaks, transcription factor activity) and extrinsic factors (cytokine programs) underlying these shifts. Moreover, ~40% of aging-associated population dynamics were sex-dependent, with tens of thousands of peaks altered exclusively in one sex. Together, these findings present a comprehensive framework for how aging reshapes the chromatin landscape and cellular composition across diverse tissues.</w:t>
      </w:r>
    </w:p>
    <w:p>
      <w:pPr>
        <w:spacing w:before="120" w:after="120"/>
      </w:pPr>
      <w:r>
        <w:rPr>
          <w:sz w:val="18"/>
        </w:rPr>
        <w:t>——————————————————————————————————————————————————————————————————————</w:t>
      </w:r>
    </w:p>
    <w:p>
      <w:pPr>
        <w:spacing w:before="160" w:after="40" w:line="240" w:lineRule="auto"/>
      </w:pPr>
      <w:r>
        <w:rPr>
          <w:b/>
        </w:rPr>
        <w:t xml:space="preserve">[331] </w:t>
      </w:r>
      <w:hyperlink r:id="rId681">
        <w:r>
          <w:rPr>
            <w:color w:val="1155CC"/>
            <w:u w:val="single"/>
          </w:rPr>
          <w:t>通过冷冻电子显微镜可视化RAD51丝状体的组装和由XRCC3-RAD51C-RAD51D-XRCC2进行的末端封盖</w:t>
        </w:r>
      </w:hyperlink>
    </w:p>
    <w:p>
      <w:pPr>
        <w:spacing w:before="0" w:after="80"/>
      </w:pPr>
      <w:r>
        <w:rPr>
          <w:i/>
          <w:sz w:val="20"/>
        </w:rPr>
        <w:t>EN: Cryo–electron microscopic visualization of RAD51 filament assembly and end-capping by XRCC3-RAD51C-RAD51D-XRCC2</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682">
        <w:r>
          <w:rPr>
            <w:color w:val="1155CC"/>
            <w:u w:val="single"/>
          </w:rPr>
          <w:t>10.1126/science.aea1546</w:t>
        </w:r>
      </w:hyperlink>
    </w:p>
    <w:p>
      <w:pPr>
        <w:spacing w:before="0" w:after="120"/>
      </w:pPr>
      <w:r>
        <w:rPr>
          <w:b/>
        </w:rPr>
        <w:t xml:space="preserve">Notes: </w:t>
      </w:r>
      <w:r>
        <w:t>abstract_source=crossref</w:t>
      </w:r>
    </w:p>
    <w:p>
      <w:pPr>
        <w:spacing w:before="0" w:after="80" w:lineRule="auto" w:line="276"/>
      </w:pPr>
      <w:r>
        <w:rPr>
          <w:b/>
        </w:rPr>
        <w:t xml:space="preserve">摘要（ZH）: </w:t>
      </w:r>
      <w:r>
        <w:t>同源重组修复DNA双链断裂并保护停滞的复制叉，但五个RAD51旁系基因如何参与这些过程仍不清楚。RAD51旁系基因的突变与遗传性乳腺癌和卵巢癌以及易患癌症的范可尼贫血症有关。在这项工作中，我们展示了RAD51旁系基因组装成两个不同的异源四聚体复合物，RAD51B-RAD51C-RAD51D-XRCC2（RAD51B复合物）和XRCC3-RAD51C-RAD51D-XRCC2（XRCC3复合物）。RAD51B复合物促进RAD51丝状体的动态腺苷三磷酸水解依赖性组装，而XRCC3复合物稳定地封盖RAD51丝状体的5′末端以促进同源配对，通过冷冻电子显微镜可视化。XRCC3复合物在进化中高度保守</w:t>
      </w:r>
    </w:p>
    <w:p>
      <w:pPr>
        <w:spacing w:before="0" w:after="200" w:lineRule="auto" w:line="276"/>
      </w:pPr>
      <w:r>
        <w:rPr>
          <w:b/>
        </w:rPr>
        <w:t xml:space="preserve">Abstract (EN): </w:t>
      </w:r>
      <w:r>
        <w:t>Homologous recombination repairs DNA double-strand breaks and protects stalled replication forks, but how the five RAD51 paralogs contribute to these processes remains unclear. Mutations in the RAD51 paralogs are linked to heritable breast and ovarian cancers and the cancer-prone disease Fanconi anemia. In this work, we show that the RAD51 paralogs assemble into two distinct heterotetrameric complexes, RAD51B-RAD51C-RAD51D-XRCC2 (RAD51B complex) and XRCC3-RAD51C-RAD51D-XRCC2 (XRCC3 complex). The RAD51B complex promotes dynamic adenosine triphosphate hydrolysis–dependent assembly of RAD51 filaments, whereas the XRCC3 complex stably caps the 5′ termini of RAD51 filaments to promote homologous pairing, as visualized by cryo–electron microscopy. Highly conserved across evolution, the XRCC3 complex reveals insights into RAD51 filament formation and capping during DNA repair and replication fork stabilization.</w:t>
      </w:r>
    </w:p>
    <w:p>
      <w:pPr>
        <w:spacing w:before="120" w:after="120"/>
      </w:pPr>
      <w:r>
        <w:rPr>
          <w:sz w:val="18"/>
        </w:rPr>
        <w:t>——————————————————————————————————————————————————————————————————————</w:t>
      </w:r>
    </w:p>
    <w:p>
      <w:pPr>
        <w:spacing w:before="160" w:after="40" w:line="240" w:lineRule="auto"/>
      </w:pPr>
      <w:r>
        <w:rPr>
          <w:b/>
        </w:rPr>
        <w:t xml:space="preserve">[332] </w:t>
      </w:r>
      <w:hyperlink r:id="rId683">
        <w:r>
          <w:rPr>
            <w:color w:val="1155CC"/>
            <w:u w:val="single"/>
          </w:rPr>
          <w:t>关于“染色体分离错误作为DNA损伤和结构染色体畸变的原因”报告的勘误</w:t>
        </w:r>
      </w:hyperlink>
    </w:p>
    <w:p>
      <w:pPr>
        <w:spacing w:before="0" w:after="80"/>
      </w:pPr>
      <w:r>
        <w:rPr>
          <w:i/>
          <w:sz w:val="20"/>
        </w:rPr>
        <w:t>EN: Erratum for the Report “Chromosome segregation errors as a cause of DNA damage and structural chromosome aberrations”</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684">
        <w:r>
          <w:rPr>
            <w:color w:val="1155CC"/>
            <w:u w:val="single"/>
          </w:rPr>
          <w:t>10.1126/science.aeg5565</w:t>
        </w:r>
      </w:hyperlink>
    </w:p>
    <w:p>
      <w:pPr>
        <w:spacing w:before="0" w:after="120"/>
      </w:pPr>
      <w:r>
        <w:rPr>
          <w:b/>
        </w:rPr>
        <w:t xml:space="preserve">Notes: </w:t>
      </w:r>
      <w:r>
        <w:t>abstract_source=openalex</w:t>
      </w:r>
    </w:p>
    <w:p>
      <w:pPr>
        <w:spacing w:before="0" w:after="80" w:lineRule="auto" w:line="276"/>
      </w:pPr>
      <w:r>
        <w:rPr>
          <w:b/>
        </w:rPr>
        <w:t xml:space="preserve">摘要（ZH）: </w:t>
      </w:r>
      <w:r>
        <w:t>A. Janssen等人于2011年9月30日发表的报告“染色体分离错误作为DNA损伤和结构染色体畸变的原因”（10.1126/science.1210214）在图1中包含一个错误。面板C中显示的“异步”细胞图像属于图3A中显示的实验，并在手稿修订过程中被错误放置。更正后的图（与手稿首次提交时包含的图面板相同）现已在线发布。此错误不影响所描述工作的任何解释和结论。</w:t>
      </w:r>
    </w:p>
    <w:p>
      <w:pPr>
        <w:spacing w:before="0" w:after="200" w:lineRule="auto" w:line="276"/>
      </w:pPr>
      <w:r>
        <w:rPr>
          <w:b/>
        </w:rPr>
        <w:t xml:space="preserve">Abstract (EN): </w:t>
      </w:r>
      <w:r>
        <w:t>The Report “Chromosome segregation errors as a cause of DNA damage and structural chromosome aberrations” by A. Janssen et al. (30 September 2011, 10.1126/science.1210214) contained an error in Fig. 1. The images of “asynchronous” cells shown in panel C are the images that belong to the experiment shown in Fig. 3A and were somehow misplaced during the revision of the manuscript. The corrected figure (identical to the figure panel included in the first submission of the manuscript) is now published online. This error does not affect any of the interpretations and conclusions of the described work.</w:t>
      </w:r>
    </w:p>
    <w:p>
      <w:pPr>
        <w:spacing w:before="120" w:after="120"/>
      </w:pPr>
      <w:r>
        <w:rPr>
          <w:sz w:val="18"/>
        </w:rPr>
        <w:t>——————————————————————————————————————————————————————————————————————</w:t>
      </w:r>
    </w:p>
    <w:p>
      <w:pPr>
        <w:spacing w:before="160" w:after="40" w:line="240" w:lineRule="auto"/>
      </w:pPr>
      <w:r>
        <w:rPr>
          <w:b/>
        </w:rPr>
        <w:t xml:space="preserve">[333] </w:t>
      </w:r>
      <w:hyperlink r:id="rId685">
        <w:r>
          <w:rPr>
            <w:color w:val="1155CC"/>
            <w:u w:val="single"/>
          </w:rPr>
          <w:t>介相作为增强纳米粒子自组装中结晶动力学的垫脚石</w:t>
        </w:r>
      </w:hyperlink>
    </w:p>
    <w:p>
      <w:pPr>
        <w:spacing w:before="0" w:after="80"/>
      </w:pPr>
      <w:r>
        <w:rPr>
          <w:i/>
          <w:sz w:val="20"/>
        </w:rPr>
        <w:t>EN: Mesophases as stepping stones to enhance crystallization kinetics in nanoparticle self-assembly</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686">
        <w:r>
          <w:rPr>
            <w:color w:val="1155CC"/>
            <w:u w:val="single"/>
          </w:rPr>
          <w:t>10.1073/pnas.2519498123</w:t>
        </w:r>
      </w:hyperlink>
    </w:p>
    <w:p>
      <w:pPr>
        <w:spacing w:before="0" w:after="120"/>
      </w:pPr>
      <w:r>
        <w:rPr>
          <w:b/>
        </w:rPr>
        <w:t xml:space="preserve">Notes: </w:t>
      </w:r>
      <w:r>
        <w:t>abstract_source=crossref</w:t>
      </w:r>
    </w:p>
    <w:p>
      <w:pPr>
        <w:spacing w:before="0" w:after="80" w:lineRule="auto" w:line="276"/>
      </w:pPr>
      <w:r>
        <w:rPr>
          <w:b/>
        </w:rPr>
        <w:t xml:space="preserve">摘要（ZH）: </w:t>
      </w:r>
      <w:r>
        <w:t>操控动力学路径对于将纳米颗粒构建块自组装成复杂有序结构至关重要，因为中间亚稳态的出现可能会促进或阻碍目标晶格的结晶。分子模拟以及马尔可夫和过渡态理论被用来验证我们的推测，即具有部分但长程平移或取向结构有序的中间介相加速了无序结构的结晶动力学。使用四个代表性模型，两个溶致单组分和两个热致二元混合系统，我们证明了具有中间熵的介相，如向列液体、旋转固体和微分离介相，加速了整体结晶过程。</w:t>
      </w:r>
    </w:p>
    <w:p>
      <w:pPr>
        <w:spacing w:before="0" w:after="200" w:lineRule="auto" w:line="276"/>
      </w:pPr>
      <w:r>
        <w:rPr>
          <w:b/>
        </w:rPr>
        <w:t xml:space="preserve">Abstract (EN): </w:t>
      </w:r>
      <w:r>
        <w:t>Manipulation of kinetic pathways is essential to self-assemble nanoparticle building blocks into complex ordered structures, as the emergence of intermediate metastable states could either facilitate or hinder crystallization of the target lattice. Molecular simulations and Markovian and transition state theory are used to validate our conjecture that intermediary mesophases, with partial but long-range translational or orientational structural ordering, accelerate crystallization kinetics from the disordered structure. Using four representative models, two lyotropic single-component and two thermotropic binary mixture systems, we demonstrate that mesophases with intermediate entropies, such as nematic fluid, rotator solid, and microsegregated mesophases, speed up the overall crystallization rate. This enhancement occurs by effectively splitting a larger isotropic-to-crystal free energy barrier into two smaller barriers corresponding to isotropic-to-mesophase and mesophase-to-crystal transitions, with mesophase “bulk” macrostates being kinetically more favorable than microscopic fluctuations. The single-step isotropic-to-crystal transition occurs through a composite-cluster pathway that includes mesophase microdomains; an isotropic-crystal interfacial energy greater than or comparable to the sum of the isotropic-mesophase and mesophase-crystal interfacial energies is associated with enhanced two-step crystallization rate. Overall, our findings validate the conjecture, which offers additional guidance for selecting nanoparticle designs and conditions that promote efficient crystallization pathways.</w:t>
      </w:r>
    </w:p>
    <w:p>
      <w:pPr>
        <w:spacing w:before="120" w:after="120"/>
      </w:pPr>
      <w:r>
        <w:rPr>
          <w:sz w:val="18"/>
        </w:rPr>
        <w:t>——————————————————————————————————————————————————————————————————————</w:t>
      </w:r>
    </w:p>
    <w:p>
      <w:pPr>
        <w:spacing w:before="160" w:after="40" w:line="240" w:lineRule="auto"/>
      </w:pPr>
      <w:r>
        <w:rPr>
          <w:b/>
        </w:rPr>
        <w:t xml:space="preserve">[334] </w:t>
      </w:r>
      <w:hyperlink r:id="rId687">
        <w:r>
          <w:rPr>
            <w:color w:val="1155CC"/>
            <w:u w:val="single"/>
          </w:rPr>
          <w:t>趋同和谱系特异性基因组变化塑造了食糖鸟类的适应性</w:t>
        </w:r>
      </w:hyperlink>
    </w:p>
    <w:p>
      <w:pPr>
        <w:spacing w:before="0" w:after="80"/>
      </w:pPr>
      <w:r>
        <w:rPr>
          <w:i/>
          <w:sz w:val="20"/>
        </w:rPr>
        <w:t>EN: Convergent and lineage-specific genomic changes shape adaptations in sugar-consuming birds</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688">
        <w:r>
          <w:rPr>
            <w:color w:val="1155CC"/>
            <w:u w:val="single"/>
          </w:rPr>
          <w:t>10.1126/science.adt1522</w:t>
        </w:r>
      </w:hyperlink>
    </w:p>
    <w:p>
      <w:pPr>
        <w:spacing w:before="0" w:after="120"/>
      </w:pPr>
      <w:r>
        <w:rPr>
          <w:b/>
        </w:rPr>
        <w:t xml:space="preserve">Notes: </w:t>
      </w:r>
      <w:r>
        <w:t>abstract_source=crossref</w:t>
      </w:r>
    </w:p>
    <w:p>
      <w:pPr>
        <w:spacing w:before="0" w:after="80" w:lineRule="auto" w:line="276"/>
      </w:pPr>
      <w:r>
        <w:rPr>
          <w:b/>
        </w:rPr>
        <w:t xml:space="preserve">摘要（ZH）: </w:t>
      </w:r>
      <w:r>
        <w:t>高糖饮食导致人类代谢疾病，但几种鸟类谱系趋同适应于以富含糖的花蜜或水果为食。我们通过生成九个新基因组和90个组织特异性转录组，研究了蜂鸟、鹦鹉、吸蜜鸟和太阳鸟的潜在分子机制。比较筛选显示，食糖鸟类在蛋白质编码和调控序列中重复选择过多，表明基因元素的重复使用。食糖者的序列或表达变化影响了参与血压调节和脂质、氨基酸及碳水化合物代谢的基因，实验显示吸蜜鸟己糖激酶3的功能变化。MLXIPL是糖和脂质稳态的关键调节因子。</w:t>
      </w:r>
    </w:p>
    <w:p>
      <w:pPr>
        <w:spacing w:before="0" w:after="200" w:lineRule="auto" w:line="276"/>
      </w:pPr>
      <w:r>
        <w:rPr>
          <w:b/>
        </w:rPr>
        <w:t xml:space="preserve">Abstract (EN): </w:t>
      </w:r>
      <w:r>
        <w:t>High-sugar diets cause human metabolic diseases, yet several bird lineages convergently adapted to feeding on sugar-rich nectar or fruits. We investigated the underlying molecular mechanisms in hummingbirds, parrots, honeyeaters, and sunbirds by generating nine new genomes and 90 tissue-specific transcriptomes. Comparative screens revealed an excess of repeated selection in both protein-coding and regulatory sequences in sugar-feeding birds, suggesting reuse of genetic elements. Sequence or expression changes in sugar-feeders affect genes involved in blood pressure regulation and lipid, amino acid, and carbohydrate metabolism, with experiments showing functional changes in honeyeater hexokinase 3.</w:t>
      </w:r>
      <w:r>
        <w:t xml:space="preserve"> </w:t>
      </w:r>
      <w:r>
        <w:t>MLXIPL</w:t>
      </w:r>
      <w:r>
        <w:t xml:space="preserve"> </w:t>
      </w:r>
      <w:r>
        <w:t>, a key regulator of sugar and lipid homeostasis, showed convergent sequence and regulatory changes across all sugar-feeding clades; experiments revealed enhanced sugar-induced transcriptional activity of hummingbird</w:t>
      </w:r>
      <w:r>
        <w:t xml:space="preserve"> </w:t>
      </w:r>
      <w:r>
        <w:t>MLXIPL</w:t>
      </w:r>
      <w:r>
        <w:t xml:space="preserve"> </w:t>
      </w:r>
      <w:r>
        <w:t>, highlighting its adaptive role in high-sugar diets.</w:t>
      </w:r>
    </w:p>
    <w:p>
      <w:pPr>
        <w:spacing w:before="120" w:after="120"/>
      </w:pPr>
      <w:r>
        <w:rPr>
          <w:sz w:val="18"/>
        </w:rPr>
        <w:t>——————————————————————————————————————————————————————————————————————</w:t>
      </w:r>
    </w:p>
    <w:p>
      <w:pPr>
        <w:spacing w:before="160" w:after="40" w:line="240" w:lineRule="auto"/>
      </w:pPr>
      <w:r>
        <w:rPr>
          <w:b/>
        </w:rPr>
        <w:t xml:space="preserve">[335] </w:t>
      </w:r>
      <w:hyperlink r:id="rId689">
        <w:r>
          <w:rPr>
            <w:color w:val="1155CC"/>
            <w:u w:val="single"/>
          </w:rPr>
          <w:t>不同的DNA修复途径支持R2逆转录转座子蛋白的完整或截断插入</w:t>
        </w:r>
      </w:hyperlink>
    </w:p>
    <w:p>
      <w:pPr>
        <w:spacing w:before="0" w:after="80"/>
      </w:pPr>
      <w:r>
        <w:rPr>
          <w:i/>
          <w:sz w:val="20"/>
        </w:rPr>
        <w:t>EN: Different DNA repair pathways support intact or truncated insertions by R2 retrotransposon protein</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690">
        <w:r>
          <w:rPr>
            <w:color w:val="1155CC"/>
            <w:u w:val="single"/>
          </w:rPr>
          <w:t>10.1126/science.adz3121</w:t>
        </w:r>
      </w:hyperlink>
    </w:p>
    <w:p>
      <w:pPr>
        <w:spacing w:before="0" w:after="120"/>
      </w:pPr>
      <w:r>
        <w:rPr>
          <w:b/>
        </w:rPr>
        <w:t xml:space="preserve">Notes: </w:t>
      </w:r>
      <w:r>
        <w:t>abstract_source=crossref</w:t>
      </w:r>
    </w:p>
    <w:p>
      <w:pPr>
        <w:spacing w:before="0" w:after="80" w:lineRule="auto" w:line="276"/>
      </w:pPr>
      <w:r>
        <w:rPr>
          <w:b/>
        </w:rPr>
        <w:t xml:space="preserve">摘要（ZH）: </w:t>
      </w:r>
      <w:r>
        <w:t>非长末端重复（non-LTR）逆转录转座子蛋白通过靶向引发的逆转录的协调切割和逆转录酶活性将其RNA模板复制到基因组中。第一链互补DNA（cDNA）如何成为稳定插入的双链，包括cDNA 3′末端的连接形成和第二链合成的要求，尚不清楚。我们筛选了影响R2逆转录转座子蛋白在人体基因组中特定位点转基因合成的细胞因子。我们发现插入长度和连接特征因不同的修复过程而异，这些过程涉及ATR依赖的聚合酶θ末端连接、53BP1指导的shieldin和CST-聚合酶α-引物填充合成，或有限的链退火。</w:t>
      </w:r>
    </w:p>
    <w:p>
      <w:pPr>
        <w:spacing w:before="0" w:after="200" w:lineRule="auto" w:line="276"/>
      </w:pPr>
      <w:r>
        <w:rPr>
          <w:b/>
        </w:rPr>
        <w:t xml:space="preserve">Abstract (EN): </w:t>
      </w:r>
      <w:r>
        <w:t>Non–long terminal repeat (non-LTR) retrotransposon proteins copy their RNA template into a genome through coordinated nicking and reverse transcriptase activities of target-primed reverse transcription. Mechanisms by which the first-strand complementary DNA (cDNA) becomes a stably inserted duplex, including requirements for junction formation at the cDNA 3′ end and second-strand synthesis, are unknown. We screened for cellular factors that influence site-specific transgene synthesis into the human genome by an R2 retrotransposon protein. We discovered that insertion lengths and junction signatures differ based on alternative repair processes involving ATR-dependent polymerase θ end joining, 53BP1-directed shieldin and CST–polymerase α–primase fill-in synthesis, or limited strand annealing dependent on CtIP-MRN. These insights shed light on how genome-primed cDNA synthesis by a non-LTR retrotransposon protein can support stable new gene insertion, with major implications for native retrotransposon mobility and genome engineering.</w:t>
      </w:r>
    </w:p>
    <w:p>
      <w:pPr>
        <w:spacing w:before="120" w:after="120"/>
      </w:pPr>
      <w:r>
        <w:rPr>
          <w:sz w:val="18"/>
        </w:rPr>
        <w:t>——————————————————————————————————————————————————————————————————————</w:t>
      </w:r>
    </w:p>
    <w:p>
      <w:pPr>
        <w:spacing w:before="160" w:after="40" w:line="240" w:lineRule="auto"/>
      </w:pPr>
      <w:r>
        <w:rPr>
          <w:b/>
        </w:rPr>
        <w:t xml:space="preserve">[336] </w:t>
      </w:r>
      <w:hyperlink r:id="rId691">
        <w:r>
          <w:rPr>
            <w:color w:val="1155CC"/>
            <w:u w:val="single"/>
          </w:rPr>
          <w:t>私人资金不能替代科学的公共资助</w:t>
        </w:r>
      </w:hyperlink>
    </w:p>
    <w:p>
      <w:pPr>
        <w:spacing w:before="0" w:after="80"/>
      </w:pPr>
      <w:r>
        <w:rPr>
          <w:i/>
          <w:sz w:val="20"/>
        </w:rPr>
        <w:t>EN: Private money cannot replace public funding of science</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692">
        <w:r>
          <w:rPr>
            <w:color w:val="1155CC"/>
            <w:u w:val="single"/>
          </w:rPr>
          <w:t>10.1126/science.aef2849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[337] </w:t>
      </w:r>
      <w:hyperlink r:id="rId693">
        <w:r>
          <w:rPr>
            <w:color w:val="1155CC"/>
            <w:u w:val="single"/>
          </w:rPr>
          <w:t>哺乳动物昼夜节律转换的细胞基础</w:t>
        </w:r>
      </w:hyperlink>
    </w:p>
    <w:p>
      <w:pPr>
        <w:spacing w:before="0" w:after="80"/>
      </w:pPr>
      <w:r>
        <w:rPr>
          <w:i/>
          <w:sz w:val="20"/>
        </w:rPr>
        <w:t>EN: A cellular basis for the mammalian nocturnal-diurnal switch</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694">
        <w:r>
          <w:rPr>
            <w:color w:val="1155CC"/>
            <w:u w:val="single"/>
          </w:rPr>
          <w:t>10.1126/science.ady2822</w:t>
        </w:r>
      </w:hyperlink>
    </w:p>
    <w:p>
      <w:pPr>
        <w:spacing w:before="0" w:after="120"/>
      </w:pPr>
      <w:r>
        <w:rPr>
          <w:b/>
        </w:rPr>
        <w:t xml:space="preserve">Notes: </w:t>
      </w:r>
      <w:r>
        <w:t>abstract_source=crossref</w:t>
      </w:r>
    </w:p>
    <w:p>
      <w:pPr>
        <w:spacing w:before="0" w:after="80" w:lineRule="auto" w:line="276"/>
      </w:pPr>
      <w:r>
        <w:rPr>
          <w:b/>
        </w:rPr>
        <w:t xml:space="preserve">摘要（ZH）: </w:t>
      </w:r>
      <w:r>
        <w:t>早期哺乳动物是夜行性的，而恐龙则主导了白天的活动。哺乳动物向白天活动的过渡在白垩纪-古近纪灭绝事件后加速，但其潜在机制仍不清楚。我们识别出一种保守的细胞内在热力学机制，可能促进了这一转变。在昼行性哺乳动物的细胞中，蛋白质合成、磷酸化和昼夜节律时间对温度变化的敏感性低于夜行性哺乳动物的细胞。比较基因组学揭示了包括雷帕霉素靶点（mTOR）在内的关键信号通路的加速进化，这增加了昼行性细胞时钟对热和渗透扰动的稳健性。在夜行性小鼠中，mTOR抑制将细胞、组织和行为转向昼行性。</w:t>
      </w:r>
    </w:p>
    <w:p>
      <w:pPr>
        <w:spacing w:before="0" w:after="200" w:lineRule="auto" w:line="276"/>
      </w:pPr>
      <w:r>
        <w:rPr>
          <w:b/>
        </w:rPr>
        <w:t xml:space="preserve">Abstract (EN): </w:t>
      </w:r>
      <w:r>
        <w:t>Early mammals were nocturnal while dinosaurs dominated the daytime. Mammalian transition to daytime activity accelerated after the Cretaceous-Paleogene extinction, but the underlying mechanisms remain unclear. We identified a conserved cell-intrinsic, thermodynamic mechanism that likely facilitated this shift. In cells from diurnal mammals, protein synthesis, phosphorylation, and circadian timing were less sensitive to temperature changes than were cells from nocturnal mammals. Comparative genomics revealed accelerated evolution within essential signaling pathways, including mechanistic target of rapamycin (mTOR), that increase the robustness of diurnal cellular clocks to thermal and osmotic perturbation. In nocturnal mice, mTOR inhibition shifted cells, tissues, and behavior toward diurnal activity. These findings uncover a genetic and biochemical basis for nocturnal-diurnal switching, emphasizing how cellular signaling networks can encode complex phenotypes such as temporal niche selection.</w:t>
      </w:r>
    </w:p>
    <w:p>
      <w:pPr>
        <w:spacing w:before="120" w:after="120"/>
      </w:pPr>
      <w:r>
        <w:rPr>
          <w:sz w:val="18"/>
        </w:rPr>
        <w:t>——————————————————————————————————————————————————————————————————————</w:t>
      </w:r>
    </w:p>
    <w:p>
      <w:pPr>
        <w:spacing w:before="160" w:after="40" w:line="240" w:lineRule="auto"/>
      </w:pPr>
      <w:r>
        <w:rPr>
          <w:b/>
        </w:rPr>
        <w:t xml:space="preserve">[338] </w:t>
      </w:r>
      <w:hyperlink r:id="rId695">
        <w:r>
          <w:rPr>
            <w:color w:val="1155CC"/>
            <w:u w:val="single"/>
          </w:rPr>
          <w:t>Rab5效应蛋白Rabankyrin-5介导人乳头瘤病毒在早期进入过程中的内体融合和运输</w:t>
        </w:r>
      </w:hyperlink>
    </w:p>
    <w:p>
      <w:pPr>
        <w:spacing w:before="0" w:after="80"/>
      </w:pPr>
      <w:r>
        <w:rPr>
          <w:i/>
          <w:sz w:val="20"/>
        </w:rPr>
        <w:t>EN: The Rab5 effector Rabankyrin-5 mediates endosomal fusion and trafficking of human papillomavirus during early entry</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696">
        <w:r>
          <w:rPr>
            <w:color w:val="1155CC"/>
            <w:u w:val="single"/>
          </w:rPr>
          <w:t>10.1073/pnas.2524765123</w:t>
        </w:r>
      </w:hyperlink>
    </w:p>
    <w:p>
      <w:pPr>
        <w:spacing w:before="0" w:after="120"/>
      </w:pPr>
      <w:r>
        <w:rPr>
          <w:b/>
        </w:rPr>
        <w:t xml:space="preserve">Notes: </w:t>
      </w:r>
      <w:r>
        <w:t>abstract_source=crossref</w:t>
      </w:r>
    </w:p>
    <w:p>
      <w:pPr>
        <w:spacing w:before="0" w:after="80" w:lineRule="auto" w:line="276"/>
      </w:pPr>
      <w:r>
        <w:rPr>
          <w:b/>
        </w:rPr>
        <w:t xml:space="preserve">摘要（ZH）: </w:t>
      </w:r>
      <w:r>
        <w:t>内吞作用后新形成的早期内体囊泡的融合是病毒感染中的关键步骤。它促进了许多病毒从病毒内化到内体网络内的下游细胞内运输的过渡，最终使其能够传递到细胞内复制位点。尽管其重要性，调节这些囊泡融合的分子机制仍然知之甚少。在这项研究中，我们表明Rabankyrin-5，一个Rab5效应器，对于人乳头瘤病毒（HPV）携带的早期内体在病毒进入期间的融合是必不可少的。此外，Rabankyrin-5作为一种动力蛋白适配器，直接结合HPV次要衣壳蛋白L2和动力蛋白马达复合物，将携带病毒的早期内体连接到动力蛋白运输。</w:t>
      </w:r>
    </w:p>
    <w:p>
      <w:pPr>
        <w:spacing w:before="0" w:after="200" w:lineRule="auto" w:line="276"/>
      </w:pPr>
      <w:r>
        <w:rPr>
          <w:b/>
        </w:rPr>
        <w:t xml:space="preserve">Abstract (EN): </w:t>
      </w:r>
      <w:r>
        <w:t>The fusion of newly formed early endosomal vesicles after endocytosis is a crucial step in viral infection. It facilitates the transition of many viruses from viral internalization to downstream intracellular trafficking within the endosomal network, ultimately enabling their delivery to intracellular replication sites. Despite its significance, the molecular mechanisms regulating the fusion of these vesicles remain poorly understood. In this study, we show that Rabankyrin-5, a Rab5 effector, is essential for the fusion of human papillomavirus (HPV)-carrying early endosomes during viral entry. Additionally, Rabankyrin-5 acts as a dynein adaptor, directly binding both the HPV minor capsid protein L2 and the dynein motor complex to link virus-carrying early endosomes to the dynein transport machinery, thereby promoting virus movement along microtubules. These dual functions enable the coordinated integration of endosomal fusion with microtubule-based transport during the early stages of viral entry.</w:t>
      </w:r>
    </w:p>
    <w:p>
      <w:pPr>
        <w:spacing w:before="120" w:after="120"/>
      </w:pPr>
      <w:r>
        <w:rPr>
          <w:sz w:val="18"/>
        </w:rPr>
        <w:t>——————————————————————————————————————————————————————————————————————</w:t>
      </w:r>
    </w:p>
    <w:p>
      <w:pPr>
        <w:spacing w:before="160" w:after="40" w:line="240" w:lineRule="auto"/>
      </w:pPr>
      <w:r>
        <w:rPr>
          <w:b/>
        </w:rPr>
        <w:t xml:space="preserve">[339] </w:t>
      </w:r>
      <w:hyperlink r:id="rId697">
        <w:r>
          <w:rPr>
            <w:color w:val="1155CC"/>
            <w:u w:val="single"/>
          </w:rPr>
          <w:t>HOP2–MND1伴侣蛋白引导扩散的DMC1–ssDNA复合物以识别减数分裂重组期间的同源双链DNA</w:t>
        </w:r>
      </w:hyperlink>
    </w:p>
    <w:p>
      <w:pPr>
        <w:spacing w:before="0" w:after="80"/>
      </w:pPr>
      <w:r>
        <w:rPr>
          <w:i/>
          <w:sz w:val="20"/>
        </w:rPr>
        <w:t>EN: HOP2–MND1 chaperones a diffusing DMC1–ssDNA complex to survey dsDNA for homology recognition during meiotic recombination</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698">
        <w:r>
          <w:rPr>
            <w:color w:val="1155CC"/>
            <w:u w:val="single"/>
          </w:rPr>
          <w:t>10.1073/pnas.2529249123</w:t>
        </w:r>
      </w:hyperlink>
    </w:p>
    <w:p>
      <w:pPr>
        <w:spacing w:before="0" w:after="120"/>
      </w:pPr>
      <w:r>
        <w:rPr>
          <w:b/>
        </w:rPr>
        <w:t xml:space="preserve">Notes: </w:t>
      </w:r>
      <w:r>
        <w:t>abstract_source=crossref</w:t>
      </w:r>
    </w:p>
    <w:p>
      <w:pPr>
        <w:spacing w:before="0" w:after="80" w:lineRule="auto" w:line="276"/>
      </w:pPr>
      <w:r>
        <w:rPr>
          <w:b/>
        </w:rPr>
        <w:t xml:space="preserve">摘要（ZH）: </w:t>
      </w:r>
      <w:r>
        <w:t>减数分裂重组通过介导同源染色体之间的互惠DNA交换，确保了遗传多样性和准确的染色体分离。在这个过程中，减数分裂特异性重组酶DMC1在同源性搜索和配对中起着关键作用，但其功能的分子机制仍不清楚。通过单分子成像，我们证明了人类DMC1-ssDNA预突触复合物采用基于扩散的机制来搜索同源DNA。尽管这种扩散复合物产生了一个迁移的DNA“气泡”，但在没有游离DMC1蛋白的情况下，它无法与同源序列对齐。令人惊讶的是，减数分裂特异性辅因子复合物HOP2-MND1弥补了游离DMC1的缺乏，并实现了同源性识别。值得注意的是，HOP2-MND1实现了</w:t>
      </w:r>
    </w:p>
    <w:p>
      <w:pPr>
        <w:spacing w:before="0" w:after="200" w:lineRule="auto" w:line="276"/>
      </w:pPr>
      <w:r>
        <w:rPr>
          <w:b/>
        </w:rPr>
        <w:t xml:space="preserve">Abstract (EN): </w:t>
      </w:r>
      <w:r>
        <w:t>Meiotic recombination ensures genetic diversity and accurate chromosome segregation by mediating reciprocal DNA exchange between homologous chromosomes. In this process, the meiosis-specific recombinase DMC1 plays a pivotal role in homology search and pairing, but the molecular mechanisms underlying its function remain unclear. Using single-molecule imaging, we demonstrate that the human DMC1–ssDNA presynaptic complex employs a diffusion-based mechanism to search for homologous DNA. Although this diffusing complex generates a migrating DNA “bubble,” it cannot align with the homologous sequence in the absence of free DMC1 protein. Strikingly, the meiosis-specific cofactor complex HOP2–MND1 compensates for the lack of free DMC1 and enables homology recognition. Notably, HOP2–MND1 achieves this by codiffusing with the presynaptic complex, acting to clamp the ssDNA–dsDNA junctions and maintain an expanded DNA bubble conducive to sequence alignment. Our findings identify DMC1 together with HOP2–MND1 as a functional homology search unit and provide mechanistic insights into how auxiliary factors regulate DMC1-driven strand exchange during meiotic recombination.</w:t>
      </w:r>
    </w:p>
    <w:p>
      <w:pPr>
        <w:spacing w:before="120" w:after="120"/>
      </w:pPr>
      <w:r>
        <w:rPr>
          <w:sz w:val="18"/>
        </w:rPr>
        <w:t>——————————————————————————————————————————————————————————————————————</w:t>
      </w:r>
    </w:p>
    <w:p>
      <w:pPr>
        <w:spacing w:before="160" w:after="40" w:line="240" w:lineRule="auto"/>
      </w:pPr>
      <w:r>
        <w:rPr>
          <w:b/>
        </w:rPr>
        <w:t xml:space="preserve">[340] </w:t>
      </w:r>
      <w:hyperlink r:id="rId699">
        <w:r>
          <w:rPr>
            <w:color w:val="1155CC"/>
            <w:u w:val="single"/>
          </w:rPr>
          <w:t>从多能干细胞生成功能上有能力的睾丸体细胞</w:t>
        </w:r>
      </w:hyperlink>
    </w:p>
    <w:p>
      <w:pPr>
        <w:spacing w:before="0" w:after="80"/>
      </w:pPr>
      <w:r>
        <w:rPr>
          <w:i/>
          <w:sz w:val="20"/>
        </w:rPr>
        <w:t>EN: Generation of functionally competent testicular somatic cells from pluripotent stem cells</w:t>
      </w:r>
    </w:p>
    <w:p>
      <w:pPr>
        <w:spacing w:before="0" w:after="120"/>
      </w:pPr>
      <w:r>
        <w:rPr>
          <w:b/>
        </w:rPr>
        <w:t xml:space="preserve">Source: </w:t>
      </w:r>
      <w:r>
        <w:t>AAAS: Science Advances: Table of Contents</w:t>
      </w:r>
      <w:r>
        <w:t xml:space="preserve">    </w:t>
      </w:r>
      <w:r>
        <w:rPr>
          <w:b/>
        </w:rPr>
        <w:t xml:space="preserve">Pub date: </w:t>
      </w:r>
      <w:r>
        <w:t>2026-02-26 08:00:00+00:00</w:t>
      </w:r>
      <w:r>
        <w:t xml:space="preserve">    </w:t>
      </w:r>
      <w:r>
        <w:rPr>
          <w:b/>
        </w:rPr>
        <w:t xml:space="preserve">DOI: </w:t>
      </w:r>
      <w:hyperlink r:id="rId700">
        <w:r>
          <w:rPr>
            <w:color w:val="1155CC"/>
            <w:u w:val="single"/>
          </w:rPr>
          <w:t>10.1126/sciadv.adz0269</w:t>
        </w:r>
      </w:hyperlink>
    </w:p>
    <w:p>
      <w:pPr>
        <w:spacing w:before="0" w:after="120"/>
      </w:pPr>
      <w:r>
        <w:rPr>
          <w:b/>
        </w:rPr>
        <w:t xml:space="preserve">Notes: </w:t>
      </w:r>
      <w:r>
        <w:t>abstract_source=crossref</w:t>
      </w:r>
    </w:p>
    <w:p>
      <w:pPr>
        <w:spacing w:before="0" w:after="80" w:lineRule="auto" w:line="276"/>
      </w:pPr>
      <w:r>
        <w:rPr>
          <w:b/>
        </w:rPr>
        <w:t xml:space="preserve">摘要（ZH）: </w:t>
      </w:r>
      <w:r>
        <w:t>生殖细胞与性腺体细胞之间的细胞相互作用对于配子发生的进程至关重要。在此，我们报告了一种培养方法，可以从胚胎干细胞生成胎儿睾丸体细胞样细胞（fTeSLCs）。这些fTeSLCs表现出与其体内对应物非常相似的转录组特征，包括对应于支持细胞和间质细胞的不同细胞群体。为了进行功能评估，从fTeSLCs中分离出间质细胞样细胞（ICLCs）和支持细胞样细胞（SerLCs）。当ICLCs与缺乏内源性Leydig细胞的睾丸共培养时，它们分化为Leydig细胞，从而恢复了雄激素支持。SerLCs在选择性消融内源性支持细胞后重建了曲细精管上皮</w:t>
      </w:r>
    </w:p>
    <w:p>
      <w:pPr>
        <w:spacing w:before="0" w:after="200" w:lineRule="auto" w:line="276"/>
      </w:pPr>
      <w:r>
        <w:rPr>
          <w:b/>
        </w:rPr>
        <w:t xml:space="preserve">Abstract (EN): </w:t>
      </w:r>
      <w:r>
        <w:t>Cellular interactions between germ cells and gonadal somatic cells are essential for the progression of gametogenesis. Here, we report a culture method for generating fetal testicular somatic cell–like cells (fTeSLCs) from embryonic stem cells. These fTeSLCs exhibit a transcriptomic profile closely resembling that of their in vivo counterparts, including distinct cell populations corresponding to Sertoli cells and interstitial cells. For functional assessment, interstitial cell–like cells (ICLCs) and Sertoli-like cells (SerLCs) were isolated from fTeSLCs. ICLCs differentiated into Leydig cells when cocultured with testes lacking endogenous Leydig cells, thereby restoring androgenic support. SerLCs reconstituted the seminiferous epithelium following selective ablation of endogenous Sertoli cells. Both cell types supported spermatogenesis and generated spermatids reaching the elongating stage. Notably, round spermatids derived from these reconstructed systems produced viable offspring by round spermatid injection. These findings demonstrate that fTeSLCs can generate functional testicular somatic cells, providing a valuable platform for studying testis development and spermatogenesis.</w:t>
      </w:r>
    </w:p>
    <w:p>
      <w:pPr>
        <w:spacing w:before="120" w:after="120"/>
      </w:pPr>
      <w:r>
        <w:rPr>
          <w:sz w:val="18"/>
        </w:rPr>
        <w:t>——————————————————————————————————————————————————————————————————————</w:t>
      </w:r>
    </w:p>
    <w:p>
      <w:pPr>
        <w:spacing w:before="160" w:after="40" w:line="240" w:lineRule="auto"/>
      </w:pPr>
      <w:r>
        <w:rPr>
          <w:b/>
        </w:rPr>
        <w:t xml:space="preserve">[341] </w:t>
      </w:r>
      <w:hyperlink r:id="rId701">
        <w:r>
          <w:rPr>
            <w:color w:val="1155CC"/>
            <w:u w:val="single"/>
          </w:rPr>
          <w:t>从肽到DNA：所有必要步骤都可以被催化</w:t>
        </w:r>
      </w:hyperlink>
    </w:p>
    <w:p>
      <w:pPr>
        <w:spacing w:before="0" w:after="80"/>
      </w:pPr>
      <w:r>
        <w:rPr>
          <w:i/>
          <w:sz w:val="20"/>
        </w:rPr>
        <w:t>EN: From peptides to DNA: All required steps can be catalyzed</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702">
        <w:r>
          <w:rPr>
            <w:color w:val="1155CC"/>
            <w:u w:val="single"/>
          </w:rPr>
          <w:t>10.1073/pnas.2534387123</w:t>
        </w:r>
      </w:hyperlink>
    </w:p>
    <w:p>
      <w:pPr>
        <w:spacing w:before="0" w:after="120"/>
      </w:pPr>
      <w:r>
        <w:rPr>
          <w:b/>
        </w:rPr>
        <w:t xml:space="preserve">Notes: </w:t>
      </w:r>
      <w:r>
        <w:t>abstract_source=crossref</w:t>
      </w:r>
    </w:p>
    <w:p>
      <w:pPr>
        <w:spacing w:before="0" w:after="80" w:lineRule="auto" w:line="276"/>
      </w:pPr>
      <w:r>
        <w:rPr>
          <w:b/>
        </w:rPr>
        <w:t xml:space="preserve">摘要（ZH）: </w:t>
      </w:r>
      <w:r>
        <w:t>确保信息流（遗传）和代谢过程（催化）是早期进化的两个重要前提。广泛接受的“RNA世界”理论提出，古代RNA在从前生物到生物进化的过渡期间确保了遗传和催化。然而，也提出了其他假设分子和过程，表明催化肽可能在多核苷酸之前存在，并且它们的序列后来被反向翻译成基因。我们的目标是通过实验解决这些替代理论，询问将肽序列假设转化为DNA所需的步骤是否可以由现有的分子工具包催化。我们测试的反应包括i）肽的逐步降解</w:t>
      </w:r>
    </w:p>
    <w:p>
      <w:pPr>
        <w:spacing w:before="0" w:after="200" w:lineRule="auto" w:line="276"/>
      </w:pPr>
      <w:r>
        <w:rPr>
          <w:b/>
        </w:rPr>
        <w:t xml:space="preserve">Abstract (EN): </w:t>
      </w:r>
      <w:r>
        <w:t>Ensuring information flow (heredity) and metabolic processes (catalysis) are two important prerequisites for early evolution. The widely accepted “RNA world” theory proposes that ancient RNAs ensured both heredity and catalysis during the transition from prebiotic to biotic evolution. However, alternative hypothetical molecules and processes have also been proposed, suggesting that catalytic peptides may have existed before polynucleotides, and that their sequences were later reverse translated into genes. Our objective was to experimentally address these alternative theories by asking whether the steps required for the hypothetical conversion of peptide sequences into DNA could be catalyzed by the existing molecular kit. The reactions we tested comprise i) step-wise degradation of peptides by a processive amino peptidase, sequentially releasing amino acids, ii) matching the identity of released amino acids to codons by aptazymes (RNA adapters that recognize amino acids and self-cleave and release specific codon triplets in response), and iii) ligating codon triplets into longer RNAs that can be reverse-transcribed into DNA. In a hypothetical processive system based on these reactions, the resulting DNA sequence would match the sequence of amino acids in the starting peptide. Our results suggest that all these steps can be catalyzed, and therefore the possibility of reverse translation occurring at some point in early evolution should not be disregarded.</w:t>
      </w:r>
    </w:p>
    <w:p>
      <w:pPr>
        <w:spacing w:before="120" w:after="120"/>
      </w:pPr>
      <w:r>
        <w:rPr>
          <w:sz w:val="18"/>
        </w:rPr>
        <w:t>——————————————————————————————————————————————————————————————————————</w:t>
      </w:r>
    </w:p>
    <w:p>
      <w:pPr>
        <w:spacing w:before="160" w:after="40" w:line="240" w:lineRule="auto"/>
      </w:pPr>
      <w:r>
        <w:rPr>
          <w:b/>
        </w:rPr>
        <w:t xml:space="preserve">[342] </w:t>
      </w:r>
      <w:hyperlink r:id="rId703">
        <w:r>
          <w:rPr>
            <w:color w:val="1155CC"/>
            <w:u w:val="single"/>
          </w:rPr>
          <w:t>通过紧凑的氢键结构利用动力学同位素效应进行电化学氢同位素分离</w:t>
        </w:r>
      </w:hyperlink>
    </w:p>
    <w:p>
      <w:pPr>
        <w:spacing w:before="0" w:after="80"/>
      </w:pPr>
      <w:r>
        <w:rPr>
          <w:i/>
          <w:sz w:val="20"/>
        </w:rPr>
        <w:t>EN: Leveraging the kinetic isotope effect by compact H-bond motifs for electrochemical hydrogen isotope separation</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704">
        <w:r>
          <w:rPr>
            <w:color w:val="1155CC"/>
            <w:u w:val="single"/>
          </w:rPr>
          <w:t>10.1073/pnas.2533803123</w:t>
        </w:r>
      </w:hyperlink>
    </w:p>
    <w:p>
      <w:pPr>
        <w:spacing w:before="0" w:after="120"/>
      </w:pPr>
      <w:r>
        <w:rPr>
          <w:b/>
        </w:rPr>
        <w:t xml:space="preserve">Notes: </w:t>
      </w:r>
      <w:r>
        <w:t>abstract_source=crossref</w:t>
      </w:r>
    </w:p>
    <w:p>
      <w:pPr>
        <w:spacing w:before="0" w:after="80" w:lineRule="auto" w:line="276"/>
      </w:pPr>
      <w:r>
        <w:rPr>
          <w:b/>
        </w:rPr>
        <w:t xml:space="preserve">摘要（ZH）: </w:t>
      </w:r>
      <w:r>
        <w:t>电化学氢同位素分离几十年来一直受到水同位素中速率决定性O–H和O–D键断裂步骤相似能量障碍的限制。在此，我们通过筛选一系列添加剂来紧凑H键连接性，以刺激“穿透障碍”的电化学质子量子隧穿（QT）行为，这对于较重的D相关运动几乎是不可能的。通过在工程化界面上添加异丙醇，H</w:t>
      </w:r>
      <w:r>
        <w:rPr>
          <w:vertAlign w:val="subscript"/>
        </w:rPr>
        <w:t>2</w:t>
      </w:r>
      <w:r>
        <w:t>O⋯OH</w:t>
      </w:r>
      <w:r>
        <w:t xml:space="preserve"> </w:t>
      </w:r>
      <w:r>
        <w:t>−</w:t>
      </w:r>
      <w:r>
        <w:t>的平均H键长度缩短了3.4%（2.78 Å）。从根本上说，通过选择性地促进涉及质子转移的反应，通过加强H键和填充H键间隙，QT效应被放大，这进一步p</w:t>
      </w:r>
    </w:p>
    <w:p>
      <w:pPr>
        <w:spacing w:before="0" w:after="200" w:lineRule="auto" w:line="276"/>
      </w:pPr>
      <w:r>
        <w:rPr>
          <w:b/>
        </w:rPr>
        <w:t xml:space="preserve">Abstract (EN): </w:t>
      </w:r>
      <w:r>
        <w:t>Electrochemical hydrogen isotope separation has been constrained for decades by the similar energy barriers of the rate-determining O–H and O–D bond cleavage step in water isotopologues. Herein, we compact H-bond connectivity through screening a series of additives to stimulate electrochemical proton quantum tunneling (QT) behaviors of “through-barrier”, which are virtually impossible for heavier D-relevant motions. The average H-bond length of H</w:t>
      </w:r>
      <w:r>
        <w:rPr>
          <w:vertAlign w:val="subscript"/>
        </w:rPr>
        <w:t>2</w:t>
      </w:r>
      <w:r>
        <w:t>O⋯OH</w:t>
      </w:r>
      <w:r>
        <w:t xml:space="preserve"> </w:t>
      </w:r>
      <w:r>
        <w:t>−</w:t>
      </w:r>
      <w:r>
        <w:t>is 3.4% shorter (2.78 Å) with isopropanol additive at the engineered interface. Fundamentally, QT effects are magnified by selectively promoting proton transfer-involved reactions through strengthening the H-bond and filling the H-bond gap, which are further proved by both experimental Arrhenius plots with near small-curvature tunneling approximation and a stronger proton excursion in path integral molecular dynamics simulations. Hence, a record-high H</w:t>
      </w:r>
      <w:r>
        <w:rPr>
          <w:vertAlign w:val="subscript"/>
        </w:rPr>
        <w:t>2</w:t>
      </w:r>
      <w:r>
        <w:t>O separation factor of 276 is realized at room temperature with a three-order-of-magnitude growth of H/D kinetic isotope effect constant up to 10,165. Significantly, a large-scale multistage reactor is engineered to obtain continuous enrichment of heavy water with a deuterium atomic fraction over 80%.</w:t>
      </w:r>
    </w:p>
    <w:p>
      <w:pPr>
        <w:spacing w:before="120" w:after="120"/>
      </w:pPr>
      <w:r>
        <w:rPr>
          <w:sz w:val="18"/>
        </w:rPr>
        <w:t>——————————————————————————————————————————————————————————————————————</w:t>
      </w:r>
    </w:p>
    <w:p>
      <w:pPr>
        <w:spacing w:before="160" w:after="40" w:line="240" w:lineRule="auto"/>
      </w:pPr>
      <w:r>
        <w:rPr>
          <w:b/>
        </w:rPr>
        <w:t xml:space="preserve">[343] </w:t>
      </w:r>
      <w:hyperlink r:id="rId705">
        <w:r>
          <w:rPr>
            <w:color w:val="1155CC"/>
            <w:u w:val="single"/>
          </w:rPr>
          <w:t>将残余GET途径因子进化重塑为PEX38，一种必需的过氧化物酶</w:t>
        </w:r>
      </w:hyperlink>
    </w:p>
    <w:p>
      <w:pPr>
        <w:spacing w:before="0" w:after="80"/>
      </w:pPr>
      <w:r>
        <w:rPr>
          <w:i/>
          <w:sz w:val="20"/>
        </w:rPr>
        <w:t>EN: Evolutionary remodeling of a remnant GET pathway factor into PEX38, an essential peroxin</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706">
        <w:r>
          <w:rPr>
            <w:color w:val="1155CC"/>
            <w:u w:val="single"/>
          </w:rPr>
          <w:t>10.1073/pnas.2533726123</w:t>
        </w:r>
      </w:hyperlink>
    </w:p>
    <w:p>
      <w:pPr>
        <w:spacing w:before="0" w:after="120"/>
      </w:pPr>
      <w:r>
        <w:rPr>
          <w:b/>
        </w:rPr>
        <w:t xml:space="preserve">Notes: </w:t>
      </w:r>
      <w:r>
        <w:t>abstract_source=crossref</w:t>
      </w:r>
    </w:p>
    <w:p>
      <w:pPr>
        <w:spacing w:before="0" w:after="80" w:lineRule="auto" w:line="276"/>
      </w:pPr>
      <w:r>
        <w:rPr>
          <w:b/>
        </w:rPr>
        <w:t xml:space="preserve">摘要（ZH）: </w:t>
      </w:r>
      <w:r>
        <w:t>PEX19 是一种胞质受体，能够将膜蛋白翻译后导向过氧化物酶体，以及线粒体、脂滴和内质网。全面的锥虫 PEX19 互作组分析发现 PEX38 是一种必需的真鞭毛虫特异性过氧化物酶。PEX38 含有不同的结构域，这些结构域结合辅伴蛋白 Hip 和 PEX19 的 PEX3 结合基序，表明其在稳定膜蛋白和防止过早膜对接中起作用。PEX38 展示了细胞器生物发生中的功能再利用。它起源于 GET/TRC 通路的残余部分，该通路通常负责将尾锚定 (TA) 蛋白靶向到内质网。虽然这种机制的大多数成分在真鞭毛虫中缺失</w:t>
      </w:r>
    </w:p>
    <w:p>
      <w:pPr>
        <w:spacing w:before="0" w:after="200" w:lineRule="auto" w:line="276"/>
      </w:pPr>
      <w:r>
        <w:rPr>
          <w:b/>
        </w:rPr>
        <w:t xml:space="preserve">Abstract (EN): </w:t>
      </w:r>
      <w:r>
        <w:t>PEX19 is a cytosolic receptor that directs membrane proteins posttranslationally to peroxisomes, as well as to mitochondria, lipid droplets, and the endoplasmic reticulum. A comprehensive</w:t>
      </w:r>
      <w:r>
        <w:t xml:space="preserve"> </w:t>
      </w:r>
      <w:r>
        <w:t>Trypanosoma</w:t>
      </w:r>
      <w:r>
        <w:t xml:space="preserve"> </w:t>
      </w:r>
      <w:r>
        <w:t>PEX19 interactome analysis uncovered PEX38 as an essential Euglenozoa-specific peroxin. PEX38 contains distinct domains that bind the cochaperone Hip and the PEX3-binding motif of PEX19, suggesting a role in stabilizing membrane proteins and preventing premature membrane docking. PEX38 illustrates functional repurposing in organelle biogenesis. It originated from a remnant of the GET/TRC pathway, typically responsible for the targeting of tail-anchored (TA) proteins to the endoplasmic reticulum. While most components of this machinery are absent in Euglenozoa, PEX38 has been retained and adapted to mediate peroxisomal membrane protein targeting. This evolutionary adaptation is unique to Euglenozoa. Because the PEX19–PEX38 interaction is essential for parasite viability and PEX38 has no human homologs, this complex is a promising therapeutic target against trypanosomatid parasites.</w:t>
      </w:r>
    </w:p>
    <w:p>
      <w:pPr>
        <w:spacing w:before="120" w:after="120"/>
      </w:pPr>
      <w:r>
        <w:rPr>
          <w:sz w:val="18"/>
        </w:rPr>
        <w:t>——————————————————————————————————————————————————————————————————————</w:t>
      </w:r>
    </w:p>
    <w:p>
      <w:pPr>
        <w:spacing w:before="160" w:after="40" w:line="240" w:lineRule="auto"/>
      </w:pPr>
      <w:r>
        <w:rPr>
          <w:b/>
        </w:rPr>
        <w:t xml:space="preserve">[344] </w:t>
      </w:r>
      <w:hyperlink r:id="rId707">
        <w:r>
          <w:rPr>
            <w:color w:val="1155CC"/>
            <w:u w:val="single"/>
          </w:rPr>
          <w:t>范德华异质界面扭曲导致的热传导异常增强</w:t>
        </w:r>
      </w:hyperlink>
    </w:p>
    <w:p>
      <w:pPr>
        <w:spacing w:before="0" w:after="80"/>
      </w:pPr>
      <w:r>
        <w:rPr>
          <w:i/>
          <w:sz w:val="20"/>
        </w:rPr>
        <w:t>EN: Anomalous enhancement of thermal conduction across twisted van der Waals heterointerfaces</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708">
        <w:r>
          <w:rPr>
            <w:color w:val="1155CC"/>
            <w:u w:val="single"/>
          </w:rPr>
          <w:t>10.1073/pnas.2531049123</w:t>
        </w:r>
      </w:hyperlink>
    </w:p>
    <w:p>
      <w:pPr>
        <w:spacing w:before="0" w:after="120"/>
      </w:pPr>
      <w:r>
        <w:rPr>
          <w:b/>
        </w:rPr>
        <w:t xml:space="preserve">Notes: </w:t>
      </w:r>
      <w:r>
        <w:t>abstract_source=crossref</w:t>
      </w:r>
    </w:p>
    <w:p>
      <w:pPr>
        <w:spacing w:before="0" w:after="80" w:lineRule="auto" w:line="276"/>
      </w:pPr>
      <w:r>
        <w:rPr>
          <w:b/>
        </w:rPr>
        <w:t xml:space="preserve">摘要（ZH）: </w:t>
      </w:r>
      <w:r>
        <w:t>层间扭曲的出现引入了一个突破性的范式，揭示了从相关绝缘态到超导性的新物理现象。这一前所未有的平台促进了电子的操控，并将其能力扩展到对玻色子的有效控制。对于声子，已达成共识，即层间扭曲极大地抑制了声子传输，因为它打破了晶格的对称性。在此，我们报告了一项反直觉的实验观察，其中层间扭曲可以显著促进声子在本质上不对称的异质界面上的传输。采用时域热反射映射技术，我们的结果显示界面热导 (ITC) 在扭曲中增加了 2.5 倍</w:t>
      </w:r>
    </w:p>
    <w:p>
      <w:pPr>
        <w:spacing w:before="0" w:after="200" w:lineRule="auto" w:line="276"/>
      </w:pPr>
      <w:r>
        <w:rPr>
          <w:b/>
        </w:rPr>
        <w:t xml:space="preserve">Abstract (EN): </w:t>
      </w:r>
      <w:r>
        <w:t>The advent of interlayer twist has introduced a groundbreaking paradigm, unveiling novel physical phenomena spanning from correlated insulating states to superconductivity. This unprecedented platform facilitates the manipulation of electrons and extends its capabilities to the effective control of bosons. For phonons, a consensus has been reached that interlayer twist greatly suppresses phonon transport as it breaks the symmetry of the lattice. Here, we report a counterintuitive experimental observation in which the interlayer twist can significantly promote the transportation of phonons across an intrinsically asymmetric heterointerface. Employing the time-domain thermoreflectance mapping technique, our results show a 2.5-fold increase in interfacial thermal conductance (ITC) in twisted bilayer MoS</w:t>
      </w:r>
      <w:r>
        <w:rPr>
          <w:vertAlign w:val="subscript"/>
        </w:rPr>
        <w:t>2</w:t>
      </w:r>
      <w:r>
        <w:t>/WS</w:t>
      </w:r>
      <w:r>
        <w:rPr>
          <w:vertAlign w:val="subscript"/>
        </w:rPr>
        <w:t>2</w:t>
      </w:r>
      <w:r>
        <w:t>heterostructures relative to initial commensurate configurations. Combined experimental and atomic simulation results reveal the inelastic scattering-dominated nature of thermal transport at MoS</w:t>
      </w:r>
      <w:r>
        <w:rPr>
          <w:vertAlign w:val="subscript"/>
        </w:rPr>
        <w:t>2</w:t>
      </w:r>
      <w:r>
        <w:t>/WS</w:t>
      </w:r>
      <w:r>
        <w:rPr>
          <w:vertAlign w:val="subscript"/>
        </w:rPr>
        <w:t>2</w:t>
      </w:r>
      <w:r>
        <w:t>heterointerfaces. The introduction of interlayer twist amplifies this effect, triggering a reconstruction of nonequilibrium phonon temperature distributions at the interface. This phenomenon activates efficient optical-to-acoustic phonon conversion through inelastic scattering and creates additional transport channels that overcome the intrinsic phonon mismatch in heterostructures. Our work establishes a paradigm for enhancing ITC by strategically introducing interlayer perturbations to amplify inelastic scattering effects. This breakthrough opens broad avenues for advanced thermal management in integrated circuits.</w:t>
      </w:r>
    </w:p>
    <w:p>
      <w:pPr>
        <w:spacing w:before="120" w:after="120"/>
      </w:pPr>
      <w:r>
        <w:rPr>
          <w:sz w:val="18"/>
        </w:rPr>
        <w:t>——————————————————————————————————————————————————————————————————————</w:t>
      </w:r>
    </w:p>
    <w:p>
      <w:pPr>
        <w:spacing w:before="160" w:after="40" w:line="240" w:lineRule="auto"/>
      </w:pPr>
      <w:r>
        <w:rPr>
          <w:b/>
        </w:rPr>
        <w:t xml:space="preserve">[345] </w:t>
      </w:r>
      <w:hyperlink r:id="rId709">
        <w:r>
          <w:rPr>
            <w:color w:val="1155CC"/>
            <w:u w:val="single"/>
          </w:rPr>
          <w:t>手性滑行：丝状蓝藻的右旋导航</w:t>
        </w:r>
      </w:hyperlink>
    </w:p>
    <w:p>
      <w:pPr>
        <w:spacing w:before="0" w:after="80"/>
      </w:pPr>
      <w:r>
        <w:rPr>
          <w:i/>
          <w:sz w:val="20"/>
        </w:rPr>
        <w:t>EN: Chiral gliding: Right-handed navigation of filamentous cyanobacteria</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710">
        <w:r>
          <w:rPr>
            <w:color w:val="1155CC"/>
            <w:u w:val="single"/>
          </w:rPr>
          <w:t>10.1073/pnas.2534547123</w:t>
        </w:r>
      </w:hyperlink>
    </w:p>
    <w:p>
      <w:pPr>
        <w:spacing w:before="0" w:after="120"/>
      </w:pPr>
      <w:r>
        <w:rPr>
          <w:b/>
        </w:rPr>
        <w:t xml:space="preserve">Notes: </w:t>
      </w:r>
      <w:r>
        <w:t>abstract_source=crossref</w:t>
      </w:r>
    </w:p>
    <w:p>
      <w:pPr>
        <w:spacing w:before="0" w:after="80" w:lineRule="auto" w:line="276"/>
      </w:pPr>
      <w:r>
        <w:rPr>
          <w:b/>
        </w:rPr>
        <w:t xml:space="preserve">摘要（ZH）: </w:t>
      </w:r>
      <w:r>
        <w:t>蓝藻是已知最早通过光合作用产生氧气的生物，导致了氧气大气的形成，使更复杂生命形式的进化成为可能。许多蓝藻物种表现出沿表面滑动的运动能力，以在复杂环境中导航并适应波动的条件。在此，我们研究了丝状蓝藻 Lyngbya lagerheimii 在不同物理环境之间过渡时的滑动运动。我们显示，在干燥表面上，丝状体采用弯曲形状，在滑动时向右转。当丝状体改变滑动方向时，弯曲最初被保留，并且只要沿着粘液痕迹回溯，丝状体就可以向左转。我们提出了一种手性运动模型</w:t>
      </w:r>
    </w:p>
    <w:p>
      <w:pPr>
        <w:spacing w:before="0" w:after="200" w:lineRule="auto" w:line="276"/>
      </w:pPr>
      <w:r>
        <w:rPr>
          <w:b/>
        </w:rPr>
        <w:t xml:space="preserve">Abstract (EN): </w:t>
      </w:r>
      <w:r>
        <w:t>Cyanobacteria are the earliest known organisms that produced oxygen through photosynthesis, leading to the oxygen atmosphere that allowed the evolution of more complex life forms. Many species of cyanobacteria exhibit gliding motility along surfaces to navigate complex environments and adapt to fluctuating conditions. Here, we studied the gliding motility of filamentous cyanobacteria</w:t>
      </w:r>
      <w:r>
        <w:t xml:space="preserve"> </w:t>
      </w:r>
      <w:r>
        <w:t>Lyngbya lagerheimii</w:t>
      </w:r>
      <w:r>
        <w:t xml:space="preserve"> </w:t>
      </w:r>
      <w:r>
        <w:t>at the transition between different physical environments. We show that on a dry surface, a filament adopts a curved shape that turns right while gliding. When a filament switches the gliding direction, the curvature is initially preserved and a filament can turn left as long as it backtracks along a slime trace. We propose a model of chiral motility that explains the bending based on the right-handed rotation of gliding filaments and a velocity mismatch between the leading and the trailing end of the filament. The mechanism involves a unique way of transferring the structural chirality to the macroscale and also a unique physical navigation mechanism.</w:t>
      </w:r>
    </w:p>
    <w:p>
      <w:pPr>
        <w:spacing w:before="120" w:after="120"/>
      </w:pPr>
      <w:r>
        <w:rPr>
          <w:sz w:val="18"/>
        </w:rPr>
        <w:t>——————————————————————————————————————————————————————————————————————</w:t>
      </w:r>
    </w:p>
    <w:p>
      <w:pPr>
        <w:spacing w:before="160" w:after="40" w:line="240" w:lineRule="auto"/>
      </w:pPr>
      <w:r>
        <w:rPr>
          <w:b/>
        </w:rPr>
        <w:t xml:space="preserve">[346] </w:t>
      </w:r>
      <w:hyperlink r:id="rId711">
        <w:r>
          <w:rPr>
            <w:color w:val="1155CC"/>
            <w:u w:val="single"/>
          </w:rPr>
          <w:t>利用小鼠多能干细胞重建性别决定和睾丸生态位</w:t>
        </w:r>
      </w:hyperlink>
    </w:p>
    <w:p>
      <w:pPr>
        <w:spacing w:before="0" w:after="80"/>
      </w:pPr>
      <w:r>
        <w:rPr>
          <w:i/>
          <w:sz w:val="20"/>
        </w:rPr>
        <w:t>EN: Reconstitution of sex determination and the testicular niche using mouse pluripotent stem cells</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712">
        <w:r>
          <w:rPr>
            <w:color w:val="1155CC"/>
            <w:u w:val="single"/>
          </w:rPr>
          <w:t>10.1126/science.aea0296</w:t>
        </w:r>
      </w:hyperlink>
    </w:p>
    <w:p>
      <w:pPr>
        <w:spacing w:before="0" w:after="120"/>
      </w:pPr>
      <w:r>
        <w:rPr>
          <w:b/>
        </w:rPr>
        <w:t xml:space="preserve">Notes: </w:t>
      </w:r>
      <w:r>
        <w:t>abstract_source=crossref</w:t>
      </w:r>
    </w:p>
    <w:p>
      <w:pPr>
        <w:spacing w:before="0" w:after="80" w:lineRule="auto" w:line="276"/>
      </w:pPr>
      <w:r>
        <w:rPr>
          <w:b/>
        </w:rPr>
        <w:t xml:space="preserve">摘要（ZH）: </w:t>
      </w:r>
      <w:r>
        <w:t>性腺体细胞的适当分化对于性别决定以及性激素和配子的产生至关重要，在培养中重建这一过程将加深我们对这一过程的理解，并能够在体外生成配子。在此，我们报告了使用小鼠多能干细胞重建睾丸体细胞。重建过程重现了性别决定过程，产生了形成精小管和相邻间质组织的细胞类型。重建的睾丸组织结合了多能干细胞衍生的原始生殖细胞，并支持其分化为精原干细胞。这些精原干细胞在移植到睾丸后分化为功能性精子。</w:t>
      </w:r>
    </w:p>
    <w:p>
      <w:pPr>
        <w:spacing w:before="0" w:after="200" w:lineRule="auto" w:line="276"/>
      </w:pPr>
      <w:r>
        <w:rPr>
          <w:b/>
        </w:rPr>
        <w:t xml:space="preserve">Abstract (EN): </w:t>
      </w:r>
      <w:r>
        <w:t>Proper differentiation of gonadal somatic cells is crucial for sex determination and the production of sex hormones and gametes, and reconstituting this process in culture would both deepen our understanding of this process and enable the generation of gametes in vitro. Here, we report the reconstitution of testicular somatic cells using mouse pluripotent stem cells. The reconstitution recapitulated the sex-determination process, yielding cell types that formed seminiferous tubules and adjacent interstitial tissues. The reconstituted testicular tissue incorporated pluripotent stem cell–derived primordial germ cells and supported their differentiation into spermatogonial stem cells. These spermatogonial stem cells differentiated into functional spermatozoa upon transplantation into testis. This study contributes to a deeper understanding of the sex-determination process and to the creation of an alternative source for the male germ line in culture.</w:t>
      </w:r>
    </w:p>
    <w:p>
      <w:pPr>
        <w:spacing w:before="120" w:after="120"/>
      </w:pPr>
      <w:r>
        <w:rPr>
          <w:sz w:val="18"/>
        </w:rPr>
        <w:t>——————————————————————————————————————————————————————————————————————</w:t>
      </w:r>
    </w:p>
    <w:p>
      <w:pPr>
        <w:spacing w:before="160" w:after="40" w:line="240" w:lineRule="auto"/>
      </w:pPr>
      <w:r>
        <w:rPr>
          <w:b/>
        </w:rPr>
        <w:t xml:space="preserve">[347] </w:t>
      </w:r>
      <w:hyperlink r:id="rId713">
        <w:r>
          <w:rPr>
            <w:color w:val="1155CC"/>
            <w:u w:val="single"/>
          </w:rPr>
          <w:t>STING–NF-κB信号通路构建流感溢出屏障</w:t>
        </w:r>
      </w:hyperlink>
    </w:p>
    <w:p>
      <w:pPr>
        <w:spacing w:before="0" w:after="80"/>
      </w:pPr>
      <w:r>
        <w:rPr>
          <w:i/>
          <w:sz w:val="20"/>
        </w:rPr>
        <w:t>EN: STING–NF-κB signaling builds an influenza spillover barrier</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714">
        <w:r>
          <w:rPr>
            <w:color w:val="1155CC"/>
            <w:u w:val="single"/>
          </w:rPr>
          <w:t>10.1126/science.ads4405</w:t>
        </w:r>
      </w:hyperlink>
    </w:p>
    <w:p>
      <w:pPr>
        <w:spacing w:before="0" w:after="120"/>
      </w:pPr>
      <w:r>
        <w:rPr>
          <w:b/>
        </w:rPr>
        <w:t xml:space="preserve">Notes: </w:t>
      </w:r>
      <w:r>
        <w:t>abstract_source=crossref</w:t>
      </w:r>
    </w:p>
    <w:p>
      <w:pPr>
        <w:spacing w:before="0" w:after="80" w:lineRule="auto" w:line="276"/>
      </w:pPr>
      <w:r>
        <w:rPr>
          <w:b/>
        </w:rPr>
        <w:t xml:space="preserve">摘要（ZH）: </w:t>
      </w:r>
      <w:r>
        <w:t>流感大流行通常可以追溯到禽流感A病毒（IAVs）向人类的溢出。然而，针对IAV传播的障碍仍然难以捉摸。我们证明了人类干扰素基因刺激因子（STING）作为IAVs传播的障碍。STING通过特定的结构域激活核因子κB（NF-κB）及其下游NF-κB刺激基因（NSGs）。在这些NSGs中，生长停滞和DNA损伤诱导蛋白34（GADD34）对于IAV限制至关重要。一些IAVs已经进化出通过突变其基质蛋白1（M1）中的残基115来逃避激活人类STING，这对于在人类呼吸细胞中有效的病毒复制至关重要。</w:t>
      </w:r>
    </w:p>
    <w:p>
      <w:pPr>
        <w:spacing w:before="0" w:after="200" w:lineRule="auto" w:line="276"/>
      </w:pPr>
      <w:r>
        <w:rPr>
          <w:b/>
        </w:rPr>
        <w:t xml:space="preserve">Abstract (EN): </w:t>
      </w:r>
      <w:r>
        <w:t>Influenza pandemics are often traced back to the spillover of avian influenza A viruses (IAVs) to humans. However, barriers against IAV transmission remain elusive. We demonstrated human stimulator of interferon genes (STING) as a transmission barrier against IAVs. STING activated nuclear factor κB (NF-κB) and downstream NF-κB–stimulated genes (NSGs) through a specific domain. Among these NSGs,</w:t>
      </w:r>
      <w:r>
        <w:t xml:space="preserve"> </w:t>
      </w:r>
      <w:r>
        <w:t>growth arrest and DNA damage–inducible protein 34</w:t>
      </w:r>
      <w:r>
        <w:t xml:space="preserve"> </w:t>
      </w:r>
      <w:r>
        <w:t>(</w:t>
      </w:r>
      <w:r>
        <w:t xml:space="preserve"> </w:t>
      </w:r>
      <w:r>
        <w:t>GADD34</w:t>
      </w:r>
      <w:r>
        <w:t xml:space="preserve"> </w:t>
      </w:r>
      <w:r>
        <w:t>) was crucial for IAV restriction. Some IAVs have evolved to evade activating human STING by mutating residue 115 in their matrix protein 1 (M1), which is essential for efficient viral replication in human respiratory cells. This barrier against the zoonotic threat of IAVs provides a tool for future investigations into the biological functions of the cyclic guanosine monophosphate–adenosine monosphosphate (cGMP-AMP) synthase (cGAS)–STING–NF-κB signaling pathway.</w:t>
      </w:r>
    </w:p>
    <w:p>
      <w:pPr>
        <w:spacing w:before="120" w:after="120"/>
      </w:pPr>
      <w:r>
        <w:rPr>
          <w:sz w:val="18"/>
        </w:rPr>
        <w:t>——————————————————————————————————————————————————————————————————————</w:t>
      </w:r>
    </w:p>
    <w:p>
      <w:pPr>
        <w:spacing w:before="160" w:after="40" w:line="240" w:lineRule="auto"/>
      </w:pPr>
      <w:r>
        <w:rPr>
          <w:b/>
        </w:rPr>
        <w:t xml:space="preserve">[348] </w:t>
      </w:r>
      <w:hyperlink r:id="rId715">
        <w:r>
          <w:rPr>
            <w:color w:val="1155CC"/>
            <w:u w:val="single"/>
          </w:rPr>
          <w:t>玉米叶片中新发育边界的细胞命运获取</w:t>
        </w:r>
      </w:hyperlink>
    </w:p>
    <w:p>
      <w:pPr>
        <w:spacing w:before="0" w:after="80"/>
      </w:pPr>
      <w:r>
        <w:rPr>
          <w:i/>
          <w:sz w:val="20"/>
        </w:rPr>
        <w:t>EN: Cell fate acquisition at a de novo developmental boundary in the maize leaf</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716">
        <w:r>
          <w:rPr>
            <w:color w:val="1155CC"/>
            <w:u w:val="single"/>
          </w:rPr>
          <w:t>10.1073/pnas.2533591123</w:t>
        </w:r>
      </w:hyperlink>
    </w:p>
    <w:p>
      <w:pPr>
        <w:spacing w:before="0" w:after="120"/>
      </w:pPr>
      <w:r>
        <w:rPr>
          <w:b/>
        </w:rPr>
        <w:t xml:space="preserve">Notes: </w:t>
      </w:r>
      <w:r>
        <w:t>abstract_source=crossref</w:t>
      </w:r>
    </w:p>
    <w:p>
      <w:pPr>
        <w:spacing w:before="0" w:after="80" w:lineRule="auto" w:line="276"/>
      </w:pPr>
      <w:r>
        <w:rPr>
          <w:b/>
        </w:rPr>
        <w:t xml:space="preserve">摘要（ZH）: </w:t>
      </w:r>
      <w:r>
        <w:t>分隔具有不同基因表达和细胞命运轨迹的发育领域的边界形成是非殖民多细胞生物的普遍特征。发育边界在个体发育过程中反复出现，其特征是刚性、缓慢分裂的细胞，这些细胞标记出相邻和不同的形态发生域；这些边界内细胞命运获得的遗传机制尚不完全清楚。草叶在茎尖分生组织的外围发育边界处启动，茎尖分生组织是植物茎中产生所有侧生器官的器官发生干细胞库。在后期原基生长过程中，玉米叶形成一个新的发育边界，最终将远端的光合叶片分开。</w:t>
      </w:r>
    </w:p>
    <w:p>
      <w:pPr>
        <w:spacing w:before="0" w:after="200" w:lineRule="auto" w:line="276"/>
      </w:pPr>
      <w:r>
        <w:rPr>
          <w:b/>
        </w:rPr>
        <w:t xml:space="preserve">Abstract (EN): </w:t>
      </w:r>
      <w:r>
        <w:t>The formation of boundaries separating developmental fields with distinct gene expression and cell fate trajectories is a universal feature of noncolonial multicellular organisms. Developmental boundaries arise reiteratively during ontogeny and are characterized by stiff, slowly dividing cells that demarcate adjacent and divergent morphogenetic domains; the genetic mechanisms of cell fate acquisition within these boundaries are incompletely understood. Grass leaves are initiated at a developmental boundary in the periphery of the shoot apical meristem, an organogenic pool of plant stem cells that generates all lateral organs in the plant shoot. During later primordial growth, maize leaves form a de novo developmental boundary that ultimately separates the distal, photosynthetic leaf blade from the proximal, clasping leaf sheath. Morphogenesis at this blade/sheath boundary in maize leaves generates an epidermal outgrowth called the ligule and two tissue-wedges forming the auricle, a hinge-like structure with major effects on leaf angle, light capture, and yield. Here, we use cell lineage mapping, morphometric measures of cell division and expansion, cell-specific multidimensional transcriptomic analyses, and topological landscape modeling to investigate the mechanisms of cell fate acquisition at the ligule/auricle morphogenetic boundary in the maize leaf. The data suggest a model where auricle initial cells are recruited from blade founder cells at this boundary, via repression of blade identity during early stages in auricle ontogeny. Thereafter, auricle primordial cells assume a developmental genetic trajectory that is distinct from the blade, sheath, and ligule, thereby acquiring a unique auricle cell fate in the maize leaf.</w:t>
      </w:r>
    </w:p>
    <w:p>
      <w:pPr>
        <w:spacing w:before="120" w:after="120"/>
      </w:pPr>
      <w:r>
        <w:rPr>
          <w:sz w:val="18"/>
        </w:rPr>
        <w:t>——————————————————————————————————————————————————————————————————————</w:t>
      </w:r>
    </w:p>
    <w:p>
      <w:pPr>
        <w:spacing w:before="160" w:after="40" w:line="240" w:lineRule="auto"/>
      </w:pPr>
      <w:r>
        <w:rPr>
          <w:b/>
        </w:rPr>
        <w:t xml:space="preserve">[349] </w:t>
      </w:r>
      <w:hyperlink r:id="rId717">
        <w:r>
          <w:rPr>
            <w:color w:val="1155CC"/>
            <w:u w:val="single"/>
          </w:rPr>
          <w:t>[ASAP] 哪种催化剂在乙醇电氧化中表现出优越的C–C键断裂能力：原位ATR-SEIRAS研究</w:t>
        </w:r>
      </w:hyperlink>
    </w:p>
    <w:p>
      <w:pPr>
        <w:spacing w:before="0" w:after="80"/>
      </w:pPr>
      <w:r>
        <w:rPr>
          <w:i/>
          <w:sz w:val="20"/>
        </w:rPr>
        <w:t>EN: [ASAP] Which Catalyst Exhibits Superior C–C Bond Cleavage Ability in Ethanol Electrooxidation: An In-Situ ATR-SEIRAS Investigation</w:t>
      </w:r>
    </w:p>
    <w:p>
      <w:pPr>
        <w:spacing w:before="0" w:after="120"/>
      </w:pPr>
      <w:r>
        <w:rPr>
          <w:b/>
        </w:rPr>
        <w:t xml:space="preserve">Source: </w:t>
      </w:r>
      <w:r>
        <w:t>Journal of the American Chemical Society: Latest Articles (ACS Publications)</w:t>
      </w:r>
      <w:r>
        <w:t xml:space="preserve">    </w:t>
      </w:r>
      <w:r>
        <w:rPr>
          <w:b/>
        </w:rPr>
        <w:t xml:space="preserve">Pub date: </w:t>
      </w:r>
      <w:r>
        <w:t>2026-02-26 09:31:35+00:00</w:t>
      </w:r>
      <w:r>
        <w:t xml:space="preserve">    </w:t>
      </w:r>
      <w:r>
        <w:rPr>
          <w:b/>
        </w:rPr>
        <w:t xml:space="preserve">DOI: </w:t>
      </w:r>
      <w:hyperlink r:id="rId718">
        <w:r>
          <w:rPr>
            <w:color w:val="1155CC"/>
            <w:u w:val="single"/>
          </w:rPr>
          <w:t>10.1021/jacs.5c20407</w:t>
        </w:r>
      </w:hyperlink>
    </w:p>
    <w:p>
      <w:pPr>
        <w:spacing w:before="0" w:after="120"/>
      </w:pPr>
      <w:r>
        <w:rPr>
          <w:b/>
        </w:rPr>
        <w:t xml:space="preserve">Notes: </w:t>
      </w:r>
      <w:r>
        <w:t>abstract_source=pubmed</w:t>
      </w:r>
    </w:p>
    <w:p>
      <w:pPr>
        <w:spacing w:before="0" w:after="80" w:lineRule="auto" w:line="276"/>
      </w:pPr>
      <w:r>
        <w:rPr>
          <w:b/>
        </w:rPr>
        <w:t xml:space="preserve">摘要（ZH）: </w:t>
      </w:r>
      <w:r>
        <w:t>铂族金属（PGMs）是乙醇氧化反应中最活跃的电催化剂之一。然而，它们在C-C键断裂方面的内在效能仍然存在争议，明确的分子水平证据仍然缺乏。为了解决这个问题，我们首次在相同电极上使用COad的相对人口比（η）作为描述符，通过在常规和薄层流动池下进行原位电化学衰减全反射表面增强红外光谱，来从热力学和动力学角度对四种PGMs在碱性介质中的C-C键断裂活性进行排序，结果为Ir &gt; Rh &gt; Pd &gt; Pt。此外，发现Pt、Rh和Ir的最大C-C键断裂活性出现在0.20 ∼ 0.30 V。</w:t>
      </w:r>
    </w:p>
    <w:p>
      <w:pPr>
        <w:spacing w:before="0" w:after="200" w:lineRule="auto" w:line="276"/>
      </w:pPr>
      <w:r>
        <w:rPr>
          <w:b/>
        </w:rPr>
        <w:t xml:space="preserve">Abstract (EN): </w:t>
      </w:r>
      <w:r>
        <w:t>Platinum-group metals (PGMs) are among the most active electrocatalysts for the ethanol oxidation reaction. Nevertheless, their intrinsic efficacy in C-C bond scission remains contentious, and unequivocal molecular-level evidence is still wanting. To approach it, we employed in situ electrochemical attenuated total-reflection surface-enhanced infrared spectroscopy under both conventional and thin-layer flow cells as the main method, for the first time, by using the relative population ratio of COad (η) as the descriptor on the identical electrode, to rank the C-C bond cleavage activity of the four PGMs as Ir &gt; Rh &gt; Pd &gt; Pt in alkaline media from both thermodynamic and kinetic perspectives. Moreover, the maximized C-C bond cleavage activity was found at 0.20 ∼ 0.30 V for Pt, Rh, and Ir and at 0.40 ∼ 0.50 V for Pd. This work develops a molecular-level strategy for probing catalytic processes through a simple descriptor and might offer a fresh perspective for investigating surface reaction pathways.</w:t>
      </w:r>
    </w:p>
    <w:p>
      <w:pPr>
        <w:spacing w:before="120" w:after="120"/>
      </w:pPr>
      <w:r>
        <w:rPr>
          <w:sz w:val="18"/>
        </w:rPr>
        <w:t>——————————————————————————————————————————————————————————————————————</w:t>
      </w:r>
    </w:p>
    <w:p>
      <w:pPr>
        <w:spacing w:before="160" w:after="40" w:line="240" w:lineRule="auto"/>
      </w:pPr>
      <w:r>
        <w:rPr>
          <w:b/>
        </w:rPr>
        <w:t xml:space="preserve">[350] </w:t>
      </w:r>
      <w:hyperlink r:id="rId719">
        <w:r>
          <w:rPr>
            <w:color w:val="1155CC"/>
            <w:u w:val="single"/>
          </w:rPr>
          <w:t>光子超颗粒的定量3D实空间分析</w:t>
        </w:r>
      </w:hyperlink>
    </w:p>
    <w:p>
      <w:pPr>
        <w:spacing w:before="0" w:after="80"/>
      </w:pPr>
      <w:r>
        <w:rPr>
          <w:i/>
          <w:sz w:val="20"/>
        </w:rPr>
        <w:t>EN: Quantitative 3D Real‐Space Analysis of Photonic Supraparticles</w:t>
      </w:r>
    </w:p>
    <w:p>
      <w:pPr>
        <w:spacing w:before="0" w:after="120"/>
      </w:pPr>
      <w:r>
        <w:rPr>
          <w:b/>
        </w:rPr>
        <w:t xml:space="preserve">Source: </w:t>
      </w:r>
      <w:r>
        <w:t>Wiley: Advanced Materials: Table of Contents</w:t>
      </w:r>
      <w:r>
        <w:t xml:space="preserve">    </w:t>
      </w:r>
      <w:r>
        <w:rPr>
          <w:b/>
        </w:rPr>
        <w:t xml:space="preserve">Pub date: </w:t>
      </w:r>
      <w:r>
        <w:t>2026-02-26 11:56:13+00:00</w:t>
      </w:r>
      <w:r>
        <w:t xml:space="preserve">    </w:t>
      </w:r>
      <w:r>
        <w:rPr>
          <w:b/>
        </w:rPr>
        <w:t xml:space="preserve">DOI: </w:t>
      </w:r>
      <w:hyperlink r:id="rId720">
        <w:r>
          <w:rPr>
            <w:color w:val="1155CC"/>
            <w:u w:val="single"/>
          </w:rPr>
          <w:t>10.1002/adma.202520344</w:t>
        </w:r>
      </w:hyperlink>
    </w:p>
    <w:p>
      <w:pPr>
        <w:spacing w:before="0" w:after="120"/>
      </w:pPr>
      <w:r>
        <w:rPr>
          <w:b/>
        </w:rPr>
        <w:t xml:space="preserve">Notes: </w:t>
      </w:r>
      <w:r>
        <w:t>abstract_source=pubmed</w:t>
      </w:r>
    </w:p>
    <w:p>
      <w:pPr>
        <w:spacing w:before="0" w:after="80" w:lineRule="auto" w:line="276"/>
      </w:pPr>
      <w:r>
        <w:rPr>
          <w:b/>
        </w:rPr>
        <w:t xml:space="preserve">摘要（ZH）: </w:t>
      </w:r>
      <w:r>
        <w:t>超颗粒（SPs）是由较小颗粒组装而成的，它们形成了一种有趣的材料类别。这些结构可以通过球形限制中的自组装（SA）形成，其独特之处在于它们结合了较小颗粒的特性和由这些较小颗粒的排列尺度产生的集体特性。此外，SP中有限数量的颗粒使其能够形成在块体系统中找不到的结构。一个例子是二十面体对称性，这是SPs在多达数十万个颗粒时的平衡结构。尽管这些二十面体结构已经通过计算机模拟进行了研究，并且已经使用了几种实验技术来</w:t>
      </w:r>
    </w:p>
    <w:p>
      <w:pPr>
        <w:spacing w:before="0" w:after="200" w:lineRule="auto" w:line="276"/>
      </w:pPr>
      <w:r>
        <w:rPr>
          <w:b/>
        </w:rPr>
        <w:t xml:space="preserve">Abstract (EN): </w:t>
      </w:r>
      <w:r>
        <w:t>Supraparticles (SPs) are assemblies of smaller particles, and they form an interesting material class. One way through which these structures can be formed is self-assembly (SA) in spherical confinement, and what makes them unique is that they combine the properties of the smaller particles with collective properties arising from the length scale on which these smaller particles are ordered. Additionally, the limited number of particles in an SP enables them to form structures that are not found in bulk systems. An example of this is icosahedral symmetry, which is the equilibrium structure for SPs up to several hundreds of thousands of particles. Although these icosahedral structures have been investigated through computer simulations and several experimental techniques have been used to analyze them in 3D, the number of experimental datasets published is so limited that no statistically relevant conclusions have been drawn so far. The experimental technique most commonly applied to study them is scanning electron microscopy (SEM), but with this, only quantitative information about the surface of the SPs can be obtained. By using a combination of 3D confocal and stimulated emission depletion (STED) microscopy on extremely well-index-matched (within 0.002) fluorescent core-shell, colloidal silica spheres (of 442-478 nm in diameter with polydispersities below 1%), we obtained full 3D real-space datasets of tens of SPs within several hours. The structures were classified based on bond order parameters and deviations from local centrosymmetry, using an unsupervised machine learning model. From this, we are able to correctly classify structures that are commonly misidentified using SEM. Additionally, the quantitative real-space analysis gave experimental insights into the SA pathway and defect formation mechanisms of mostly icosahedral SPs.</w:t>
      </w:r>
    </w:p>
    <w:p>
      <w:pPr>
        <w:spacing w:before="120" w:after="120"/>
      </w:pPr>
      <w:r>
        <w:rPr>
          <w:sz w:val="18"/>
        </w:rPr>
        <w:t>——————————————————————————————————————————————————————————————————————</w:t>
      </w:r>
    </w:p>
    <w:p>
      <w:pPr>
        <w:spacing w:before="160" w:after="40" w:line="240" w:lineRule="auto"/>
      </w:pPr>
      <w:r>
        <w:rPr>
          <w:b/>
        </w:rPr>
        <w:t xml:space="preserve">[351] </w:t>
      </w:r>
      <w:hyperlink r:id="rId721">
        <w:r>
          <w:rPr>
            <w:color w:val="1155CC"/>
            <w:u w:val="single"/>
          </w:rPr>
          <w:t>[ASAP] 通过超极化分子探针进行体内氨肽酶活性的多重分析以用于肿瘤诊断应用</w:t>
        </w:r>
      </w:hyperlink>
    </w:p>
    <w:p>
      <w:pPr>
        <w:spacing w:before="0" w:after="80"/>
      </w:pPr>
      <w:r>
        <w:rPr>
          <w:i/>
          <w:sz w:val="20"/>
        </w:rPr>
        <w:t>EN: [ASAP] In Vivo Multiplexed Analysis of Aminopeptidase Activities by Hyperpolarized Molecular Probes for Tumor Diagnostic Applications</w:t>
      </w:r>
    </w:p>
    <w:p>
      <w:pPr>
        <w:spacing w:before="0" w:after="120"/>
      </w:pPr>
      <w:r>
        <w:rPr>
          <w:b/>
        </w:rPr>
        <w:t xml:space="preserve">Source: </w:t>
      </w:r>
      <w:r>
        <w:t>Journal of the American Chemical Society: Latest Articles (ACS Publications)</w:t>
      </w:r>
      <w:r>
        <w:t xml:space="preserve">    </w:t>
      </w:r>
      <w:r>
        <w:rPr>
          <w:b/>
        </w:rPr>
        <w:t xml:space="preserve">Pub date: </w:t>
      </w:r>
      <w:r>
        <w:t>2026-02-26 12:00:21+00:00</w:t>
      </w:r>
      <w:r>
        <w:t xml:space="preserve">    </w:t>
      </w:r>
      <w:r>
        <w:rPr>
          <w:b/>
        </w:rPr>
        <w:t xml:space="preserve">DOI: </w:t>
      </w:r>
      <w:hyperlink r:id="rId722">
        <w:r>
          <w:rPr>
            <w:color w:val="1155CC"/>
            <w:u w:val="single"/>
          </w:rPr>
          <w:t>10.1021/jacs.5c16910</w:t>
        </w:r>
      </w:hyperlink>
    </w:p>
    <w:p>
      <w:pPr>
        <w:spacing w:before="0" w:after="120"/>
      </w:pPr>
      <w:r>
        <w:rPr>
          <w:b/>
        </w:rPr>
        <w:t xml:space="preserve">Notes: </w:t>
      </w:r>
      <w:r>
        <w:t>abstract_source=pubmed</w:t>
      </w:r>
    </w:p>
    <w:p>
      <w:pPr>
        <w:spacing w:before="0" w:after="80" w:lineRule="auto" w:line="276"/>
      </w:pPr>
      <w:r>
        <w:rPr>
          <w:b/>
        </w:rPr>
        <w:t xml:space="preserve">摘要（ZH）: </w:t>
      </w:r>
      <w:r>
        <w:t>肾素-血管紧张素系统（RAS）中的氨肽酶（APs）及其活性平衡在调节血管功能中起着至关重要的作用。对RAS相关AP活性的多重分析对于诊断包括癌症在内的疾病非常有用。动态核极化耦合磁共振成像（DNP-MRI）能够在体内同时检测多种酶活性。然而，开发实用的DNP-MRI探针，特别是用于多重检测的探针，仍然具有挑战性。在此，我们报告了用于体内多重分析AP活性的DNP-MRI探针的设计。通过整合量子力学计算、有机合成以及物理化学和生物化学评估，我们开发了一系列具有高酶反应性的AP响应DNP-MRI探针</w:t>
      </w:r>
    </w:p>
    <w:p>
      <w:pPr>
        <w:spacing w:before="0" w:after="200" w:lineRule="auto" w:line="276"/>
      </w:pPr>
      <w:r>
        <w:rPr>
          <w:b/>
        </w:rPr>
        <w:t xml:space="preserve">Abstract (EN): </w:t>
      </w:r>
      <w:r>
        <w:t>Aminopeptidases (APs) in the renin-angiotensin system (RAS) and their activity balance play crucial roles in regulating vascular functions. Multiplexed analysis of RAS-related AP activities is useful for diagnosing diseases including cancer. Dynamic nuclear polarization-coupled magnetic resonance imaging (DNP-MRI) enables the simultaneous detection of multiple enzymatic activities in vivo. However, developing practical DNP-MRI probes, especially for multiplexed detection, remains challenging. Here, we report the design of DNP-MRI probes for the in vivo multiplexed analysis of AP activities. By integrating quantum mechanical calculations, organic synthesis, and physicochemical and biochemical evaluations, we developed a series of AP-responsive DNP-MRI probes with high enzymatic reactivities and distinguishable chemical shifts. Using these probes, we successfully detected and visualized multiple AP activities in vivo. Furthermore, we performed in vivo multiplexed analysis of RAS-related AP activities in tumor-bearing mice, demonstrating the potential of this approach for monitoring the efficacy of antiangiogenic cancer therapy and for the accurate discrimination of tumor types.</w:t>
      </w:r>
    </w:p>
    <w:p>
      <w:pPr>
        <w:spacing w:before="120" w:after="120"/>
      </w:pPr>
      <w:r>
        <w:rPr>
          <w:sz w:val="18"/>
        </w:rPr>
        <w:t>——————————————————————————————————————————————————————————————————————</w:t>
      </w:r>
    </w:p>
    <w:p>
      <w:pPr>
        <w:spacing w:before="160" w:after="40" w:line="240" w:lineRule="auto"/>
      </w:pPr>
      <w:r>
        <w:rPr>
          <w:b/>
        </w:rPr>
        <w:t xml:space="preserve">[352] </w:t>
      </w:r>
      <w:hyperlink r:id="rId723">
        <w:r>
          <w:rPr>
            <w:color w:val="1155CC"/>
            <w:u w:val="single"/>
          </w:rPr>
          <w:t>[ASAP] 通过氧铵催化的不对称氢化转移实现meso-吡咯烷的去对称化</w:t>
        </w:r>
      </w:hyperlink>
    </w:p>
    <w:p>
      <w:pPr>
        <w:spacing w:before="0" w:after="80"/>
      </w:pPr>
      <w:r>
        <w:rPr>
          <w:i/>
          <w:sz w:val="20"/>
        </w:rPr>
        <w:t>EN: [ASAP] Desymmetrization of meso-Pyrrolidines via Oxoammonium-Catalyzed Enantioselective Hydride Transfer</w:t>
      </w:r>
    </w:p>
    <w:p>
      <w:pPr>
        <w:spacing w:before="0" w:after="120"/>
      </w:pPr>
      <w:r>
        <w:rPr>
          <w:b/>
        </w:rPr>
        <w:t xml:space="preserve">Source: </w:t>
      </w:r>
      <w:r>
        <w:t>Journal of the American Chemical Society: Latest Articles (ACS Publications)</w:t>
      </w:r>
      <w:r>
        <w:t xml:space="preserve">    </w:t>
      </w:r>
      <w:r>
        <w:rPr>
          <w:b/>
        </w:rPr>
        <w:t xml:space="preserve">Pub date: </w:t>
      </w:r>
      <w:r>
        <w:t>2026-02-26 12:03:23+00:00</w:t>
      </w:r>
      <w:r>
        <w:t xml:space="preserve">    </w:t>
      </w:r>
      <w:r>
        <w:rPr>
          <w:b/>
        </w:rPr>
        <w:t xml:space="preserve">DOI: </w:t>
      </w:r>
      <w:hyperlink r:id="rId724">
        <w:r>
          <w:rPr>
            <w:color w:val="1155CC"/>
            <w:u w:val="single"/>
          </w:rPr>
          <w:t>10.1021/jacs.5c20639</w:t>
        </w:r>
      </w:hyperlink>
    </w:p>
    <w:p>
      <w:pPr>
        <w:spacing w:before="0" w:after="120"/>
      </w:pPr>
      <w:r>
        <w:rPr>
          <w:b/>
        </w:rPr>
        <w:t xml:space="preserve">Notes: </w:t>
      </w:r>
      <w:r>
        <w:t>abstract_source=openalex</w:t>
      </w:r>
    </w:p>
    <w:p>
      <w:pPr>
        <w:spacing w:before="0" w:after="80" w:lineRule="auto" w:line="276"/>
      </w:pPr>
      <w:r>
        <w:rPr>
          <w:b/>
        </w:rPr>
        <w:t xml:space="preserve">摘要（ZH）: </w:t>
      </w:r>
      <w:r>
        <w:t>我们报告了通过位点选择性氢化物转移从对映体C–H键进行的脲保护吡咯烷的氧化去对称化。最佳的氧铵–肽共轭催化剂在所有测试的吡咯烷中提供了超过90%的对映体过量（ee），提供的产物可以很容易地进行后续的N-去保护和其他衍生化反应以形成药物相关化合物。我们分离了关键的循环催化中间体，这使我们能够详细阐明催化活化的机制和立体化学诱导的起源。特别是，通过分析共价催化剂–底物加合物，出现了一个用于不对称诱导的立体化学模型，该加合物作为对映决定过渡态的可分离类似物。在该模型中，紧密的氢键</w:t>
      </w:r>
    </w:p>
    <w:p>
      <w:pPr>
        <w:spacing w:before="0" w:after="200" w:lineRule="auto" w:line="276"/>
      </w:pPr>
      <w:r>
        <w:rPr>
          <w:b/>
        </w:rPr>
        <w:t xml:space="preserve">Abstract (EN): </w:t>
      </w:r>
      <w:r>
        <w:t>We report the oxidative desymmetrization of urea-protected pyrrolidines via site-selective hydride transfer from enantiotopic C–H bonds. The optimal oxoammonium–peptide conjugate catalyst provided over 90% ee across all tested pyrrolidines, providing products that can readily undergo subsequent N-deprotection and other derivatization reactions to form medicinally relevant compounds. We isolated key on-cycle catalytic intermediates, which allowed us to elucidate both the mechanism of catalytic activation and the origin of stereochemical induction in detail. In particular, a stereochemical model for asymmetric induction emerged from analyzing a covalent catalyst–substrate adduct, which served as an isolable analog of the enantiodetermining transition state. In this model, a tight hydrogen bond between the urea protecting group and the peptide directs the asymmetric hydride transfer.</w:t>
      </w:r>
    </w:p>
    <w:p>
      <w:pPr>
        <w:spacing w:before="120" w:after="120"/>
      </w:pPr>
      <w:r>
        <w:rPr>
          <w:sz w:val="18"/>
        </w:rPr>
        <w:t>——————————————————————————————————————————————————————————————————————</w:t>
      </w:r>
    </w:p>
    <w:p>
      <w:pPr>
        <w:spacing w:before="160" w:after="40" w:line="240" w:lineRule="auto"/>
      </w:pPr>
      <w:r>
        <w:rPr>
          <w:b/>
        </w:rPr>
        <w:t xml:space="preserve">[353] </w:t>
      </w:r>
      <w:hyperlink r:id="rId725">
        <w:r>
          <w:rPr>
            <w:color w:val="1155CC"/>
            <w:u w:val="single"/>
          </w:rPr>
          <w:t>关于“基于碳点的双发射纳米杂化物产生比率荧光传感器用于体内成像细胞铜离子”的通信</w:t>
        </w:r>
      </w:hyperlink>
    </w:p>
    <w:p>
      <w:pPr>
        <w:spacing w:before="0" w:after="80"/>
      </w:pPr>
      <w:r>
        <w:rPr>
          <w:i/>
          <w:sz w:val="20"/>
        </w:rPr>
        <w:t>EN: Correspondence on “Carbon‐Dot‐Based Dual‐Emission Nanohybrid Produces a Ratiometric Fluorescent Sensor for in Vivo Imaging of Cellular Copper Ions”</w:t>
      </w:r>
    </w:p>
    <w:p>
      <w:pPr>
        <w:spacing w:before="0" w:after="120"/>
      </w:pPr>
      <w:r>
        <w:rPr>
          <w:b/>
        </w:rPr>
        <w:t xml:space="preserve">Source: </w:t>
      </w:r>
      <w:r>
        <w:t>Wiley: Angewandte Chemie International Edition: Table of Contents</w:t>
      </w:r>
      <w:r>
        <w:t xml:space="preserve">    </w:t>
      </w:r>
      <w:r>
        <w:rPr>
          <w:b/>
        </w:rPr>
        <w:t xml:space="preserve">Pub date: </w:t>
      </w:r>
      <w:r>
        <w:t>2026-02-26 12:08:58+00:00</w:t>
      </w:r>
      <w:r>
        <w:t xml:space="preserve">    </w:t>
      </w:r>
      <w:r>
        <w:rPr>
          <w:b/>
        </w:rPr>
        <w:t xml:space="preserve">DOI: </w:t>
      </w:r>
      <w:hyperlink r:id="rId726">
        <w:r>
          <w:rPr>
            <w:color w:val="1155CC"/>
            <w:u w:val="single"/>
          </w:rPr>
          <w:t>10.1002/anie.4904466</w:t>
        </w:r>
      </w:hyperlink>
    </w:p>
    <w:p>
      <w:pPr>
        <w:spacing w:before="0" w:after="120"/>
      </w:pPr>
      <w:r>
        <w:rPr>
          <w:b/>
        </w:rPr>
        <w:t xml:space="preserve">Notes: </w:t>
      </w:r>
      <w:r>
        <w:t>abstract_source=pubmed</w:t>
      </w:r>
    </w:p>
    <w:p>
      <w:pPr>
        <w:spacing w:before="0" w:after="80" w:lineRule="auto" w:line="276"/>
      </w:pPr>
      <w:r>
        <w:rPr>
          <w:b/>
        </w:rPr>
        <w:t xml:space="preserve">摘要（ZH）: </w:t>
      </w:r>
      <w:r>
        <w:t>2012年，Zhu等人（DOI: 10.1002/anie.201109089）发表了一项研究，报告了一种由碳和CdSe/ZnS量子点组成的混合纳米系统，该系统功能化了三(吡啶-2-基甲基)乙烷-1,2-二胺（CdSe@C-TPEA），作为细胞内铜成像的比率荧光传感器。该研究至今仍具有很大影响力，截至2025年12月4日，已被引用499次（Web of Science）。作为NanoBubbles复制项目的一部分，我们尝试按照详细的预注册协议复制关键实验结果。尽管严格遵循报告的合成程序，我们未能复制Cu2+诱导的荧光猝灭的核心结论。此外，我们的分析揭示了原始出版物中的显著数据异常，包括与相同噪声的光谱重叠。</w:t>
      </w:r>
    </w:p>
    <w:p>
      <w:pPr>
        <w:spacing w:before="0" w:after="200" w:lineRule="auto" w:line="276"/>
      </w:pPr>
      <w:r>
        <w:rPr>
          <w:b/>
        </w:rPr>
        <w:t xml:space="preserve">Abstract (EN): </w:t>
      </w:r>
      <w:r>
        <w:t>The 2012 study by Zhu et al. (DOI: 10.1002/anie.201109089) reporting a hybrid nanosystem composed of carbon and CdSe/ZnS quantum dots functionalized with tris(pyridin-2-ylmethyl)ethane-1,2-diamine (CdSe@C-TPEA) as ratiometric fluorescent sensors for intracellular copper imaging remains highly influential, with 499 citations to date (Web of Science, December 4, 2025). As part of the NanoBubbles replication project, we attempted to reproduce key experimental findings following detailed pre-registered protocols. Despite strict adherence to the reported synthesis procedures, we failed to replicate the central claim of Cu2+-induced fluorescence quenching. Furthermore, our analysis reveals significant data anomalies in the original publication, including spectral overlaps with identical noise patterns inconsistent with independent measurements. These findings raise critical concerns regarding data integrity and reproducibility and cast significant doubt on the reliability of Zhu et al.'s reported results.</w:t>
      </w:r>
    </w:p>
    <w:p>
      <w:pPr>
        <w:spacing w:before="120" w:after="120"/>
      </w:pPr>
      <w:r>
        <w:rPr>
          <w:sz w:val="18"/>
        </w:rPr>
        <w:t>——————————————————————————————————————————————————————————————————————</w:t>
      </w:r>
    </w:p>
    <w:p>
      <w:pPr>
        <w:spacing w:before="160" w:after="40" w:line="240" w:lineRule="auto"/>
      </w:pPr>
      <w:r>
        <w:rPr>
          <w:b/>
        </w:rPr>
        <w:t xml:space="preserve">[354] </w:t>
      </w:r>
      <w:hyperlink r:id="rId727">
        <w:r>
          <w:rPr>
            <w:color w:val="1155CC"/>
            <w:u w:val="single"/>
          </w:rPr>
          <w:t>诱导光电子圆二色性作为区分非对映异构孤电子对的探针</w:t>
        </w:r>
      </w:hyperlink>
    </w:p>
    <w:p>
      <w:pPr>
        <w:spacing w:before="0" w:after="80"/>
      </w:pPr>
      <w:r>
        <w:rPr>
          <w:i/>
          <w:sz w:val="20"/>
        </w:rPr>
        <w:t>EN: Induced Photoelectron Circular Dichroism as a Probe for Distinguishing Diastereotopic Lone Electron Pairs</w:t>
      </w:r>
    </w:p>
    <w:p>
      <w:pPr>
        <w:spacing w:before="0" w:after="120"/>
      </w:pPr>
      <w:r>
        <w:rPr>
          <w:b/>
        </w:rPr>
        <w:t xml:space="preserve">Source: </w:t>
      </w:r>
      <w:r>
        <w:t>Wiley: Angewandte Chemie International Edition: Table of Contents</w:t>
      </w:r>
      <w:r>
        <w:t xml:space="preserve">    </w:t>
      </w:r>
      <w:r>
        <w:rPr>
          <w:b/>
        </w:rPr>
        <w:t xml:space="preserve">Pub date: </w:t>
      </w:r>
      <w:r>
        <w:t>2026-02-26 12:15:57+00:00</w:t>
      </w:r>
      <w:r>
        <w:t xml:space="preserve">    </w:t>
      </w:r>
      <w:r>
        <w:rPr>
          <w:b/>
        </w:rPr>
        <w:t xml:space="preserve">DOI: </w:t>
      </w:r>
      <w:hyperlink r:id="rId728">
        <w:r>
          <w:rPr>
            <w:color w:val="1155CC"/>
            <w:u w:val="single"/>
          </w:rPr>
          <w:t>10.1002/anie.3631400</w:t>
        </w:r>
      </w:hyperlink>
    </w:p>
    <w:p>
      <w:pPr>
        <w:spacing w:before="0" w:after="120"/>
      </w:pPr>
      <w:r>
        <w:rPr>
          <w:b/>
        </w:rPr>
        <w:t xml:space="preserve">Notes: </w:t>
      </w:r>
      <w:r>
        <w:t>abstract_source=pubmed</w:t>
      </w:r>
    </w:p>
    <w:p>
      <w:pPr>
        <w:spacing w:before="0" w:after="80" w:lineRule="auto" w:line="276"/>
      </w:pPr>
      <w:r>
        <w:rPr>
          <w:b/>
        </w:rPr>
        <w:t xml:space="preserve">摘要（ZH）: </w:t>
      </w:r>
      <w:r>
        <w:t>在超音速喷射条件下，通过基于共振增强的双光子电离方案的光电子圆二色性（PECD）实验，研究了苯酚与手性分子甲基氧杂环丙烷（MOx）的氢键复合物。复合物中无手性的苯酚部分的电离导致了强烈的光电子圆二色性信号，这是由于甲基氧杂环丙烷的手性诱导。我们通过IR-UV光谱观察并表征了复合物的两种构象体。它们表现出相似幅度但符号相反的PECD，这可以通过它们之间的伪对映体关系来解释，因为与MOx氧原子的两个孤对电子之一的复合导致苯酚羟基的平面外变形相反。</w:t>
      </w:r>
    </w:p>
    <w:p>
      <w:pPr>
        <w:spacing w:before="0" w:after="200" w:lineRule="auto" w:line="276"/>
      </w:pPr>
      <w:r>
        <w:rPr>
          <w:b/>
        </w:rPr>
        <w:t xml:space="preserve">Abstract (EN): </w:t>
      </w:r>
      <w:r>
        <w:t>The hydrogen-bonded complexes of phenol with the chiral molecule methyloxirane (MOx) have been studied under supersonic jet conditions by photoelectron circular dichroism (PECD) experiments based on a resonance-enhanced two-photon ionization scheme. Ionization of the achiral phenol moiety within the complex leads to a strong photoelectron circular dichroism signal, due to chirality induction from the methyloxirane. We observe and characterize two conformers of the complex by IR-UV spectroscopy. They show PECD of similar magnitude and opposite in sign, which is explained in terms of a pseudo-enantiomer relation between them due to the complexation with one or the other of the two lone electron pairs of the MOx oxygen atom, leading to opposite out-of-plane deformation of the phenol hydroxyl group. Chirality indicators are used to quantify the chirality of the wave function localized on phenol. It is therefore possible to differentiate two diasterotopic electron lone pairs by chiroptical spectroscopy in the gas phase.</w:t>
      </w:r>
    </w:p>
    <w:p>
      <w:pPr>
        <w:spacing w:before="120" w:after="120"/>
      </w:pPr>
      <w:r>
        <w:rPr>
          <w:sz w:val="18"/>
        </w:rPr>
        <w:t>——————————————————————————————————————————————————————————————————————</w:t>
      </w:r>
    </w:p>
    <w:p>
      <w:pPr>
        <w:spacing w:before="160" w:after="40" w:line="240" w:lineRule="auto"/>
      </w:pPr>
      <w:r>
        <w:rPr>
          <w:b/>
        </w:rPr>
        <w:t xml:space="preserve">[355] </w:t>
      </w:r>
      <w:hyperlink r:id="rId729">
        <w:r>
          <w:rPr>
            <w:color w:val="1155CC"/>
            <w:u w:val="single"/>
          </w:rPr>
          <w:t>Sn触发的lr─O─Ru桥氧去质子化增强酸性氧析出反应</w:t>
        </w:r>
      </w:hyperlink>
    </w:p>
    <w:p>
      <w:pPr>
        <w:spacing w:before="0" w:after="80"/>
      </w:pPr>
      <w:r>
        <w:rPr>
          <w:i/>
          <w:sz w:val="20"/>
        </w:rPr>
        <w:t>EN: Sn‐Triggered Bridging‐Oxygen of lr─O─Ru Deprotonation Enhances Acidic Oxygen Evolution Reaction</w:t>
      </w:r>
    </w:p>
    <w:p>
      <w:pPr>
        <w:spacing w:before="0" w:after="120"/>
      </w:pPr>
      <w:r>
        <w:rPr>
          <w:b/>
        </w:rPr>
        <w:t xml:space="preserve">Source: </w:t>
      </w:r>
      <w:r>
        <w:t>Wiley: Advanced Materials: Table of Contents</w:t>
      </w:r>
      <w:r>
        <w:t xml:space="preserve">    </w:t>
      </w:r>
      <w:r>
        <w:rPr>
          <w:b/>
        </w:rPr>
        <w:t xml:space="preserve">Pub date: </w:t>
      </w:r>
      <w:r>
        <w:t>2026-02-26 12:40:21+00:00</w:t>
      </w:r>
      <w:r>
        <w:t xml:space="preserve">    </w:t>
      </w:r>
      <w:r>
        <w:rPr>
          <w:b/>
        </w:rPr>
        <w:t xml:space="preserve">DOI: </w:t>
      </w:r>
      <w:hyperlink r:id="rId730">
        <w:r>
          <w:rPr>
            <w:color w:val="1155CC"/>
            <w:u w:val="single"/>
          </w:rPr>
          <w:t>10.1002/adma.202519807</w:t>
        </w:r>
      </w:hyperlink>
    </w:p>
    <w:p>
      <w:pPr>
        <w:spacing w:before="0" w:after="120"/>
      </w:pPr>
      <w:r>
        <w:rPr>
          <w:b/>
        </w:rPr>
        <w:t xml:space="preserve">Notes: </w:t>
      </w:r>
      <w:r>
        <w:t>abstract_source=pubmed</w:t>
      </w:r>
    </w:p>
    <w:p>
      <w:pPr>
        <w:spacing w:before="0" w:after="80" w:lineRule="auto" w:line="276"/>
      </w:pPr>
      <w:r>
        <w:rPr>
          <w:b/>
        </w:rPr>
        <w:t xml:space="preserve">摘要（ZH）: </w:t>
      </w:r>
      <w:r>
        <w:t>开发高效且稳定的氧析出反应（OER）电催化剂对于推进质子交换膜水电解器（PEMWEs）的商业化至关重要。在此，我们报告了一种三元氧化物催化剂Ir-RuSnOx，其中原子分散的Ir取代了表面Ru位点以构建Ir─O─Ru原子界面。该催化剂仅需165 mV的过电位即可提供10 mA cm-2，并在100 mA cm-2下保持稳定运行超过350小时。当集成到PEMWE中时，Ir-RuSnOx在1 A cm-2下持续运行800小时而无明显降解。结合电化学和理论研究表明，Sn作为强电子供体，增强了Ir─O─中的桥氧（Obri）处的电子局域化。</w:t>
      </w:r>
    </w:p>
    <w:p>
      <w:pPr>
        <w:spacing w:before="0" w:after="200" w:lineRule="auto" w:line="276"/>
      </w:pPr>
      <w:r>
        <w:rPr>
          <w:b/>
        </w:rPr>
        <w:t xml:space="preserve">Abstract (EN): </w:t>
      </w:r>
      <w:r>
        <w:t>The development of efficient and stable electrocatalysts for the oxygen evolution reaction (OER) is crucial for advancing the commercialization of proton exchange membrane water electrolyzers (PEMWEs). Here, we report a ternary oxide catalyst, Ir-RuSnOx, in which atomically dispersed Ir substitutes surface Ru sites to construct an Ir─O─Ru atomic interface. The catalyst requires an overpotential of only 165 mV to deliver 10 mA cm- 2 and maintains stable operation for over 350 h at 100 mA cm- 2. When integrated into a PEMWE, Ir-RuSnOx sustains continuous operation at 1 A cm- 2 for 800 h without observable degradation. Combined electrochemical and theoretical studies reveal that Sn acting as a strong electron donor, enhances electron localization at the bridging oxygen (Obri) within the Ir─O─Ru motif. This enables Obri as a proton acceptor, facilitating deprotonation of O─H and OO─H species at Ru sites, thereby forming Obri─H intermediates, lowering the energy barrier of the rate-determining step (RDS), and accelerating OER kinetics. Simultaneously, Sn incorporation increases the electron density of the Ir─O─Ru structure, strengthening its resistance against oxidative degradation. These findings offer a path to achieving both high activity and long-term durability in acidic OER electrocatalysts.</w:t>
      </w:r>
    </w:p>
    <w:p>
      <w:pPr>
        <w:spacing w:before="120" w:after="120"/>
      </w:pPr>
      <w:r>
        <w:rPr>
          <w:sz w:val="18"/>
        </w:rPr>
        <w:t>——————————————————————————————————————————————————————————————————————</w:t>
      </w:r>
    </w:p>
    <w:p>
      <w:pPr>
        <w:spacing w:before="160" w:after="40" w:line="240" w:lineRule="auto"/>
      </w:pPr>
      <w:r>
        <w:rPr>
          <w:b/>
        </w:rPr>
        <w:t xml:space="preserve">[356] </w:t>
      </w:r>
      <w:hyperlink r:id="rId731">
        <w:r>
          <w:rPr>
            <w:color w:val="1155CC"/>
            <w:u w:val="single"/>
          </w:rPr>
          <w:t>协同三重发射实现单组分白色有机发光晶体管</w:t>
        </w:r>
      </w:hyperlink>
    </w:p>
    <w:p>
      <w:pPr>
        <w:spacing w:before="0" w:after="80"/>
      </w:pPr>
      <w:r>
        <w:rPr>
          <w:i/>
          <w:sz w:val="20"/>
        </w:rPr>
        <w:t>EN: Synergistic Tri‐emission Enabling Single‐Component White Organic Light‐Emitting Transistors</w:t>
      </w:r>
    </w:p>
    <w:p>
      <w:pPr>
        <w:spacing w:before="0" w:after="120"/>
      </w:pPr>
      <w:r>
        <w:rPr>
          <w:b/>
        </w:rPr>
        <w:t xml:space="preserve">Source: </w:t>
      </w:r>
      <w:r>
        <w:t>Wiley: Angewandte Chemie International Edition: Table of Contents</w:t>
      </w:r>
      <w:r>
        <w:t xml:space="preserve">    </w:t>
      </w:r>
      <w:r>
        <w:rPr>
          <w:b/>
        </w:rPr>
        <w:t xml:space="preserve">Pub date: </w:t>
      </w:r>
      <w:r>
        <w:t>2026-02-26 12:42:11+00:00</w:t>
      </w:r>
      <w:r>
        <w:t xml:space="preserve">    </w:t>
      </w:r>
      <w:r>
        <w:rPr>
          <w:b/>
        </w:rPr>
        <w:t xml:space="preserve">DOI: </w:t>
      </w:r>
      <w:hyperlink r:id="rId732">
        <w:r>
          <w:rPr>
            <w:color w:val="1155CC"/>
            <w:u w:val="single"/>
          </w:rPr>
          <w:t>10.1002/anie.202524614</w:t>
        </w:r>
      </w:hyperlink>
    </w:p>
    <w:p>
      <w:pPr>
        <w:spacing w:before="0" w:after="120"/>
      </w:pPr>
      <w:r>
        <w:rPr>
          <w:b/>
        </w:rPr>
        <w:t xml:space="preserve">Notes: </w:t>
      </w:r>
      <w:r>
        <w:t>abstract_source=pubmed</w:t>
      </w:r>
    </w:p>
    <w:p>
      <w:pPr>
        <w:spacing w:before="0" w:after="80" w:lineRule="auto" w:line="276"/>
      </w:pPr>
      <w:r>
        <w:rPr>
          <w:b/>
        </w:rPr>
        <w:t xml:space="preserve">摘要（ZH）: </w:t>
      </w:r>
      <w:r>
        <w:t>白色有机发光晶体管（OLETs）有望成为下一代智能显示器的关键组件。然而，它们的发展受到理想材料稀缺的阻碍，这些材料同时表现出高电荷载流子迁移率和高效的白光发射。在此，我们提出了一种新颖的分子设计策略，通过协同利用单体、激基复合物和电激基复合物的发射来实现白色电致发光。基于这一方法，我们设计并合成了2,6-双(二苯并[b,d]噻吩-3-基)蒽（DTA），其表现出35%的光致发光量子产率和5.8 cm2 V-1 s-1的高饱和空穴迁移率。值得注意的是，在单组分OLET器件中，DTA表现出额外的电激基复合物发射。</w:t>
      </w:r>
    </w:p>
    <w:p>
      <w:pPr>
        <w:spacing w:before="0" w:after="200" w:lineRule="auto" w:line="276"/>
      </w:pPr>
      <w:r>
        <w:rPr>
          <w:b/>
        </w:rPr>
        <w:t xml:space="preserve">Abstract (EN): </w:t>
      </w:r>
      <w:r>
        <w:t>White organic light-emitting transistors (OLETs) are poised to be pivotal components in next generation smart displays. However, their development is hindered by the scarcity of ideal materials that concurrently exhibit high charge carrier mobility and efficient white-light emission. Herein, we present a novel molecular design strategy that achieves white electroluminescence by synergistically harnessing emissions from the monomer, excimer, and electromer within a single material. Guided by this approach, we designed and synthesized 2,6-bis(dibenzo[b,d]thiophen-3-yl)anthracene (DTA), which exhibits a photoluminescence quantum yield of 35% and a high saturation hole mobility of 5.8 cm2 V-1 s-1. Remarkably, in single-component OLET devices, DTA manifests an additional electromer emission. The combination of this red-shifted electromer band with the monomer and excimer emissions results in broad-spectrum white electroluminescence, with Commission Internationale de l'Eclairage coordinates of (0.3030, 0.3558). Moreover, the relative intensities of these three emissive species can be dynamically modulated by the gate voltage, enabling real-time tuning of the white color temperature and achieving a high color-rendering index. This work establishes a new design paradigm for high-mobility white-light emitters and represents a significant stride toward practical single-component white OLETs.</w:t>
      </w:r>
    </w:p>
    <w:p>
      <w:pPr>
        <w:spacing w:before="120" w:after="120"/>
      </w:pPr>
      <w:r>
        <w:rPr>
          <w:sz w:val="18"/>
        </w:rPr>
        <w:t>——————————————————————————————————————————————————————————————————————</w:t>
      </w:r>
    </w:p>
    <w:p>
      <w:pPr>
        <w:spacing w:before="160" w:after="40" w:line="240" w:lineRule="auto"/>
      </w:pPr>
      <w:r>
        <w:rPr>
          <w:b/>
        </w:rPr>
        <w:t xml:space="preserve">[357] </w:t>
      </w:r>
      <w:hyperlink r:id="rId733">
        <w:r>
          <w:rPr>
            <w:color w:val="1155CC"/>
            <w:u w:val="single"/>
          </w:rPr>
          <w:t>[ASAP] 覆层在光催化整体水分解及相关反应中的作用的综合评述</w:t>
        </w:r>
      </w:hyperlink>
    </w:p>
    <w:p>
      <w:pPr>
        <w:spacing w:before="0" w:after="80"/>
      </w:pPr>
      <w:r>
        <w:rPr>
          <w:i/>
          <w:sz w:val="20"/>
        </w:rPr>
        <w:t>EN: [ASAP] A Comprehensive Review of the Role of Overlayers in Photocatalytic Overall Water Splitting and Related Reactions</w:t>
      </w:r>
    </w:p>
    <w:p>
      <w:pPr>
        <w:spacing w:before="0" w:after="120"/>
      </w:pPr>
      <w:r>
        <w:rPr>
          <w:b/>
        </w:rPr>
        <w:t xml:space="preserve">Source: </w:t>
      </w:r>
      <w:r>
        <w:t>Chemical Reviews: Latest Articles (ACS Publications)</w:t>
      </w:r>
      <w:r>
        <w:t xml:space="preserve">    </w:t>
      </w:r>
      <w:r>
        <w:rPr>
          <w:b/>
        </w:rPr>
        <w:t xml:space="preserve">Pub date: </w:t>
      </w:r>
      <w:r>
        <w:t>2026-02-26 13:59:11+00:00</w:t>
      </w:r>
      <w:r>
        <w:t xml:space="preserve">    </w:t>
      </w:r>
      <w:r>
        <w:rPr>
          <w:b/>
        </w:rPr>
        <w:t xml:space="preserve">DOI: </w:t>
      </w:r>
      <w:hyperlink r:id="rId734">
        <w:r>
          <w:rPr>
            <w:color w:val="1155CC"/>
            <w:u w:val="single"/>
          </w:rPr>
          <w:t>10.1021/acs.chemrev.5c00326</w:t>
        </w:r>
      </w:hyperlink>
    </w:p>
    <w:p>
      <w:pPr>
        <w:spacing w:before="0" w:after="120"/>
      </w:pPr>
      <w:r>
        <w:rPr>
          <w:b/>
        </w:rPr>
        <w:t xml:space="preserve">Notes: </w:t>
      </w:r>
      <w:r>
        <w:t>abstract_source=pubmed</w:t>
      </w:r>
    </w:p>
    <w:p>
      <w:pPr>
        <w:spacing w:before="0" w:after="80" w:lineRule="auto" w:line="276"/>
      </w:pPr>
      <w:r>
        <w:rPr>
          <w:b/>
        </w:rPr>
        <w:t xml:space="preserve">摘要（ZH）: </w:t>
      </w:r>
      <w:r>
        <w:t>使用助催化剂修饰的光催化剂进行光催化整体水分解在纯水中实现高效性能面临重大挑战，因为助催化剂也催化了生成的H2和O2重新结合成H2O的逆反应。已报道在修饰的光催化剂上使用覆盖层可以防止逆反应并显著增强整体水分解活性。本综述全面概述了覆盖层在抑制光催化整体水分解中的逆反应的应用及其在促进电荷分离和传输、稳定助催化剂和光催化剂中的多功能作用。覆盖层的应用也在抑制其他光催化反应中的逆反应中得到探索。</w:t>
      </w:r>
    </w:p>
    <w:p>
      <w:pPr>
        <w:spacing w:before="0" w:after="200" w:lineRule="auto" w:line="276"/>
      </w:pPr>
      <w:r>
        <w:rPr>
          <w:b/>
        </w:rPr>
        <w:t xml:space="preserve">Abstract (EN): </w:t>
      </w:r>
      <w:r>
        <w:t>Photocatalytic overall water splitting using cocatalyst-modified photocatalysts faces a significant challenge to achieve highly efficient performance in pure water, as the back reaction─where the evolved H2 and O2 recombine back into H2O─is also catalyzed by the cocatalysts. Overlayers on modified photocatalysts have been reported to prevent the back reaction and significantly enhance the overall water splitting activity. This review provides a comprehensive overview of the use of overlayers in suppressing the back reaction in photocatalytic overall water splitting and their multifunctional roles in facilitating charge separation and transport, and stabilizing cocatalysts and photocatalysts. The application of overlayers is also explored in suppressing the back reactions in other photocatalytic reactions and systems, including Z-scheme systems, electrochemical and photoelectrochemical water splitting systems, pollutant degradation reactions, and photocatalytic CO2 conversion. Furthermore, this review addresses the challenges facing overlayers, particularly their durability during photoreaction, and suggests future research areas. Overall, the knowledge gained to date emphasizes the potential of overlayers to enhance the efficiency and stability of cocatalyst-modified photocatalysts in the field of photocatalysis.</w:t>
      </w:r>
    </w:p>
    <w:p>
      <w:pPr>
        <w:spacing w:before="120" w:after="120"/>
      </w:pPr>
      <w:r>
        <w:rPr>
          <w:sz w:val="18"/>
        </w:rPr>
        <w:t>——————————————————————————————————————————————————————————————————————</w:t>
      </w:r>
    </w:p>
    <w:p>
      <w:pPr>
        <w:spacing w:before="160" w:after="40" w:line="240" w:lineRule="auto"/>
      </w:pPr>
      <w:r>
        <w:rPr>
          <w:b/>
        </w:rPr>
        <w:t xml:space="preserve">[358] </w:t>
      </w:r>
      <w:hyperlink r:id="rId735">
        <w:r>
          <w:rPr>
            <w:color w:val="1155CC"/>
            <w:u w:val="single"/>
          </w:rPr>
          <w:t>晶体材料的生成模型</w:t>
        </w:r>
      </w:hyperlink>
    </w:p>
    <w:p>
      <w:pPr>
        <w:spacing w:before="0" w:after="80"/>
      </w:pPr>
      <w:r>
        <w:rPr>
          <w:i/>
          <w:sz w:val="20"/>
        </w:rPr>
        <w:t>EN: Generative Models for Crystalline Materials</w:t>
      </w:r>
    </w:p>
    <w:p>
      <w:pPr>
        <w:spacing w:before="0" w:after="120"/>
      </w:pPr>
      <w:r>
        <w:rPr>
          <w:b/>
        </w:rPr>
        <w:t xml:space="preserve">Source: </w:t>
      </w:r>
      <w:r>
        <w:t>Wiley: Advanced Materials: Table of Contents</w:t>
      </w:r>
      <w:r>
        <w:t xml:space="preserve">    </w:t>
      </w:r>
      <w:r>
        <w:rPr>
          <w:b/>
        </w:rPr>
        <w:t xml:space="preserve">Pub date: </w:t>
      </w:r>
      <w:r>
        <w:t>2026-02-26 14:05:00+00:00</w:t>
      </w:r>
      <w:r>
        <w:t xml:space="preserve">    </w:t>
      </w:r>
      <w:r>
        <w:rPr>
          <w:b/>
        </w:rPr>
        <w:t xml:space="preserve">DOI: </w:t>
      </w:r>
      <w:hyperlink r:id="rId736">
        <w:r>
          <w:rPr>
            <w:color w:val="1155CC"/>
            <w:u w:val="single"/>
          </w:rPr>
          <w:t>10.1002/adma.202523620</w:t>
        </w:r>
      </w:hyperlink>
    </w:p>
    <w:p>
      <w:pPr>
        <w:spacing w:before="0" w:after="120"/>
      </w:pPr>
      <w:r>
        <w:rPr>
          <w:b/>
        </w:rPr>
        <w:t xml:space="preserve">Notes: </w:t>
      </w:r>
      <w:r>
        <w:t>abstract_source=pubmed</w:t>
      </w:r>
    </w:p>
    <w:p>
      <w:pPr>
        <w:spacing w:before="0" w:after="80" w:lineRule="auto" w:line="276"/>
      </w:pPr>
      <w:r>
        <w:rPr>
          <w:b/>
        </w:rPr>
        <w:t xml:space="preserve">摘要（ZH）: </w:t>
      </w:r>
      <w:r>
        <w:t>理解材料的结构-性质关系是凝聚态物理和材料科学的基础。在过去的几年中，机器学习（ML）已成为推进这一理解和加速材料发现的强大工具。早期的ML方法主要集中在构建和筛选大型材料空间，以识别各种应用的有前途候选者。最近，研究工作越来越多地转向使用端到端生成模型生成晶体结构。这篇综述分析了晶体结构预测和从头生成的生成建模的现状。它检查了晶体表示，概述了用于设计晶体结构的生成模型，并评估了它们的结果。</w:t>
      </w:r>
    </w:p>
    <w:p>
      <w:pPr>
        <w:spacing w:before="0" w:after="200" w:lineRule="auto" w:line="276"/>
      </w:pPr>
      <w:r>
        <w:rPr>
          <w:b/>
        </w:rPr>
        <w:t xml:space="preserve">Abstract (EN): </w:t>
      </w:r>
      <w:r>
        <w:t>Understanding structure-property relationships in materials is fundamental in condensed matter physics and materials science. Over the past few years, machine learning (ML) has emerged as a powerful tool for advancing this understanding and accelerating materials discovery. Early ML approaches primarily focused on constructing and screening large material spaces to identify promising candidates for various applications. More recently, research efforts have increasingly shifted toward generating crystal structures using end-to-end generative models. This review analyzes the current state of generative modeling for crystal structure prediction and de novo generation. It examines crystal representations, outlines the generative models used to design crystal structures, and evaluates their respective strengths and limitations. Furthermore, the review highlights experimental considerations for evaluating generated structures and provides recommendations for suitable existing software tools. Emerging topics, such as modeling disorder and defects, integration in advanced characterization, incorporating synthetic feasibility constraints, and model explainability are explored. Ultimately, this work aims to inform both experimental scientists looking to adapt suitable ML models to their specific circumstances and ML specialists seeking to understand the unique challenges related to inverse materials design and discovery.</w:t>
      </w:r>
    </w:p>
    <w:p>
      <w:pPr>
        <w:spacing w:before="120" w:after="120"/>
      </w:pPr>
      <w:r>
        <w:rPr>
          <w:sz w:val="18"/>
        </w:rPr>
        <w:t>——————————————————————————————————————————————————————————————————————</w:t>
      </w:r>
    </w:p>
    <w:p>
      <w:pPr>
        <w:spacing w:before="160" w:after="40" w:line="240" w:lineRule="auto"/>
      </w:pPr>
      <w:r>
        <w:rPr>
          <w:b/>
        </w:rPr>
        <w:t xml:space="preserve">[359] </w:t>
      </w:r>
      <w:hyperlink r:id="rId737">
        <w:r>
          <w:rPr>
            <w:color w:val="1155CC"/>
            <w:u w:val="single"/>
          </w:rPr>
          <w:t>无添加剂离子型聚氨酯，具有超灵敏热可切换导电性和熔融稳定性</w:t>
        </w:r>
      </w:hyperlink>
    </w:p>
    <w:p>
      <w:pPr>
        <w:spacing w:before="0" w:after="80"/>
      </w:pPr>
      <w:r>
        <w:rPr>
          <w:i/>
          <w:sz w:val="20"/>
        </w:rPr>
        <w:t>EN: Additive‐Free Ionic Polyurethanes with Ultrasensitive Thermo‐Switchable Conductivity and Melting Stability</w:t>
      </w:r>
    </w:p>
    <w:p>
      <w:pPr>
        <w:spacing w:before="0" w:after="120"/>
      </w:pPr>
      <w:r>
        <w:rPr>
          <w:b/>
        </w:rPr>
        <w:t xml:space="preserve">Source: </w:t>
      </w:r>
      <w:r>
        <w:t>Wiley: Advanced Materials: Table of Contents</w:t>
      </w:r>
      <w:r>
        <w:t xml:space="preserve">    </w:t>
      </w:r>
      <w:r>
        <w:rPr>
          <w:b/>
        </w:rPr>
        <w:t xml:space="preserve">Pub date: </w:t>
      </w:r>
      <w:r>
        <w:t>2026-02-26 14:28:56+00:00</w:t>
      </w:r>
      <w:r>
        <w:t xml:space="preserve">    </w:t>
      </w:r>
      <w:r>
        <w:rPr>
          <w:b/>
        </w:rPr>
        <w:t xml:space="preserve">DOI: </w:t>
      </w:r>
      <w:hyperlink r:id="rId738">
        <w:r>
          <w:rPr>
            <w:color w:val="1155CC"/>
            <w:u w:val="single"/>
          </w:rPr>
          <w:t>10.1002/adma.72643</w:t>
        </w:r>
      </w:hyperlink>
    </w:p>
    <w:p>
      <w:pPr>
        <w:spacing w:before="0" w:after="120"/>
      </w:pPr>
      <w:r>
        <w:rPr>
          <w:b/>
        </w:rPr>
        <w:t xml:space="preserve">Notes: </w:t>
      </w:r>
      <w:r>
        <w:t>abstract_source=pubmed</w:t>
      </w:r>
    </w:p>
    <w:p>
      <w:pPr>
        <w:spacing w:before="0" w:after="80" w:lineRule="auto" w:line="276"/>
      </w:pPr>
      <w:r>
        <w:rPr>
          <w:b/>
        </w:rPr>
        <w:t xml:space="preserve">摘要（ZH）: </w:t>
      </w:r>
      <w:r>
        <w:t>热可切换离子导电聚合物（TSIPs）在柔性电子和信息加密方面显示出相当大的应用潜力。然而，它们的实际应用经常受到一些固有限制的影响，包括离子浸出、界面不稳定性和导电性切换中的温度敏感性不足。为了解决这些问题，这里报道了一系列特征为共价接枝离子基团而非小分子添加剂的离子聚氨酯。这种合理设计不仅提供了离子传输路径，还通过改变结晶软段的长度实现了精确的温度可切换导电性。所得的TSIPs表现出超灵敏的热电响应，具有创纪录的高温系数。</w:t>
      </w:r>
    </w:p>
    <w:p>
      <w:pPr>
        <w:spacing w:before="0" w:after="200" w:lineRule="auto" w:line="276"/>
      </w:pPr>
      <w:r>
        <w:rPr>
          <w:b/>
        </w:rPr>
        <w:t xml:space="preserve">Abstract (EN): </w:t>
      </w:r>
      <w:r>
        <w:t>Thermally switchable ion-conductive polymers (TSIPs) show considerable application potential for flexible electronics and information encryption. However, their practical implementation is frequently affected by several inherent limitations, including ion leaching, interfacial instability, and inadequate temperature sensitivity in conductivity switching. To address these issues, a series of ionic polyurethanes featuring covalently grafted ionic groups, rather than small-molecule additives, is reported here. This rational design not only provides ion transport pathways, but also enables precise temperature-switchable conductivity by varying the length of crystalline soft segments. The resulting TSIPs exhibit an ultra-sensitive thermo-electrical response with a record-high temperature coefficient of conductivity of up to 30.2%°C- 1. Modeling of electrode polarization reveals that ion transport at elevated temperatures operates through a dual mechanism: a "swing-like" segmental motion coupled with dynamic reconstruction of ionic clusters. The dynamic reorganization of ionic clusters promotes efficient charge mobility and provides physical crosslinking networks that ensure mechanical integrity in the melt state. Furthermore, they function as intrinsic fluorophores, producing stable photoluminescence. With the integration of intrinsic fluorescent properties and reversible opaque-to-transparent and insulating-to-conducting transitions, the polyurethanes developed in this work establish a versatile platform for multimodal anti-counterfeiting applications.</w:t>
      </w:r>
    </w:p>
    <w:p>
      <w:pPr>
        <w:spacing w:before="120" w:after="120"/>
      </w:pPr>
      <w:r>
        <w:rPr>
          <w:sz w:val="18"/>
        </w:rPr>
        <w:t>——————————————————————————————————————————————————————————————————————</w:t>
      </w:r>
    </w:p>
    <w:p>
      <w:pPr>
        <w:spacing w:before="160" w:after="40" w:line="240" w:lineRule="auto"/>
      </w:pPr>
      <w:r>
        <w:rPr>
          <w:b/>
        </w:rPr>
        <w:t xml:space="preserve">[360] </w:t>
      </w:r>
      <w:hyperlink r:id="rId739">
        <w:r>
          <w:rPr>
            <w:color w:val="1155CC"/>
            <w:u w:val="single"/>
          </w:rPr>
          <w:t>用于可拉伸电子产品的生物相容和可功能化的核壳导电纳米复合材料的原位合成</w:t>
        </w:r>
      </w:hyperlink>
    </w:p>
    <w:p>
      <w:pPr>
        <w:spacing w:before="0" w:after="80"/>
      </w:pPr>
      <w:r>
        <w:rPr>
          <w:i/>
          <w:sz w:val="20"/>
        </w:rPr>
        <w:t>EN: In Situ Synthesis of Biocompatible and Functionalizable Core–Shell Conductive Nanocomposites for Stretchable Electronics</w:t>
      </w:r>
    </w:p>
    <w:p>
      <w:pPr>
        <w:spacing w:before="0" w:after="120"/>
      </w:pPr>
      <w:r>
        <w:rPr>
          <w:b/>
        </w:rPr>
        <w:t xml:space="preserve">Source: </w:t>
      </w:r>
      <w:r>
        <w:t>Wiley: Advanced Materials: Table of Contents</w:t>
      </w:r>
      <w:r>
        <w:t xml:space="preserve">    </w:t>
      </w:r>
      <w:r>
        <w:rPr>
          <w:b/>
        </w:rPr>
        <w:t xml:space="preserve">Pub date: </w:t>
      </w:r>
      <w:r>
        <w:t>2026-02-26 14:55:10+00:00</w:t>
      </w:r>
      <w:r>
        <w:t xml:space="preserve">    </w:t>
      </w:r>
      <w:r>
        <w:rPr>
          <w:b/>
        </w:rPr>
        <w:t xml:space="preserve">DOI: </w:t>
      </w:r>
      <w:hyperlink r:id="rId740">
        <w:r>
          <w:rPr>
            <w:color w:val="1155CC"/>
            <w:u w:val="single"/>
          </w:rPr>
          <w:t>10.1002/adma.202520928</w:t>
        </w:r>
      </w:hyperlink>
    </w:p>
    <w:p>
      <w:pPr>
        <w:spacing w:before="0" w:after="120"/>
      </w:pPr>
      <w:r>
        <w:rPr>
          <w:b/>
        </w:rPr>
        <w:t xml:space="preserve">Notes: </w:t>
      </w:r>
      <w:r>
        <w:t>abstract_source=pubmed</w:t>
      </w:r>
    </w:p>
    <w:p>
      <w:pPr>
        <w:spacing w:before="0" w:after="80" w:lineRule="auto" w:line="276"/>
      </w:pPr>
      <w:r>
        <w:rPr>
          <w:b/>
        </w:rPr>
        <w:t xml:space="preserve">摘要（ZH）: </w:t>
      </w:r>
      <w:r>
        <w:t>可拉伸电子产品有望彻底改变智能可穿戴设备和生物医学植入物，但其进展因缺乏生物相容性和易于功能化的导体而受阻。虽然基于银纳米线（Ag NW）的复合材料显示出前景，但其细胞毒性和化学不稳定性通常需要复杂的贵金属涂层钝化。在此，我们介绍了一种可扩展的原位合成方法，直接将Ag NWs和碳纳米管（CNTs）的图案化混合物转化为分层的核壳结构。所得材料具有导电纳米复合材料核心，由保护性、富含CNT的壳包裹，实现了高导电性（5100 S/cm）、可拉伸性（&gt;200%应变）和类碳生物相容性。其广泛的电化学稳定性窗口允许直接</w:t>
      </w:r>
    </w:p>
    <w:p>
      <w:pPr>
        <w:spacing w:before="0" w:after="200" w:lineRule="auto" w:line="276"/>
      </w:pPr>
      <w:r>
        <w:rPr>
          <w:b/>
        </w:rPr>
        <w:t xml:space="preserve">Abstract (EN): </w:t>
      </w:r>
      <w:r>
        <w:t>Stretchable electronics are poised to revolutionize smart wearables and biomedical implants, yet their progress is hindered by the lack of biocompatible and easily functionalized conductors. While silver nanowire (Ag NW)-based composites show promise, their cytotoxicity and chemical instability often require complex passivation with noble metal coatings. Here, we introduce a scalable in situ synthesis that directly converts a patterned blend of Ag NWs and carbon nanotubes (CNTs) into a hierarchical core-shell architecture. The resulting material features a conductive nanocomposite core enveloped by a protective, CNT-rich shell, achieving high conductivity (5100 S/cm), stretchability (&gt;200% strain), and carbon-like biocompatibility. Its broad electrochemical stability window permits direct electroplating of active materials required for physical and chemical sensing. We demonstrate the utility of this platform via soft electronic patches that conform to dynamic skins and organs. In a compelling in vivo application, these patches successfully recorded pathological electrograms and terminated arrhythmia via closed-loop pacing therapy on a rabbit heart. This work establishes a general strategy for creating biocompatible compliant conductors as a key enabler for stretchable devices in health monitoring, medical therapies, and human-machine interfaces.</w:t>
      </w:r>
    </w:p>
    <w:p>
      <w:pPr>
        <w:spacing w:before="120" w:after="120"/>
      </w:pPr>
      <w:r>
        <w:rPr>
          <w:sz w:val="18"/>
        </w:rPr>
        <w:t>——————————————————————————————————————————————————————————————————————</w:t>
      </w:r>
    </w:p>
    <w:p>
      <w:pPr>
        <w:spacing w:before="160" w:after="40" w:line="240" w:lineRule="auto"/>
      </w:pPr>
      <w:r>
        <w:rPr>
          <w:b/>
        </w:rPr>
        <w:t xml:space="preserve">[361] </w:t>
      </w:r>
      <w:hyperlink r:id="rId741">
        <w:r>
          <w:rPr>
            <w:color w:val="1155CC"/>
            <w:u w:val="single"/>
          </w:rPr>
          <w:t>具有异质合金半透明电极的高性能柔性近红外有机发光二极管</w:t>
        </w:r>
      </w:hyperlink>
    </w:p>
    <w:p>
      <w:pPr>
        <w:spacing w:before="0" w:after="80"/>
      </w:pPr>
      <w:r>
        <w:rPr>
          <w:i/>
          <w:sz w:val="20"/>
        </w:rPr>
        <w:t>EN: High‐Performance Flexible Near‐Infrared Organic Light‐Emitting Diodes with a Heterogeneous Alloy Semitransparent Electrode</w:t>
      </w:r>
    </w:p>
    <w:p>
      <w:pPr>
        <w:spacing w:before="0" w:after="120"/>
      </w:pPr>
      <w:r>
        <w:rPr>
          <w:b/>
        </w:rPr>
        <w:t xml:space="preserve">Source: </w:t>
      </w:r>
      <w:r>
        <w:t>Wiley: Advanced Materials: Table of Contents</w:t>
      </w:r>
      <w:r>
        <w:t xml:space="preserve">    </w:t>
      </w:r>
      <w:r>
        <w:rPr>
          <w:b/>
        </w:rPr>
        <w:t xml:space="preserve">Pub date: </w:t>
      </w:r>
      <w:r>
        <w:t>2026-02-26 15:15:47+00:00</w:t>
      </w:r>
      <w:r>
        <w:t xml:space="preserve">    </w:t>
      </w:r>
      <w:r>
        <w:rPr>
          <w:b/>
        </w:rPr>
        <w:t xml:space="preserve">DOI: </w:t>
      </w:r>
      <w:hyperlink r:id="rId742">
        <w:r>
          <w:rPr>
            <w:color w:val="1155CC"/>
            <w:u w:val="single"/>
          </w:rPr>
          <w:t>10.1002/adma.202518212</w:t>
        </w:r>
      </w:hyperlink>
    </w:p>
    <w:p>
      <w:pPr>
        <w:spacing w:before="0" w:after="120"/>
      </w:pPr>
      <w:r>
        <w:rPr>
          <w:b/>
        </w:rPr>
        <w:t xml:space="preserve">Notes: </w:t>
      </w:r>
      <w:r>
        <w:t>abstract_source=pubmed</w:t>
      </w:r>
    </w:p>
    <w:p>
      <w:pPr>
        <w:spacing w:before="0" w:after="80" w:lineRule="auto" w:line="276"/>
      </w:pPr>
      <w:r>
        <w:rPr>
          <w:b/>
        </w:rPr>
        <w:t xml:space="preserve">摘要（ZH）: </w:t>
      </w:r>
      <w:r>
        <w:t>柔性近红外（NIR）有机发光二极管（OLEDs）由于NIR发射体的低光致发光量子产率（PLQYs）而面临效率挑战，这受能隙定律的支配。通过光学微腔中的Purcell效应加速辐射跃迁提供了解决方案，但传统的柔性半透明电极难以平衡微腔增强的PLQY和光输出耦合效率（OCE）。我们通过一种微结构镁-铋（Mg-Bi）合金电极解决了这一问题，该电极提供40%的宽带透射率（400-1600 nm）和导电性（29.3 Ω ◻-1）。合金的低实部介电常数支持较少受限的表面等离子体激元，并通过封顶层，在有机到空气的光学配置中实现60%的NIR透射率。该设计实现</w:t>
      </w:r>
    </w:p>
    <w:p>
      <w:pPr>
        <w:spacing w:before="0" w:after="200" w:lineRule="auto" w:line="276"/>
      </w:pPr>
      <w:r>
        <w:rPr>
          <w:b/>
        </w:rPr>
        <w:t xml:space="preserve">Abstract (EN): </w:t>
      </w:r>
      <w:r>
        <w:t>Flexible near-infrared (NIR) organic light-emitting diodes (OLEDs) face efficiency challenges due to low photoluminescence quantum yields (PLQYs) in NIR emitters, governed by the energy gap law. Accelerating radiative transitions via the Purcell effect in optical microcavities offers a solution, but conventional flexible semitransparent electrodes struggle to balance microcavity-enhanced PLQY and light outcoupling efficiency (OCE). We address this with a micro-structured magnesium-bismuth (Mg-Bi) alloy electrode offering 40% broadband transmittance (400-1600 nm) and conductivity (29.3 Ω ◻-1). The alloy's low real permittivity supports less confined surface plasmon polariton and, with a capping layer, yields 60% NIR transmittance in an organic-to-air optical configuration. This design achieves 42.3% OCE and elevates the PLQY of a 704 nm NIR emitter to 71.8%, enabling flexible NIR-OLEDs with a record 24.3% external quantum efficiency. The synergy of optical engineering and conductive microstructures establishes a universal strategy for high-efficiency flexible NIR optoelectronics.</w:t>
      </w:r>
    </w:p>
    <w:p>
      <w:pPr>
        <w:spacing w:before="120" w:after="120"/>
      </w:pPr>
      <w:r>
        <w:rPr>
          <w:sz w:val="18"/>
        </w:rPr>
        <w:t>——————————————————————————————————————————————————————————————————————</w:t>
      </w:r>
    </w:p>
    <w:p>
      <w:pPr>
        <w:spacing w:before="160" w:after="40" w:line="240" w:lineRule="auto"/>
      </w:pPr>
      <w:r>
        <w:rPr>
          <w:b/>
        </w:rPr>
        <w:t xml:space="preserve">[362] </w:t>
      </w:r>
      <w:hyperlink r:id="rId743">
        <w:r>
          <w:rPr>
            <w:color w:val="1155CC"/>
            <w:u w:val="single"/>
          </w:rPr>
          <w:t>[ASAP] 多功能2-氧代戊二酸依赖性双加氧酶催化自由基介导的多功能骨架重构和紫杉烷的氧化修饰</w:t>
        </w:r>
      </w:hyperlink>
    </w:p>
    <w:p>
      <w:pPr>
        <w:spacing w:before="0" w:after="80"/>
      </w:pPr>
      <w:r>
        <w:rPr>
          <w:i/>
          <w:sz w:val="20"/>
        </w:rPr>
        <w:t>EN: [ASAP] Versatile 2-Oxoglutarate-Dependent Dioxygenases Catalyze Radical-Mediated Multifunctional Skeleton Reconstructions and Oxidation Modifications of Taxoids</w:t>
      </w:r>
    </w:p>
    <w:p>
      <w:pPr>
        <w:spacing w:before="0" w:after="120"/>
      </w:pPr>
      <w:r>
        <w:rPr>
          <w:b/>
        </w:rPr>
        <w:t xml:space="preserve">Source: </w:t>
      </w:r>
      <w:r>
        <w:t>Journal of the American Chemical Society: Latest Articles (ACS Publications)</w:t>
      </w:r>
      <w:r>
        <w:t xml:space="preserve">    </w:t>
      </w:r>
      <w:r>
        <w:rPr>
          <w:b/>
        </w:rPr>
        <w:t xml:space="preserve">Pub date: </w:t>
      </w:r>
      <w:r>
        <w:t>2026-02-26 15:31:39+00:00</w:t>
      </w:r>
      <w:r>
        <w:t xml:space="preserve">    </w:t>
      </w:r>
      <w:r>
        <w:rPr>
          <w:b/>
        </w:rPr>
        <w:t xml:space="preserve">DOI: </w:t>
      </w:r>
      <w:hyperlink r:id="rId744">
        <w:r>
          <w:rPr>
            <w:color w:val="1155CC"/>
            <w:u w:val="single"/>
          </w:rPr>
          <w:t>10.1021/jacs.6c01169</w:t>
        </w:r>
      </w:hyperlink>
    </w:p>
    <w:p>
      <w:pPr>
        <w:spacing w:before="0" w:after="120"/>
      </w:pPr>
      <w:r>
        <w:rPr>
          <w:b/>
        </w:rPr>
        <w:t xml:space="preserve">Notes: </w:t>
      </w:r>
      <w:r>
        <w:t>abstract_source=openalex</w:t>
      </w:r>
    </w:p>
    <w:p>
      <w:pPr>
        <w:spacing w:before="0" w:after="80" w:lineRule="auto" w:line="276"/>
      </w:pPr>
      <w:r>
        <w:rPr>
          <w:b/>
        </w:rPr>
        <w:t xml:space="preserve">摘要（ZH）: </w:t>
      </w:r>
      <w:r>
        <w:t>紫杉烷二萜类化合物表现出高度的骨架多样性，其中6/8/6和5/7/6框架是最常见的。以紫杉尖J为例的5/7/6紫杉类化合物显示出有前景的药理活性，但其化学多样性和生物合成仍然大多未被探索。在此，我们表征了两种新型2-氧代戊二酸依赖性双加氧酶，TcOGD1和TcOGD2，它们表现出显著的催化多样性，包括从6/8/6紫杉烷到5/7/6、&lt;i&gt;trinor&lt;/i&gt;-5/7/6和6/12框架的骨架重构，以及在各种紫杉类化合物的C-5、C-6、C-16或C-20位的氧化修饰。具体而言，它们催化2-去乙酰紫杉宁J（一种6/8/6紫杉类化合物）的骨架重排和后续氧化修饰，以产生紫杉尖J和一组15,16,17-&lt;i&gt;trinor&lt;/i&gt;-5/7/6紫杉类化合物</w:t>
      </w:r>
    </w:p>
    <w:p>
      <w:pPr>
        <w:spacing w:before="0" w:after="200" w:lineRule="auto" w:line="276"/>
      </w:pPr>
      <w:r>
        <w:rPr>
          <w:b/>
        </w:rPr>
        <w:t xml:space="preserve">Abstract (EN): </w:t>
      </w:r>
      <w:r>
        <w:t>Taxane diterpenoids exhibit high scaffold diversity, with 6/8/6 and 5/7/6 frameworks being the most common. 5/7/6 taxoids, exemplified by taxuspine J, display promising pharmacological activities, but their chemical diversity and biosynthesis remain largely unexplored. Here, we characterized two novel 2-oxoglutarate-dependent dioxygenases, TcOGD1 and TcOGD2, which exhibit remarkable catalytic versatility, including skeleton reconstructions from 6/8/6 taxanes to 5/7/6, &lt;i&gt;trinor&lt;/i&gt;-5/7/6, and 6/12 frameworks, and oxidation modifications at C-5, C-6, C-16, or C-20 of various taxoids. Specifically, they catalyze the skeletal rearrangement of 2-deacetoxytaxinine J (a 6/8/6 taxoid) and subsequent oxidation modifications to produce taxuspine J and a panel of 15,16,17-&lt;i&gt;trinor&lt;/i&gt;-5/7/6 taxoids, which were identified through scale-up enzymatic reactions and NMR spectroscopy. Mechanistic investigation reveals a substrate-specific oxidative degradation for constructing the &lt;i&gt;trinor&lt;/i&gt;-5/7/6 scaffold via radical-mediated C-C bond cleavage, accompanied by acetone release. In addition, TcOGD1 catalyzes two distinct transformations of a new Δ&lt;sup&gt;5,6&lt;/sup&gt; containing 6/8/6 taxoid isolated from &lt;i&gt;Taxus chinensis&lt;/i&gt; var. &lt;i&gt;mairei&lt;/i&gt;, including C-C bond cleavage coupled with aldehyde formation to form a unique highly unsaturated 6/12 taxoid, and C-16 aldehyde formation to yield a 6/8/6 taxoid. TcOGD1 also mediates the 5-OH oxidation of a 6/10/6 taxoid. Furthermore, five novel &lt;i&gt;trinor&lt;/i&gt;-5/7/6 taxoids were isolated from the &lt;i&gt;Taxus&lt;/i&gt; plant, and taxuspine J and &lt;i&gt;trinor&lt;/i&gt;-5/7/6 taxoids showed effective tumor resistance reversal activity. Our findings offered new insights into the formation of taxane structural diversity, expanded the chemical space of taxane diterpenoids, and provided valuable biocatalytic tools for constructing unusual taxane architectures through enzyme engineering or synthetic biology.</w:t>
      </w:r>
    </w:p>
    <w:p>
      <w:pPr>
        <w:spacing w:before="120" w:after="120"/>
      </w:pPr>
      <w:r>
        <w:rPr>
          <w:sz w:val="18"/>
        </w:rPr>
        <w:t>——————————————————————————————————————————————————————————————————————</w:t>
      </w:r>
    </w:p>
    <w:p>
      <w:pPr>
        <w:spacing w:before="160" w:after="40" w:line="240" w:lineRule="auto"/>
      </w:pPr>
      <w:r>
        <w:rPr>
          <w:b/>
        </w:rPr>
        <w:t xml:space="preserve">[363] </w:t>
      </w:r>
      <w:hyperlink r:id="rId745">
        <w:r>
          <w:rPr>
            <w:color w:val="1155CC"/>
            <w:u w:val="single"/>
          </w:rPr>
          <w:t>[ASAP] 使用核酸电化学适配体传感器进行的连续一周、秒级分辨率的体内药物测量</w:t>
        </w:r>
      </w:hyperlink>
    </w:p>
    <w:p>
      <w:pPr>
        <w:spacing w:before="0" w:after="80"/>
      </w:pPr>
      <w:r>
        <w:rPr>
          <w:i/>
          <w:sz w:val="20"/>
        </w:rPr>
        <w:t>EN: [ASAP] Continuous, Week-Long, Seconds-Resolved In Vivo Drug Measurements Performed with a Xenonucleic Acid-Employing Electrochemical, Aptamer-Based Sensor</w:t>
      </w:r>
    </w:p>
    <w:p>
      <w:pPr>
        <w:spacing w:before="0" w:after="120"/>
      </w:pPr>
      <w:r>
        <w:rPr>
          <w:b/>
        </w:rPr>
        <w:t xml:space="preserve">Source: </w:t>
      </w:r>
      <w:r>
        <w:t>Journal of the American Chemical Society: Latest Articles (ACS Publications)</w:t>
      </w:r>
      <w:r>
        <w:t xml:space="preserve">    </w:t>
      </w:r>
      <w:r>
        <w:rPr>
          <w:b/>
        </w:rPr>
        <w:t xml:space="preserve">Pub date: </w:t>
      </w:r>
      <w:r>
        <w:t>2026-02-26 15:34:14+00:00</w:t>
      </w:r>
      <w:r>
        <w:t xml:space="preserve">    </w:t>
      </w:r>
      <w:r>
        <w:rPr>
          <w:b/>
        </w:rPr>
        <w:t xml:space="preserve">DOI: </w:t>
      </w:r>
      <w:hyperlink r:id="rId746">
        <w:r>
          <w:rPr>
            <w:color w:val="1155CC"/>
            <w:u w:val="single"/>
          </w:rPr>
          <w:t>10.1021/jacs.5c22605</w:t>
        </w:r>
      </w:hyperlink>
    </w:p>
    <w:p>
      <w:pPr>
        <w:spacing w:before="0" w:after="120"/>
      </w:pPr>
      <w:r>
        <w:rPr>
          <w:b/>
        </w:rPr>
        <w:t xml:space="preserve">Notes: </w:t>
      </w:r>
      <w:r>
        <w:t>abstract_source=openalex</w:t>
      </w:r>
    </w:p>
    <w:p>
      <w:pPr>
        <w:spacing w:before="0" w:after="80" w:lineRule="auto" w:line="276"/>
      </w:pPr>
      <w:r>
        <w:rPr>
          <w:b/>
        </w:rPr>
        <w:t xml:space="preserve">摘要（ZH）: </w:t>
      </w:r>
      <w:r>
        <w:t>持续和实时监测体内药物和生物标志物浓度的能力可以改变我们对生理学的理解，增强疾病的诊断和监测，并实现高精度、真正个性化的药物剂量。为实现这一目标，我们正在开发基于电化学适配体的（EAB）传感器，这是迄今为止唯一能够在活体受试者的静脉、大脑和外周组织中原位测量从小分子药物到蛋白质生物标志物等多种分子的实时监测技术。尽管取得了这一进展，但仍然存在一个重大挑战：迄今为止，其目标识别适配体的降解限制了EAB传感器在体内操作的时间不到24小时，降低了该平台的临床和科学</w:t>
      </w:r>
    </w:p>
    <w:p>
      <w:pPr>
        <w:spacing w:before="0" w:after="200" w:lineRule="auto" w:line="276"/>
      </w:pPr>
      <w:r>
        <w:rPr>
          <w:b/>
        </w:rPr>
        <w:t xml:space="preserve">Abstract (EN): </w:t>
      </w:r>
      <w:r>
        <w:t>The ability to monitor drug and biomarker concentrations in the body continuously and in real time could transform our understanding of physiology, enhance the diagnosis and monitoring of disease, and enable high-precision, truly personalized drug dosing. Toward this goal, we are developing electrochemical aptamer-based (EAB) sensors, the only real-time monitoring technology yet shown able to measure molecules as diverse as small molecule drugs to protein biomarkers in situ in the veins, brains, and peripheral tissues of live subjects. This advance notwithstanding, a significant challenge nevertheless remains: to date, degradation of their target-recognizing aptamer has limited the demonstrated, in vivo operation of EAB sensors to less than 24 h, reducing the platform’s clinical and scientific utility. Notably, for example, the continuous glucose monitor did not come into widespread clinical use until it reached an in vivo duration of 5 days, with current models achieving an operational duration of 2 weeks. Thus motivated, here we use a non-natural, more nuclease-resistant “xenonucleic” acid (XNA) aptamer to extend the continuous, in vivo operation of EAB sensors to 1 week, with the latter encompassing &gt;47,000 real-time, 12.8 s-resolved measurements. Moreover, we have reached this operational duration without employing protective membranes, which can harm sensor performance and complicate sensor fabrication and insertion. The week-long in vivo operation demonstrated here represents a crucial milestone for clinical adoption and experimental flexibility, marking a shift from short-term testing toward robust, long-duration, real-time molecular measurements.</w:t>
      </w:r>
    </w:p>
    <w:p>
      <w:pPr>
        <w:spacing w:before="120" w:after="120"/>
      </w:pPr>
      <w:r>
        <w:rPr>
          <w:sz w:val="18"/>
        </w:rPr>
        <w:t>——————————————————————————————————————————————————————————————————————</w:t>
      </w:r>
    </w:p>
    <w:p>
      <w:pPr>
        <w:spacing w:before="160" w:after="40" w:line="240" w:lineRule="auto"/>
      </w:pPr>
      <w:r>
        <w:rPr>
          <w:b/>
        </w:rPr>
        <w:t xml:space="preserve">[364] </w:t>
      </w:r>
      <w:hyperlink r:id="rId747">
        <w:r>
          <w:rPr>
            <w:color w:val="1155CC"/>
            <w:u w:val="single"/>
          </w:rPr>
          <w:t>[ASAP] 非晶砷中的中程结构有序</w:t>
        </w:r>
      </w:hyperlink>
    </w:p>
    <w:p>
      <w:pPr>
        <w:spacing w:before="0" w:after="80"/>
      </w:pPr>
      <w:r>
        <w:rPr>
          <w:i/>
          <w:sz w:val="20"/>
        </w:rPr>
        <w:t>EN: [ASAP] Medium-Range Structural Order in Amorphous Arsenic</w:t>
      </w:r>
    </w:p>
    <w:p>
      <w:pPr>
        <w:spacing w:before="0" w:after="120"/>
      </w:pPr>
      <w:r>
        <w:rPr>
          <w:b/>
        </w:rPr>
        <w:t xml:space="preserve">Source: </w:t>
      </w:r>
      <w:r>
        <w:t>Journal of the American Chemical Society: Latest Articles (ACS Publications)</w:t>
      </w:r>
      <w:r>
        <w:t xml:space="preserve">    </w:t>
      </w:r>
      <w:r>
        <w:rPr>
          <w:b/>
        </w:rPr>
        <w:t xml:space="preserve">Pub date: </w:t>
      </w:r>
      <w:r>
        <w:t>2026-02-26 15:39:17+00:00</w:t>
      </w:r>
      <w:r>
        <w:t xml:space="preserve">    </w:t>
      </w:r>
      <w:r>
        <w:rPr>
          <w:b/>
        </w:rPr>
        <w:t xml:space="preserve">DOI: </w:t>
      </w:r>
      <w:hyperlink r:id="rId748">
        <w:r>
          <w:rPr>
            <w:color w:val="1155CC"/>
            <w:u w:val="single"/>
          </w:rPr>
          <w:t>10.1021/jacs.5c18688</w:t>
        </w:r>
      </w:hyperlink>
    </w:p>
    <w:p>
      <w:pPr>
        <w:spacing w:before="0" w:after="120"/>
      </w:pPr>
      <w:r>
        <w:rPr>
          <w:b/>
        </w:rPr>
        <w:t xml:space="preserve">Notes: </w:t>
      </w:r>
      <w:r>
        <w:t>abstract_source=openalex</w:t>
      </w:r>
    </w:p>
    <w:p>
      <w:pPr>
        <w:spacing w:before="0" w:after="80" w:lineRule="auto" w:line="276"/>
      </w:pPr>
      <w:r>
        <w:rPr>
          <w:b/>
        </w:rPr>
        <w:t xml:space="preserve">摘要（ZH）: </w:t>
      </w:r>
      <w:r>
        <w:t>中程有序（MRO）是非晶材料的关键结构特征，但其起源和性质仍然难以捉摸。在此，我们使用基于机器学习势能的高级原子模拟揭示了非晶砷（a-As）中的MRO。我们的模拟准确再现了a-As的实验结构因子，特别是第一个尖锐衍射峰（FSDP），这是MRO的标志。我们将a-As的结构与其较轻的同系物红色非晶磷（a-P）的结构进行比较和对比：我们发现a-As具有更均匀的二面角分布，因此我们确认其结构可以在第一近似中被视为三重配位的连续随机网络，与更类似分子簇的结构形成对比</w:t>
      </w:r>
    </w:p>
    <w:p>
      <w:pPr>
        <w:spacing w:before="0" w:after="200" w:lineRule="auto" w:line="276"/>
      </w:pPr>
      <w:r>
        <w:rPr>
          <w:b/>
        </w:rPr>
        <w:t xml:space="preserve">Abstract (EN): </w:t>
      </w:r>
      <w:r>
        <w:t>Medium-range order (MRO) is a key structural feature of amorphous materials, but its origin and nature remain elusive. Here, we reveal the MRO in amorphous arsenic (a-As) using advanced atomistic simulations, based on machine-learned potentials derived using automated workflows. Our simulations accurately reproduce the experimental structure factor of a-As, especially the first sharp diffraction peak (FSDP), which is a signature of MRO. We compare and contrast the structure of a-As with that of its lighter homologue, red amorphous phosphorus (a-P): we find that a-As has a more uniform dihedral-angle distribution, and so we confirm that its structure can be thought of as a 3-fold coordinated continuous random network in first approximation, in contrast to the more molecular-cluster-like structure of a-P. The pressure-dependent structural behaviors of a-As and a-P differ as well, and the origin of the FSDP is closely correlated with the size and spatial distribution of voids in the amorphous networks. Our work provides fundamental insights into MRO in an amorphous elemental system, and more widely it illustrates the usefulness of automation for machine-learning-driven atomistic simulations.</w:t>
      </w:r>
    </w:p>
    <w:p>
      <w:pPr>
        <w:spacing w:before="120" w:after="120"/>
      </w:pPr>
      <w:r>
        <w:rPr>
          <w:sz w:val="18"/>
        </w:rPr>
        <w:t>——————————————————————————————————————————————————————————————————————</w:t>
      </w:r>
    </w:p>
    <w:p>
      <w:pPr>
        <w:spacing w:before="160" w:after="40" w:line="240" w:lineRule="auto"/>
      </w:pPr>
      <w:r>
        <w:rPr>
          <w:b/>
        </w:rPr>
        <w:t xml:space="preserve">[365] </w:t>
      </w:r>
      <w:hyperlink r:id="rId749">
        <w:r>
          <w:rPr>
            <w:color w:val="1155CC"/>
            <w:u w:val="single"/>
          </w:rPr>
          <w:t>[ASAP] 美罗花青连接的两性离子共价有机框架</w:t>
        </w:r>
      </w:hyperlink>
    </w:p>
    <w:p>
      <w:pPr>
        <w:spacing w:before="0" w:after="80"/>
      </w:pPr>
      <w:r>
        <w:rPr>
          <w:i/>
          <w:sz w:val="20"/>
        </w:rPr>
        <w:t>EN: [ASAP] Merocyanine-Linked Zwitterionic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2026-02-26 15:49:09+00:00</w:t>
      </w:r>
      <w:r>
        <w:t xml:space="preserve">    </w:t>
      </w:r>
      <w:r>
        <w:rPr>
          <w:b/>
        </w:rPr>
        <w:t xml:space="preserve">DOI: </w:t>
      </w:r>
      <w:hyperlink r:id="rId750">
        <w:r>
          <w:rPr>
            <w:color w:val="1155CC"/>
            <w:u w:val="single"/>
          </w:rPr>
          <w:t>10.1021/jacs.5c20548</w:t>
        </w:r>
      </w:hyperlink>
    </w:p>
    <w:p>
      <w:pPr>
        <w:spacing w:before="0" w:after="120"/>
      </w:pPr>
      <w:r>
        <w:rPr>
          <w:b/>
        </w:rPr>
        <w:t xml:space="preserve">Notes: </w:t>
      </w:r>
      <w:r>
        <w:t>abstract_source=openalex</w:t>
      </w:r>
    </w:p>
    <w:p>
      <w:pPr>
        <w:spacing w:before="0" w:after="80" w:lineRule="auto" w:line="276"/>
      </w:pPr>
      <w:r>
        <w:rPr>
          <w:b/>
        </w:rPr>
        <w:t xml:space="preserve">摘要（ZH）: </w:t>
      </w:r>
      <w:r>
        <w:t>美罗花青是经典的π-共轭系统，具有显著的双极性特征和独特的光电特性。在此，我们报告了通过&lt;i&gt;N&lt;/i&gt;-烷基吡啶盐与羟基三羧酸醛缩合合成的首个基于美罗花青的C=C连接的COFs。这些双极性COFs化学稳定，具有显著的电荷转移吸收带，波长可达∼850 nm。COFs内的强偶极相互作用导致孔径在响应介质极性时收缩/膨胀，表现为宏观膨胀和在高介电常数介质中的表面积增加。COFs可以在质子化时可逆地在黑色中性和黄色阳离子形式之间转换。密度泛函理论计算表明一种“全向”</w:t>
      </w:r>
    </w:p>
    <w:p>
      <w:pPr>
        <w:spacing w:before="0" w:after="200" w:lineRule="auto" w:line="276"/>
      </w:pPr>
      <w:r>
        <w:rPr>
          <w:b/>
        </w:rPr>
        <w:t xml:space="preserve">Abstract (EN): </w:t>
      </w:r>
      <w:r>
        <w:t>Merocyanines are classic π-conjugated systems with significant zwitterionic character and distinct optoelectronic properties. Here, we report the synthesis of the first merocyanine-based C = C-linked COFs through the condensation of &lt;i&gt;N&lt;/i&gt;-alkylcollidinium salts with hydroxytrimesic aldehyde. These zwitterionic COFs are chemically stable, with a pronounced charge-transfer absorption band to ∼850 nm. Strong dipolar interactions within the COFs result in pore contraction/expansion in response to the medium polarity, manifested in a macroscopic expansion and an increased surface area in a high dielectric constant medium. The COFs can reversibly transition between a black neutral and a yellow cationic form upon protonation. Density functional theory calculations suggest an "omnidirectional" π-conjugation with large band dispersions. Thin films of &lt;b&gt;EtMER-COF&lt;/b&gt; prepared by heterogeneous nucleation on glass/ITO substrates reveal a vertical orientation of its 2D sheets. Time-resolved spectroscopy of the thin film suggests the presence of stimulated emission as well as a long-lived excited state.</w:t>
      </w:r>
    </w:p>
    <w:p>
      <w:pPr>
        <w:spacing w:before="120" w:after="120"/>
      </w:pPr>
      <w:r>
        <w:rPr>
          <w:sz w:val="18"/>
        </w:rPr>
        <w:t>——————————————————————————————————————————————————————————————————————</w:t>
      </w:r>
    </w:p>
    <w:p>
      <w:pPr>
        <w:spacing w:before="160" w:after="40" w:line="240" w:lineRule="auto"/>
      </w:pPr>
      <w:r>
        <w:rPr>
          <w:b/>
        </w:rPr>
        <w:t xml:space="preserve">[366] </w:t>
      </w:r>
      <w:hyperlink r:id="rId751">
        <w:r>
          <w:rPr>
            <w:color w:val="1155CC"/>
            <w:u w:val="single"/>
          </w:rPr>
          <w:t>[ASAP] 极性相反：配体介导的钙钛矿量子点极性反转，具有亚纳米配体壳层</w:t>
        </w:r>
      </w:hyperlink>
    </w:p>
    <w:p>
      <w:pPr>
        <w:spacing w:before="0" w:after="80"/>
      </w:pPr>
      <w:r>
        <w:rPr>
          <w:i/>
          <w:sz w:val="20"/>
        </w:rPr>
        <w:t>EN: [ASAP] Polar Opposites: Ligand-Mediated Polarity Inversion for Perovskite Quantum Dots with Sub-Nanometer Ligand Shells</w:t>
      </w:r>
    </w:p>
    <w:p>
      <w:pPr>
        <w:spacing w:before="0" w:after="120"/>
      </w:pPr>
      <w:r>
        <w:rPr>
          <w:b/>
        </w:rPr>
        <w:t xml:space="preserve">Source: </w:t>
      </w:r>
      <w:r>
        <w:t>ACS Energy Letters: Latest Articles (ACS Publications)</w:t>
      </w:r>
      <w:r>
        <w:t xml:space="preserve">    </w:t>
      </w:r>
      <w:r>
        <w:rPr>
          <w:b/>
        </w:rPr>
        <w:t xml:space="preserve">Pub date: </w:t>
      </w:r>
      <w:r>
        <w:t>2026-02-26 15:49:35+00:00</w:t>
      </w:r>
      <w:r>
        <w:t xml:space="preserve">    </w:t>
      </w:r>
      <w:r>
        <w:rPr>
          <w:b/>
        </w:rPr>
        <w:t xml:space="preserve">DOI: </w:t>
      </w:r>
      <w:hyperlink r:id="rId752">
        <w:r>
          <w:rPr>
            <w:color w:val="1155CC"/>
            <w:u w:val="single"/>
          </w:rPr>
          <w:t>10.1021/acsenergylett.5c04073</w:t>
        </w:r>
      </w:hyperlink>
    </w:p>
    <w:p>
      <w:pPr>
        <w:spacing w:before="0" w:after="120"/>
      </w:pPr>
      <w:r>
        <w:rPr>
          <w:b/>
        </w:rPr>
        <w:t xml:space="preserve">Notes: </w:t>
      </w:r>
      <w:r>
        <w:t>abstract_source=openalex</w:t>
      </w:r>
    </w:p>
    <w:p>
      <w:pPr>
        <w:spacing w:before="0" w:after="80" w:lineRule="auto" w:line="276"/>
      </w:pPr>
      <w:r>
        <w:rPr>
          <w:b/>
        </w:rPr>
        <w:t xml:space="preserve">摘要（ZH）: </w:t>
      </w:r>
      <w:r>
        <w:t>钙钛矿量子点是有前途的经典和量子光发射体，但由于其高度离子化的晶格，在极性溶剂中具有有限的化学和胶体稳定性。在这项工作中，我们展示了用强结合的Gemini配体封端的钙钛矿量子点，其薄0.7 nm羟基封端配体可以在像乙醇这样的极性溶剂中胶体分散。</w:t>
      </w:r>
    </w:p>
    <w:p>
      <w:pPr>
        <w:spacing w:before="0" w:after="200" w:lineRule="auto" w:line="276"/>
      </w:pPr>
      <w:r>
        <w:rPr>
          <w:b/>
        </w:rPr>
        <w:t xml:space="preserve">Abstract (EN): </w:t>
      </w:r>
      <w:r>
        <w:t>Perovskite quantum dots are promising classical and quantum light emitters but have limited chemical and colloidal stability in polar solvents due to their highly ionic lattices. In this work we demonstrate that perovskite quantum dots capped with strongly binding Gemini ligands with thin 0.7 nm hydroxyl-terminated ligands can be colloidally dispersed in polar solvents like ethanol.</w:t>
      </w:r>
    </w:p>
    <w:p>
      <w:pPr>
        <w:spacing w:before="120" w:after="120"/>
      </w:pPr>
      <w:r>
        <w:rPr>
          <w:sz w:val="18"/>
        </w:rPr>
        <w:t>——————————————————————————————————————————————————————————————————————</w:t>
      </w:r>
    </w:p>
    <w:p>
      <w:pPr>
        <w:spacing w:before="160" w:after="40" w:line="240" w:lineRule="auto"/>
      </w:pPr>
      <w:r>
        <w:rPr>
          <w:b/>
        </w:rPr>
        <w:t xml:space="preserve">[367] </w:t>
      </w:r>
      <w:hyperlink r:id="rId753">
        <w:r>
          <w:rPr>
            <w:color w:val="1155CC"/>
            <w:u w:val="single"/>
          </w:rPr>
          <w:t>[ASAP] 稳定的含NH手性纳米石墨烯：用于手性光学和自旋选择性传输的电活性N掺杂π系统</w:t>
        </w:r>
      </w:hyperlink>
    </w:p>
    <w:p>
      <w:pPr>
        <w:spacing w:before="0" w:after="80"/>
      </w:pPr>
      <w:r>
        <w:rPr>
          <w:i/>
          <w:sz w:val="20"/>
        </w:rPr>
        <w:t>EN: [ASAP] A Stable, NH-Containing Chiral Nanographene: An Electroactive N-Doped π-System for Chiroptics and Spin-Selective Transport</w:t>
      </w:r>
    </w:p>
    <w:p>
      <w:pPr>
        <w:spacing w:before="0" w:after="120"/>
      </w:pPr>
      <w:r>
        <w:rPr>
          <w:b/>
        </w:rPr>
        <w:t xml:space="preserve">Source: </w:t>
      </w:r>
      <w:r>
        <w:t>Journal of the American Chemical Society: Latest Articles (ACS Publications)</w:t>
      </w:r>
      <w:r>
        <w:t xml:space="preserve">    </w:t>
      </w:r>
      <w:r>
        <w:rPr>
          <w:b/>
        </w:rPr>
        <w:t xml:space="preserve">Pub date: </w:t>
      </w:r>
      <w:r>
        <w:t>2026-02-26 15:50:10+00:00</w:t>
      </w:r>
      <w:r>
        <w:t xml:space="preserve">    </w:t>
      </w:r>
      <w:r>
        <w:rPr>
          <w:b/>
        </w:rPr>
        <w:t xml:space="preserve">DOI: </w:t>
      </w:r>
      <w:hyperlink r:id="rId754">
        <w:r>
          <w:rPr>
            <w:color w:val="1155CC"/>
            <w:u w:val="single"/>
          </w:rPr>
          <w:t>10.1021/jacs.5c20735</w:t>
        </w:r>
      </w:hyperlink>
    </w:p>
    <w:p>
      <w:pPr>
        <w:spacing w:before="0" w:after="120"/>
      </w:pPr>
      <w:r>
        <w:rPr>
          <w:b/>
        </w:rPr>
        <w:t xml:space="preserve">Notes: </w:t>
      </w:r>
      <w:r>
        <w:t>abstract_source=openalex</w:t>
      </w:r>
    </w:p>
    <w:p>
      <w:pPr>
        <w:spacing w:before="0" w:after="80" w:lineRule="auto" w:line="276"/>
      </w:pPr>
      <w:r>
        <w:rPr>
          <w:b/>
        </w:rPr>
        <w:t xml:space="preserve">摘要（ZH）: </w:t>
      </w:r>
      <w:r>
        <w:t>将氮原子整合到手性纳米石墨烯（c-NGs）中提供了一种强大的策略，用于设计具有可编程电子和手性光学响应的手性材料。然而，制备具有自由NH基团的稳定N掺杂c-NGs——一种重要的化学手柄——仍然是一个主要的合成挑战。在此，我们报告了一种高度稳定的N掺杂c-NG（&lt;b&gt;NHNG&lt;/b&gt;），其特征是具有自由NH基团，这使得不仅可以全面研究其结构，还可以研究其光学、氧化还原、电子和自旋电子特性。X射线晶体学揭示了一种结合了三种共存拓扑结构的有趣π骨架：两个螺旋形和一个鞍形。凭借其扩展的共轭，&lt;b&gt;NHNG&lt;/b&gt;显示出强烈的可见光吸收（ε = 170,000 M&lt;sup&gt;-1&lt;/sup&gt; cm&lt;</w:t>
      </w:r>
    </w:p>
    <w:p>
      <w:pPr>
        <w:spacing w:before="0" w:after="200" w:lineRule="auto" w:line="276"/>
      </w:pPr>
      <w:r>
        <w:rPr>
          <w:b/>
        </w:rPr>
        <w:t xml:space="preserve">Abstract (EN): </w:t>
      </w:r>
      <w:r>
        <w:t>The integration of nitrogen atoms into chiral nanographenes (c-NGs) offers a powerful strategy for designing chiral materials with programmable electronic and chiroptical responses. However, the preparation of stable N-doped c-NGs featuring free NH groups─an essential chemical handle─remains a major synthetic challenge. Herein, we report a highly stable N-doped c-NG (&lt;b&gt;NHNG&lt;/b&gt;) featuring a free NH moiety, which enables comprehensive investigation of not only its structural but also its optical, redox, electronic, and spintronic properties. X-ray crystallography reveals an intriguing π-scaffold combining three coexisting topologies: two helical and one saddle-shaped. By virtue of its extended conjugation, &lt;b&gt;NHNG&lt;/b&gt; displays strong visible-light absorption (ε = 170,000 M&lt;sup&gt;-1&lt;/sup&gt; cm&lt;sup&gt;-1&lt;/sup&gt;) and a rich electrochemical profile, with four oxidations leading to persistent cationic species that exhibit sharp near-infrared absorptions. In parallel, time-resolved microwave conductivity measurements demonstrate notable photoconductivity (ϕΣμ&lt;sub&gt;max&lt;/sub&gt; = 3.0 × 10&lt;sup&gt;-5&lt;/sup&gt; cm&lt;sup&gt;2&lt;/sup&gt; V&lt;sup&gt;-1&lt;/sup&gt; s&lt;sup&gt;-1&lt;/sup&gt;). Owing to their robustness, the corresponding &lt;i&gt;M&lt;/i&gt;- and &lt;i&gt;P&lt;/i&gt;-enantiomers were resolved and found to exhibit pronounced chiroptical properties, with |&lt;i&gt;g&lt;/i&gt;&lt;sub&gt;abs&lt;/sub&gt;| = 4.2 × 10&lt;sup&gt;-3&lt;/sup&gt; and |&lt;i&gt;g&lt;/i&gt;&lt;sub&gt;lum&lt;/sub&gt;| = 2.2 × 10&lt;sup&gt;-3&lt;/sup&gt;. Remarkably, both enantiomers also display spin-selective charge transport &lt;i&gt;via&lt;/i&gt; the chiral-induced spin selectivity effect, reaching spin-polarization values of ∼80%─among the highest reported for single-molecule-based π-conjugated spin filters. Altogether, these findings render &lt;b&gt;NHNG&lt;/b&gt; a multifunctional chiral platform for next-generation optoelectronic, spintronic, and chiroptical applications.</w:t>
      </w:r>
    </w:p>
    <w:p>
      <w:pPr>
        <w:spacing w:before="120" w:after="120"/>
      </w:pPr>
      <w:r>
        <w:rPr>
          <w:sz w:val="18"/>
        </w:rPr>
        <w:t>——————————————————————————————————————————————————————————————————————</w:t>
      </w:r>
    </w:p>
    <w:p>
      <w:pPr>
        <w:spacing w:before="160" w:after="40" w:line="240" w:lineRule="auto"/>
      </w:pPr>
      <w:r>
        <w:rPr>
          <w:b/>
        </w:rPr>
        <w:t xml:space="preserve">[368] </w:t>
      </w:r>
      <w:hyperlink r:id="rId755">
        <w:r>
          <w:rPr>
            <w:color w:val="1155CC"/>
            <w:u w:val="single"/>
          </w:rPr>
          <w:t>[ASAP] 可调节氧化还原和质子化的二硼庚烯</w:t>
        </w:r>
      </w:hyperlink>
    </w:p>
    <w:p>
      <w:pPr>
        <w:spacing w:before="0" w:after="80"/>
      </w:pPr>
      <w:r>
        <w:rPr>
          <w:i/>
          <w:sz w:val="20"/>
        </w:rPr>
        <w:t>EN: [ASAP] Redox- and Protonation-Tunable Diboraheptacenes</w:t>
      </w:r>
    </w:p>
    <w:p>
      <w:pPr>
        <w:spacing w:before="0" w:after="120"/>
      </w:pPr>
      <w:r>
        <w:rPr>
          <w:b/>
        </w:rPr>
        <w:t xml:space="preserve">Source: </w:t>
      </w:r>
      <w:r>
        <w:t>Journal of the American Chemical Society: Latest Articles (ACS Publications)</w:t>
      </w:r>
      <w:r>
        <w:t xml:space="preserve">    </w:t>
      </w:r>
      <w:r>
        <w:rPr>
          <w:b/>
        </w:rPr>
        <w:t xml:space="preserve">Pub date: </w:t>
      </w:r>
      <w:r>
        <w:t>2026-02-26 16:07:09+00:00</w:t>
      </w:r>
      <w:r>
        <w:t xml:space="preserve">    </w:t>
      </w:r>
      <w:r>
        <w:rPr>
          <w:b/>
        </w:rPr>
        <w:t xml:space="preserve">DOI: </w:t>
      </w:r>
      <w:hyperlink r:id="rId756">
        <w:r>
          <w:rPr>
            <w:color w:val="1155CC"/>
            <w:u w:val="single"/>
          </w:rPr>
          <w:t>10.1021/jacs.5c21449</w:t>
        </w:r>
      </w:hyperlink>
    </w:p>
    <w:p>
      <w:pPr>
        <w:spacing w:before="0" w:after="120"/>
      </w:pPr>
      <w:r>
        <w:rPr>
          <w:b/>
        </w:rPr>
        <w:t xml:space="preserve">Notes: </w:t>
      </w:r>
      <w:r>
        <w:t>abstract_source=openalex</w:t>
      </w:r>
    </w:p>
    <w:p>
      <w:pPr>
        <w:spacing w:before="0" w:after="80" w:lineRule="auto" w:line="276"/>
      </w:pPr>
      <w:r>
        <w:rPr>
          <w:b/>
        </w:rPr>
        <w:t xml:space="preserve">摘要（ZH）: </w:t>
      </w:r>
      <w:r>
        <w:t>稠环烯烃是具有特征性π电子离域的吸引人的分子平台，导致极小的HOMO-LUMO间隙，这使得它们在各种有机电子学中具有价值。将杂原子引入稠环烯烃的骨架中可以系统地调节其电子结构，并引入明确的氧化还原和质子化化学位点。然而，硼掺杂的高稠环烯烃的氧化还原化学仍然知之甚少。在此，我们报告了一系列二硼庚稠环烯烃的合成、结构表征以及多态氧化还原和质子化化学。从四氢二硼庚稠环烯烃（&lt;b&gt;1&lt;/b&gt;）开始，通过单电子还原生成了相应的自由基阴离子（&lt;b&gt;1&lt;/b&gt;&lt;sup&gt;&lt;b&gt;•-&lt;/b&gt;&lt;/sup&gt;）。完全芳香化的二硼庚</w:t>
      </w:r>
    </w:p>
    <w:p>
      <w:pPr>
        <w:spacing w:before="0" w:after="200" w:lineRule="auto" w:line="276"/>
      </w:pPr>
      <w:r>
        <w:rPr>
          <w:b/>
        </w:rPr>
        <w:t xml:space="preserve">Abstract (EN): </w:t>
      </w:r>
      <w:r>
        <w:t>Acenes are attractive molecular platforms with characteristic π-electron delocalization, resulting in exceptionally small HOMO-LUMO gaps, which makes them valuable for use in a variety of organic electronics. Incorporating heteroatoms into the backbones of acenes enables systematic tuning of their electronic structures and introduces well-defined sites for redox and protonation chemistry. However, the redox chemistry of boron-doped higher acenes remains poorly understood. Herein, we report the synthesis, structural characterization, and multistate redox and protonation chemistry of a series of diboraheptacenes. Starting from tetrahydrodiboraheptacene (&lt;b&gt;1&lt;/b&gt;), the corresponding radical anion (&lt;b&gt;1&lt;/b&gt;&lt;sup&gt;&lt;b&gt;•-&lt;/b&gt;&lt;/sup&gt;) was generated via one-electron reduction. The fully aromatized diborataheptacene dianion (&lt;b&gt;2&lt;/b&gt;&lt;sup&gt;&lt;b&gt;2-&lt;/b&gt;&lt;/sup&gt;) was accessed via double deprotonation, which represents the first diboron-doped π-isostere of all-hydrocarbon heptacene. Two-electron oxidation of &lt;b&gt;2&lt;/b&gt;&lt;sup&gt;&lt;b&gt;2-&lt;/b&gt;&lt;/sup&gt; gave a neutral quinodimethane (&lt;b&gt;2&lt;/b&gt;) that is isoelectronic with the heptacene dication, demonstrating redox-interconversion between benzenoid and quinoidal structures. Dianion &lt;b&gt;2&lt;/b&gt;&lt;sup&gt;&lt;b&gt;2-&lt;/b&gt;&lt;/sup&gt;, isoelectronic to heptacene, features NIR absorption at λ&lt;sub&gt;abs&lt;/sub&gt; = 951 nm, reflecting its exceptionally small HOMO-LUMO gap. In addition, &lt;b&gt;2&lt;/b&gt; shows remarkable low-energy electronic transitions, displaying red fluorescence (λ&lt;sub&gt;em&lt;/sub&gt; = 682 nm). Furthermore, reactions of &lt;b&gt;2&lt;/b&gt;&lt;sup&gt;&lt;b&gt;2-&lt;/b&gt;&lt;/sup&gt; with CO&lt;sub&gt;2&lt;/sub&gt; or acrylonitrile yield cycloaddition products, while the reaction with H&lt;sub&gt;2&lt;/sub&gt;O affords a hydroxylated diboraheptacene dianion. These results establish redox- and protonation-state-dependent electronic structures, photophysical properties, and reactivity of an extended diboraacene platform.</w:t>
      </w:r>
    </w:p>
    <w:p>
      <w:pPr>
        <w:spacing w:before="120" w:after="120"/>
      </w:pPr>
      <w:r>
        <w:rPr>
          <w:sz w:val="18"/>
        </w:rPr>
        <w:t>——————————————————————————————————————————————————————————————————————</w:t>
      </w:r>
    </w:p>
    <w:p>
      <w:pPr>
        <w:spacing w:before="160" w:after="40" w:line="240" w:lineRule="auto"/>
      </w:pPr>
      <w:r>
        <w:rPr>
          <w:b/>
        </w:rPr>
        <w:t xml:space="preserve">[369] </w:t>
      </w:r>
      <w:hyperlink r:id="rId757">
        <w:r>
          <w:rPr>
            <w:color w:val="1155CC"/>
            <w:u w:val="single"/>
          </w:rPr>
          <w:t>[ASAP] 离子液体门控烯醇-酮互变异构</w:t>
        </w:r>
      </w:hyperlink>
    </w:p>
    <w:p>
      <w:pPr>
        <w:spacing w:before="0" w:after="80"/>
      </w:pPr>
      <w:r>
        <w:rPr>
          <w:i/>
          <w:sz w:val="20"/>
        </w:rPr>
        <w:t>EN: [ASAP] Ionic Liquid Gating Enol–Keto Tautomerism</w:t>
      </w:r>
    </w:p>
    <w:p>
      <w:pPr>
        <w:spacing w:before="0" w:after="120"/>
      </w:pPr>
      <w:r>
        <w:rPr>
          <w:b/>
        </w:rPr>
        <w:t xml:space="preserve">Source: </w:t>
      </w:r>
      <w:r>
        <w:t>Journal of the American Chemical Society: Latest Articles (ACS Publications)</w:t>
      </w:r>
      <w:r>
        <w:t xml:space="preserve">    </w:t>
      </w:r>
      <w:r>
        <w:rPr>
          <w:b/>
        </w:rPr>
        <w:t xml:space="preserve">Pub date: </w:t>
      </w:r>
      <w:r>
        <w:t>2026-02-26 16:08:51+00:00</w:t>
      </w:r>
      <w:r>
        <w:t xml:space="preserve">    </w:t>
      </w:r>
      <w:r>
        <w:rPr>
          <w:b/>
        </w:rPr>
        <w:t xml:space="preserve">DOI: </w:t>
      </w:r>
      <w:hyperlink r:id="rId758">
        <w:r>
          <w:rPr>
            <w:color w:val="1155CC"/>
            <w:u w:val="single"/>
          </w:rPr>
          <w:t>10.1021/jacs.5c21927</w:t>
        </w:r>
      </w:hyperlink>
    </w:p>
    <w:p>
      <w:pPr>
        <w:spacing w:before="0" w:after="120"/>
      </w:pPr>
      <w:r>
        <w:rPr>
          <w:b/>
        </w:rPr>
        <w:t xml:space="preserve">Notes: </w:t>
      </w:r>
      <w:r>
        <w:t>abstract_source=openalex</w:t>
      </w:r>
    </w:p>
    <w:p>
      <w:pPr>
        <w:spacing w:before="0" w:after="80" w:lineRule="auto" w:line="276"/>
      </w:pPr>
      <w:r>
        <w:rPr>
          <w:b/>
        </w:rPr>
        <w:t xml:space="preserve">摘要（ZH）: </w:t>
      </w:r>
      <w:r>
        <w:t>酮-烯醇互变异构在功能有机合成、药物化学、生物活性和分子尺度电荷传输中起着重要作用。因此，找到一种可靠的方法在单分子水平上操控酮-烯醇互变异构是至关重要的。在这项研究中，我们展示了β-二酮衍生物，主要以烯醇形式存在，可以通过调节离子液体中栅极电极的电化学电位，在酮和烯醇形式之间可逆切换，并具有显著的电导差异，为单分子电路开关的制造铺平了道路。长期以来，人们认识到烯醇-酮互变异构是由激发的分子内质子转移过程控制的，我们提供了证据。</w:t>
      </w:r>
    </w:p>
    <w:p>
      <w:pPr>
        <w:spacing w:before="0" w:after="200" w:lineRule="auto" w:line="276"/>
      </w:pPr>
      <w:r>
        <w:rPr>
          <w:b/>
        </w:rPr>
        <w:t xml:space="preserve">Abstract (EN): </w:t>
      </w:r>
      <w:r>
        <w:t>Keto-enol tautomerism plays an important role in functional organic synthesis, pharmaceutical chemistry, biological activity, and molecular-scale charge transport. It is, therefore, critical to find a reliable approach to manipulate keto-enol tautomerism at the single-molecular level. In this study, we demonstrated that the β-diketone derivative, which existed dominantly in the enol form, can be reversibly switched between keto and enol forms with remarkable conductance discrepancy by modulating the electrochemical potential of the gate electrode in an ionic liquid, paving the way for the fabrication of single-molecule circuit switches. It has been recognized for a long time that the enol-keto tautomerism is governed by an excited intramolecular proton transfer process, and we provide evidence that the enol-keto tautomerism in the biased electro-circuit is governed by the proton-coupled electron transfer (PCET) rather than the intramolecular proton transfer (IPT) upon the electrochemical-gated ionic interfacial redistribution, clarifying the mechanism of keto-enol tautomerism in circuits and benefiting the application of tautomerism in different research areas.</w:t>
      </w:r>
    </w:p>
    <w:p>
      <w:pPr>
        <w:spacing w:before="120" w:after="120"/>
      </w:pPr>
      <w:r>
        <w:rPr>
          <w:sz w:val="18"/>
        </w:rPr>
        <w:t>——————————————————————————————————————————————————————————————————————</w:t>
      </w:r>
    </w:p>
    <w:p>
      <w:pPr>
        <w:spacing w:before="160" w:after="40" w:line="240" w:lineRule="auto"/>
      </w:pPr>
      <w:r>
        <w:rPr>
          <w:b/>
        </w:rPr>
        <w:t xml:space="preserve">[370] </w:t>
      </w:r>
      <w:hyperlink r:id="rId759">
        <w:r>
          <w:rPr>
            <w:color w:val="1155CC"/>
            <w:u w:val="single"/>
          </w:rPr>
          <w:t>[ASAP] 基于大环双桥肽的药物开发中被忽视的复杂性和机遇：“同构开关”</w:t>
        </w:r>
      </w:hyperlink>
    </w:p>
    <w:p>
      <w:pPr>
        <w:spacing w:before="0" w:after="80"/>
      </w:pPr>
      <w:r>
        <w:rPr>
          <w:i/>
          <w:sz w:val="20"/>
        </w:rPr>
        <w:t>EN: [ASAP] Overlooked Complications and Opportunities in the Development of Drugs Based upon Macrobicyclic Peptides: The “Homeomorphic Switch”</w:t>
      </w:r>
    </w:p>
    <w:p>
      <w:pPr>
        <w:spacing w:before="0" w:after="120"/>
      </w:pPr>
      <w:r>
        <w:rPr>
          <w:b/>
        </w:rPr>
        <w:t xml:space="preserve">Source: </w:t>
      </w:r>
      <w:r>
        <w:t>Journal of the American Chemical Society: Latest Articles (ACS Publications)</w:t>
      </w:r>
      <w:r>
        <w:t xml:space="preserve">    </w:t>
      </w:r>
      <w:r>
        <w:rPr>
          <w:b/>
        </w:rPr>
        <w:t xml:space="preserve">Pub date: </w:t>
      </w:r>
      <w:r>
        <w:t>2026-02-26 16:29:40+00:00</w:t>
      </w:r>
      <w:r>
        <w:t xml:space="preserve">    </w:t>
      </w:r>
      <w:r>
        <w:rPr>
          <w:b/>
        </w:rPr>
        <w:t xml:space="preserve">DOI: </w:t>
      </w:r>
      <w:hyperlink r:id="rId760">
        <w:r>
          <w:rPr>
            <w:color w:val="1155CC"/>
            <w:u w:val="single"/>
          </w:rPr>
          <w:t>10.1021/jacs.5c21032</w:t>
        </w:r>
      </w:hyperlink>
    </w:p>
    <w:p>
      <w:pPr>
        <w:spacing w:before="0" w:after="120"/>
      </w:pPr>
      <w:r>
        <w:rPr>
          <w:b/>
        </w:rPr>
        <w:t xml:space="preserve">Notes: </w:t>
      </w:r>
      <w:r>
        <w:t>abstract_source=pubmed</w:t>
      </w:r>
    </w:p>
    <w:p>
      <w:pPr>
        <w:spacing w:before="0" w:after="80" w:lineRule="auto" w:line="276"/>
      </w:pPr>
      <w:r>
        <w:rPr>
          <w:b/>
        </w:rPr>
        <w:t xml:space="preserve">摘要（ZH）: </w:t>
      </w:r>
      <w:r>
        <w:t>许多大环双桥化合物可以经历一种被广泛忽视的构象过程，即同构异构化，这种过程有效地将分子翻转，导致具有内内、外外、内外和外内桥头的物种。预期会有不同的化学和生物学性质。对这一现象的一些基础方面进行了简要回顾，包括公式为E((CH2)n)3E (n ≥ 10, E = P, As, 等)的模型化合物和大环双桥肽。尝试弥合物理有机和化学生物学界对双环分子的不同文化视角。提出了以下机会：(1) 改善大环双桥肽及其与蛋白质加合物的立体化学定义，(2) 新药设计和疗效协议。</w:t>
      </w:r>
    </w:p>
    <w:p>
      <w:pPr>
        <w:spacing w:before="0" w:after="200" w:lineRule="auto" w:line="276"/>
      </w:pPr>
      <w:r>
        <w:rPr>
          <w:b/>
        </w:rPr>
        <w:t xml:space="preserve">Abstract (EN): </w:t>
      </w:r>
      <w:r>
        <w:t>Many macrobicyclic compounds can undergo a widely overlooked conformational process, homeomorphic isomerization, that effectively turns molecules inside-out and leads to species with in,in, out,out, in,out, and out,in bridgeheads. Different chemical and biological properties would be expected. Some foundational aspects of this phenomenon are briefly reviewed, with both model compounds of the formula E((CH2)n)3E (n ≥ 10, E = P, As, etc.) and macrobicyclic peptides. Attempts are made to bridge the differing cultural perspectives of the physical organic and chemical biology communities regarding bicyclic molecules. Opportunities are presented for (1) improving the stereochemical definition of macrobicyclic peptides and their adducts with proteins, (2) new drug design and efficacy protocols, and (3) refining or circumventing existing patented IP.</w:t>
      </w:r>
    </w:p>
    <w:p>
      <w:pPr>
        <w:spacing w:before="120" w:after="120"/>
      </w:pPr>
      <w:r>
        <w:rPr>
          <w:sz w:val="18"/>
        </w:rPr>
        <w:t>——————————————————————————————————————————————————————————————————————</w:t>
      </w:r>
    </w:p>
    <w:p>
      <w:pPr>
        <w:spacing w:before="160" w:after="40" w:line="240" w:lineRule="auto"/>
      </w:pPr>
      <w:r>
        <w:rPr>
          <w:b/>
        </w:rPr>
        <w:t xml:space="preserve">[371] </w:t>
      </w:r>
      <w:hyperlink r:id="rId761">
        <w:r>
          <w:rPr>
            <w:color w:val="1155CC"/>
            <w:u w:val="single"/>
          </w:rPr>
          <w:t>[ASAP] 酶与单晶共价有机框架的动态交换组装</w:t>
        </w:r>
      </w:hyperlink>
    </w:p>
    <w:p>
      <w:pPr>
        <w:spacing w:before="0" w:after="80"/>
      </w:pPr>
      <w:r>
        <w:rPr>
          <w:i/>
          <w:sz w:val="20"/>
        </w:rPr>
        <w:t>EN: [ASAP] Dynamic Exchange Assembly of Enzymes with Single-Crystal Covalent 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2026-02-26 16:33:20+00:00</w:t>
      </w:r>
      <w:r>
        <w:t xml:space="preserve">    </w:t>
      </w:r>
      <w:r>
        <w:rPr>
          <w:b/>
        </w:rPr>
        <w:t xml:space="preserve">DOI: </w:t>
      </w:r>
      <w:hyperlink r:id="rId762">
        <w:r>
          <w:rPr>
            <w:color w:val="1155CC"/>
            <w:u w:val="single"/>
          </w:rPr>
          <w:t>10.1021/jacs.5c22300</w:t>
        </w:r>
      </w:hyperlink>
    </w:p>
    <w:p>
      <w:pPr>
        <w:spacing w:before="0" w:after="120"/>
      </w:pPr>
      <w:r>
        <w:rPr>
          <w:b/>
        </w:rPr>
        <w:t xml:space="preserve">Notes: </w:t>
      </w:r>
      <w:r>
        <w:t>abstract_source=openalex</w:t>
      </w:r>
    </w:p>
    <w:p>
      <w:pPr>
        <w:spacing w:before="0" w:after="80" w:lineRule="auto" w:line="276"/>
      </w:pPr>
      <w:r>
        <w:rPr>
          <w:b/>
        </w:rPr>
        <w:t xml:space="preserve">摘要（ZH）: </w:t>
      </w:r>
      <w:r>
        <w:t>利用单晶多孔材料研究其与生物大分子的组装是揭示生物复合材料形成的基本原理并推进其实用应用的强大方法，但仍然是一个艰巨的挑战。在此，我们开发了一种动态交换策略来研究酶与共价有机框架（COFs）的组装过程。为了证明概念的可行性，我们设计并合成了一种单晶三维（3D）微孔COF，其结构通过单晶X射线衍射完全解析，从而能够精确表征其与酶的相互作用。发现COFs与酶的组装是由COFs中的动态、可逆亚胺键驱动的，这种动态交换策略。</w:t>
      </w:r>
    </w:p>
    <w:p>
      <w:pPr>
        <w:spacing w:before="0" w:after="200" w:lineRule="auto" w:line="276"/>
      </w:pPr>
      <w:r>
        <w:rPr>
          <w:b/>
        </w:rPr>
        <w:t xml:space="preserve">Abstract (EN): </w:t>
      </w:r>
      <w:r>
        <w:t>Employing single-crystal porous materials to study their assembly with biomacromolecules is a powerful method for uncovering the fundamental principles behind biocomposite formation and advancing their practical applications, but it remains a formidable challenge. Herein, we develop a dynamic exchange strategy to investigate the assembly process of enzymes with covalent organic frameworks (COFs). To demonstrate the proof of concept, we design and synthesize a single-crystal three-dimensional (3D) microporous COF, whose structure is fully solved by single-crystal X-ray diffraction, enabling precise characterization of its interactions with enzymes. It is found that the assembly of COFs with enzymes is driven by the dynamic, reversible imine linkage in COFs, and this dynamic exchange strategy is versatile, allowing it to be applied to various enzymes and COFs. Additionally, the controlled distribution of enzymes within the crystals enables a highly efficient cascade of large enzymes to catalyze large substrates. This study offers an innovative platform for biocatalysis and establishes guiding principles for developing biohybrid materials, opening new avenues for the assembly of biomacromolecules and porous materials.</w:t>
      </w:r>
    </w:p>
    <w:p>
      <w:pPr>
        <w:spacing w:before="120" w:after="120"/>
      </w:pPr>
      <w:r>
        <w:rPr>
          <w:sz w:val="18"/>
        </w:rPr>
        <w:t>——————————————————————————————————————————————————————————————————————</w:t>
      </w:r>
    </w:p>
    <w:p>
      <w:pPr>
        <w:spacing w:before="160" w:after="40" w:line="240" w:lineRule="auto"/>
      </w:pPr>
      <w:r>
        <w:rPr>
          <w:b/>
        </w:rPr>
        <w:t xml:space="preserve">[372] </w:t>
      </w:r>
      <w:hyperlink r:id="rId763">
        <w:r>
          <w:rPr>
            <w:color w:val="1155CC"/>
            <w:u w:val="single"/>
          </w:rPr>
          <w:t>[ASAP] 无侧链半导体聚合物用于高性能n型有机电化学晶体管</w:t>
        </w:r>
      </w:hyperlink>
    </w:p>
    <w:p>
      <w:pPr>
        <w:spacing w:before="0" w:after="80"/>
      </w:pPr>
      <w:r>
        <w:rPr>
          <w:i/>
          <w:sz w:val="20"/>
        </w:rPr>
        <w:t>EN: [ASAP] Side-Chain Free Semiconducting Polymer for High-Performance n-Type Organic Electrochemical Transistors</w:t>
      </w:r>
    </w:p>
    <w:p>
      <w:pPr>
        <w:spacing w:before="0" w:after="120"/>
      </w:pPr>
      <w:r>
        <w:rPr>
          <w:b/>
        </w:rPr>
        <w:t xml:space="preserve">Source: </w:t>
      </w:r>
      <w:r>
        <w:t>Journal of the American Chemical Society: Latest Articles (ACS Publications)</w:t>
      </w:r>
      <w:r>
        <w:t xml:space="preserve">    </w:t>
      </w:r>
      <w:r>
        <w:rPr>
          <w:b/>
        </w:rPr>
        <w:t xml:space="preserve">Pub date: </w:t>
      </w:r>
      <w:r>
        <w:t>2026-02-26 17:46:17+00:00</w:t>
      </w:r>
      <w:r>
        <w:t xml:space="preserve">    </w:t>
      </w:r>
      <w:r>
        <w:rPr>
          <w:b/>
        </w:rPr>
        <w:t xml:space="preserve">DOI: </w:t>
      </w:r>
      <w:hyperlink r:id="rId764">
        <w:r>
          <w:rPr>
            <w:color w:val="1155CC"/>
            <w:u w:val="single"/>
          </w:rPr>
          <w:t>10.1021/jacs.5c19399</w:t>
        </w:r>
      </w:hyperlink>
    </w:p>
    <w:p>
      <w:pPr>
        <w:spacing w:before="0" w:after="120"/>
      </w:pPr>
      <w:r>
        <w:rPr>
          <w:b/>
        </w:rPr>
        <w:t xml:space="preserve">Notes: </w:t>
      </w:r>
      <w:r>
        <w:t>abstract_source=openalex</w:t>
      </w:r>
    </w:p>
    <w:p>
      <w:pPr>
        <w:spacing w:before="0" w:after="80" w:lineRule="auto" w:line="276"/>
      </w:pPr>
      <w:r>
        <w:rPr>
          <w:b/>
        </w:rPr>
        <w:t xml:space="preserve">摘要（ZH）: </w:t>
      </w:r>
      <w:r>
        <w:t>有机电化学晶体管（OECTs）的发展在很大程度上依赖于混合导电、高性能共轭聚合物（CPs）作为通道材料的设计和表征，特别是对于n型OECTs。在本研究中，我们提出了一种新颖的策略，通过热可裂解侧链的后沉积酯热解来增强半导体聚合物薄膜的OECT性能，从而促进离子在体内的掺入和传输。我们的方法依赖于合成一种高玻璃化转变温度的刚性杆聚合物，能够在不变形的情况下承受热解温度，并保持热解反应中去除热可裂解酯侧链所形成的空隙。侧链裂解后，所得薄膜表现出</w:t>
      </w:r>
    </w:p>
    <w:p>
      <w:pPr>
        <w:spacing w:before="0" w:after="200" w:lineRule="auto" w:line="276"/>
      </w:pPr>
      <w:r>
        <w:rPr>
          <w:b/>
        </w:rPr>
        <w:t xml:space="preserve">Abstract (EN): </w:t>
      </w:r>
      <w:r>
        <w:t>The development of organic electrochemical transistors (OECTs) critically depends on the design and characterization of mixed-conducting, high-performance conjugated polymers (CPs) as channel materials, particularly for n-type OECTs. In this study, we present a novel strategy to enhance the OECT performance of a semiconducting polymer film via a postdeposition ester pyrolysis of thermally cleavable side chains, thus facilitating ion incorporation and transport within the bulk. Our approach relies on the synthesis of a high glass-transition, rigid-rod polymer, able to withstand the pyrolysis temperature without deformation and maintain the voids formed from the pyrolysis reaction which removes the thermally cleavable ester side chains. After side-chain cleavage, the resulting film exhibits increased porosity, hydrophilicity, and crystallinity. By creating bulk porosity in thin films via this approach, ion diffusion is enhanced, resulting in a superior μC* figure of merit up to 158.85 F cm–1 V–1 s–1, and a corresponding increase in normalized transconductance (31.67 S cm–1). In addition, the device switching speed and long-term stability are also observed to increase, further demonstrating the benefit of nanoscale porosity for mixed conductivity semiconductors.</w:t>
      </w:r>
    </w:p>
    <w:p>
      <w:pPr>
        <w:spacing w:before="120" w:after="120"/>
      </w:pPr>
      <w:r>
        <w:rPr>
          <w:sz w:val="18"/>
        </w:rPr>
        <w:t>——————————————————————————————————————————————————————————————————————</w:t>
      </w:r>
    </w:p>
    <w:p>
      <w:pPr>
        <w:spacing w:before="160" w:after="40" w:line="240" w:lineRule="auto"/>
      </w:pPr>
      <w:r>
        <w:rPr>
          <w:b/>
        </w:rPr>
        <w:t xml:space="preserve">[373] </w:t>
      </w:r>
      <w:hyperlink r:id="rId765">
        <w:r>
          <w:rPr>
            <w:color w:val="1155CC"/>
            <w:u w:val="single"/>
          </w:rPr>
          <w:t>[ASAP] 多核钌位点限制在具有仿生水网络的金属有机框架中，用于高效水氧化</w:t>
        </w:r>
      </w:hyperlink>
    </w:p>
    <w:p>
      <w:pPr>
        <w:spacing w:before="0" w:after="80"/>
      </w:pPr>
      <w:r>
        <w:rPr>
          <w:i/>
          <w:sz w:val="20"/>
        </w:rPr>
        <w:t>EN: [ASAP] Multinuclear Ruthenium Sites Confined in Metal–Organic Frameworks with Bio-Inspired Water Networks for Efficient Water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2026-02-26 19:55:32+00:00</w:t>
      </w:r>
      <w:r>
        <w:t xml:space="preserve">    </w:t>
      </w:r>
      <w:r>
        <w:rPr>
          <w:b/>
        </w:rPr>
        <w:t xml:space="preserve">DOI: </w:t>
      </w:r>
      <w:hyperlink r:id="rId766">
        <w:r>
          <w:rPr>
            <w:color w:val="1155CC"/>
            <w:u w:val="single"/>
          </w:rPr>
          <w:t>10.1021/jacs.5c22536</w:t>
        </w:r>
      </w:hyperlink>
    </w:p>
    <w:p>
      <w:pPr>
        <w:spacing w:before="0" w:after="120"/>
      </w:pPr>
      <w:r>
        <w:rPr>
          <w:b/>
        </w:rPr>
        <w:t xml:space="preserve">Notes: </w:t>
      </w:r>
      <w:r>
        <w:t>abstract_source=openalex</w:t>
      </w:r>
    </w:p>
    <w:p>
      <w:pPr>
        <w:spacing w:before="0" w:after="80" w:lineRule="auto" w:line="276"/>
      </w:pPr>
      <w:r>
        <w:rPr>
          <w:b/>
        </w:rPr>
        <w:t xml:space="preserve">摘要（ZH）: </w:t>
      </w:r>
      <w:r>
        <w:t>天然酶通过在精确定义的微环境中组织底物，实现了卓越的催化效率，这种控制水平在合成系统中仍然难以复制。在此，我们报告了一种受酶启发的策略，其中单核Ru-cba水氧化催化剂被组装到基于Hf的MOF中，形成Hf-Ru-cba，具有受限的催化口袋和空间组织的多核Ru-cba位点（cba = 5,5′-双（4-羧基苯基）-[2,2'-联吡啶]-6,6′-二羧酸）。在这些纳米空腔中，扩展的氢键网络预组织水分子并稳定高价中间体，从而加速水亲核攻击（WNA）途径。这种由微环境驱动的增强产生了20.6 s–1的周转频率。</w:t>
      </w:r>
    </w:p>
    <w:p>
      <w:pPr>
        <w:spacing w:before="0" w:after="200" w:lineRule="auto" w:line="276"/>
      </w:pPr>
      <w:r>
        <w:rPr>
          <w:b/>
        </w:rPr>
        <w:t xml:space="preserve">Abstract (EN): </w:t>
      </w:r>
      <w:r>
        <w:t>Natural enzymes achieve exceptional catalytic efficiency by organizing substrates within precisely defined microenvironments, a level of control that remains challenging to replicate in synthetic systems. Here we report an enzyme-inspired strategy in which a mononuclear Ru-cba water-oxidation catalyst is assembled into a Hf-based MOF to form Hf-Ru-cba featuring confined catalytic pockets and spatially organized multinuclear Ru-cba sites (cba = 5,5′-bis(4-carboxyphenyl)-[2,2'-bipyridine]-6,6′-dicarboxylic acid). Within these nanocavities, an extended hydrogen-bond network preorganizes water molecules and stabilizes high-valent intermediates, thereby accelerating the water-nucleophilic-attack (WNA) pathway. This microenvironment-driven enhancement yields a turnover frequency of 20.6 s–1, which is nearly an order of magnitude higher than that of the discrete Ru-cba analogue. Furthermore, the MOF-integrated catalyst maintains its exceptional activity even at an ultralow catalyst concentration (3.6 μM) compared with the homogeneous system. Mechanistic evidence from kinetics, isotope labeling, and DFT calculations confirms that nanoconfinement directs the reaction toward a WNA mechanism and lowers the barrier for O–O bond formation. The heterogeneous Hf-Ru-cba catalyst also exhibits excellent operational stability, retaining performance over at least five cycles. These results establish MOFs as programmable scaffolds for integrating molecular catalysts and highlight water-network engineering as a powerful approach to modulate reaction dynamics.</w:t>
      </w:r>
    </w:p>
    <w:p>
      <w:pPr>
        <w:spacing w:before="120" w:after="120"/>
      </w:pPr>
      <w:r>
        <w:rPr>
          <w:sz w:val="18"/>
        </w:rPr>
        <w:t>——————————————————————————————————————————————————————————————————————</w:t>
      </w:r>
    </w:p>
    <w:p>
      <w:pPr>
        <w:spacing w:before="160" w:after="40" w:line="240" w:lineRule="auto"/>
      </w:pPr>
      <w:r>
        <w:rPr>
          <w:b/>
        </w:rPr>
        <w:t xml:space="preserve">[374] </w:t>
      </w:r>
      <w:hyperlink r:id="rId767">
        <w:r>
          <w:rPr>
            <w:color w:val="1155CC"/>
            <w:u w:val="single"/>
          </w:rPr>
          <w:t>平流层前体引发“暖北极-冷欧亚”模式的冬季相位反转</w:t>
        </w:r>
      </w:hyperlink>
    </w:p>
    <w:p>
      <w:pPr>
        <w:spacing w:before="0" w:after="80"/>
      </w:pPr>
      <w:r>
        <w:rPr>
          <w:i/>
          <w:sz w:val="20"/>
        </w:rPr>
        <w:t>EN: Stratospheric precursor induces wintertime phase reversal of the “warm Arctic-cold Eurasia” pattern</w:t>
      </w:r>
    </w:p>
    <w:p>
      <w:pPr>
        <w:spacing w:before="0" w:after="120"/>
      </w:pPr>
      <w:r>
        <w:rPr>
          <w:b/>
        </w:rPr>
        <w:t xml:space="preserve">Source: </w:t>
      </w:r>
      <w:r>
        <w:t>Nature Communications</w:t>
      </w:r>
      <w:r>
        <w:t xml:space="preserve">    </w:t>
      </w:r>
      <w:r>
        <w:rPr>
          <w:b/>
        </w:rPr>
        <w:t xml:space="preserve">Pub date: </w:t>
      </w:r>
      <w:r>
        <w:t>2026-02-27 00:00:00+00:00</w:t>
      </w:r>
    </w:p>
    <w:p>
      <w:pPr>
        <w:spacing w:before="0" w:after="120"/>
      </w:pPr>
      <w:r>
        <w:rPr>
          <w:b/>
        </w:rPr>
        <w:t xml:space="preserve">Notes: </w:t>
      </w:r>
      <w:r>
        <w:t>abstract_source=nature_html</w:t>
      </w:r>
    </w:p>
    <w:p>
      <w:pPr>
        <w:spacing w:before="0" w:after="80" w:lineRule="auto" w:line="276"/>
      </w:pPr>
      <w:r>
        <w:rPr>
          <w:b/>
        </w:rPr>
        <w:t xml:space="preserve">摘要（ZH）: </w:t>
      </w:r>
      <w:r>
        <w:t>快速的北极变暖已达到全球平均的2-4倍，与1990年代至2010年代中高纬度欧亚大陆的降温趋势形成对比。“暖北极-冷欧亚”（WACE）模式的一个显著现象是其在过去十年中早冬和晚冬之间的频繁相位反转。作为气候变率的重要驱动因素之一，平流层在WACE反转中的作用仍不清楚。在此，我们发现大约在WACE反转前25天，北美-北大西洋上空的平流层极地涡旋形态发生了从拉伸到收缩的过渡。通过垂直波耦合和向下传播，这种平流层过渡有效调节了负责WACE反转的关键大气环流。</w:t>
      </w:r>
    </w:p>
    <w:p>
      <w:pPr>
        <w:spacing w:before="0" w:after="200" w:lineRule="auto" w:line="276"/>
      </w:pPr>
      <w:r>
        <w:rPr>
          <w:b/>
        </w:rPr>
        <w:t xml:space="preserve">Abstract (EN): </w:t>
      </w:r>
      <w:r>
        <w:t>Rapid Arctic warming has reached 2–4 times the global average, contrasting with the cooling trend in mid-high latitude Eurasia during the 1990s–2010s. A notable phenomenon of the “warm Arctic-cold Eurasia” (WACE) pattern is its frequent phase reversal between early and late winter seen in the last decade. As one of the important drivers of climate variability, the role of the stratosphere in WACE reversal remains unclear. Here, we find that approximately 25 days before WACE reversal, the morphology of the stratospheric polar vortex over North America-North Atlantic undergoes a transition between stretching and contraction. Through vertical wave coupling and downward propagation, this stratospheric transition effectively modulates the key atmospheric circulation responsible for the WACE reversal. CMIP6 models including complete stratospheric processes can successfully simulate the WACE reversal induced by the stratospheric precursor, while low-top models fail to capture this linkage. Our findings deepen the understanding of cold-warm transition events from a stratosphere-troposphere coupling perspective.</w:t>
      </w:r>
    </w:p>
    <w:p>
      <w:pPr>
        <w:spacing w:before="120" w:after="120"/>
      </w:pPr>
      <w:r>
        <w:rPr>
          <w:sz w:val="18"/>
        </w:rPr>
        <w:t>——————————————————————————————————————————————————————————————————————</w:t>
      </w:r>
    </w:p>
    <w:p>
      <w:pPr>
        <w:spacing w:before="160" w:after="40" w:line="240" w:lineRule="auto"/>
      </w:pPr>
      <w:r>
        <w:rPr>
          <w:b/>
        </w:rPr>
        <w:t xml:space="preserve">[375] </w:t>
      </w:r>
      <w:hyperlink r:id="rId768">
        <w:r>
          <w:rPr>
            <w:color w:val="1155CC"/>
            <w:u w:val="single"/>
          </w:rPr>
          <w:t>系统评价和荟萃分析关于错觉真实效应及其决定因素的证据</w:t>
        </w:r>
      </w:hyperlink>
    </w:p>
    <w:p>
      <w:pPr>
        <w:spacing w:before="0" w:after="80"/>
      </w:pPr>
      <w:r>
        <w:rPr>
          <w:i/>
          <w:sz w:val="20"/>
        </w:rPr>
        <w:t>EN: Systematic review and meta-analysis of the evidence for an illusory truth effect and its determinants</w:t>
      </w:r>
    </w:p>
    <w:p>
      <w:pPr>
        <w:spacing w:before="0" w:after="120"/>
      </w:pPr>
      <w:r>
        <w:rPr>
          <w:b/>
        </w:rPr>
        <w:t xml:space="preserve">Source: </w:t>
      </w:r>
      <w:r>
        <w:t>Nature Communications</w:t>
      </w:r>
      <w:r>
        <w:t xml:space="preserve">    </w:t>
      </w:r>
      <w:r>
        <w:rPr>
          <w:b/>
        </w:rPr>
        <w:t xml:space="preserve">Pub date: </w:t>
      </w:r>
      <w:r>
        <w:t>2026-02-27 00:00:00+00:00</w:t>
      </w:r>
    </w:p>
    <w:p>
      <w:pPr>
        <w:spacing w:before="0" w:after="120"/>
      </w:pPr>
      <w:r>
        <w:rPr>
          <w:b/>
        </w:rPr>
        <w:t xml:space="preserve">Notes: </w:t>
      </w:r>
      <w:r>
        <w:t>abstract_source=nature_html</w:t>
      </w:r>
    </w:p>
    <w:p>
      <w:pPr>
        <w:spacing w:before="0" w:after="80" w:lineRule="auto" w:line="276"/>
      </w:pPr>
      <w:r>
        <w:rPr>
          <w:b/>
        </w:rPr>
        <w:t xml:space="preserve">摘要（ZH）: </w:t>
      </w:r>
      <w:r>
        <w:t>在过去的四十年中，研究提供了证据表明，当个体再次接触到某些陈述时，他们倾向于将其评为更真实，这被称为“虚假真相效应”。鉴于自2006年上一次荟萃分析以来发表的研究数量不断增加以及对发表偏倚的担忧，我们对1977年至2025年间发表的182项研究和366个效应量（N = 31,184名参与者）进行了荟萃分析。在纠正了小样本效应后，我们观察到一个小的虚假真相效应（g = 0.37，95%置信区间[0.30, 0.44]），并且在研究内和研究之间存在显著的异质性。在此，我们展示了多种变量解释了这种异质性，包括项目类型、首次接触时的指示、真实性提示的存在，</w:t>
      </w:r>
    </w:p>
    <w:p>
      <w:pPr>
        <w:spacing w:before="0" w:after="200" w:lineRule="auto" w:line="276"/>
      </w:pPr>
      <w:r>
        <w:rPr>
          <w:b/>
        </w:rPr>
        <w:t xml:space="preserve">Abstract (EN): </w:t>
      </w:r>
      <w:r>
        <w:t>Over the last four decades, studies provided evidence that individuals tend to rate statements as being more truthful when they are re-exposed to them, the so-called ‘illusory truth effect’. In light of a growing number of studies published since the previous meta-analysis in 2006 and concern of publishing biases, we conduct a meta-analysis on 182 studies and 366 effect sizes (N = 31,184 participants) published from 1977 to 2025. After correcting for small-study effects, we observe a small illusory truth effect (g = 0.37, 95% confidence interval [0.30, 0.44]), with a substantial within and between-study heterogeneity. Here, we show that multiple variables accounted for such heterogeneity, including the type of item, the instructions during the first exposure, the presence of veracity cues, and the duration of presentation on first exposure to the statement. We highlight the importance of the initial exposure and discuss practical implications regarding the current misinformation crisis.</w:t>
      </w:r>
    </w:p>
    <w:p>
      <w:pPr>
        <w:spacing w:before="120" w:after="120"/>
      </w:pPr>
      <w:r>
        <w:rPr>
          <w:sz w:val="18"/>
        </w:rPr>
        <w:t>——————————————————————————————————————————————————————————————————————</w:t>
      </w:r>
    </w:p>
    <w:p>
      <w:pPr>
        <w:spacing w:before="160" w:after="40" w:line="240" w:lineRule="auto"/>
      </w:pPr>
      <w:r>
        <w:rPr>
          <w:b/>
        </w:rPr>
        <w:t xml:space="preserve">[376] </w:t>
      </w:r>
      <w:hyperlink r:id="rId769">
        <w:r>
          <w:rPr>
            <w:color w:val="1155CC"/>
            <w:u w:val="single"/>
          </w:rPr>
          <w:t>揭示油轮航运网络中的个体和集体时间模式</w:t>
        </w:r>
      </w:hyperlink>
    </w:p>
    <w:p>
      <w:pPr>
        <w:spacing w:before="0" w:after="80"/>
      </w:pPr>
      <w:r>
        <w:rPr>
          <w:i/>
          <w:sz w:val="20"/>
        </w:rPr>
        <w:t>EN: Unveiling individual and collective temporal patterns in the tanker shipping network</w:t>
      </w:r>
    </w:p>
    <w:p>
      <w:pPr>
        <w:spacing w:before="0" w:after="120"/>
      </w:pPr>
      <w:r>
        <w:rPr>
          <w:b/>
        </w:rPr>
        <w:t xml:space="preserve">Source: </w:t>
      </w:r>
      <w:r>
        <w:t>Nature Communications</w:t>
      </w:r>
      <w:r>
        <w:t xml:space="preserve">    </w:t>
      </w:r>
      <w:r>
        <w:rPr>
          <w:b/>
        </w:rPr>
        <w:t xml:space="preserve">Pub date: </w:t>
      </w:r>
      <w:r>
        <w:t>2026-02-27 00:00:00+00:00</w:t>
      </w:r>
    </w:p>
    <w:p>
      <w:pPr>
        <w:spacing w:before="0" w:after="120"/>
      </w:pPr>
      <w:r>
        <w:rPr>
          <w:b/>
        </w:rPr>
        <w:t xml:space="preserve">Notes: </w:t>
      </w:r>
      <w:r>
        <w:t>abstract_source=nature_html</w:t>
      </w:r>
    </w:p>
    <w:p>
      <w:pPr>
        <w:spacing w:before="0" w:after="80" w:lineRule="auto" w:line="276"/>
      </w:pPr>
      <w:r>
        <w:rPr>
          <w:b/>
        </w:rPr>
        <w:t xml:space="preserve">摘要（ZH）: </w:t>
      </w:r>
      <w:r>
        <w:t>全球油轮航运网络源于个别船舶和船队在经济、环境和运营因素驱动下的决策。然而，大多数现有的航运网络分析依赖于静态的、时间聚合的表示，忽视了将个别船舶航线策略与运营效率和全球货物流动连接起来的关键时间性。为了解决这一差距，我们引入了一个双尺度框架，补充顺序模式分析——捕捉船舶运动序列中的重复模式——与动态模式分解（DMD），从船舶轨迹中提取到全球货物流动的时间动态。使用四个船舶类别的油轮运动数据，我们证明了表现出多样化区域探索模式的船舶最多花费5</w:t>
      </w:r>
    </w:p>
    <w:p>
      <w:pPr>
        <w:spacing w:before="0" w:after="200" w:lineRule="auto" w:line="276"/>
      </w:pPr>
      <w:r>
        <w:rPr>
          <w:b/>
        </w:rPr>
        <w:t xml:space="preserve">Abstract (EN): </w:t>
      </w:r>
      <w:r>
        <w:t>The global oil tanker shipping network emerges from individual ship and fleet decisions driven by economic, environmental, and operational factors. However, most existing shipping network analysis rely on static, time-aggregated representations, overlooking critical temporality connecting individual vessel routing strategies with both operational efficiency and global cargo flows. To address this gap, we introduce a dual-scale framework complementing sequential motif analysis—capturing recurrent patterns in vessel movement sequences—with Dynamic Mode Decomposition (DMD), extracting temporal dynamics from vessel trajectories to global cargo flows. Using tanker movement data across four vessel classes, we demonstrate that vessels exhibiting diverse regional exploration patterns spend up to 50% more time transporting rather than seeking cargo, indicating greater economic and environmental efficiency. At the system scale, DMD analysis reveals distinct seasonality with an average peak-to-trough amplitude of 16%. Major import regions show synchronous annual demand cycles, while export regions exhibit anti-synchronicity. These temporal patterns, invisible to static analysis, reveal performance differences that enable route optimization for both economic and environmental benefits.</w:t>
      </w:r>
    </w:p>
    <w:p>
      <w:pPr>
        <w:spacing w:before="120" w:after="120"/>
      </w:pPr>
      <w:r>
        <w:rPr>
          <w:sz w:val="18"/>
        </w:rPr>
        <w:t>——————————————————————————————————————————————————————————————————————</w:t>
      </w:r>
    </w:p>
    <w:p>
      <w:pPr>
        <w:spacing w:before="160" w:after="40" w:line="240" w:lineRule="auto"/>
      </w:pPr>
      <w:r>
        <w:rPr>
          <w:b/>
        </w:rPr>
        <w:t xml:space="preserve">[377] </w:t>
      </w:r>
      <w:hyperlink r:id="rId770">
        <w:r>
          <w:rPr>
            <w:color w:val="1155CC"/>
            <w:u w:val="single"/>
          </w:rPr>
          <w:t>解码东南青藏高原的生长：新生代地壳变形的三维数值模拟</w:t>
        </w:r>
      </w:hyperlink>
    </w:p>
    <w:p>
      <w:pPr>
        <w:spacing w:before="0" w:after="80"/>
      </w:pPr>
      <w:r>
        <w:rPr>
          <w:i/>
          <w:sz w:val="20"/>
        </w:rPr>
        <w:t>EN: Decoding the SE Tibetan Plateau Growth: A 3D Numerical Simulation of Cenozoic Crustal Deformation</w:t>
      </w:r>
    </w:p>
    <w:p>
      <w:pPr>
        <w:spacing w:before="0" w:after="120"/>
      </w:pPr>
      <w:r>
        <w:rPr>
          <w:b/>
        </w:rPr>
        <w:t xml:space="preserve">Source: </w:t>
      </w:r>
      <w:r>
        <w:t>National Science Review Advance Access</w:t>
      </w:r>
      <w:r>
        <w:t xml:space="preserve">    </w:t>
      </w:r>
      <w:r>
        <w:rPr>
          <w:b/>
        </w:rPr>
        <w:t xml:space="preserve">Pub date: </w:t>
      </w:r>
      <w:r>
        <w:t>2026-02-27 00:00:00+00:00</w:t>
      </w:r>
      <w:r>
        <w:t xml:space="preserve">    </w:t>
      </w:r>
      <w:r>
        <w:rPr>
          <w:b/>
        </w:rPr>
        <w:t xml:space="preserve">DOI: </w:t>
      </w:r>
      <w:hyperlink r:id="rId771">
        <w:r>
          <w:rPr>
            <w:color w:val="1155CC"/>
            <w:u w:val="single"/>
          </w:rPr>
          <w:t>10.1093/nsr/nwag118/8501036</w:t>
        </w:r>
      </w:hyperlink>
    </w:p>
    <w:p>
      <w:pPr>
        <w:spacing w:before="0" w:after="120"/>
      </w:pPr>
      <w:r>
        <w:rPr>
          <w:b/>
        </w:rPr>
        <w:t xml:space="preserve">Notes: </w:t>
      </w:r>
      <w:r>
        <w:t>abstract_source=rss_oup</w:t>
      </w:r>
    </w:p>
    <w:p>
      <w:pPr>
        <w:spacing w:before="0" w:after="80" w:lineRule="auto" w:line="276"/>
      </w:pPr>
      <w:r>
        <w:rPr>
          <w:b/>
        </w:rPr>
        <w:t xml:space="preserve">摘要（ZH）: </w:t>
      </w:r>
      <w:r>
        <w:t>青藏高原东南部，作为记录印度-欧亚斜向汇聚的大陆内变形原型，长期以来一直在测试块体挤出和下地壳流动的终端模型。在印度向北楔入的驱动下，它经历了多阶段的变形，伴随着运动学和结构的转变。为了探索其演化动力学，我们开发了三维粘弹塑性热力学模型，重建了青藏高原东南部的三个构造阶段：（1）地壳缩短，（2）块体侧向挤出，以及（3）运动学逆转。模拟显示，沿大规模剪切带的应变局部化最初由岩石圈的异质性控制，使得刚性块体挤出成为可能。自中新世中晚期以来，垂直分层的地壳流变</w:t>
      </w:r>
    </w:p>
    <w:p>
      <w:pPr>
        <w:spacing w:before="0" w:after="200" w:lineRule="auto" w:line="276"/>
      </w:pPr>
      <w:r>
        <w:rPr>
          <w:b/>
        </w:rPr>
        <w:t xml:space="preserve">Abstract (EN): </w:t>
      </w:r>
      <w:r>
        <w:t>The southeastern Tibetan Plateau, an intracontinental deformation archetype recording oblique Indian-Eurasian convergence, has long tested the end-member models of block extrusion and lower crustal flow. Driven by India’s northward indentation, it has undergone multi-phase deformation with kinematic and structural shifts. To explore its evolutionary dynamics, we developed 3D visco-elasto-plastic thermomechanical models reconstructing three tectonic stages: (1) crustal shortening, (2) block lateral extrusion, and (3) kinematic reversal in the southeastern Tibetan Plateau. Simulations show that strain localization along large-scale shear zones is initially controlled by lithospheric heterogeneities enabling rigid block extrusion. Since the mid-late Miocene, vertically stratified crustal rheology promotes decoupling, in which potential energy-driven ductile lower crustal flow modulates upper crustal deformation and triggers kinematic reversal. This transition reconciles block extrusion and lower crustal flow, which operate sequentially rather than exclusively and are modulated by temporal variations in crustal rheology and boundary conditions, resolving the long-lasting debates of geodynamics during continental collision.</w:t>
      </w:r>
    </w:p>
    <w:p>
      <w:pPr>
        <w:spacing w:before="120" w:after="120"/>
      </w:pPr>
      <w:r>
        <w:rPr>
          <w:sz w:val="18"/>
        </w:rPr>
        <w:t>——————————————————————————————————————————————————————————————————————</w:t>
      </w:r>
    </w:p>
    <w:p>
      <w:pPr>
        <w:spacing w:before="160" w:after="40" w:line="240" w:lineRule="auto"/>
      </w:pPr>
      <w:r>
        <w:rPr>
          <w:b/>
        </w:rPr>
        <w:t xml:space="preserve">[378] </w:t>
      </w:r>
      <w:hyperlink r:id="rId772">
        <w:r>
          <w:rPr>
            <w:color w:val="1155CC"/>
            <w:u w:val="single"/>
          </w:rPr>
          <w:t>在近藤铁磁体中超越磁性量子临界性的压力诱导超导性</w:t>
        </w:r>
      </w:hyperlink>
    </w:p>
    <w:p>
      <w:pPr>
        <w:spacing w:before="0" w:after="80"/>
      </w:pPr>
      <w:r>
        <w:rPr>
          <w:i/>
          <w:sz w:val="20"/>
        </w:rPr>
        <w:t>EN: Pressure-induced superconductivity beyond magnetic quantum criticality in a Kondo ferromagnet</w:t>
      </w:r>
    </w:p>
    <w:p>
      <w:pPr>
        <w:spacing w:before="0" w:after="120"/>
      </w:pPr>
      <w:r>
        <w:rPr>
          <w:b/>
        </w:rPr>
        <w:t xml:space="preserve">Source: </w:t>
      </w:r>
      <w:r>
        <w:t>National Science Review Advance Access</w:t>
      </w:r>
      <w:r>
        <w:t xml:space="preserve">    </w:t>
      </w:r>
      <w:r>
        <w:rPr>
          <w:b/>
        </w:rPr>
        <w:t xml:space="preserve">Pub date: </w:t>
      </w:r>
      <w:r>
        <w:t>2026-02-27 00:00:00+00:00</w:t>
      </w:r>
      <w:r>
        <w:t xml:space="preserve">    </w:t>
      </w:r>
      <w:r>
        <w:rPr>
          <w:b/>
        </w:rPr>
        <w:t xml:space="preserve">DOI: </w:t>
      </w:r>
      <w:hyperlink r:id="rId773">
        <w:r>
          <w:rPr>
            <w:color w:val="1155CC"/>
            <w:u w:val="single"/>
          </w:rPr>
          <w:t>10.1093/nsr/nwag119/8501035</w:t>
        </w:r>
      </w:hyperlink>
    </w:p>
    <w:p>
      <w:pPr>
        <w:spacing w:before="0" w:after="120"/>
      </w:pPr>
      <w:r>
        <w:rPr>
          <w:b/>
        </w:rPr>
        <w:t xml:space="preserve">Notes: </w:t>
      </w:r>
      <w:r>
        <w:t>abstract_source=rss_oup</w:t>
      </w:r>
    </w:p>
    <w:p>
      <w:pPr>
        <w:spacing w:before="0" w:after="80" w:lineRule="auto" w:line="276"/>
      </w:pPr>
      <w:r>
        <w:rPr>
          <w:b/>
        </w:rPr>
        <w:t xml:space="preserve">摘要（ZH）: </w:t>
      </w:r>
      <w:r>
        <w:t>量子相变是由强电子关联驱动的涌现现象的既定背景，包括奇异金属和非常规超导性。这些现象已在调至反铁磁量子临界点（QCP）的Kondo晶格材料中被广泛研究，但在铁磁量子临界性附近出现的超导性尚未观察到，并且其在接近铁磁性时发生的条件尚未确定。在此，我们报告了一种新的超导性背景，存在于铁磁Kondo晶格材料Ce5CoGe2中，该材料在常压下具有铁磁基态，在施加压力下演变为反铁磁性。反铁磁转变被抑制到零温度QCP，这</w:t>
      </w:r>
    </w:p>
    <w:p>
      <w:pPr>
        <w:spacing w:before="0" w:after="200" w:lineRule="auto" w:line="276"/>
      </w:pPr>
      <w:r>
        <w:rPr>
          <w:b/>
        </w:rPr>
        <w:t xml:space="preserve">Abstract (EN): </w:t>
      </w:r>
      <w:r>
        <w:t>Quantum phase transitions are an established setting for emergent phenomena driven by strong electronic correlations, including strange metals and unconventional superconductivity. These have been explored extensively in Kondo lattice materials tuned to an antiferromagnetic quantum critical point (QCP), but superconductivity emerging near ferromagnetic quantum criticality is not yet observed, and the conditions under which it occurs in proximity to ferromagnetism are undetermined. Here, we report a new setting for superconductivity in the ferromagnetic Kondo-lattice material Ce5CoGe2, where there is a ferromagnetic ground state at ambient pressure, which evolves to antiferromagnetism under applied pressures. The antiferromagnetic transition is suppressed to a zero-temperature QCP, which is accompanied by strange-metal behavior. Superconductivity does not occur at the QCP, but instead appears at pressures beyond the magnetic instability. These findings suggest that Ce5CoGe2 represents a distinct class of correlated materials exhibiting a unique scenario for the emergence of superconductivity, likely associated with unconventional pairing mechanisms beyond spin-fluctuations.</w:t>
      </w:r>
    </w:p>
    <w:p>
      <w:pPr>
        <w:spacing w:before="120" w:after="120"/>
      </w:pPr>
      <w:r>
        <w:rPr>
          <w:sz w:val="18"/>
        </w:rPr>
        <w:t>——————————————————————————————————————————————————————————————————————</w:t>
      </w:r>
    </w:p>
    <w:p>
      <w:pPr>
        <w:spacing w:before="160" w:after="40" w:line="240" w:lineRule="auto"/>
      </w:pPr>
      <w:r>
        <w:rPr>
          <w:b/>
        </w:rPr>
        <w:t xml:space="preserve">[379] </w:t>
      </w:r>
      <w:hyperlink r:id="rId774">
        <w:r>
          <w:rPr>
            <w:color w:val="1155CC"/>
            <w:u w:val="single"/>
          </w:rPr>
          <w:t>对热电化学系统进行稳健研究的需求</w:t>
        </w:r>
      </w:hyperlink>
    </w:p>
    <w:p>
      <w:pPr>
        <w:spacing w:before="0" w:after="80"/>
      </w:pPr>
      <w:r>
        <w:rPr>
          <w:i/>
          <w:sz w:val="20"/>
        </w:rPr>
        <w:t>EN: Needs for a robust research on thermo-electrochemical systems</w:t>
      </w:r>
    </w:p>
    <w:p>
      <w:pPr>
        <w:spacing w:before="0" w:after="120"/>
      </w:pPr>
      <w:r>
        <w:rPr>
          <w:b/>
        </w:rPr>
        <w:t xml:space="preserve">Source: </w:t>
      </w:r>
      <w:r>
        <w:t>National Science Review Advance Access</w:t>
      </w:r>
      <w:r>
        <w:t xml:space="preserve">    </w:t>
      </w:r>
      <w:r>
        <w:rPr>
          <w:b/>
        </w:rPr>
        <w:t xml:space="preserve">Pub date: </w:t>
      </w:r>
      <w:r>
        <w:t>2026-02-27 00:00:00+00:00</w:t>
      </w:r>
      <w:r>
        <w:t xml:space="preserve">    </w:t>
      </w:r>
      <w:r>
        <w:rPr>
          <w:b/>
        </w:rPr>
        <w:t xml:space="preserve">DOI: </w:t>
      </w:r>
      <w:hyperlink r:id="rId775">
        <w:r>
          <w:rPr>
            <w:color w:val="1155CC"/>
            <w:u w:val="single"/>
          </w:rPr>
          <w:t>10.1093/nsr/nwag120/8501029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[380] </w:t>
      </w:r>
      <w:hyperlink r:id="rId776">
        <w:r>
          <w:rPr>
            <w:color w:val="1155CC"/>
            <w:u w:val="single"/>
          </w:rPr>
          <w:t>碳酸盐在竞争性电还原反应中的激进作用</w:t>
        </w:r>
      </w:hyperlink>
    </w:p>
    <w:p>
      <w:pPr>
        <w:spacing w:before="0" w:after="80"/>
      </w:pPr>
      <w:r>
        <w:rPr>
          <w:i/>
          <w:sz w:val="20"/>
        </w:rPr>
        <w:t>EN: Carbonate’s radical role in competitive electroreduction reactions</w:t>
      </w:r>
    </w:p>
    <w:p>
      <w:pPr>
        <w:spacing w:before="0" w:after="120"/>
      </w:pPr>
      <w:r>
        <w:rPr>
          <w:b/>
        </w:rPr>
        <w:t xml:space="preserve">Source: </w:t>
      </w:r>
      <w:r>
        <w:t>Nature Chemistry</w:t>
      </w:r>
      <w:r>
        <w:t xml:space="preserve">    </w:t>
      </w:r>
      <w:r>
        <w:rPr>
          <w:b/>
        </w:rPr>
        <w:t xml:space="preserve">Pub date: </w:t>
      </w:r>
      <w:r>
        <w:t>2026-02-27 00:00:00+00:00</w:t>
      </w:r>
      <w:r>
        <w:t xml:space="preserve">    </w:t>
      </w:r>
      <w:r>
        <w:rPr>
          <w:b/>
        </w:rPr>
        <w:t xml:space="preserve">DOI: </w:t>
      </w:r>
      <w:hyperlink r:id="rId777">
        <w:r>
          <w:rPr>
            <w:color w:val="1155CC"/>
            <w:u w:val="single"/>
          </w:rPr>
          <w:t>10.1038/s41557-026-02083-z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[381] </w:t>
      </w:r>
      <w:hyperlink r:id="rId778">
        <w:r>
          <w:rPr>
            <w:color w:val="1155CC"/>
            <w:u w:val="single"/>
          </w:rPr>
          <w:t>《宝可梦》30周年——虚构的小精灵如何影响科学</w:t>
        </w:r>
      </w:hyperlink>
    </w:p>
    <w:p>
      <w:pPr>
        <w:spacing w:before="0" w:after="80"/>
      </w:pPr>
      <w:r>
        <w:rPr>
          <w:i/>
          <w:sz w:val="20"/>
        </w:rPr>
        <w:t>EN: Pokémon turns 30 — how the fictional pocket monsters shaped science</w:t>
      </w:r>
    </w:p>
    <w:p>
      <w:pPr>
        <w:spacing w:before="0" w:after="120"/>
      </w:pPr>
      <w:r>
        <w:rPr>
          <w:b/>
        </w:rPr>
        <w:t xml:space="preserve">Source: </w:t>
      </w:r>
      <w:r>
        <w:t>Nature</w:t>
      </w:r>
      <w:r>
        <w:t xml:space="preserve">    </w:t>
      </w:r>
      <w:r>
        <w:rPr>
          <w:b/>
        </w:rPr>
        <w:t xml:space="preserve">Pub date: </w:t>
      </w:r>
      <w:r>
        <w:t>2026-02-27 00:00:00+00:00</w:t>
      </w:r>
      <w:r>
        <w:t xml:space="preserve">    </w:t>
      </w:r>
      <w:r>
        <w:rPr>
          <w:b/>
        </w:rPr>
        <w:t xml:space="preserve">DOI: </w:t>
      </w:r>
      <w:hyperlink r:id="rId779">
        <w:r>
          <w:rPr>
            <w:color w:val="1155CC"/>
            <w:u w:val="single"/>
          </w:rPr>
          <w:t>10.1038/d41586-026-00441-y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[382] </w:t>
      </w:r>
      <w:hyperlink r:id="rId780">
        <w:r>
          <w:rPr>
            <w:color w:val="1155CC"/>
            <w:u w:val="single"/>
          </w:rPr>
          <w:t>我将继续为黑人社区的环境正义而战</w:t>
        </w:r>
      </w:hyperlink>
    </w:p>
    <w:p>
      <w:pPr>
        <w:spacing w:before="0" w:after="80"/>
      </w:pPr>
      <w:r>
        <w:rPr>
          <w:i/>
          <w:sz w:val="20"/>
        </w:rPr>
        <w:t>EN: I will continue the fight for environmental justice in Black communities</w:t>
      </w:r>
    </w:p>
    <w:p>
      <w:pPr>
        <w:spacing w:before="0" w:after="120"/>
      </w:pPr>
      <w:r>
        <w:rPr>
          <w:b/>
        </w:rPr>
        <w:t xml:space="preserve">Source: </w:t>
      </w:r>
      <w:r>
        <w:t>Nature</w:t>
      </w:r>
      <w:r>
        <w:t xml:space="preserve">    </w:t>
      </w:r>
      <w:r>
        <w:rPr>
          <w:b/>
        </w:rPr>
        <w:t xml:space="preserve">Pub date: </w:t>
      </w:r>
      <w:r>
        <w:t>2026-02-27 00:00:00+00:00</w:t>
      </w:r>
      <w:r>
        <w:t xml:space="preserve">    </w:t>
      </w:r>
      <w:r>
        <w:rPr>
          <w:b/>
        </w:rPr>
        <w:t xml:space="preserve">DOI: </w:t>
      </w:r>
      <w:hyperlink r:id="rId781">
        <w:r>
          <w:rPr>
            <w:color w:val="1155CC"/>
            <w:u w:val="single"/>
          </w:rPr>
          <w:t>10.1038/d41586-026-00538-4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[383] </w:t>
      </w:r>
      <w:hyperlink r:id="rId782">
        <w:r>
          <w:rPr>
            <w:color w:val="1155CC"/>
            <w:u w:val="single"/>
          </w:rPr>
          <w:t>变速抽水蓄能的调度控制耦合框架：协调可再生能源系统中的经济性和稳定性</w:t>
        </w:r>
      </w:hyperlink>
    </w:p>
    <w:p>
      <w:pPr>
        <w:spacing w:before="0" w:after="80"/>
      </w:pPr>
      <w:r>
        <w:rPr>
          <w:i/>
          <w:sz w:val="20"/>
        </w:rPr>
        <w:t>EN: Scheduling-control coupling framework for variable-speed pumped storage: Coordinating economics and stability in renewable energy systems</w:t>
      </w:r>
    </w:p>
    <w:p>
      <w:pPr>
        <w:spacing w:before="0" w:after="120"/>
      </w:pPr>
      <w:r>
        <w:rPr>
          <w:b/>
        </w:rPr>
        <w:t xml:space="preserve">Source: </w:t>
      </w:r>
      <w:r>
        <w:t>ScienceDirect Publication: Applied Energy</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[384] </w:t>
      </w:r>
      <w:hyperlink r:id="rId783">
        <w:r>
          <w:rPr>
            <w:color w:val="1155CC"/>
            <w:u w:val="single"/>
          </w:rPr>
          <w:t>公用事业规模储能的支持方案：比较分析</w:t>
        </w:r>
      </w:hyperlink>
    </w:p>
    <w:p>
      <w:pPr>
        <w:spacing w:before="0" w:after="80"/>
      </w:pPr>
      <w:r>
        <w:rPr>
          <w:i/>
          <w:sz w:val="20"/>
        </w:rPr>
        <w:t>EN: Support schemes for utility-scale energy storage: a comparative analysis</w:t>
      </w:r>
    </w:p>
    <w:p>
      <w:pPr>
        <w:spacing w:before="0" w:after="120"/>
      </w:pPr>
      <w:r>
        <w:rPr>
          <w:b/>
        </w:rPr>
        <w:t xml:space="preserve">Source: </w:t>
      </w:r>
      <w:r>
        <w:t>ScienceDirect Publication: Applied Energy</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[385] </w:t>
      </w:r>
      <w:hyperlink r:id="rId784">
        <w:r>
          <w:rPr>
            <w:color w:val="1155CC"/>
            <w:u w:val="single"/>
          </w:rPr>
          <w:t>推动全球可持续性变革的行动和参与者</w:t>
        </w:r>
      </w:hyperlink>
    </w:p>
    <w:p>
      <w:pPr>
        <w:spacing w:before="0" w:after="80"/>
      </w:pPr>
      <w:r>
        <w:rPr>
          <w:i/>
          <w:sz w:val="20"/>
        </w:rPr>
        <w:t>EN: Actions and actors driving transformative change for global sustainability</w:t>
      </w:r>
    </w:p>
    <w:p>
      <w:pPr>
        <w:spacing w:before="0" w:after="120"/>
      </w:pPr>
      <w:r>
        <w:rPr>
          <w:b/>
        </w:rPr>
        <w:t xml:space="preserve">Source: </w:t>
      </w:r>
      <w:r>
        <w:t>Nature Sustainability</w:t>
      </w:r>
      <w:r>
        <w:t xml:space="preserve">    </w:t>
      </w:r>
      <w:r>
        <w:rPr>
          <w:b/>
        </w:rPr>
        <w:t xml:space="preserve">Pub date: </w:t>
      </w:r>
      <w:r>
        <w:t>2026-02-27 00:00:00+00:00</w:t>
      </w:r>
      <w:r>
        <w:t xml:space="preserve">    </w:t>
      </w:r>
      <w:r>
        <w:rPr>
          <w:b/>
        </w:rPr>
        <w:t xml:space="preserve">DOI: </w:t>
      </w:r>
      <w:hyperlink r:id="rId785">
        <w:r>
          <w:rPr>
            <w:color w:val="1155CC"/>
            <w:u w:val="single"/>
          </w:rPr>
          <w:t>10.1038/s41893-026-01783-1</w:t>
        </w:r>
      </w:hyperlink>
    </w:p>
    <w:p>
      <w:pPr>
        <w:spacing w:before="0" w:after="120"/>
      </w:pPr>
      <w:r>
        <w:rPr>
          <w:b/>
        </w:rPr>
        <w:t xml:space="preserve">Notes: </w:t>
      </w:r>
      <w:r>
        <w:t>abstract_source=nature_html</w:t>
      </w:r>
    </w:p>
    <w:p>
      <w:pPr>
        <w:spacing w:before="0" w:after="80" w:lineRule="auto" w:line="276"/>
      </w:pPr>
      <w:r>
        <w:rPr>
          <w:b/>
        </w:rPr>
        <w:t xml:space="preserve">摘要（ZH）: </w:t>
      </w:r>
      <w:r>
        <w:t>迫切需要变革性改变以应对气候变化和生物多样性丧失的交织危机，这一需求已被广泛认可。在此，我们借鉴最初在IPBES变革性改变评估中进行的工作，并使用对超过400万篇学术文献的文献计量分析，研究推动全球可持续性变革的行动和参与者。文献不成比例地集中于有限的一组可用行动和参与者，忽视了其他行动和潜在的相互作用。值得注意的是，‘改变社会规范’和‘技术变革’的行动以及通信、知识和私营部门经常被讨论，而涉及转变经济和治理系统以及公民社会的行动则被忽视。</w:t>
      </w:r>
    </w:p>
    <w:p>
      <w:pPr>
        <w:spacing w:before="0" w:after="200" w:lineRule="auto" w:line="276"/>
      </w:pPr>
      <w:r>
        <w:rPr>
          <w:b/>
        </w:rPr>
        <w:t xml:space="preserve">Abstract (EN): </w:t>
      </w:r>
      <w:r>
        <w:t>The urgent need for transformative change to address the intertwined crises of climate change and biodiversity loss is widely recognized. Here, drawing on work originally conducted within the IPBES Transformative Change Assessment and using a bibliometric analysis of more than 4 million scholarly documents, we examine the actions and actors driving transformative change for global sustainability. The literature disproportionately focuses on a limited set of available actions and actors, neglecting others and overlooking their potential interactions. Notably, the actions ‘changing social norms’ and ‘technological change’ and the communication and knowledge and private sectors are frequently discussed, while actions referring to transforming the economic and governance systems and the civil society and the public sector are understudied. Moreover, actions and actors do not tend to appear together in consistent or systematic ways; instead, most action–actor combinations appear at rates similar to random chance, with only a few notable exceptions. The uneven distribution of scholarly attention may hinder the coordination and cross-sectoral coalitions required for effective transformative change. Our findings call for a more inclusive approach to research on actors and actions needed for transformative change towards a just and sustainable world, and for a greater focus on synergies between actions and actors potentially driving transformative change.</w:t>
      </w:r>
    </w:p>
    <w:p>
      <w:pPr>
        <w:spacing w:before="120" w:after="120"/>
      </w:pPr>
      <w:r>
        <w:rPr>
          <w:sz w:val="18"/>
        </w:rPr>
        <w:t>——————————————————————————————————————————————————————————————————————</w:t>
      </w:r>
    </w:p>
    <w:p>
      <w:pPr>
        <w:spacing w:before="160" w:after="40" w:line="240" w:lineRule="auto"/>
      </w:pPr>
      <w:r>
        <w:rPr>
          <w:b/>
        </w:rPr>
        <w:t xml:space="preserve">[386] </w:t>
      </w:r>
      <w:hyperlink r:id="rId786">
        <w:r>
          <w:rPr>
            <w:color w:val="1155CC"/>
            <w:u w:val="single"/>
          </w:rPr>
          <w:t>是否有一个‘自私基因’使得犹他州的一个家庭生男孩的数量是女孩的两倍？</w:t>
        </w:r>
      </w:hyperlink>
    </w:p>
    <w:p>
      <w:pPr>
        <w:spacing w:before="0" w:after="80"/>
      </w:pPr>
      <w:r>
        <w:rPr>
          <w:i/>
          <w:sz w:val="20"/>
        </w:rPr>
        <w:t>EN: Is a ‘selfish gene’ making a Utah family have twice as many boys as girls?</w:t>
      </w:r>
    </w:p>
    <w:p>
      <w:pPr>
        <w:spacing w:before="0" w:after="120"/>
      </w:pPr>
      <w:r>
        <w:rPr>
          <w:b/>
        </w:rPr>
        <w:t xml:space="preserve">Source: </w:t>
      </w:r>
      <w:r>
        <w:t>Nature</w:t>
      </w:r>
      <w:r>
        <w:t xml:space="preserve">    </w:t>
      </w:r>
      <w:r>
        <w:rPr>
          <w:b/>
        </w:rPr>
        <w:t xml:space="preserve">Pub date: </w:t>
      </w:r>
      <w:r>
        <w:t>2026-02-27 00:00:00+00:00</w:t>
      </w:r>
      <w:r>
        <w:t xml:space="preserve">    </w:t>
      </w:r>
      <w:r>
        <w:rPr>
          <w:b/>
        </w:rPr>
        <w:t xml:space="preserve">DOI: </w:t>
      </w:r>
      <w:hyperlink r:id="rId787">
        <w:r>
          <w:rPr>
            <w:color w:val="1155CC"/>
            <w:u w:val="single"/>
          </w:rPr>
          <w:t>10.1038/d41586-026-00505-z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[387] </w:t>
      </w:r>
      <w:hyperlink r:id="rId788">
        <w:r>
          <w:rPr>
            <w:color w:val="1155CC"/>
            <w:u w:val="single"/>
          </w:rPr>
          <w:t>在氮杂三角形共价Kagome晶格中工程相位挫折诱导的平带</w:t>
        </w:r>
      </w:hyperlink>
    </w:p>
    <w:p>
      <w:pPr>
        <w:spacing w:before="0" w:after="80"/>
      </w:pPr>
      <w:r>
        <w:rPr>
          <w:i/>
          <w:sz w:val="20"/>
        </w:rPr>
        <w:t>EN: Engineering phase-frustration-induced flat bands in an aza-triangulene covalent kagome lattice</w:t>
      </w:r>
    </w:p>
    <w:p>
      <w:pPr>
        <w:spacing w:before="0" w:after="120"/>
      </w:pPr>
      <w:r>
        <w:rPr>
          <w:b/>
        </w:rPr>
        <w:t xml:space="preserve">Source: </w:t>
      </w:r>
      <w:r>
        <w:t>Nature Materials</w:t>
      </w:r>
      <w:r>
        <w:t xml:space="preserve">    </w:t>
      </w:r>
      <w:r>
        <w:rPr>
          <w:b/>
        </w:rPr>
        <w:t xml:space="preserve">Pub date: </w:t>
      </w:r>
      <w:r>
        <w:t>2026-02-27 00:00:00+00:00</w:t>
      </w:r>
      <w:r>
        <w:t xml:space="preserve">    </w:t>
      </w:r>
      <w:r>
        <w:rPr>
          <w:b/>
        </w:rPr>
        <w:t xml:space="preserve">DOI: </w:t>
      </w:r>
      <w:hyperlink r:id="rId789">
        <w:r>
          <w:rPr>
            <w:color w:val="1155CC"/>
            <w:u w:val="single"/>
          </w:rPr>
          <w:t>10.1038/s41563-026-02528-3</w:t>
        </w:r>
      </w:hyperlink>
    </w:p>
    <w:p>
      <w:pPr>
        <w:spacing w:before="0" w:after="120"/>
      </w:pPr>
      <w:r>
        <w:rPr>
          <w:b/>
        </w:rPr>
        <w:t xml:space="preserve">Notes: </w:t>
      </w:r>
      <w:r>
        <w:t>abstract_source=nature_html</w:t>
      </w:r>
    </w:p>
    <w:p>
      <w:pPr>
        <w:spacing w:before="0" w:after="80" w:lineRule="auto" w:line="276"/>
      </w:pPr>
      <w:r>
        <w:rPr>
          <w:b/>
        </w:rPr>
        <w:t xml:space="preserve">摘要（ZH）: </w:t>
      </w:r>
      <w:r>
        <w:t>π-共轭共价有机框架为实现设计师量子纳米材料提供了多功能的分子支架。这些人工晶格中的强电子-电子关联可以引发奇异的物质相。然而，其实验实现需要对轨道对称性、电荷局域化和能带色散进行精确控制，这些都源于分子连接器和节点之间的有效杂化。我们在此提出了一种构建二原子kagome晶格的模块化策略，其中aza-[3]三角烯节点通过共振贡献的累积连接器稳定了D3h对称基态。第一性原理密度泛函理论和扫描隧道光谱揭示了六重杂化的</w:t>
      </w:r>
    </w:p>
    <w:p>
      <w:pPr>
        <w:spacing w:before="0" w:after="200" w:lineRule="auto" w:line="276"/>
      </w:pPr>
      <w:r>
        <w:rPr>
          <w:b/>
        </w:rPr>
        <w:t xml:space="preserve">Abstract (EN): </w:t>
      </w:r>
      <w:r>
        <w:t>π-Conjugated covalent organic frameworks provide a versatile molecular scaffold for the realization of designer quantum nanomaterials. Strong electron–electron correlation within these artificial lattices can give rise to exotic phases of matter. Their experimental realization, however, requires precise control over orbital symmetry, charge localization and band dispersion, all arising from the effective hybridization between molecular linkers and nodes. Here we present a modular strategy for constructing diatomic kagome lattices from aza-[3]triangulene nodes, in which a D3h-symmetric ground state is stabilized through resonance contributions from a cumulenic linker. First-principles density functional theory and scanning tunnelling spectroscopy reveal that the hybridization of a sixfold-degenerate set of edge-localized Wannier functions in the unit cell gives rise to orbital-phase-frustration-induced non-trivial flat bands. These results establish a general design principle for engineering orbital interactions in organic lattices and open a pathway towards programmable covalent-organic-framework-based quantum materials with correlated electronic ground states.</w:t>
      </w:r>
    </w:p>
    <w:p>
      <w:pPr>
        <w:spacing w:before="120" w:after="120"/>
      </w:pPr>
      <w:r>
        <w:rPr>
          <w:sz w:val="18"/>
        </w:rPr>
        <w:t>——————————————————————————————————————————————————————————————————————</w:t>
      </w:r>
    </w:p>
    <w:p>
      <w:pPr>
        <w:spacing w:before="160" w:after="40" w:line="240" w:lineRule="auto"/>
      </w:pPr>
      <w:r>
        <w:rPr>
          <w:b/>
        </w:rPr>
        <w:t xml:space="preserve">[388] </w:t>
      </w:r>
      <w:hyperlink r:id="rId790">
        <w:r>
          <w:rPr>
            <w:color w:val="1155CC"/>
            <w:u w:val="single"/>
          </w:rPr>
          <w:t>铜交换沸石中活性位点的形成用于直接甲烷转化为甲醇</w:t>
        </w:r>
      </w:hyperlink>
    </w:p>
    <w:p>
      <w:pPr>
        <w:spacing w:before="0" w:after="80"/>
      </w:pPr>
      <w:r>
        <w:rPr>
          <w:i/>
          <w:sz w:val="20"/>
        </w:rPr>
        <w:t>EN: Formation of active sites in copper-exchanged zeolites for the direct methane-to-methanol conversion</w:t>
      </w:r>
    </w:p>
    <w:p>
      <w:pPr>
        <w:spacing w:before="0" w:after="120"/>
      </w:pPr>
      <w:r>
        <w:rPr>
          <w:b/>
        </w:rPr>
        <w:t xml:space="preserve">Source: </w:t>
      </w:r>
      <w:r>
        <w:t>RSC - Chem. Soc. Rev. latest articles</w:t>
      </w:r>
      <w:r>
        <w:t xml:space="preserve">    </w:t>
      </w:r>
      <w:r>
        <w:rPr>
          <w:b/>
        </w:rPr>
        <w:t xml:space="preserve">Pub date: </w:t>
      </w:r>
      <w:r>
        <w:t>2026-02-27 00:00:00+00:00</w:t>
      </w:r>
    </w:p>
    <w:p>
      <w:pPr>
        <w:spacing w:before="0" w:after="120"/>
      </w:pPr>
      <w:r>
        <w:rPr>
          <w:b/>
        </w:rPr>
        <w:t xml:space="preserve">Notes: </w:t>
      </w:r>
      <w:r>
        <w:t>abstract_source=rsc_html</w:t>
      </w:r>
    </w:p>
    <w:p>
      <w:pPr>
        <w:spacing w:before="0" w:after="80" w:lineRule="auto" w:line="276"/>
      </w:pPr>
      <w:r>
        <w:rPr>
          <w:b/>
        </w:rPr>
        <w:t xml:space="preserve">摘要（ZH）: </w:t>
      </w:r>
      <w:r>
        <w:t>铜交换沸石因其在低温下直接和选择性地将CH4转化为CH3OH的优良特性而被广泛研究。其性能被归因于多种氧化铜(II)活性位点的存在，这些位点可以在给定的沸石框架中共存。大多数研究重点放在识别这些铜-氧中心，理解它们在与CH4反应过程中的结构发展，以及建立铜物种化与沸石的铜负载、Si/Al比和拓扑之间的关联。相反，氧化形成铜(II)活性位点的过程却较少受到关注。这篇重要的综述概述了当前对铜(II)活性中心生成的理解。</w:t>
      </w:r>
    </w:p>
    <w:p>
      <w:pPr>
        <w:spacing w:before="0" w:after="200" w:lineRule="auto" w:line="276"/>
      </w:pPr>
      <w:r>
        <w:rPr>
          <w:b/>
        </w:rPr>
        <w:t xml:space="preserve">Abstract (EN): </w:t>
      </w:r>
      <w:r>
        <w:t>Cu-exchanged zeolites are extensively studied for their promising properties in the direct and selective conversion of CH4 to CH3OH at low temperatures. Their performance has been attributed to the presence of multiple oxygenated Cu(II) active sites, which can co-exist in a given zeolite framework. Most emphasis has been placed on identifying these Cu-oxo centers, understanding their structural development during reaction with CH4, and establishing a correlation between the Cu speciation and the zeolite's Cu loading, Si/Al ratio, and topology. On the contrary, the processes underlying the oxidative formation of Cu(II) active sites have received comparatively little attention. This critical review presents an overview of the current understanding of the generation of Cu(II) active centers and highlights the impact of the oxidant type and the reaction conditions on the nature of the formed Cu(II) species. Key knowledge gaps are identified by addressing prevailing misconceptions and conflicting reports in the literature. To remedy these issues, strategies are proposed to resolve discrepancies and to gain new insight into the processes preceding the CH4-to-CH3OH conversion in Cu-exchanged zeolites, aiming to better understand and control the generation of these Cu(II) active sites in zeolites.</w:t>
      </w:r>
    </w:p>
    <w:p>
      <w:pPr>
        <w:spacing w:before="120" w:after="120"/>
      </w:pPr>
      <w:r>
        <w:rPr>
          <w:sz w:val="18"/>
        </w:rPr>
        <w:t>——————————————————————————————————————————————————————————————————————</w:t>
      </w:r>
    </w:p>
    <w:p>
      <w:pPr>
        <w:spacing w:before="160" w:after="40" w:line="240" w:lineRule="auto"/>
      </w:pPr>
      <w:r>
        <w:rPr>
          <w:b/>
        </w:rPr>
        <w:t xml:space="preserve">[389] </w:t>
      </w:r>
      <w:hyperlink r:id="rId791">
        <w:r>
          <w:rPr>
            <w:color w:val="1155CC"/>
            <w:u w:val="single"/>
          </w:rPr>
          <w:t>简报聊天：宝可梦30周年——皮卡丘和伙伴们如何激励了几代研究人员</w:t>
        </w:r>
      </w:hyperlink>
    </w:p>
    <w:p>
      <w:pPr>
        <w:spacing w:before="0" w:after="80"/>
      </w:pPr>
      <w:r>
        <w:rPr>
          <w:i/>
          <w:sz w:val="20"/>
        </w:rPr>
        <w:t>EN: Briefing chat: Pokémon turns 30 — how Pikachu and pals inspired generations of researchers</w:t>
      </w:r>
    </w:p>
    <w:p>
      <w:pPr>
        <w:spacing w:before="0" w:after="120"/>
      </w:pPr>
      <w:r>
        <w:rPr>
          <w:b/>
        </w:rPr>
        <w:t xml:space="preserve">Source: </w:t>
      </w:r>
      <w:r>
        <w:t>Nature</w:t>
      </w:r>
      <w:r>
        <w:t xml:space="preserve">    </w:t>
      </w:r>
      <w:r>
        <w:rPr>
          <w:b/>
        </w:rPr>
        <w:t xml:space="preserve">Pub date: </w:t>
      </w:r>
      <w:r>
        <w:t>2026-02-27 00:00:00+00:00</w:t>
      </w:r>
      <w:r>
        <w:t xml:space="preserve">    </w:t>
      </w:r>
      <w:r>
        <w:rPr>
          <w:b/>
        </w:rPr>
        <w:t xml:space="preserve">DOI: </w:t>
      </w:r>
      <w:hyperlink r:id="rId792">
        <w:r>
          <w:rPr>
            <w:color w:val="1155CC"/>
            <w:u w:val="single"/>
          </w:rPr>
          <w:t>10.1038/d41586-026-00674-x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[390] </w:t>
      </w:r>
      <w:hyperlink r:id="rId793">
        <w:r>
          <w:rPr>
            <w:color w:val="1155CC"/>
            <w:u w:val="single"/>
          </w:rPr>
          <w:t>大脑之谜与青铜时代外交：简要书籍</w:t>
        </w:r>
      </w:hyperlink>
    </w:p>
    <w:p>
      <w:pPr>
        <w:spacing w:before="0" w:after="80"/>
      </w:pPr>
      <w:r>
        <w:rPr>
          <w:i/>
          <w:sz w:val="20"/>
        </w:rPr>
        <w:t>EN: Brain mysteries and Bronze Age diplomacy: Books in brief</w:t>
      </w:r>
    </w:p>
    <w:p>
      <w:pPr>
        <w:spacing w:before="0" w:after="120"/>
      </w:pPr>
      <w:r>
        <w:rPr>
          <w:b/>
        </w:rPr>
        <w:t xml:space="preserve">Source: </w:t>
      </w:r>
      <w:r>
        <w:t>Nature</w:t>
      </w:r>
      <w:r>
        <w:t xml:space="preserve">    </w:t>
      </w:r>
      <w:r>
        <w:rPr>
          <w:b/>
        </w:rPr>
        <w:t xml:space="preserve">Pub date: </w:t>
      </w:r>
      <w:r>
        <w:t>2026-02-27 00:00:00+00:00</w:t>
      </w:r>
      <w:r>
        <w:t xml:space="preserve">    </w:t>
      </w:r>
      <w:r>
        <w:rPr>
          <w:b/>
        </w:rPr>
        <w:t xml:space="preserve">DOI: </w:t>
      </w:r>
      <w:hyperlink r:id="rId794">
        <w:r>
          <w:rPr>
            <w:color w:val="1155CC"/>
            <w:u w:val="single"/>
          </w:rPr>
          <w:t>10.1038/d41586-026-00621-w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[391] </w:t>
      </w:r>
      <w:hyperlink r:id="rId795">
        <w:r>
          <w:rPr>
            <w:color w:val="1155CC"/>
            <w:u w:val="single"/>
          </w:rPr>
          <w:t>用于二维电子学的外延生长单晶三氧化二锑介电材料</w:t>
        </w:r>
      </w:hyperlink>
    </w:p>
    <w:p>
      <w:pPr>
        <w:spacing w:before="0" w:after="80"/>
      </w:pPr>
      <w:r>
        <w:rPr>
          <w:i/>
          <w:sz w:val="20"/>
        </w:rPr>
        <w:t>EN: Epitaxially grown single-crystalline antimony trioxide dielectrics for two-dimensional electronics</w:t>
      </w:r>
    </w:p>
    <w:p>
      <w:pPr>
        <w:spacing w:before="0" w:after="120"/>
      </w:pPr>
      <w:r>
        <w:rPr>
          <w:b/>
        </w:rPr>
        <w:t xml:space="preserve">Source: </w:t>
      </w:r>
      <w:r>
        <w:t>Nature Electronics</w:t>
      </w:r>
      <w:r>
        <w:t xml:space="preserve">    </w:t>
      </w:r>
      <w:r>
        <w:rPr>
          <w:b/>
        </w:rPr>
        <w:t xml:space="preserve">Pub date: </w:t>
      </w:r>
      <w:r>
        <w:t>2026-02-27 00:00:00+00:00</w:t>
      </w:r>
      <w:r>
        <w:t xml:space="preserve">    </w:t>
      </w:r>
      <w:r>
        <w:rPr>
          <w:b/>
        </w:rPr>
        <w:t xml:space="preserve">DOI: </w:t>
      </w:r>
      <w:hyperlink r:id="rId796">
        <w:r>
          <w:rPr>
            <w:color w:val="1155CC"/>
            <w:u w:val="single"/>
          </w:rPr>
          <w:t>10.1038/s41928-026-01580-w</w:t>
        </w:r>
      </w:hyperlink>
    </w:p>
    <w:p>
      <w:pPr>
        <w:spacing w:before="0" w:after="120"/>
      </w:pPr>
      <w:r>
        <w:rPr>
          <w:b/>
        </w:rPr>
        <w:t xml:space="preserve">Notes: </w:t>
      </w:r>
      <w:r>
        <w:t>abstract_source=nature_html</w:t>
      </w:r>
    </w:p>
    <w:p>
      <w:pPr>
        <w:spacing w:before="0" w:after="80" w:lineRule="auto" w:line="276"/>
      </w:pPr>
      <w:r>
        <w:rPr>
          <w:b/>
        </w:rPr>
        <w:t xml:space="preserve">摘要（ZH）: </w:t>
      </w:r>
      <w:r>
        <w:t>二维半导体需要原子级薄的高介电常数介电材料来制造缩放的电子器件。几种候选材料具有可扩展性、低界面陷阱密度和良好的介电性能等特征，但其中许多需要转移，这可能会产生缺陷，而传统介电材料难以在二维材料的惰性表面上生长。我们在此报告了在二维半导体二硒化钨（WSe2）和二硫化钼（MoS2）上范德华外延生长单晶三氧化二锑（Sb2O3）。通过一个两步过程来解耦成核和外延，单向的Sb2O3域被成核、生长并缝合形成具有高均匀性的单晶薄膜</w:t>
      </w:r>
    </w:p>
    <w:p>
      <w:pPr>
        <w:spacing w:before="0" w:after="200" w:lineRule="auto" w:line="276"/>
      </w:pPr>
      <w:r>
        <w:rPr>
          <w:b/>
        </w:rPr>
        <w:t xml:space="preserve">Abstract (EN): </w:t>
      </w:r>
      <w:r>
        <w:t>Two-dimensional semiconductors require atomically thin high-dielectric-constant dielectrics to create scaled electronic devices. Several candidate materials possess features such as scalability, low interface trap density and good dielectric properties, but many of these require transfer, which can create defects, whereas traditional dielectrics are difficult to grow on the inert surface of two-dimensional materials. Here we report the van der Waals epitaxial growth of single-crystalline antimony trioxide (Sb2O3) on the two-dimensional semiconductors tungsten diselenide (WSe2) and molybendum disulfide (MoS2). Using a two-step process to decouple nucleation and epitaxy, unidirectional Sb2O3 domains are nucleated, grown and stitched to form single-crystal films with high uniformity within a growth time of less than 2 min. Monolayer Sb2O3 has a dielectric constant of 6, a breakdown field of ~11 MV cm−1 and a low interface trap density of 3.8 × 1010 cm−2 eV−1. Top-gate field-effect transistors using a monolayer Sb2O3/bilayer WSe2 heterostructure (equivalent oxide thickness, 0.4 nm) exhibit subthreshold swings of 62 mV dec−1, on/off ratios of 106 and low gate leakage currents of 10−4 A cm−2. We illustrate the scalability of the approach by creating 60 top-gate WSe2 transistor arrays with 95% yield, and complementary logic inverters with a maximum voltage gain of 13 at Vdd = 1 V.</w:t>
      </w:r>
    </w:p>
    <w:p>
      <w:pPr>
        <w:spacing w:before="120" w:after="120"/>
      </w:pPr>
      <w:r>
        <w:rPr>
          <w:sz w:val="18"/>
        </w:rPr>
        <w:t>——————————————————————————————————————————————————————————————————————</w:t>
      </w:r>
    </w:p>
    <w:p>
      <w:pPr>
        <w:spacing w:before="160" w:after="40" w:line="240" w:lineRule="auto"/>
      </w:pPr>
      <w:r>
        <w:rPr>
          <w:b/>
        </w:rPr>
        <w:t xml:space="preserve">[392] </w:t>
      </w:r>
      <w:hyperlink r:id="rId797">
        <w:r>
          <w:rPr>
            <w:color w:val="1155CC"/>
            <w:u w:val="single"/>
          </w:rPr>
          <w:t>反铁电体的现代视角</w:t>
        </w:r>
      </w:hyperlink>
    </w:p>
    <w:p>
      <w:pPr>
        <w:spacing w:before="0" w:after="80"/>
      </w:pPr>
      <w:r>
        <w:rPr>
          <w:i/>
          <w:sz w:val="20"/>
        </w:rPr>
        <w:t>EN: A modern perspective on antiferroelectrics</w:t>
      </w:r>
    </w:p>
    <w:p>
      <w:pPr>
        <w:spacing w:before="0" w:after="120"/>
      </w:pPr>
      <w:r>
        <w:rPr>
          <w:b/>
        </w:rPr>
        <w:t xml:space="preserve">Source: </w:t>
      </w:r>
      <w:r>
        <w:t>Nature Materials</w:t>
      </w:r>
      <w:r>
        <w:t xml:space="preserve">    </w:t>
      </w:r>
      <w:r>
        <w:rPr>
          <w:b/>
        </w:rPr>
        <w:t xml:space="preserve">Pub date: </w:t>
      </w:r>
      <w:r>
        <w:t>2026-02-27 00:00:00+00:00</w:t>
      </w:r>
      <w:r>
        <w:t xml:space="preserve">    </w:t>
      </w:r>
      <w:r>
        <w:rPr>
          <w:b/>
        </w:rPr>
        <w:t xml:space="preserve">DOI: </w:t>
      </w:r>
      <w:hyperlink r:id="rId798">
        <w:r>
          <w:rPr>
            <w:color w:val="1155CC"/>
            <w:u w:val="single"/>
          </w:rPr>
          <w:t>10.1038/s41563-026-02483-z</w:t>
        </w:r>
      </w:hyperlink>
    </w:p>
    <w:p>
      <w:pPr>
        <w:spacing w:before="0" w:after="120"/>
      </w:pPr>
      <w:r>
        <w:rPr>
          <w:b/>
        </w:rPr>
        <w:t xml:space="preserve">Notes: </w:t>
      </w:r>
      <w:r>
        <w:t>abstract_source=nature_html</w:t>
      </w:r>
    </w:p>
    <w:p>
      <w:pPr>
        <w:spacing w:before="0" w:after="80" w:lineRule="auto" w:line="276"/>
      </w:pPr>
      <w:r>
        <w:rPr>
          <w:b/>
        </w:rPr>
        <w:t xml:space="preserve">摘要（ZH）: </w:t>
      </w:r>
      <w:r>
        <w:t>反铁电材料因其独特的物理特性而受到关注，其中最主要的是将其反极性基态与电压诱导的极性相分离的双滞后回线。这种行为对能量存储有用，并在电热制冷和其他应用中具有前景。然而，反铁电材料的定义特征（反极性基态和双滞后回线）正受到越来越多的挑战：已经发现具有非共线和/或混合极性-反极性顺序的材料，并且在没有传统反极性基态的材料中实现了双滞后。这些发展增加了对反铁电材料的基础和实际方面的浓厚兴趣，并呼吁重新审视反铁电材料。</w:t>
      </w:r>
    </w:p>
    <w:p>
      <w:pPr>
        <w:spacing w:before="0" w:after="200" w:lineRule="auto" w:line="276"/>
      </w:pPr>
      <w:r>
        <w:rPr>
          <w:b/>
        </w:rPr>
        <w:t xml:space="preserve">Abstract (EN): </w:t>
      </w:r>
      <w:r>
        <w:t>Antiferroelectrics attract attention due to their unusual physical characteristics, chief among which is the double hysteresis loop that separates their antipolar ground state from the voltage-induced polar phase. This behaviour is useful for energy storage and promising for electrocaloric cooling and other applications. However, the defining features of antiferroelectrics (antipolar ground state and double hysteresis loops) are increasingly challenged: materials with non-collinear and/or hybrid polar–antipolar order have been discovered, and double hysteresis has been realized in materials without a conventional antipolar ground state. These developments add to the already intense interest in the fundamental and practical aspects of antiferroelectrics and call for a fresh look at antiferroelectricity. In this Perspective, we revise the definition of antiferroelectricity, discuss material systems with new antipolar orders and/or engineered double hysteresis, and reflect on emergent properties and theoretical approaches.</w:t>
      </w:r>
    </w:p>
    <w:p>
      <w:pPr>
        <w:spacing w:before="120" w:after="120"/>
      </w:pPr>
      <w:r>
        <w:rPr>
          <w:sz w:val="18"/>
        </w:rPr>
        <w:t>——————————————————————————————————————————————————————————————————————</w:t>
      </w:r>
    </w:p>
    <w:p>
      <w:pPr>
        <w:spacing w:before="160" w:after="40" w:line="240" w:lineRule="auto"/>
      </w:pPr>
      <w:r>
        <w:rPr>
          <w:b/>
        </w:rPr>
        <w:t xml:space="preserve">[393] </w:t>
      </w:r>
      <w:hyperlink r:id="rId799">
        <w:r>
          <w:rPr>
            <w:color w:val="1155CC"/>
            <w:u w:val="single"/>
          </w:rPr>
          <w:t>微电网能源系统的元启发式优化：应用、性能和迈向净零能量转型的路径</w:t>
        </w:r>
      </w:hyperlink>
    </w:p>
    <w:p>
      <w:pPr>
        <w:spacing w:before="0" w:after="80"/>
      </w:pPr>
      <w:r>
        <w:rPr>
          <w:i/>
          <w:sz w:val="20"/>
        </w:rPr>
        <w:t>EN: Metaheuristic optimization for microgrid energy systems: Applications, performance, and pathways toward net-zero energy transitions</w:t>
      </w:r>
    </w:p>
    <w:p>
      <w:pPr>
        <w:spacing w:before="0" w:after="120"/>
      </w:pPr>
      <w:r>
        <w:rPr>
          <w:b/>
        </w:rPr>
        <w:t xml:space="preserve">Source: </w:t>
      </w:r>
      <w:r>
        <w:t>ScienceDirect Publication: Applied Energy</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[394] </w:t>
      </w:r>
      <w:hyperlink r:id="rId800">
        <w:r>
          <w:rPr>
            <w:color w:val="1155CC"/>
            <w:u w:val="single"/>
          </w:rPr>
          <w:t>用于可逆质子陶瓷电池应用的高熵氧化物的进展</w:t>
        </w:r>
      </w:hyperlink>
    </w:p>
    <w:p>
      <w:pPr>
        <w:spacing w:before="0" w:after="80"/>
      </w:pPr>
      <w:r>
        <w:rPr>
          <w:i/>
          <w:sz w:val="20"/>
        </w:rPr>
        <w:t>EN: Advances in high-entropy oxides for reversible protonic ceramic cells applications</w:t>
      </w:r>
    </w:p>
    <w:p>
      <w:pPr>
        <w:spacing w:before="0" w:after="120"/>
      </w:pPr>
      <w:r>
        <w:rPr>
          <w:b/>
        </w:rPr>
        <w:t xml:space="preserve">Source: </w:t>
      </w:r>
      <w:r>
        <w:t>ScienceDirect Publication: Applied Energy</w:t>
      </w:r>
      <w:r>
        <w:t xml:space="preserve">    </w:t>
      </w:r>
      <w:r>
        <w:rPr>
          <w:b/>
        </w:rPr>
        <w:t xml:space="preserve">Pub date: </w:t>
      </w:r>
      <w:r>
        <w:t>2026-02-27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[395] </w:t>
      </w:r>
      <w:hyperlink r:id="rId801">
        <w:r>
          <w:rPr>
            <w:color w:val="1155CC"/>
            <w:u w:val="single"/>
          </w:rPr>
          <w:t>碳大环中的杂原子掺杂用于先进合成和应用</w:t>
        </w:r>
      </w:hyperlink>
    </w:p>
    <w:p>
      <w:pPr>
        <w:spacing w:before="0" w:after="80"/>
      </w:pPr>
      <w:r>
        <w:rPr>
          <w:i/>
          <w:sz w:val="20"/>
        </w:rPr>
        <w:t>EN: Heteroatom doping in carbon macrocycles for advanced synthesis and applications</w:t>
      </w:r>
    </w:p>
    <w:p>
      <w:pPr>
        <w:spacing w:before="0" w:after="120"/>
      </w:pPr>
      <w:r>
        <w:rPr>
          <w:b/>
        </w:rPr>
        <w:t xml:space="preserve">Source: </w:t>
      </w:r>
      <w:r>
        <w:t>RSC - Chem. Soc. Rev. latest articles</w:t>
      </w:r>
      <w:r>
        <w:t xml:space="preserve">    </w:t>
      </w:r>
      <w:r>
        <w:rPr>
          <w:b/>
        </w:rPr>
        <w:t xml:space="preserve">Pub date: </w:t>
      </w:r>
      <w:r>
        <w:t>2026-02-27 00:00:00+00:00</w:t>
      </w:r>
    </w:p>
    <w:p>
      <w:pPr>
        <w:spacing w:before="0" w:after="120"/>
      </w:pPr>
      <w:r>
        <w:rPr>
          <w:b/>
        </w:rPr>
        <w:t xml:space="preserve">Notes: </w:t>
      </w:r>
      <w:r>
        <w:t>abstract_source=rsc_html</w:t>
      </w:r>
    </w:p>
    <w:p>
      <w:pPr>
        <w:spacing w:before="0" w:after="80" w:lineRule="auto" w:line="276"/>
      </w:pPr>
      <w:r>
        <w:rPr>
          <w:b/>
        </w:rPr>
        <w:t xml:space="preserve">摘要（ZH）: </w:t>
      </w:r>
      <w:r>
        <w:t>大环化合物因其可调节的结构、独特的物理化学性质以及在聚集诱导发光（AIE）、分子识别、生物成像和光催化等领域的广泛应用而引起了显著的研究兴趣。虽然传统的富碳大环化合物主要依赖于环尺寸的调整来调节性质，但掺入杂原子（N、O 和 S）可以精确控制电子结构、带隙和功能性。本文综述了杂原子掺杂（N-、O-、S-、N,O- 和 N,S-掺杂）大环化合物在合成和应用方面的最新进展（2020–2025）。内容涵盖了金属催化（Pd、Ni、Pt、Cu、Ti、Sn 和 Fe）和无金属（酸性/碱性）策略、后合成修饰以及新兴应用。</w:t>
      </w:r>
    </w:p>
    <w:p>
      <w:pPr>
        <w:spacing w:before="0" w:after="200" w:lineRule="auto" w:line="276"/>
      </w:pPr>
      <w:r>
        <w:rPr>
          <w:b/>
        </w:rPr>
        <w:t xml:space="preserve">Abstract (EN): </w:t>
      </w:r>
      <w:r>
        <w:t>Macrocycles have garnered significant research interest due to their tunable structures, unique physicochemical properties, and broad range of applications in areas such as aggregation-induced emission (AIE), molecular recognition, bioimaging, and photocatalysis. While conventional carbon-rich macrocycles depend mainly on ring-size adjustments for property modulation, the incorporation of heteroatoms (N, O, and S) allows precise control over electronic structure, band gap, and functionality. This review summarizes recent advances (2020–2025) in the synthesis and applications of heteroatom-doped (N-, O-, S-, N,O-, and N,S-doped) macrocycles. It covers metal-catalyzed (Pd, Ni, Pt, Cu, Ti, Sn, and Fe) and metal-free (acidic/basic) strategies, post-synthetic modifications, and emerging applications in host–guest systems, sensors, OLEDs, OFETs, OPVs, and (photo)catalysis, aiming to advance the field and serve as a reference for cross-disciplinary researchers.</w:t>
      </w:r>
    </w:p>
    <w:p>
      <w:pPr>
        <w:spacing w:before="120" w:after="120"/>
      </w:pPr>
      <w:r>
        <w:rPr>
          <w:sz w:val="18"/>
        </w:rPr>
        <w:t>——————————————————————————————————————————————————————————————————————</w:t>
      </w:r>
    </w:p>
    <w:p>
      <w:pPr>
        <w:spacing w:before="160" w:after="40" w:line="240" w:lineRule="auto"/>
      </w:pPr>
      <w:r>
        <w:rPr>
          <w:b/>
        </w:rPr>
        <w:t xml:space="preserve">[396] </w:t>
      </w:r>
      <w:hyperlink r:id="rId802">
        <w:r>
          <w:rPr>
            <w:color w:val="1155CC"/>
            <w:u w:val="single"/>
          </w:rPr>
          <w:t>带有超过100 GHz带宽的全合一霍尔整流天线</w:t>
        </w:r>
      </w:hyperlink>
    </w:p>
    <w:p>
      <w:pPr>
        <w:spacing w:before="0" w:after="80"/>
      </w:pPr>
      <w:r>
        <w:rPr>
          <w:i/>
          <w:sz w:val="20"/>
        </w:rPr>
        <w:t>EN: An all-in-one Hall rectenna with a bandwidth over 100 GHz</w:t>
      </w:r>
    </w:p>
    <w:p>
      <w:pPr>
        <w:spacing w:before="0" w:after="120"/>
      </w:pPr>
      <w:r>
        <w:rPr>
          <w:b/>
        </w:rPr>
        <w:t xml:space="preserve">Source: </w:t>
      </w:r>
      <w:r>
        <w:t>Nature Electronics</w:t>
      </w:r>
      <w:r>
        <w:t xml:space="preserve">    </w:t>
      </w:r>
      <w:r>
        <w:rPr>
          <w:b/>
        </w:rPr>
        <w:t xml:space="preserve">Pub date: </w:t>
      </w:r>
      <w:r>
        <w:t>2026-02-27 00:00:00+00:00</w:t>
      </w:r>
      <w:r>
        <w:t xml:space="preserve">    </w:t>
      </w:r>
      <w:r>
        <w:rPr>
          <w:b/>
        </w:rPr>
        <w:t xml:space="preserve">DOI: </w:t>
      </w:r>
      <w:hyperlink r:id="rId803">
        <w:r>
          <w:rPr>
            <w:color w:val="1155CC"/>
            <w:u w:val="single"/>
          </w:rPr>
          <w:t>10.1038/s41928-026-01574-8</w:t>
        </w:r>
      </w:hyperlink>
    </w:p>
    <w:p>
      <w:pPr>
        <w:spacing w:before="0" w:after="120"/>
      </w:pPr>
      <w:r>
        <w:rPr>
          <w:b/>
        </w:rPr>
        <w:t xml:space="preserve">Notes: </w:t>
      </w:r>
      <w:r>
        <w:t>abstract_source=nature_html</w:t>
      </w:r>
    </w:p>
    <w:p>
      <w:pPr>
        <w:spacing w:before="0" w:after="80" w:lineRule="auto" w:line="276"/>
      </w:pPr>
      <w:r>
        <w:rPr>
          <w:b/>
        </w:rPr>
        <w:t xml:space="preserve">摘要（ZH）: </w:t>
      </w:r>
      <w:r>
        <w:t>在外源掺杂的 p–n 二极管或结中，非线性电子传输用于整流和波混合的电子和光电子应用。然而，由于热电压阈值和传输时间限制，这些整流器和混频器在截止波长、频率、灵敏度和工作温度方面存在基本限制。我们在此报告了一种基于 II 型 Weyl 半金属的全能非线性霍尔整流天线，工作于室温。我们使用铌铱四碲化物（NbIrTe4），并依赖于其带结构和拓扑产生的电磁转换能力。通过该系统，我们展示了一个超过 27 阶的宽带频率梳，在–25 dBm 的低功率水平下实现了次谐波混合，调谐的边带带宽更高。</w:t>
      </w:r>
    </w:p>
    <w:p>
      <w:pPr>
        <w:spacing w:before="0" w:after="200" w:lineRule="auto" w:line="276"/>
      </w:pPr>
      <w:r>
        <w:rPr>
          <w:b/>
        </w:rPr>
        <w:t xml:space="preserve">Abstract (EN): </w:t>
      </w:r>
      <w:r>
        <w:t>Nonlinear electron transport in extrinsically doped p–n diodes or junctions is used for rectification and wave mixing in electronic and optoelectronic applications. However, such rectifiers and mixers have fundamental limitations in terms of cut-off wavelength, frequency, sensitivity and working temperature due to thermal-voltage thresholds and transit-time limits. Here we report an all-in-one nonlinear Hall rectenna based on a type-II Weyl semimetal at room temperature. We use niobium iridium tetratelluride (NbIrTe4) and rely on the electromagnetic conversion abilities that arise from its band geometry and topology. With the system, we demonstrate a broadband frequency comb that exceeds the 27th order, subharmonic mixing at low power levels of –25 dBm, tuneable sideband bandwidth higher than 100 GHz and intermediate-frequency signals of over 27 GHz. Our approach offers nonlinear Hall rectification of photonic frequencies between 20 GHz and 820 GHz.</w:t>
      </w:r>
    </w:p>
    <w:p>
      <w:pPr>
        <w:spacing w:before="120" w:after="120"/>
      </w:pPr>
      <w:r>
        <w:rPr>
          <w:sz w:val="18"/>
        </w:rPr>
        <w:t>——————————————————————————————————————————————————————————————————————</w:t>
      </w:r>
    </w:p>
    <w:p>
      <w:pPr>
        <w:spacing w:before="160" w:after="40" w:line="240" w:lineRule="auto"/>
      </w:pPr>
      <w:r>
        <w:rPr>
          <w:b/>
        </w:rPr>
        <w:t xml:space="preserve">[397] </w:t>
      </w:r>
      <w:hyperlink r:id="rId804">
        <w:r>
          <w:rPr>
            <w:color w:val="1155CC"/>
            <w:u w:val="single"/>
          </w:rPr>
          <w:t>NR2F6缺失恢复CAR-T细胞功能并在实体肿瘤中诱导抗原不可知的免疫记忆</w:t>
        </w:r>
      </w:hyperlink>
    </w:p>
    <w:p>
      <w:pPr>
        <w:spacing w:before="0" w:after="80"/>
      </w:pPr>
      <w:r>
        <w:rPr>
          <w:i/>
          <w:sz w:val="20"/>
        </w:rPr>
        <w:t>EN: NR2F6 deletion revives CAR-T cell function and induces antigen-agnostic immune memory in solid tumors</w:t>
      </w:r>
    </w:p>
    <w:p>
      <w:pPr>
        <w:spacing w:before="0" w:after="120"/>
      </w:pPr>
      <w:r>
        <w:rPr>
          <w:b/>
        </w:rPr>
        <w:t xml:space="preserve">Source: </w:t>
      </w:r>
      <w:r>
        <w:t>Nature Communications</w:t>
      </w:r>
      <w:r>
        <w:t xml:space="preserve">    </w:t>
      </w:r>
      <w:r>
        <w:rPr>
          <w:b/>
        </w:rPr>
        <w:t xml:space="preserve">Pub date: </w:t>
      </w:r>
      <w:r>
        <w:t>2026-02-27 00:00:00+00:00</w:t>
      </w:r>
    </w:p>
    <w:p>
      <w:pPr>
        <w:spacing w:before="0" w:after="120"/>
      </w:pPr>
      <w:r>
        <w:rPr>
          <w:b/>
        </w:rPr>
        <w:t xml:space="preserve">Notes: </w:t>
      </w:r>
      <w:r>
        <w:t>abstract_source=nature_html</w:t>
      </w:r>
    </w:p>
    <w:p>
      <w:pPr>
        <w:spacing w:before="0" w:after="80" w:lineRule="auto" w:line="276"/>
      </w:pPr>
      <w:r>
        <w:rPr>
          <w:b/>
        </w:rPr>
        <w:t xml:space="preserve">摘要（ZH）: </w:t>
      </w:r>
      <w:r>
        <w:t>CAR-T 细胞疗法在血液恶性肿瘤中有效，但由于抗原异质性和肿瘤微环境诱导的衰竭，在实体瘤中仍然具有挑战性。在此，通过基因编辑核受体 NR2F6 恢复 CAR-T 细胞功能，维持 TCF1⁺ 前体衰竭表型，增强代谢适应性，并在慢性抗原暴露下保持细胞毒性。在免疫健全模型中，Nr2f6 缺失的 CAR-T 细胞抑制实体瘤生长，并在 CAR-T 清除后诱导持久的、多克隆的宿主抗肿瘤反应，如肿瘤再挑战保护所示。尽管输注的 CAR-T 细胞在 2 周内消失，但持久的肿瘤控制与表位扩展和继发性免疫反应一致，可能通过树突状细胞介导。</w:t>
      </w:r>
    </w:p>
    <w:p>
      <w:pPr>
        <w:spacing w:before="0" w:after="200" w:lineRule="auto" w:line="276"/>
      </w:pPr>
      <w:r>
        <w:rPr>
          <w:b/>
        </w:rPr>
        <w:t xml:space="preserve">Abstract (EN): </w:t>
      </w:r>
      <w:r>
        <w:t>CAR-T cell therapy is effective in hematologic malignancies but remains challenging in solid tumors owing to antigen heterogeneity and tumor microenvironment-induced exhaustion. Here, gene editing of the nuclear receptor NR2F6 restores CAR-T cell functionality, sustaining a TCF1⁺ progenitor-exhausted phenotype, enhancing metabolic fitness, and preserving cytotoxic potency under chronic antigen exposure. In immunocompetent models, Nr2f6-deficient CAR-T cells suppress solid tumor growth and induce robust, polyclonal host antitumor responses that persist after CAR-T clearance, as demonstrated by tumor re-challenge protection. Although infused CAR-T cells disappear within 2 weeks, durable tumor control coincides with epitope spreading and secondary immune responses, likely via dendritic cell reactivation. Protection against antigen-negative tumors and transferable immunity reveal a dual mode of direct cytotoxicity followed by durable immune reprogramming. This broadened host immunity may offset immune escape driven by antigen heterogeneity or loss, establishing NR2F6 inhibition as a promising CAR-T engineering strategy for durable, antigen-agnostic solid-tumor immunotherapy.</w:t>
      </w:r>
    </w:p>
    <w:p>
      <w:pPr>
        <w:spacing w:before="120" w:after="120"/>
      </w:pPr>
      <w:r>
        <w:rPr>
          <w:sz w:val="18"/>
        </w:rPr>
        <w:t>——————————————————————————————————————————————————————————————————————</w:t>
      </w:r>
    </w:p>
    <w:p>
      <w:pPr>
        <w:spacing w:before="160" w:after="40" w:line="240" w:lineRule="auto"/>
      </w:pPr>
      <w:r>
        <w:rPr>
          <w:b/>
        </w:rPr>
        <w:t xml:space="preserve">[398] </w:t>
      </w:r>
      <w:hyperlink r:id="rId805">
        <w:r>
          <w:rPr>
            <w:color w:val="1155CC"/>
            <w:u w:val="single"/>
          </w:rPr>
          <w:t>从“重”水到“重”硼簇</w:t>
        </w:r>
      </w:hyperlink>
    </w:p>
    <w:p>
      <w:pPr>
        <w:spacing w:before="0" w:after="80"/>
      </w:pPr>
      <w:r>
        <w:rPr>
          <w:i/>
          <w:sz w:val="20"/>
        </w:rPr>
        <w:t>EN: From “heavy” water to “heavy” boron clusters</w:t>
      </w:r>
    </w:p>
    <w:p>
      <w:pPr>
        <w:spacing w:before="0" w:after="120"/>
      </w:pPr>
      <w:r>
        <w:rPr>
          <w:b/>
        </w:rPr>
        <w:t xml:space="preserve">Source: </w:t>
      </w:r>
      <w:r>
        <w:t>Chem</w:t>
      </w:r>
      <w:r>
        <w:t xml:space="preserve">    </w:t>
      </w:r>
      <w:r>
        <w:rPr>
          <w:b/>
        </w:rPr>
        <w:t xml:space="preserve">Pub date: </w:t>
      </w:r>
      <w:r>
        <w:t>2026-02-27 00:00:00+00:00</w:t>
      </w:r>
      <w:r>
        <w:t xml:space="preserve">    </w:t>
      </w:r>
      <w:r>
        <w:rPr>
          <w:b/>
        </w:rPr>
        <w:t xml:space="preserve">DOI: </w:t>
      </w:r>
      <w:hyperlink r:id="rId806">
        <w:r>
          <w:rPr>
            <w:color w:val="1155CC"/>
            <w:u w:val="single"/>
          </w:rPr>
          <w:t>10.1016/j.chempr.2026.102995</w:t>
        </w:r>
      </w:hyperlink>
    </w:p>
    <w:p>
      <w:pPr>
        <w:spacing w:before="0" w:after="120"/>
      </w:pPr>
      <w:r>
        <w:rPr>
          <w:b/>
        </w:rPr>
        <w:t xml:space="preserve">Notes: </w:t>
      </w:r>
      <w:r>
        <w:t>abstract_source=rss_cell</w:t>
      </w:r>
    </w:p>
    <w:p>
      <w:pPr>
        <w:spacing w:before="0" w:after="80" w:lineRule="auto" w:line="276"/>
      </w:pPr>
      <w:r>
        <w:rPr>
          <w:b/>
        </w:rPr>
        <w:t xml:space="preserve">摘要（ZH）: </w:t>
      </w:r>
      <w:r>
        <w:t>在本期《Chem》中，Liang等人报道了一种普遍且操作简单的策略，用于closo-borane簇的全氘化。通过使用钯催化，作者展示了从重水（D2O）到B–H顶点的高效催化末端氘转移，适用于广泛的硼簇框架。</w:t>
      </w:r>
    </w:p>
    <w:p>
      <w:pPr>
        <w:spacing w:before="0" w:after="200" w:lineRule="auto" w:line="276"/>
      </w:pPr>
      <w:r>
        <w:rPr>
          <w:b/>
        </w:rPr>
        <w:t xml:space="preserve">Abstract (EN): </w:t>
      </w:r>
      <w:r>
        <w:t>In this issue of Chem, Liang et al. report a general and operationally straightforward strategy for the perdeuteration of closo-borane clusters. By employing palladium catalysis, the authors demonstrate efficient catalytic late-stage transfer of deuterium from heavy water (D2O) to B–H vertices across a broad range of boron cluster frameworks.</w:t>
      </w:r>
    </w:p>
    <w:p>
      <w:pPr>
        <w:spacing w:before="120" w:after="120"/>
      </w:pPr>
      <w:r>
        <w:rPr>
          <w:sz w:val="18"/>
        </w:rPr>
        <w:t>——————————————————————————————————————————————————————————————————————</w:t>
      </w:r>
    </w:p>
    <w:p>
      <w:pPr>
        <w:spacing w:before="160" w:after="40" w:line="240" w:lineRule="auto"/>
      </w:pPr>
      <w:r>
        <w:rPr>
          <w:b/>
        </w:rPr>
        <w:t xml:space="preserve">[399] </w:t>
      </w:r>
      <w:hyperlink r:id="rId807">
        <w:r>
          <w:rPr>
            <w:color w:val="1155CC"/>
            <w:u w:val="single"/>
          </w:rPr>
          <w:t>忆阻器的进展</w:t>
        </w:r>
      </w:hyperlink>
    </w:p>
    <w:p>
      <w:pPr>
        <w:spacing w:before="0" w:after="80"/>
      </w:pPr>
      <w:r>
        <w:rPr>
          <w:i/>
          <w:sz w:val="20"/>
        </w:rPr>
        <w:t>EN: Memristors march on</w:t>
      </w:r>
    </w:p>
    <w:p>
      <w:pPr>
        <w:spacing w:before="0" w:after="120"/>
      </w:pPr>
      <w:r>
        <w:rPr>
          <w:b/>
        </w:rPr>
        <w:t xml:space="preserve">Source: </w:t>
      </w:r>
      <w:r>
        <w:t>Nature Electronics</w:t>
      </w:r>
      <w:r>
        <w:t xml:space="preserve">    </w:t>
      </w:r>
      <w:r>
        <w:rPr>
          <w:b/>
        </w:rPr>
        <w:t xml:space="preserve">Pub date: </w:t>
      </w:r>
      <w:r>
        <w:t>2026-02-27 00:00:00+00:00</w:t>
      </w:r>
      <w:r>
        <w:t xml:space="preserve">    </w:t>
      </w:r>
      <w:r>
        <w:rPr>
          <w:b/>
        </w:rPr>
        <w:t xml:space="preserve">DOI: </w:t>
      </w:r>
      <w:hyperlink r:id="rId808">
        <w:r>
          <w:rPr>
            <w:color w:val="1155CC"/>
            <w:u w:val="single"/>
          </w:rPr>
          <w:t>10.1038/s41928-026-01587-3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[400] </w:t>
      </w:r>
      <w:hyperlink r:id="rId809">
        <w:r>
          <w:rPr>
            <w:color w:val="1155CC"/>
            <w:u w:val="single"/>
          </w:rPr>
          <w:t>NbIrTe4中的非线性霍尔整流天线</w:t>
        </w:r>
      </w:hyperlink>
    </w:p>
    <w:p>
      <w:pPr>
        <w:spacing w:before="0" w:after="80"/>
      </w:pPr>
      <w:r>
        <w:rPr>
          <w:i/>
          <w:sz w:val="20"/>
        </w:rPr>
        <w:t>EN: A nonlinear Hall rectenna in NbIrTe4</w:t>
      </w:r>
    </w:p>
    <w:p>
      <w:pPr>
        <w:spacing w:before="0" w:after="120"/>
      </w:pPr>
      <w:r>
        <w:rPr>
          <w:b/>
        </w:rPr>
        <w:t xml:space="preserve">Source: </w:t>
      </w:r>
      <w:r>
        <w:t>Nature Electronics</w:t>
      </w:r>
      <w:r>
        <w:t xml:space="preserve">    </w:t>
      </w:r>
      <w:r>
        <w:rPr>
          <w:b/>
        </w:rPr>
        <w:t xml:space="preserve">Pub date: </w:t>
      </w:r>
      <w:r>
        <w:t>2026-02-27 00:00:00+00:00</w:t>
      </w:r>
      <w:r>
        <w:t xml:space="preserve">    </w:t>
      </w:r>
      <w:r>
        <w:rPr>
          <w:b/>
        </w:rPr>
        <w:t xml:space="preserve">DOI: </w:t>
      </w:r>
      <w:hyperlink r:id="rId810">
        <w:r>
          <w:rPr>
            <w:color w:val="1155CC"/>
            <w:u w:val="single"/>
          </w:rPr>
          <w:t>10.1038/s41928-026-01575-7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[401] </w:t>
      </w:r>
      <w:hyperlink r:id="rId811">
        <w:r>
          <w:rPr>
            <w:color w:val="1155CC"/>
            <w:u w:val="single"/>
          </w:rPr>
          <w:t>耐热噪声的微波量子网络高达4 K</w:t>
        </w:r>
      </w:hyperlink>
    </w:p>
    <w:p>
      <w:pPr>
        <w:spacing w:before="0" w:after="80"/>
      </w:pPr>
      <w:r>
        <w:rPr>
          <w:i/>
          <w:sz w:val="20"/>
        </w:rPr>
        <w:t>EN: A thermal-noise-resilient microwave quantum network up to 4 K</w:t>
      </w:r>
    </w:p>
    <w:p>
      <w:pPr>
        <w:spacing w:before="0" w:after="120"/>
      </w:pPr>
      <w:r>
        <w:rPr>
          <w:b/>
        </w:rPr>
        <w:t xml:space="preserve">Source: </w:t>
      </w:r>
      <w:r>
        <w:t>Nature Electronics</w:t>
      </w:r>
      <w:r>
        <w:t xml:space="preserve">    </w:t>
      </w:r>
      <w:r>
        <w:rPr>
          <w:b/>
        </w:rPr>
        <w:t xml:space="preserve">Pub date: </w:t>
      </w:r>
      <w:r>
        <w:t>2026-02-27 00:00:00+00:00</w:t>
      </w:r>
      <w:r>
        <w:t xml:space="preserve">    </w:t>
      </w:r>
      <w:r>
        <w:rPr>
          <w:b/>
        </w:rPr>
        <w:t xml:space="preserve">DOI: </w:t>
      </w:r>
      <w:hyperlink r:id="rId812">
        <w:r>
          <w:rPr>
            <w:color w:val="1155CC"/>
            <w:u w:val="single"/>
          </w:rPr>
          <w:t>10.1038/s41928-026-01581-9</w:t>
        </w:r>
      </w:hyperlink>
    </w:p>
    <w:p>
      <w:pPr>
        <w:spacing w:before="0" w:after="120"/>
      </w:pPr>
      <w:r>
        <w:rPr>
          <w:b/>
        </w:rPr>
        <w:t xml:space="preserve">Notes: </w:t>
      </w:r>
      <w:r>
        <w:t>abstract_source=nature_html</w:t>
      </w:r>
    </w:p>
    <w:p>
      <w:pPr>
        <w:spacing w:before="0" w:after="80" w:lineRule="auto" w:line="276"/>
      </w:pPr>
      <w:r>
        <w:rPr>
          <w:b/>
        </w:rPr>
        <w:t xml:space="preserve">摘要（ZH）: </w:t>
      </w:r>
      <w:r>
        <w:t>微波频率下的量子通信在可扩展量子网络的发展中具有应用。然而，这种网络受到微波光子对热噪声敏感性的根本限制。在此，我们报告了一种热噪声抗扰的微波量子网络，通过4-K热化的铌钛传输线实现两个超导量子比特之间的相干耦合。通过将通信通道过耦合到10 mK的冷负载，我们通过辐射冷却将通道的有效热占据抑制到0.06光子——这一减少比环境热噪声低两个数量级。然后，我们解耦冷负载并快速传输微波量子态通过通道，同时它重新热化。通过这种方法，我们实现了</w:t>
      </w:r>
    </w:p>
    <w:p>
      <w:pPr>
        <w:spacing w:before="0" w:after="200" w:lineRule="auto" w:line="276"/>
      </w:pPr>
      <w:r>
        <w:rPr>
          <w:b/>
        </w:rPr>
        <w:t xml:space="preserve">Abstract (EN): </w:t>
      </w:r>
      <w:r>
        <w:t>Quantum communication at microwave frequencies is of use in the development of scalable quantum networks. However, such networks are fundamentally constrained by the susceptibility of microwave photons to thermal noise. Here we report a thermal-noise-resilient microwave quantum network with coherent coupling between two superconducting qubits through a 4-K-thermalized niobium–titanium transmission line. By overcoupling the communication channel to a cold load at 10 mK, we suppress the effective thermal occupancy of the channel to 0.06 photons through radiative cooling—a reduction that is 2 orders of magnitude below ambient thermal noise. We then decouple the cold load and rapidly transfer microwave quantum states through the channel while it rethermalizes. With this approach, we achieve a 58.5% process fidelity for quantum state transfer and a 52.3% Bell entanglement fidelity without correcting for readout errors, both exceeding the classical communication threshold of 1/2. We also develop a set-up with improved channel coherence at 1 K and use this to achieve a Bell entanglement fidelity of 93.6%. As a benchmark, we demonstrate that Bell’s inequality is unambiguously violated with this remote entanglement, without correcting for readout errors.</w:t>
      </w:r>
    </w:p>
    <w:p>
      <w:pPr>
        <w:spacing w:before="120" w:after="120"/>
      </w:pPr>
      <w:r>
        <w:rPr>
          <w:sz w:val="18"/>
        </w:rPr>
        <w:t>——————————————————————————————————————————————————————————————————————</w:t>
      </w:r>
    </w:p>
    <w:p>
      <w:pPr>
        <w:spacing w:before="160" w:after="40" w:line="240" w:lineRule="auto"/>
      </w:pPr>
      <w:r>
        <w:rPr>
          <w:b/>
        </w:rPr>
        <w:t xml:space="preserve">[402] </w:t>
      </w:r>
      <w:hyperlink r:id="rId813">
        <w:r>
          <w:rPr>
            <w:color w:val="1155CC"/>
            <w:u w:val="single"/>
          </w:rPr>
          <w:t>白宫推迟发布已批准的美国科学预算</w:t>
        </w:r>
      </w:hyperlink>
    </w:p>
    <w:p>
      <w:pPr>
        <w:spacing w:before="0" w:after="80"/>
      </w:pPr>
      <w:r>
        <w:rPr>
          <w:i/>
          <w:sz w:val="20"/>
        </w:rPr>
        <w:t>EN: White House stalls release of approved US science budgets</w:t>
      </w:r>
    </w:p>
    <w:p>
      <w:pPr>
        <w:spacing w:before="0" w:after="120"/>
      </w:pPr>
      <w:r>
        <w:rPr>
          <w:b/>
        </w:rPr>
        <w:t xml:space="preserve">Source: </w:t>
      </w:r>
      <w:r>
        <w:t>Nature</w:t>
      </w:r>
      <w:r>
        <w:t xml:space="preserve">    </w:t>
      </w:r>
      <w:r>
        <w:rPr>
          <w:b/>
        </w:rPr>
        <w:t xml:space="preserve">Pub date: </w:t>
      </w:r>
      <w:r>
        <w:t>2026-02-27 00:00:00+00:00</w:t>
      </w:r>
      <w:r>
        <w:t xml:space="preserve">    </w:t>
      </w:r>
      <w:r>
        <w:rPr>
          <w:b/>
        </w:rPr>
        <w:t xml:space="preserve">DOI: </w:t>
      </w:r>
      <w:hyperlink r:id="rId814">
        <w:r>
          <w:rPr>
            <w:color w:val="1155CC"/>
            <w:u w:val="single"/>
          </w:rPr>
          <w:t>10.1038/d41586-026-00601-0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[403] </w:t>
      </w:r>
      <w:hyperlink r:id="rId815">
        <w:r>
          <w:rPr>
            <w:color w:val="1155CC"/>
            <w:u w:val="single"/>
          </w:rPr>
          <w:t>用于高灵敏度和快速响应湿度传感的分子工程二维共价有机框架薄膜的晶圆级合成</w:t>
        </w:r>
      </w:hyperlink>
    </w:p>
    <w:p>
      <w:pPr>
        <w:spacing w:before="0" w:after="80"/>
      </w:pPr>
      <w:r>
        <w:rPr>
          <w:i/>
          <w:sz w:val="20"/>
        </w:rPr>
        <w:t>EN: Wafer‐Scale Synthesis of Molecularly Engineered 2D Covalent Organic Framework Films for Highly‐Sensitive and Rapid‐Response Humidity Sensing</w:t>
      </w:r>
    </w:p>
    <w:p>
      <w:pPr>
        <w:spacing w:before="0" w:after="120"/>
      </w:pPr>
      <w:r>
        <w:rPr>
          <w:b/>
        </w:rPr>
        <w:t xml:space="preserve">Source: </w:t>
      </w:r>
      <w:r>
        <w:t>Wiley: Advanced Materials: Table of Contents</w:t>
      </w:r>
      <w:r>
        <w:t xml:space="preserve">    </w:t>
      </w:r>
      <w:r>
        <w:rPr>
          <w:b/>
        </w:rPr>
        <w:t xml:space="preserve">Pub date: </w:t>
      </w:r>
      <w:r>
        <w:t>2026-02-27 07:20:36+00:00</w:t>
      </w:r>
      <w:r>
        <w:t xml:space="preserve">    </w:t>
      </w:r>
      <w:r>
        <w:rPr>
          <w:b/>
        </w:rPr>
        <w:t xml:space="preserve">DOI: </w:t>
      </w:r>
      <w:hyperlink r:id="rId816">
        <w:r>
          <w:rPr>
            <w:color w:val="1155CC"/>
            <w:u w:val="single"/>
          </w:rPr>
          <w:t>10.1002/adma.202517182</w:t>
        </w:r>
      </w:hyperlink>
    </w:p>
    <w:p>
      <w:pPr>
        <w:spacing w:before="0" w:after="120"/>
      </w:pPr>
      <w:r>
        <w:rPr>
          <w:b/>
        </w:rPr>
        <w:t xml:space="preserve">Notes: </w:t>
      </w:r>
      <w:r>
        <w:t>abstract_source=pubmed</w:t>
      </w:r>
    </w:p>
    <w:p>
      <w:pPr>
        <w:spacing w:before="0" w:after="80" w:lineRule="auto" w:line="276"/>
      </w:pPr>
      <w:r>
        <w:rPr>
          <w:b/>
        </w:rPr>
        <w:t xml:space="preserve">摘要（ZH）: </w:t>
      </w:r>
      <w:r>
        <w:t>共价有机框架（COFs）由于其可调节的化学结构和高孔隙率，在湿度传感方面具有极大的潜力，但其分子设计、纳米结构和传感性能之间的不受控关系阻碍了其实际应用。在此，我们通过界面聚合报道了晶圆级、超薄二维亚胺连接的COF薄膜的合理分子工程，展示了对电子能带结构、纳米孔隙率和吸湿性的精确控制，以实现卓越的湿度传感，从而揭示了潜在的结构-性能相关性。通过同时引入三嗪和多羟基基团，基于二维COFTPT-THTA的湿度传感器表现出高灵敏度（66 124%每%RH），快速响应</w:t>
      </w:r>
    </w:p>
    <w:p>
      <w:pPr>
        <w:spacing w:before="0" w:after="200" w:lineRule="auto" w:line="276"/>
      </w:pPr>
      <w:r>
        <w:rPr>
          <w:b/>
        </w:rPr>
        <w:t xml:space="preserve">Abstract (EN): </w:t>
      </w:r>
      <w:r>
        <w:t>Covalent organic frameworks (COFs) hold exceptional potential for humidity sensing due to their tunable chemical structure and high porosity, yet their uncontrolled relationships between molecular design, nanoscale architecture, and sensing performance have hindered their practical applications. Here, we report the rational molecular engineering of wafer-scale, ultrathin 2D imine-linked COF films via interfacial polymerization, illustrating precise control over electronic band structure, nanoscale porosity, and hygroscopicity for exceptional humidity sensing, thus unveiling the underlying structural-property correlations. By simultaneously incorporating triazine and multi-hydroxyl groups, the humidity sensor based on 2D COFTPT-THTA exhibits a high sensitivity (66 124% per %RH), fast response/recovery times (0.12/0.40 s), and minimal hysteresis (ΔRH ≈ 1.0%), due to a synergistic effect of high structural polarity, excellent hydrophilicity, and the nanoscale confined crystalline pore framework. The nanometer-scale thickness and ultrasmooth surface facilitate efficient charge transport and water adsorption kinetics. Leveraging these properties, we further demonstrate a prototypical wearable sensor for real-time respiratory monitoring, which is capable of accurately tracking physiological states and detecting pathological patterns (asthma, apnea). This work establishes a fundamental molecular engineering paradigm for 2D COF film-based sensors, bridging the gap between programmable materials and next-generation high-performance health diagnostics.</w:t>
      </w:r>
    </w:p>
    <w:p>
      <w:pPr>
        <w:spacing w:before="120" w:after="120"/>
      </w:pPr>
      <w:r>
        <w:rPr>
          <w:sz w:val="18"/>
        </w:rPr>
        <w:t>——————————————————————————————————————————————————————————————————————</w:t>
      </w:r>
    </w:p>
    <w:p>
      <w:pPr>
        <w:spacing w:before="160" w:after="40" w:line="240" w:lineRule="auto"/>
      </w:pPr>
      <w:r>
        <w:rPr>
          <w:b/>
        </w:rPr>
        <w:t xml:space="preserve">[404] </w:t>
      </w:r>
      <w:hyperlink r:id="rId817">
        <w:r>
          <w:rPr>
            <w:color w:val="1155CC"/>
            <w:u w:val="single"/>
          </w:rPr>
          <w:t>宿主铁缺乏保护免受疟原虫感染并驱动寄生虫分子再编程</w:t>
        </w:r>
      </w:hyperlink>
    </w:p>
    <w:p>
      <w:pPr>
        <w:spacing w:before="0" w:after="80"/>
      </w:pPr>
      <w:r>
        <w:rPr>
          <w:i/>
          <w:sz w:val="20"/>
        </w:rPr>
        <w:t>EN: Host iron deficiency protects against Plasmodium infection and drives parasite molecular reprofiling</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18">
        <w:r>
          <w:rPr>
            <w:color w:val="1155CC"/>
            <w:u w:val="single"/>
          </w:rPr>
          <w:t>10.1126/sciadv.aeb0828</w:t>
        </w:r>
      </w:hyperlink>
    </w:p>
    <w:p>
      <w:pPr>
        <w:spacing w:before="0" w:after="120"/>
      </w:pPr>
      <w:r>
        <w:rPr>
          <w:b/>
        </w:rPr>
        <w:t xml:space="preserve">Notes: </w:t>
      </w:r>
      <w:r>
        <w:t>abstract_source=crossref</w:t>
      </w:r>
    </w:p>
    <w:p>
      <w:pPr>
        <w:spacing w:before="0" w:after="80" w:lineRule="auto" w:line="276"/>
      </w:pPr>
      <w:r>
        <w:rPr>
          <w:b/>
        </w:rPr>
        <w:t xml:space="preserve">摘要（ZH）: </w:t>
      </w:r>
      <w:r>
        <w:t>铁缺乏、贫血和疟疾感染是全球健康挑战，地理分布重叠，特别影响非洲的孕妇，但其相互作用的机制仍然知之甚少。我们采用多层次的方法，结合来自马拉维孕妇（n = 711）的REVAMP试验的临床数据、遗传小鼠模型（Tmprss6敲除（KO））和体外疟原虫培养，以阐明铁-疟疾关联。铁缺乏与孕妇中50%减少的疟原虫寄生率相关[95% CI (30</w:t>
      </w:r>
    </w:p>
    <w:p>
      <w:pPr>
        <w:spacing w:before="0" w:after="200" w:lineRule="auto" w:line="276"/>
      </w:pPr>
      <w:r>
        <w:rPr>
          <w:b/>
        </w:rPr>
        <w:t xml:space="preserve">Abstract (EN): </w:t>
      </w:r>
      <w:r>
        <w:t>Iron deficiency, anemia, and</w:t>
      </w:r>
      <w:r>
        <w:t xml:space="preserve"> </w:t>
      </w:r>
      <w:r>
        <w:t>Plasmodium</w:t>
      </w:r>
      <w:r>
        <w:t xml:space="preserve"> </w:t>
      </w:r>
      <w:r>
        <w:t>infection are global health challenges with overlapping geographical distributions, particularly affecting pregnant women in Africa, yet the mechanisms underlying their interactions remain poorly understood. We used a multilayered approach combining clinical data from Malawian pregnant women (</w:t>
      </w:r>
      <w:r>
        <w:t xml:space="preserve"> </w:t>
      </w:r>
      <w:r>
        <w:t>n</w:t>
      </w:r>
      <w:r>
        <w:t xml:space="preserve"> </w:t>
      </w:r>
      <w:r>
        <w:t>= 711) in the REVAMP trial, a genetic mouse model [</w:t>
      </w:r>
      <w:r>
        <w:t xml:space="preserve"> </w:t>
      </w:r>
      <w:r>
        <w:t>Tmprss6</w:t>
      </w:r>
      <w:r>
        <w:t xml:space="preserve"> </w:t>
      </w:r>
      <w:r>
        <w:t>-knockout (KO)], and in vitro</w:t>
      </w:r>
      <w:r>
        <w:t xml:space="preserve"> </w:t>
      </w:r>
      <w:r>
        <w:t>Plasmodium falciparum</w:t>
      </w:r>
      <w:r>
        <w:t xml:space="preserve"> </w:t>
      </w:r>
      <w:r>
        <w:t>cultures to clarify iron-malaria associations. Iron deficiency was associated with 50% reduced</w:t>
      </w:r>
      <w:r>
        <w:t xml:space="preserve"> </w:t>
      </w:r>
      <w:r>
        <w:t>P. falciparum</w:t>
      </w:r>
      <w:r>
        <w:t xml:space="preserve"> </w:t>
      </w:r>
      <w:r>
        <w:t>parasitemia in pregnant women [95% CI (30 to 64%),</w:t>
      </w:r>
      <w:r>
        <w:t xml:space="preserve"> </w:t>
      </w:r>
      <w:r>
        <w:t>P</w:t>
      </w:r>
      <w:r>
        <w:t xml:space="preserve"> </w:t>
      </w:r>
      <w:r>
        <w:t>&amp;lt; 0.0001], while iron-deficient mice exhibited improved survival against</w:t>
      </w:r>
      <w:r>
        <w:t xml:space="preserve"> </w:t>
      </w:r>
      <w:r>
        <w:t>P. berghei</w:t>
      </w:r>
      <w:r>
        <w:t xml:space="preserve"> </w:t>
      </w:r>
      <w:r>
        <w:t>(median 15.5 days versus 7.0 days for WT mice) and protection from cerebral malaria (83% versus 17% survival). Iron chelation substantially changed the transcriptomic and proteomic profile of cultured</w:t>
      </w:r>
      <w:r>
        <w:t xml:space="preserve"> </w:t>
      </w:r>
      <w:r>
        <w:t>P. falciparum</w:t>
      </w:r>
      <w:r>
        <w:t xml:space="preserve"> </w:t>
      </w:r>
      <w:r>
        <w:t>parasites. Intravenous iron supplementation did not increase parasitemia when coupled with malaria prevention. These findings demonstrate that iron deficiency protects against</w:t>
      </w:r>
      <w:r>
        <w:t xml:space="preserve"> </w:t>
      </w:r>
      <w:r>
        <w:t>Plasmodium</w:t>
      </w:r>
      <w:r>
        <w:t xml:space="preserve"> </w:t>
      </w:r>
      <w:r>
        <w:t>infection and support World Health Organization recommendations for iron supplementation in malaria-endemic regions when combined with adequate malaria prevention strategies in place.</w:t>
      </w:r>
    </w:p>
    <w:p>
      <w:pPr>
        <w:spacing w:before="120" w:after="120"/>
      </w:pPr>
      <w:r>
        <w:rPr>
          <w:sz w:val="18"/>
        </w:rPr>
        <w:t>——————————————————————————————————————————————————————————————————————</w:t>
      </w:r>
    </w:p>
    <w:p>
      <w:pPr>
        <w:spacing w:before="160" w:after="40" w:line="240" w:lineRule="auto"/>
      </w:pPr>
      <w:r>
        <w:rPr>
          <w:b/>
        </w:rPr>
        <w:t xml:space="preserve">[405] </w:t>
      </w:r>
      <w:hyperlink r:id="rId819">
        <w:r>
          <w:rPr>
            <w:color w:val="1155CC"/>
            <w:u w:val="single"/>
          </w:rPr>
          <w:t>在高阻力多相介质中实现无束缚微型机器人的主动移动</w:t>
        </w:r>
      </w:hyperlink>
    </w:p>
    <w:p>
      <w:pPr>
        <w:spacing w:before="0" w:after="80"/>
      </w:pPr>
      <w:r>
        <w:rPr>
          <w:i/>
          <w:sz w:val="20"/>
        </w:rPr>
        <w:t>EN: Enable active mobility of untethered miniature robots in high-resistance multiphase medium</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20">
        <w:r>
          <w:rPr>
            <w:color w:val="1155CC"/>
            <w:u w:val="single"/>
          </w:rPr>
          <w:t>10.1126/sciadv.aea7188</w:t>
        </w:r>
      </w:hyperlink>
    </w:p>
    <w:p>
      <w:pPr>
        <w:spacing w:before="0" w:after="120"/>
      </w:pPr>
      <w:r>
        <w:rPr>
          <w:b/>
        </w:rPr>
        <w:t xml:space="preserve">Notes: </w:t>
      </w:r>
      <w:r>
        <w:t>abstract_source=crossref</w:t>
      </w:r>
    </w:p>
    <w:p>
      <w:pPr>
        <w:spacing w:before="0" w:after="80" w:lineRule="auto" w:line="276"/>
      </w:pPr>
      <w:r>
        <w:rPr>
          <w:b/>
        </w:rPr>
        <w:t xml:space="preserve">摘要（ZH）: </w:t>
      </w:r>
      <w:r>
        <w:t>传统机器人系统在具有较大阻力的介质中表现出有限的机动性，例如固液混合物（SLM）和固体颗粒介质（SGM）。这一挑战对于无缆小型机器人尤为明显，因为它们通常缺乏产生足够力输出的能力或实施减少周围介质阻力的策略。在此，我们提出了一种冲击驱动的磁性无缆小型机器人（RoboIMP），能够提供高达3 N的可重复高力输出，超越了相同特征长度的传统磁性机器人的理论力限制。RoboIMP使用往复振荡来流化周围介质，从而将介质的阻力减少多达13倍。这使得</w:t>
      </w:r>
    </w:p>
    <w:p>
      <w:pPr>
        <w:spacing w:before="0" w:after="200" w:lineRule="auto" w:line="276"/>
      </w:pPr>
      <w:r>
        <w:rPr>
          <w:b/>
        </w:rPr>
        <w:t xml:space="preserve">Abstract (EN): </w:t>
      </w:r>
      <w:r>
        <w:t>Conventional robotic systems exhibit limited mobility in media characterized by substantial resistance, e.g., solid-liquid mixture (SLM) and solid granular medium (SGM). This challenge is particularly pronounced for untethered miniature robots, as they often lack the capacities to generate sufficient force outputs or to implement strategies that reduce resistance from the surrounding medium. Here, we propose an impact-driven magnetic untethered miniature robot (RoboIMP) capable of delivering repeatable high-force outputs of up to 3 N, surpassing the theoretical force limits of conventional magnetic robots at the same characteristic length. RoboIMP uses reciprocal oscillation to fluidize the surrounding medium, thereby reducing the resistance from the medium by up to 13-fold. This enables effective locomotion of an untethered miniature robot in both SLM and SGM. By integrating functional modules, the proposed system demonstrates various applications, including pipeline cleaning, cargo delivery and retrieval, and navigation in the presence of chyme.</w:t>
      </w:r>
    </w:p>
    <w:p>
      <w:pPr>
        <w:spacing w:before="120" w:after="120"/>
      </w:pPr>
      <w:r>
        <w:rPr>
          <w:sz w:val="18"/>
        </w:rPr>
        <w:t>——————————————————————————————————————————————————————————————————————</w:t>
      </w:r>
    </w:p>
    <w:p>
      <w:pPr>
        <w:spacing w:before="160" w:after="40" w:line="240" w:lineRule="auto"/>
      </w:pPr>
      <w:r>
        <w:rPr>
          <w:b/>
        </w:rPr>
        <w:t xml:space="preserve">[406] </w:t>
      </w:r>
      <w:hyperlink r:id="rId821">
        <w:r>
          <w:rPr>
            <w:color w:val="1155CC"/>
            <w:u w:val="single"/>
          </w:rPr>
          <w:t>寡聚化使小分子能够选择性靶向内在无序区域</w:t>
        </w:r>
      </w:hyperlink>
    </w:p>
    <w:p>
      <w:pPr>
        <w:spacing w:before="0" w:after="80"/>
      </w:pPr>
      <w:r>
        <w:rPr>
          <w:i/>
          <w:sz w:val="20"/>
        </w:rPr>
        <w:t>EN: Oligomerization enables the selective targeting of an intrinsically disordered region by a small molecule</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22">
        <w:r>
          <w:rPr>
            <w:color w:val="1155CC"/>
            <w:u w:val="single"/>
          </w:rPr>
          <w:t>10.1126/sciadv.adz7400</w:t>
        </w:r>
      </w:hyperlink>
    </w:p>
    <w:p>
      <w:pPr>
        <w:spacing w:before="0" w:after="120"/>
      </w:pPr>
      <w:r>
        <w:rPr>
          <w:b/>
        </w:rPr>
        <w:t xml:space="preserve">Notes: </w:t>
      </w:r>
      <w:r>
        <w:t>abstract_source=crossref</w:t>
      </w:r>
    </w:p>
    <w:p>
      <w:pPr>
        <w:spacing w:before="0" w:after="80" w:lineRule="auto" w:line="276"/>
      </w:pPr>
      <w:r>
        <w:rPr>
          <w:b/>
        </w:rPr>
        <w:t xml:space="preserve">摘要（ZH）: </w:t>
      </w:r>
      <w:r>
        <w:t>蛋白质中的内在无序区域（IDRs）越来越被认为是治疗干预的有吸引力的目标。已经鉴定出一些与IDRs相互作用的小分子，但这些区域缺乏持久的二级和三级结构，导致普遍认为它们不能被选择性地靶向。在此，我们展示了一种在临床试验中评估的小分子靶向IDR，选择性地与其靶标的寡聚形式相互作用，该形式比单体更具结构性，并通过涉及部分α螺旋区域的芳香族残基的相互作用而稳定。该相互作用重塑了靶标的构象集合，改变了其在体外相分离凝聚体的生物物理特性，并减弱了RNA</w:t>
      </w:r>
    </w:p>
    <w:p>
      <w:pPr>
        <w:spacing w:before="0" w:after="200" w:lineRule="auto" w:line="276"/>
      </w:pPr>
      <w:r>
        <w:rPr>
          <w:b/>
        </w:rPr>
        <w:t xml:space="preserve">Abstract (EN): </w:t>
      </w:r>
      <w:r>
        <w:t>Intrinsically disordered regions (IDRs) in proteins are increasingly recognized as attractive targets for therapeutic intervention. A number of small molecules interacting with IDRs have been identified, but the lack of persistent secondary and tertiary structure of these regions has led to the prevailing view that they cannot be targeted selectively. Here, we show that a small molecule targeting an IDR evaluated in a clinical trial interacts selectively with an oligomeric form of its target, which is more structured than the monomer and is stabilized by interactions involving aromatic residues in partially α-helical regions. The interaction reshapes the conformational ensemble of the target, alters the biophysical properties of its phase-separated condensates in vitro, and attenuates RNA polymerase II recruitment in cells. Our findings provide mechanistic insights into how small molecules can selectively recognize IDRs.</w:t>
      </w:r>
    </w:p>
    <w:p>
      <w:pPr>
        <w:spacing w:before="120" w:after="120"/>
      </w:pPr>
      <w:r>
        <w:rPr>
          <w:sz w:val="18"/>
        </w:rPr>
        <w:t>——————————————————————————————————————————————————————————————————————</w:t>
      </w:r>
    </w:p>
    <w:p>
      <w:pPr>
        <w:spacing w:before="160" w:after="40" w:line="240" w:lineRule="auto"/>
      </w:pPr>
      <w:r>
        <w:rPr>
          <w:b/>
        </w:rPr>
        <w:t xml:space="preserve">[407] </w:t>
      </w:r>
      <w:hyperlink r:id="rId823">
        <w:r>
          <w:rPr>
            <w:color w:val="1155CC"/>
            <w:u w:val="single"/>
          </w:rPr>
          <w:t>三维结构的二维材料的应变映射</w:t>
        </w:r>
      </w:hyperlink>
    </w:p>
    <w:p>
      <w:pPr>
        <w:spacing w:before="0" w:after="80"/>
      </w:pPr>
      <w:r>
        <w:rPr>
          <w:i/>
          <w:sz w:val="20"/>
        </w:rPr>
        <w:t>EN: Strain mapping of three-dimensionally structured two-dimensional materials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24">
        <w:r>
          <w:rPr>
            <w:color w:val="1155CC"/>
            <w:u w:val="single"/>
          </w:rPr>
          <w:t>10.1126/sciadv.adz7908</w:t>
        </w:r>
      </w:hyperlink>
    </w:p>
    <w:p>
      <w:pPr>
        <w:spacing w:before="0" w:after="120"/>
      </w:pPr>
      <w:r>
        <w:rPr>
          <w:b/>
        </w:rPr>
        <w:t xml:space="preserve">Notes: </w:t>
      </w:r>
      <w:r>
        <w:t>abstract_source=crossref</w:t>
      </w:r>
    </w:p>
    <w:p>
      <w:pPr>
        <w:spacing w:before="0" w:after="80" w:lineRule="auto" w:line="276"/>
      </w:pPr>
      <w:r>
        <w:rPr>
          <w:b/>
        </w:rPr>
        <w:t xml:space="preserve">摘要（ZH）: </w:t>
      </w:r>
      <w:r>
        <w:t>应变在调节材料性能中起着至关重要的作用，影响其光学、电学和化学性能。在二维（2D）材料中，施加的应力常常引起面外变形，导致更复杂的三维（3D）地形，由于传统表征技术的局限性，映射应变仍然是一个挑战。在这项工作中，我们介绍了BRIGHT（Bragg-Rod Informed, Gradient-based Height-mapping Technique），这是一种集成方法，用于使用纳米束四维扫描透射电子显微镜（4D-STEM）重建3D结构2D材料的地形和平面应变分布。我们将BRIGHT应用于MoS</w:t>
      </w:r>
      <w:r>
        <w:rPr>
          <w:vertAlign w:val="subscript"/>
        </w:rPr>
        <w:t>2</w:t>
      </w:r>
      <w:r>
        <w:t>-MoSe</w:t>
      </w:r>
      <w:r>
        <w:rPr>
          <w:vertAlign w:val="subscript"/>
        </w:rPr>
        <w:t>2</w:t>
      </w:r>
    </w:p>
    <w:p>
      <w:pPr>
        <w:spacing w:before="0" w:after="200" w:lineRule="auto" w:line="276"/>
      </w:pPr>
      <w:r>
        <w:rPr>
          <w:b/>
        </w:rPr>
        <w:t xml:space="preserve">Abstract (EN): </w:t>
      </w:r>
      <w:r>
        <w:t>Strain plays a crucial role in tuning materials’ properties, influencing their optical, electrical, and chemical performances. In two-dimensional (2D) materials, applied stress often induces out-of-plane deformation, resulting in a more intricate three-dimensional (3D) topography, where mapping the strain remains a challenge due to the limitations of conventional characterization techniques. In this work, we introduce BRIGHT (Bragg-Rod Informed, Gradient-based Height-mapping Technique), an integrated method for reconstructing both the topography and planar strain profile of 3D-structured 2D materials using nanobeam four-dimensional scanning transmission electron microscopy (4D-STEM). We apply BRIGHT to a MoS</w:t>
      </w:r>
      <w:r>
        <w:rPr>
          <w:vertAlign w:val="subscript"/>
        </w:rPr>
        <w:t>2</w:t>
      </w:r>
      <w:r>
        <w:t>-MoSe</w:t>
      </w:r>
      <w:r>
        <w:rPr>
          <w:vertAlign w:val="subscript"/>
        </w:rPr>
        <w:t>2</w:t>
      </w:r>
      <w:r>
        <w:t>transition metal dichalcogenide (TMD) lateral heterojunctions exhibiting built-in strain and out-of-plane ripples and show that varying heterojunction widths lead to distinct surface morphologies and corresponding changes in the planar strain distribution. These results establish a foundation for more effective strain engineering in 2D materials by accounting for out-of-plane structural features, thereby enabling more precise control of strain-dependent properties.</w:t>
      </w:r>
    </w:p>
    <w:p>
      <w:pPr>
        <w:spacing w:before="120" w:after="120"/>
      </w:pPr>
      <w:r>
        <w:rPr>
          <w:sz w:val="18"/>
        </w:rPr>
        <w:t>——————————————————————————————————————————————————————————————————————</w:t>
      </w:r>
    </w:p>
    <w:p>
      <w:pPr>
        <w:spacing w:before="160" w:after="40" w:line="240" w:lineRule="auto"/>
      </w:pPr>
      <w:r>
        <w:rPr>
          <w:b/>
        </w:rPr>
        <w:t xml:space="preserve">[408] </w:t>
      </w:r>
      <w:hyperlink r:id="rId825">
        <w:r>
          <w:rPr>
            <w:color w:val="1155CC"/>
            <w:u w:val="single"/>
          </w:rPr>
          <w:t>费米液体3He中横向零声的限制</w:t>
        </w:r>
      </w:hyperlink>
    </w:p>
    <w:p>
      <w:pPr>
        <w:spacing w:before="0" w:after="80"/>
      </w:pPr>
      <w:r>
        <w:rPr>
          <w:i/>
          <w:sz w:val="20"/>
        </w:rPr>
        <w:t>EN: Limits on transverse zero sound in Fermi liquid 3He</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26">
        <w:r>
          <w:rPr>
            <w:color w:val="1155CC"/>
            <w:u w:val="single"/>
          </w:rPr>
          <w:t>10.1126/sciadv.adw3701</w:t>
        </w:r>
      </w:hyperlink>
    </w:p>
    <w:p>
      <w:pPr>
        <w:spacing w:before="0" w:after="120"/>
      </w:pPr>
      <w:r>
        <w:rPr>
          <w:b/>
        </w:rPr>
        <w:t xml:space="preserve">Notes: </w:t>
      </w:r>
      <w:r>
        <w:t>abstract_source=crossref</w:t>
      </w:r>
    </w:p>
    <w:p>
      <w:pPr>
        <w:spacing w:before="0" w:after="80" w:lineRule="auto" w:line="276"/>
      </w:pPr>
      <w:r>
        <w:rPr>
          <w:b/>
        </w:rPr>
        <w:t xml:space="preserve">摘要（ZH）: </w:t>
      </w:r>
      <w:r>
        <w:t>朗道预测，横向声波可以在具有足够强相互作用的费米液体中传播，例如液体</w:t>
      </w:r>
      <w:r>
        <w:rPr>
          <w:vertAlign w:val="subscript"/>
        </w:rPr>
        <w:t>3</w:t>
      </w:r>
      <w:r>
        <w:t>He，不同于不能支持剪切振荡的经典流体。之前尝试观察这种独特的集体模式的结果不确定。我们微制造了具有微米级路径长度的声学腔，适合直接检测这种声模式，并使用我们声学法布里-珀罗腔的干涉条纹来确定声阻抗的实部和虚部。未观察到干涉。要么横向声波不存在，要么其衰减必须非常高，远高于每厘米2000。我们讨论了这种高衰减的理论框架。</w:t>
      </w:r>
    </w:p>
    <w:p>
      <w:pPr>
        <w:spacing w:before="0" w:after="200" w:lineRule="auto" w:line="276"/>
      </w:pPr>
      <w:r>
        <w:rPr>
          <w:b/>
        </w:rPr>
        <w:t xml:space="preserve">Abstract (EN): </w:t>
      </w:r>
      <w:r>
        <w:t>Landau predicted that transverse sound propagates in a Fermi liquid with sufficiently strong interactions such as for liquid</w:t>
      </w:r>
      <w:r>
        <w:rPr>
          <w:vertAlign w:val="subscript"/>
        </w:rPr>
        <w:t>3</w:t>
      </w:r>
      <w:r>
        <w:t>He, unlike a classical fluid that cannot support shear oscillations. Previous attempts to observe this unique collective mode yielded inconclusive results. We microfabricated acoustic cavities with a micrometer-scale path length that is suitable for direct detection of this sound mode and used the interference fringes from our acoustic Fabry-Pérot cavities to determine both real and imaginary parts of the acoustic impedance. No interference was observed. Either transverse sound does not exist or its attenuation must be very high, well above 2000 per centimeter. We discuss a theoretical framework for such high attenuation.</w:t>
      </w:r>
    </w:p>
    <w:p>
      <w:pPr>
        <w:spacing w:before="120" w:after="120"/>
      </w:pPr>
      <w:r>
        <w:rPr>
          <w:sz w:val="18"/>
        </w:rPr>
        <w:t>——————————————————————————————————————————————————————————————————————</w:t>
      </w:r>
    </w:p>
    <w:p>
      <w:pPr>
        <w:spacing w:before="160" w:after="40" w:line="240" w:lineRule="auto"/>
      </w:pPr>
      <w:r>
        <w:rPr>
          <w:b/>
        </w:rPr>
        <w:t xml:space="preserve">[409] </w:t>
      </w:r>
      <w:hyperlink r:id="rId827">
        <w:r>
          <w:rPr>
            <w:color w:val="1155CC"/>
            <w:u w:val="single"/>
          </w:rPr>
          <w:t>用于大型生物库全基因组测序时间事件分析的可扩展且准确的稀有变体关联测试</w:t>
        </w:r>
      </w:hyperlink>
    </w:p>
    <w:p>
      <w:pPr>
        <w:spacing w:before="0" w:after="80"/>
      </w:pPr>
      <w:r>
        <w:rPr>
          <w:i/>
          <w:sz w:val="20"/>
        </w:rPr>
        <w:t>EN: Scalable and accurate rare-variant association tests for whole genome sequencing time-to-event analysis in large biobanks</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28">
        <w:r>
          <w:rPr>
            <w:color w:val="1155CC"/>
            <w:u w:val="single"/>
          </w:rPr>
          <w:t>10.1073/pnas.2525288123</w:t>
        </w:r>
      </w:hyperlink>
    </w:p>
    <w:p>
      <w:pPr>
        <w:spacing w:before="0" w:after="120"/>
      </w:pPr>
      <w:r>
        <w:rPr>
          <w:b/>
        </w:rPr>
        <w:t xml:space="preserve">Notes: </w:t>
      </w:r>
      <w:r>
        <w:t>abstract_source=crossref</w:t>
      </w:r>
    </w:p>
    <w:p>
      <w:pPr>
        <w:spacing w:before="0" w:after="80" w:lineRule="auto" w:line="276"/>
      </w:pPr>
      <w:r>
        <w:rPr>
          <w:b/>
        </w:rPr>
        <w:t xml:space="preserve">摘要（ZH）: </w:t>
      </w:r>
      <w:r>
        <w:t>在大型生物库中进行全基因组测序（WGS）研究，为通过分析如疾病诊断年龄、疾病进展和寿命等被删失的事件时间（TTE）表型，研究罕见变异（RV）对人类疾病自然史的影响提供了前所未有的机会。与为连续和分类表型开发的现有方法不同，大型生物库中TTE表型的罕见变异关联测试（RVATs）面临几个主要挑战，包括严重的删失、隐秘的亲缘关系和群体结构。我们引入了GATE-STAAR（通过使用注释信息的变异集关联测试进行事件时间表型的遗传分析），这是一个强大且计算高效的脆弱性模型框架，用于大型生物库中TTE表型的RVATs。</w:t>
      </w:r>
    </w:p>
    <w:p>
      <w:pPr>
        <w:spacing w:before="0" w:after="200" w:lineRule="auto" w:line="276"/>
      </w:pPr>
      <w:r>
        <w:rPr>
          <w:b/>
        </w:rPr>
        <w:t xml:space="preserve">Abstract (EN): </w:t>
      </w:r>
      <w:r>
        <w:t>Whole genome sequencing (WGS) studies in large biobanks provide an unprecedented opportunity to study the rare-variant (RV) effects on the natural history of human diseases by analyzing censored time-to-event (TTE) phenotypes, such as age at disease diagnosis, disease progression, and lifespan. Unlike existing methods developed for continuous and categorical phenotypes, rare-variant association tests (RVATs) for TTE phenotypes in large biobanks face several major challenges, including heavy censoring, cryptic relatedness, and population structure. We introduce GATE-STAAR (Genetic Analysis of Time-to-Event phenotypes via the variant-Set Test for Association using Annotation infoRmation), a powerful and computationally efficient frailty model framework for RVATs of TTE phenotypes in large biobanks. GATE-STAAR accounts for high censoring rates, cryptic relatedness, and population structure in large biobanks, while incorporating multifaceted variant functional annotations to improve power and result interpretability. We propose a rare-variant saddlepoint approximation method to effectively address heavy censoring in WGS TTE analysis. We demonstrate through extensive simulations that GATE-STAAR is powerful while maintaining proper control of type I error rates. We apply GATE-STAAR to analyze the WGS data of approximately 400,000 UK Biobank participants of white British ancestry across a variety of TTE phenotypes, and validate the findings using participants of European ancestry from the All of Us Research Program. These analyses uncover RV associations with age at diagnosis of a range of diseases.</w:t>
      </w:r>
    </w:p>
    <w:p>
      <w:pPr>
        <w:spacing w:before="120" w:after="120"/>
      </w:pPr>
      <w:r>
        <w:rPr>
          <w:sz w:val="18"/>
        </w:rPr>
        <w:t>——————————————————————————————————————————————————————————————————————</w:t>
      </w:r>
    </w:p>
    <w:p>
      <w:pPr>
        <w:spacing w:before="160" w:after="40" w:line="240" w:lineRule="auto"/>
      </w:pPr>
      <w:r>
        <w:rPr>
          <w:b/>
        </w:rPr>
        <w:t xml:space="preserve">[410] </w:t>
      </w:r>
      <w:hyperlink r:id="rId829">
        <w:r>
          <w:rPr>
            <w:color w:val="1155CC"/>
            <w:u w:val="single"/>
          </w:rPr>
          <w:t>光学逻辑卷积神经网络</w:t>
        </w:r>
      </w:hyperlink>
    </w:p>
    <w:p>
      <w:pPr>
        <w:spacing w:before="0" w:after="80"/>
      </w:pPr>
      <w:r>
        <w:rPr>
          <w:i/>
          <w:sz w:val="20"/>
        </w:rPr>
        <w:t>EN: Optical logic convolutional neural network</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30">
        <w:r>
          <w:rPr>
            <w:color w:val="1155CC"/>
            <w:u w:val="single"/>
          </w:rPr>
          <w:t>10.1126/sciadv.aea9278</w:t>
        </w:r>
      </w:hyperlink>
    </w:p>
    <w:p>
      <w:pPr>
        <w:spacing w:before="0" w:after="120"/>
      </w:pPr>
      <w:r>
        <w:rPr>
          <w:b/>
        </w:rPr>
        <w:t xml:space="preserve">Notes: </w:t>
      </w:r>
      <w:r>
        <w:t>abstract_source=crossref</w:t>
      </w:r>
    </w:p>
    <w:p>
      <w:pPr>
        <w:spacing w:before="0" w:after="80" w:lineRule="auto" w:line="276"/>
      </w:pPr>
      <w:r>
        <w:rPr>
          <w:b/>
        </w:rPr>
        <w:t xml:space="preserve">摘要（ZH）: </w:t>
      </w:r>
      <w:r>
        <w:t>光学计算为满足不断增长的计算需求提供了一个有前景的途径。然而，光学模拟计算易受环境扰动的影响，严重依赖于数模转换器和模数转换器，并需要电子或光子非线性操作。虽然光学数字计算缓解了一些问题，但其对手动、任务特定配置的依赖阻碍了更广泛的应用，如推理。在此，我们提出了光学逻辑卷积神经网络（OLCNN）的概念。我们展示了一个1-by-3光学逻辑卷积算子（OLCO）用于模式生成，并验证了其在20 Gbit/s下的高速计算能力。然后实现了一个2-by-2 OLCO来执行三种类型的图像边缘提取。通过扩展，</w:t>
      </w:r>
    </w:p>
    <w:p>
      <w:pPr>
        <w:spacing w:before="0" w:after="200" w:lineRule="auto" w:line="276"/>
      </w:pPr>
      <w:r>
        <w:rPr>
          <w:b/>
        </w:rPr>
        <w:t xml:space="preserve">Abstract (EN): </w:t>
      </w:r>
      <w:r>
        <w:t>Optical computing presents a promising avenue to meet the escalating computational demands. However, optical analog computing is susceptible to environmental perturbations, relies heavily on digital-to-analog converters and analog-to-digital converters, and requires electronic or photonic nonlinear operations. While optical digital computing mitigates some issues, its reliance on manual, task-specific configuration hinders broader applications like inference. Here, we propose the concept of an optical logic convolutional neural network (OLCNN). We demonstrate a 1-by-3 optical logic convolutional operator (OLCO) for pattern generation and validate its high-speed computing capacity at 20 Gbit/s. A 2-by-2 OLCO is then implemented to perform three types of image edge extraction. By scaling up, a 3-by-3 OLCO is constructed for an OLCNN to achieve four-class classification on the MNIST dataset with an average test accuracy of 95.1%. By synergizing optical logic devices with neural networks, this work pioneers a logic-driven paradigm for high-speed, energy-efficient optical hardware in artificial intelligence.</w:t>
      </w:r>
    </w:p>
    <w:p>
      <w:pPr>
        <w:spacing w:before="120" w:after="120"/>
      </w:pPr>
      <w:r>
        <w:rPr>
          <w:sz w:val="18"/>
        </w:rPr>
        <w:t>——————————————————————————————————————————————————————————————————————</w:t>
      </w:r>
    </w:p>
    <w:p>
      <w:pPr>
        <w:spacing w:before="160" w:after="40" w:line="240" w:lineRule="auto"/>
      </w:pPr>
      <w:r>
        <w:rPr>
          <w:b/>
        </w:rPr>
        <w:t xml:space="preserve">[411] </w:t>
      </w:r>
      <w:hyperlink r:id="rId831">
        <w:r>
          <w:rPr>
            <w:color w:val="1155CC"/>
            <w:u w:val="single"/>
          </w:rPr>
          <w:t>人类海马体θ-γ耦合在导航期间协调顺序规划</w:t>
        </w:r>
      </w:hyperlink>
    </w:p>
    <w:p>
      <w:pPr>
        <w:spacing w:before="0" w:after="80"/>
      </w:pPr>
      <w:r>
        <w:rPr>
          <w:i/>
          <w:sz w:val="20"/>
        </w:rPr>
        <w:t>EN: Human hippocampal theta–gamma coupling coordinates sequential planning during navigation</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32">
        <w:r>
          <w:rPr>
            <w:color w:val="1155CC"/>
            <w:u w:val="single"/>
          </w:rPr>
          <w:t>10.1073/pnas.2513547123</w:t>
        </w:r>
      </w:hyperlink>
    </w:p>
    <w:p>
      <w:pPr>
        <w:spacing w:before="0" w:after="120"/>
      </w:pPr>
      <w:r>
        <w:rPr>
          <w:b/>
        </w:rPr>
        <w:t xml:space="preserve">Notes: </w:t>
      </w:r>
      <w:r>
        <w:t>abstract_source=crossref</w:t>
      </w:r>
    </w:p>
    <w:p>
      <w:pPr>
        <w:spacing w:before="0" w:after="80" w:lineRule="auto" w:line="276"/>
      </w:pPr>
      <w:r>
        <w:rPr>
          <w:b/>
        </w:rPr>
        <w:t xml:space="preserve">摘要（ZH）: </w:t>
      </w:r>
      <w:r>
        <w:t>人类行为通常依赖于执行特定的动作序列以实现期望的结果。然而，在目标导向行为中，这些序列的动态构建和维护的神经机制尚不清楚。关于工作记忆功能的实证和理论研究表明，序列信息可能通过在连续的theta相位中发生的gamma活动爆发在神经回路中编码。在此，我们询问类似的编码方案是否可能支持目标导向导航中的序列规划。使用无创的脑磁图和一个抽象的导航任务，我们发现海马theta功率在规划和随后的导航过程中随着接近当前目标而减少，仅在准确导航期间如此。</w:t>
      </w:r>
    </w:p>
    <w:p>
      <w:pPr>
        <w:spacing w:before="0" w:after="200" w:lineRule="auto" w:line="276"/>
      </w:pPr>
      <w:r>
        <w:rPr>
          <w:b/>
        </w:rPr>
        <w:t xml:space="preserve">Abstract (EN): </w:t>
      </w:r>
      <w:r>
        <w:t>Human behavior often relies on executing a specific sequence of actions to achieve a desired outcome. However, the neural mechanisms underlying the dynamic construction and maintenance of such sequences during goal-directed behavior are not yet clear. Empirical and theoretical studies of working memory function suggest that sequential information may be encoded in neural circuits by bursts of gamma activity occurring at consecutive theta phases. Here, we asked whether a similar coding scheme might support sequential planning during goal-directed navigation. Using noninvasive magnetoencephalography and an abstract navigation task, we found that hippocampal theta power during both planning and subsequent navigation decreased with proximity to the current goal, only during accurate navigation. At the same time, theta–gamma phase–amplitude coupling (PAC) increased with goal proximity, consistent with sequences of upcoming locations being represented by gamma bursts occurring at successive theta phases. Importantly, entorhinal high gamma and hippocampal low gamma dominated while traversing novel and previously experienced paths, respectively, consistent with previous rodent studies. These findings suggest that hippocampal theta–gamma PAC flexibly and dynamically coordinates sequences of actions during goal-directed behavior across mammalian species, using different gamma bands for mnemonic and prospective planning.</w:t>
      </w:r>
    </w:p>
    <w:p>
      <w:pPr>
        <w:spacing w:before="120" w:after="120"/>
      </w:pPr>
      <w:r>
        <w:rPr>
          <w:sz w:val="18"/>
        </w:rPr>
        <w:t>——————————————————————————————————————————————————————————————————————</w:t>
      </w:r>
    </w:p>
    <w:p>
      <w:pPr>
        <w:spacing w:before="160" w:after="40" w:line="240" w:lineRule="auto"/>
      </w:pPr>
      <w:r>
        <w:rPr>
          <w:b/>
        </w:rPr>
        <w:t xml:space="preserve">[412] </w:t>
      </w:r>
      <w:hyperlink r:id="rId833">
        <w:r>
          <w:rPr>
            <w:color w:val="1155CC"/>
            <w:u w:val="single"/>
          </w:rPr>
          <w:t>科学证据不支持牡蛎养殖作为气候缓解的海洋二氧化碳去除策略</w:t>
        </w:r>
      </w:hyperlink>
    </w:p>
    <w:p>
      <w:pPr>
        <w:spacing w:before="0" w:after="80"/>
      </w:pPr>
      <w:r>
        <w:rPr>
          <w:i/>
          <w:sz w:val="20"/>
        </w:rPr>
        <w:t>EN: Scientific evidence does not support oyster farming as a marine carbon dioxide removal strategy for climate mitigation</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34">
        <w:r>
          <w:rPr>
            <w:color w:val="1155CC"/>
            <w:u w:val="single"/>
          </w:rPr>
          <w:t>10.1073/pnas.2533459123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[413] </w:t>
      </w:r>
      <w:hyperlink r:id="rId835">
        <w:r>
          <w:rPr>
            <w:color w:val="1155CC"/>
            <w:u w:val="single"/>
          </w:rPr>
          <w:t>回复Pernet等人：中尺度实验揭示了牡蛎养殖中的碳去除机制</w:t>
        </w:r>
      </w:hyperlink>
    </w:p>
    <w:p>
      <w:pPr>
        <w:spacing w:before="0" w:after="80"/>
      </w:pPr>
      <w:r>
        <w:rPr>
          <w:i/>
          <w:sz w:val="20"/>
        </w:rPr>
        <w:t>EN: Reply to Pernet et al.: Mesocosm experiment reveals the carbon removal mechanisms in oyster farming</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36">
        <w:r>
          <w:rPr>
            <w:color w:val="1155CC"/>
            <w:u w:val="single"/>
          </w:rPr>
          <w:t>10.1073/pnas.2536882123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[414] </w:t>
      </w:r>
      <w:hyperlink r:id="rId837">
        <w:r>
          <w:rPr>
            <w:color w:val="1155CC"/>
            <w:u w:val="single"/>
          </w:rPr>
          <w:t>生态遗传促进了环境助手和自由骑士的共存</w:t>
        </w:r>
      </w:hyperlink>
    </w:p>
    <w:p>
      <w:pPr>
        <w:spacing w:before="0" w:after="80"/>
      </w:pPr>
      <w:r>
        <w:rPr>
          <w:i/>
          <w:sz w:val="20"/>
        </w:rPr>
        <w:t>EN: Ecological inheritance facilitates the coexistence of environmental helpers and free riders</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38">
        <w:r>
          <w:rPr>
            <w:color w:val="1155CC"/>
            <w:u w:val="single"/>
          </w:rPr>
          <w:t>10.1073/pnas.2527016123</w:t>
        </w:r>
      </w:hyperlink>
    </w:p>
    <w:p>
      <w:pPr>
        <w:spacing w:before="0" w:after="120"/>
      </w:pPr>
      <w:r>
        <w:rPr>
          <w:b/>
        </w:rPr>
        <w:t xml:space="preserve">Notes: </w:t>
      </w:r>
      <w:r>
        <w:t>abstract_source=crossref</w:t>
      </w:r>
    </w:p>
    <w:p>
      <w:pPr>
        <w:spacing w:before="0" w:after="80" w:lineRule="auto" w:line="276"/>
      </w:pPr>
      <w:r>
        <w:rPr>
          <w:b/>
        </w:rPr>
        <w:t xml:space="preserve">摘要（ZH）: </w:t>
      </w:r>
      <w:r>
        <w:t>许多特征通过改变跨代传递的共享环境间接影响适应性，这一过程被称为生态遗传。在此，我们研究了当局部改变的环境表现出生态遗传时，改善公共资源的特征变异如何出现。使用生态进化建模，我们揭示了生态遗传结合有限的扩散可以促进两种具有相反生态遗产类型的共存：环境帮助者，他们以个人代价改善未来的局部环境；以及环境搭便车者，他们在不贡献的情况下受益，损害了未来世代，特别是当帮助者之间的互动产生递减回报时。这种多态性产生了持久的</w:t>
      </w:r>
    </w:p>
    <w:p>
      <w:pPr>
        <w:spacing w:before="0" w:after="200" w:lineRule="auto" w:line="276"/>
      </w:pPr>
      <w:r>
        <w:rPr>
          <w:b/>
        </w:rPr>
        <w:t xml:space="preserve">Abstract (EN): </w:t>
      </w:r>
      <w:r>
        <w:t>Many traits influence fitness indirectly by modifying shared environments that are transmitted across generations, a process known as ecological inheritance. Here, we investigate how variation in traits to improve common resources emerges when locally modified environments show ecological inheritance. Using eco-evolutionary modeling, we reveal that ecological inheritance, when combined with limited dispersal, can facilitate the coexistence of two types with opposite ecological legacies: environmental helpers, who improve the local environment for the future at a personal cost, and environmental free riders, who benefit without contributing to the detriment of future generations, particularly when interactions among helpers generate diminishing returns. This polymorphism generates lasting spatial heterogeneity in environmental quality and, consequently, in survival and reproduction—particularly under isolation-by-distance, where it creates stable clusters of high- and low-quality habitats across an otherwise homogeneous landscape. These findings reveal how ecological inheritance and spatial structure interact to stabilize polymorphism, potentially driving long-term behavioral, ecological, and fitness variation across diverse biological systems.</w:t>
      </w:r>
    </w:p>
    <w:p>
      <w:pPr>
        <w:spacing w:before="120" w:after="120"/>
      </w:pPr>
      <w:r>
        <w:rPr>
          <w:sz w:val="18"/>
        </w:rPr>
        <w:t>——————————————————————————————————————————————————————————————————————</w:t>
      </w:r>
    </w:p>
    <w:p>
      <w:pPr>
        <w:spacing w:before="160" w:after="40" w:line="240" w:lineRule="auto"/>
      </w:pPr>
      <w:r>
        <w:rPr>
          <w:b/>
        </w:rPr>
        <w:t xml:space="preserve">[415] </w:t>
      </w:r>
      <w:hyperlink r:id="rId839">
        <w:r>
          <w:rPr>
            <w:color w:val="1155CC"/>
            <w:u w:val="single"/>
          </w:rPr>
          <w:t>在自由移动导航中整合学习到的人工感觉与视觉</w:t>
        </w:r>
      </w:hyperlink>
    </w:p>
    <w:p>
      <w:pPr>
        <w:spacing w:before="0" w:after="80"/>
      </w:pPr>
      <w:r>
        <w:rPr>
          <w:i/>
          <w:sz w:val="20"/>
        </w:rPr>
        <w:t>EN: Integration of learned artificial sensation with vision during freely moving navigation</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40">
        <w:r>
          <w:rPr>
            <w:color w:val="1155CC"/>
            <w:u w:val="single"/>
          </w:rPr>
          <w:t>10.1073/pnas.2521769123</w:t>
        </w:r>
      </w:hyperlink>
    </w:p>
    <w:p>
      <w:pPr>
        <w:spacing w:before="0" w:after="120"/>
      </w:pPr>
      <w:r>
        <w:rPr>
          <w:b/>
        </w:rPr>
        <w:t xml:space="preserve">Notes: </w:t>
      </w:r>
      <w:r>
        <w:t>abstract_source=crossref</w:t>
      </w:r>
    </w:p>
    <w:p>
      <w:pPr>
        <w:spacing w:before="0" w:after="80" w:lineRule="auto" w:line="276"/>
      </w:pPr>
      <w:r>
        <w:rPr>
          <w:b/>
        </w:rPr>
        <w:t xml:space="preserve">摘要（ZH）: </w:t>
      </w:r>
      <w:r>
        <w:t>人类在到达时依赖于本体感觉和视觉反馈，整合这两种感官流以提高运动的准确性和精确性。使用脑机接口的患者同样需要人工本体感觉反馈，除了视觉之外，以精细控制假肢。皮层内微刺激（ICMS）引发的感觉感知可以替代丢失的本体感觉信号。然而，可能需要一些学习来编码人工感觉，因为当前技术无法访问具有所有所需编码特性的神经元。我们开发了一种自由移动的小鼠行为任务，以测试人工感觉信息与自然视觉的学习和整合。小鼠植入了16通道微线阵列</w:t>
      </w:r>
    </w:p>
    <w:p>
      <w:pPr>
        <w:spacing w:before="0" w:after="200" w:lineRule="auto" w:line="276"/>
      </w:pPr>
      <w:r>
        <w:rPr>
          <w:b/>
        </w:rPr>
        <w:t xml:space="preserve">Abstract (EN): </w:t>
      </w:r>
      <w:r>
        <w:t>Humans rely on both proprioceptive and visual feedback during reaching, integrating these two sensory streams to improve movement accuracy and precision. Patients using a brain-computer interface will similarly require artificial proprioceptive feedback in addition to vision to finely control a prosthesis. Intracortical microstimulation (ICMS) elicits sensory perceptions that could replace the lost proprioceptive signal. However, some learning may be required for encoding artificial sensation, as current technology does not give access to neurons with all of the desired encoding properties. We developed a freely moving mouse behavioral task in which to test learning and integration of artificial sensory information with natural vision. Mice implanted with a 16-channel microwire array in the primary somatosensory cortex were trained to navigate to randomly selected targets upon the floor of a custom behavioral training chamber. Target location was encoded with visual and/or patterned multichannel ICMS feedback. Mice received multimodal feedback from the beginning of training of the behavioral task, achieving 75% on multimodal trials after approximately 1,000 training trials. Mice also quickly learned to use the ICMS signal to locate invisible targets, achieving 75% proficiency on ICMS-only trials when tested. Critically, we found that performance with ICMS was as good or better than performance with natural vision, and that performance on multimodal trials significantly exceeded unimodal performance (vision or ICMS), demonstrating that animals rapidly learned to integrate natural vision with artificial sensation.</w:t>
      </w:r>
    </w:p>
    <w:p>
      <w:pPr>
        <w:spacing w:before="120" w:after="120"/>
      </w:pPr>
      <w:r>
        <w:rPr>
          <w:sz w:val="18"/>
        </w:rPr>
        <w:t>——————————————————————————————————————————————————————————————————————</w:t>
      </w:r>
    </w:p>
    <w:p>
      <w:pPr>
        <w:spacing w:before="160" w:after="40" w:line="240" w:lineRule="auto"/>
      </w:pPr>
      <w:r>
        <w:rPr>
          <w:b/>
        </w:rPr>
        <w:t xml:space="preserve">[416] </w:t>
      </w:r>
      <w:hyperlink r:id="rId841">
        <w:r>
          <w:rPr>
            <w:color w:val="1155CC"/>
            <w:u w:val="single"/>
          </w:rPr>
          <w:t>微生物代谢产物氧吲哚通过抑制CXCL13缓解急性肺损伤</w:t>
        </w:r>
      </w:hyperlink>
    </w:p>
    <w:p>
      <w:pPr>
        <w:spacing w:before="0" w:after="80"/>
      </w:pPr>
      <w:r>
        <w:rPr>
          <w:i/>
          <w:sz w:val="20"/>
        </w:rPr>
        <w:t>EN: Microbial metabolite oxindole curbs acute lung injury by suppressing CXCL13</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42">
        <w:r>
          <w:rPr>
            <w:color w:val="1155CC"/>
            <w:u w:val="single"/>
          </w:rPr>
          <w:t>10.1073/pnas.2519332123</w:t>
        </w:r>
      </w:hyperlink>
    </w:p>
    <w:p>
      <w:pPr>
        <w:spacing w:before="0" w:after="120"/>
      </w:pPr>
      <w:r>
        <w:rPr>
          <w:b/>
        </w:rPr>
        <w:t xml:space="preserve">Notes: </w:t>
      </w:r>
      <w:r>
        <w:t>abstract_source=crossref</w:t>
      </w:r>
    </w:p>
    <w:p>
      <w:pPr>
        <w:spacing w:before="0" w:after="80" w:lineRule="auto" w:line="276"/>
      </w:pPr>
      <w:r>
        <w:rPr>
          <w:b/>
        </w:rPr>
        <w:t xml:space="preserve">摘要（ZH）: </w:t>
      </w:r>
      <w:r>
        <w:t>肠-肺轴参与急性肺损伤（ALI）及其致命后遗症急性呼吸窘迫综合征（ARDS），但调控这种交互的分子机制仍未明确。血浆的非靶向代谢组学揭示了ARDS患者与健康对照组相比色氨酸代谢的显著失调。小鼠饮食干预显示高色氨酸摄入减轻了ALI的严重性，而缺乏则加重了损伤，且这种保护依赖于肠道微生物群。16S核糖体RNA（16S rRNA）基因测序揭示了在ALI期间功能上居中的细菌Lactobacillus johnsonii（L. johnsonii）的显著减少。补充</w:t>
      </w:r>
    </w:p>
    <w:p>
      <w:pPr>
        <w:spacing w:before="0" w:after="200" w:lineRule="auto" w:line="276"/>
      </w:pPr>
      <w:r>
        <w:rPr>
          <w:b/>
        </w:rPr>
        <w:t xml:space="preserve">Abstract (EN): </w:t>
      </w:r>
      <w:r>
        <w:t>The gut–lung axis is involved in acute lung injury (ALI) and its fatal sequela, acute respiratory distress syndrome (ARDS), yet the molecular mechanisms governing this crosstalk remain poorly defined. Untargeted metabolomics of plasma revealed significant dysregulation of tryptophan metabolism in ARDS patients compared to healthy controls. Murine dietary interventions demonstrated that high tryptophan intake alleviated ALI severity, whereas deficiency exacerbated injury, with protection being gut microbiota dependent. 16S ribosomal RNA (16S rRNA) gene sequencing revealed marked depletion of a functionally central bacterium</w:t>
      </w:r>
      <w:r>
        <w:t xml:space="preserve"> </w:t>
      </w:r>
      <w:r>
        <w:t>Lactobacillus johnsonii</w:t>
      </w:r>
      <w:r>
        <w:t xml:space="preserve"> </w:t>
      </w:r>
      <w:r>
        <w:t>(</w:t>
      </w:r>
      <w:r>
        <w:t xml:space="preserve"> </w:t>
      </w:r>
      <w:r>
        <w:t>L. johnsonii</w:t>
      </w:r>
      <w:r>
        <w:t xml:space="preserve"> </w:t>
      </w:r>
      <w:r>
        <w:t>) during ALI. Supplementation with</w:t>
      </w:r>
      <w:r>
        <w:t xml:space="preserve"> </w:t>
      </w:r>
      <w:r>
        <w:t>L. johnsonii</w:t>
      </w:r>
      <w:r>
        <w:t xml:space="preserve"> </w:t>
      </w:r>
      <w:r>
        <w:t>or its encapsulated form attenuated ALI, but this required dietary tryptophan sufficiency. Mechanistically,</w:t>
      </w:r>
      <w:r>
        <w:t xml:space="preserve"> </w:t>
      </w:r>
      <w:r>
        <w:t>L. johnsonii</w:t>
      </w:r>
      <w:r>
        <w:t xml:space="preserve"> </w:t>
      </w:r>
      <w:r>
        <w:t>converts tryptophan into oxindole, which enters pulmonary macrophages, promotes the aryl hydrocarbon receptor-RelA binding, and thereby suppresses RelA-mediated transcriptional activation of C-X-C motif chemokine 13 (CXCL13). Both genetic ablation and pharmacological inhibition of CXCL13 ameliorated ALI symptoms. Importantly, oxindole and CXCL13 levels correlated with ARDS severity in patients, suggesting their clinical relevance. Collectively, these findings define a protective microbiota-dependent gut–lung axis in ALI/ARDS that is mediated by dietary tryptophan-derived oxindole, which acts at least partially through CXCL13 suppression to underscore targetable diet–microbe–metabolite therapeutic paradigms.</w:t>
      </w:r>
    </w:p>
    <w:p>
      <w:pPr>
        <w:spacing w:before="120" w:after="120"/>
      </w:pPr>
      <w:r>
        <w:rPr>
          <w:sz w:val="18"/>
        </w:rPr>
        <w:t>——————————————————————————————————————————————————————————————————————</w:t>
      </w:r>
    </w:p>
    <w:p>
      <w:pPr>
        <w:spacing w:before="160" w:after="40" w:line="240" w:lineRule="auto"/>
      </w:pPr>
      <w:r>
        <w:rPr>
          <w:b/>
        </w:rPr>
        <w:t xml:space="preserve">[417] </w:t>
      </w:r>
      <w:hyperlink r:id="rId843">
        <w:r>
          <w:rPr>
            <w:color w:val="1155CC"/>
            <w:u w:val="single"/>
          </w:rPr>
          <w:t>带有利他主义的流行病理论</w:t>
        </w:r>
      </w:hyperlink>
    </w:p>
    <w:p>
      <w:pPr>
        <w:spacing w:before="0" w:after="80"/>
      </w:pPr>
      <w:r>
        <w:rPr>
          <w:i/>
          <w:sz w:val="20"/>
        </w:rPr>
        <w:t>EN: The theory of epidemics with altruism</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44">
        <w:r>
          <w:rPr>
            <w:color w:val="1155CC"/>
            <w:u w:val="single"/>
          </w:rPr>
          <w:t>10.1073/pnas.2518893123</w:t>
        </w:r>
      </w:hyperlink>
    </w:p>
    <w:p>
      <w:pPr>
        <w:spacing w:before="0" w:after="120"/>
      </w:pPr>
      <w:r>
        <w:rPr>
          <w:b/>
        </w:rPr>
        <w:t xml:space="preserve">Notes: </w:t>
      </w:r>
      <w:r>
        <w:t>abstract_source=crossref</w:t>
      </w:r>
    </w:p>
    <w:p>
      <w:pPr>
        <w:spacing w:before="0" w:after="80" w:lineRule="auto" w:line="276"/>
      </w:pPr>
      <w:r>
        <w:rPr>
          <w:b/>
        </w:rPr>
        <w:t xml:space="preserve">摘要（ZH）: </w:t>
      </w:r>
      <w:r>
        <w:t>社交距离可以减缓人类和动物疾病的传播。社交距离允许易感个体保护自己（和他人），但如果康复提供免疫力，对感染个体没有个人利益。然而，个体可能至少是弱利他主义者，并可能在感染时有兴趣保护他人。在一个强烈利他主义的群体中，个体将他人视为与自己平等，预计会在感染时自我隔离。这将强烈抑制疾病，避免群体免疫，并极大地改善结果。然而，关于较弱的利他主义如何影响流行病期间的行为知之甚少。我们在此通过博弈论展示，即使是极其弱利他主义的个体，重视自己的生命等同</w:t>
      </w:r>
    </w:p>
    <w:p>
      <w:pPr>
        <w:spacing w:before="0" w:after="200" w:lineRule="auto" w:line="276"/>
      </w:pPr>
      <w:r>
        <w:rPr>
          <w:b/>
        </w:rPr>
        <w:t xml:space="preserve">Abstract (EN): </w:t>
      </w:r>
      <w:r>
        <w:t>Social distancing can mitigate the spread of diseases in humans and animals. Social distancing allows susceptible individuals to protect themselves (and others) but confers no personal benefit for infected individuals if recovery provides immunity. However, individuals are likely to be at least weakly altruistic and may be interested in protecting others when infected. A strongly altruistic population where individuals value others as equal to themselves would be expected to self-isolate when infected. This would strongly suppress the disease, avoid Herd Immunity, and vastly improve outcomes. Still, little is known about how weaker altruism affects behavior during epidemics. Here we show using game theory that even extremely weakly altruistic individuals, valuing their own lives equivalent to roughly 100,000 others, can rationally achieve almost identical outcomes. Individuals self-isolate in order to avoid setting off chains of infections that they would perceive as costly to them even at such small altruism. Our results are robust to a moderate fraction of asymptomatic cases or completely selfish individuals. The resulting behavior, while emerging from a complex optimization problem, is simple enough that it could have evolved as a behavioral response in social animals, as well as being easy to communicate and understand for humans.</w:t>
      </w:r>
    </w:p>
    <w:p>
      <w:pPr>
        <w:spacing w:before="120" w:after="120"/>
      </w:pPr>
      <w:r>
        <w:rPr>
          <w:sz w:val="18"/>
        </w:rPr>
        <w:t>——————————————————————————————————————————————————————————————————————</w:t>
      </w:r>
    </w:p>
    <w:p>
      <w:pPr>
        <w:spacing w:before="160" w:after="40" w:line="240" w:lineRule="auto"/>
      </w:pPr>
      <w:r>
        <w:rPr>
          <w:b/>
        </w:rPr>
        <w:t xml:space="preserve">[418] </w:t>
      </w:r>
      <w:hyperlink r:id="rId845">
        <w:r>
          <w:rPr>
            <w:color w:val="1155CC"/>
            <w:u w:val="single"/>
          </w:rPr>
          <w:t>在火星上检测到闪电产生的波</w:t>
        </w:r>
      </w:hyperlink>
    </w:p>
    <w:p>
      <w:pPr>
        <w:spacing w:before="0" w:after="80"/>
      </w:pPr>
      <w:r>
        <w:rPr>
          <w:i/>
          <w:sz w:val="20"/>
        </w:rPr>
        <w:t>EN: Lightning-generated waves detected at Mars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46">
        <w:r>
          <w:rPr>
            <w:color w:val="1155CC"/>
            <w:u w:val="single"/>
          </w:rPr>
          <w:t>10.1126/sciadv.aeb4898</w:t>
        </w:r>
      </w:hyperlink>
    </w:p>
    <w:p>
      <w:pPr>
        <w:spacing w:before="0" w:after="120"/>
      </w:pPr>
      <w:r>
        <w:rPr>
          <w:b/>
        </w:rPr>
        <w:t xml:space="preserve">Notes: </w:t>
      </w:r>
      <w:r>
        <w:t>abstract_source=crossref</w:t>
      </w:r>
    </w:p>
    <w:p>
      <w:pPr>
        <w:spacing w:before="0" w:after="80" w:lineRule="auto" w:line="276"/>
      </w:pPr>
      <w:r>
        <w:rPr>
          <w:b/>
        </w:rPr>
        <w:t xml:space="preserve">摘要（ZH）: </w:t>
      </w:r>
      <w:r>
        <w:t>尽管通过检测闪电产生的电磁波已经确认木星、土星和海王星上存在闪电活动，但在金星和火星上的发生情况仍不清楚。在此，我们报告了由NASA的MAVEN航天器在火星电离层中检测到的这种频率分散的哨声波的观测结果。我们证明了从大气层到航天器的波传播的可能性，并展示了观察到的色散与使用现实的地壳磁场和电离层模型的理论预期相符。在较高频率下的衰减增加解释了为什么只观察到哨声波的低频部分。我们的观测为来自火星上一个冲动源的电磁波提供了直接证据，表明电气</w:t>
      </w:r>
    </w:p>
    <w:p>
      <w:pPr>
        <w:spacing w:before="0" w:after="200" w:lineRule="auto" w:line="276"/>
      </w:pPr>
      <w:r>
        <w:rPr>
          <w:b/>
        </w:rPr>
        <w:t xml:space="preserve">Abstract (EN): </w:t>
      </w:r>
      <w:r>
        <w:t>Although lightning activity has been confirmed on Jupiter, Saturn, and Neptune through the detection of lightning-generated electromagnetic waves, its occurrence on Venus and Mars remains unclear. Here, we report observations of such a frequency-dispersed whistler detected in the ionosphere of Mars by NASA’s MAVEN spacecraft. We demonstrate the plausibility of wave propagation from the atmosphere to the spacecraft, and we show that the observed dispersion corresponds to theoretical expectations using realistic crustal magnetic field and ionospheric models. Increased attenuation at higher frequencies explains why only the low-frequency part of the whistler is observed. Our observations provide direct evidence of electromagnetic waves from an impulsive source on Mars, suggesting that electric discharges may indeed occur in the Martian atmosphere.</w:t>
      </w:r>
    </w:p>
    <w:p>
      <w:pPr>
        <w:spacing w:before="120" w:after="120"/>
      </w:pPr>
      <w:r>
        <w:rPr>
          <w:sz w:val="18"/>
        </w:rPr>
        <w:t>——————————————————————————————————————————————————————————————————————</w:t>
      </w:r>
    </w:p>
    <w:p>
      <w:pPr>
        <w:spacing w:before="160" w:after="40" w:line="240" w:lineRule="auto"/>
      </w:pPr>
      <w:r>
        <w:rPr>
          <w:b/>
        </w:rPr>
        <w:t xml:space="preserve">[419] </w:t>
      </w:r>
      <w:hyperlink r:id="rId847">
        <w:r>
          <w:rPr>
            <w:color w:val="1155CC"/>
            <w:u w:val="single"/>
          </w:rPr>
          <w:t>大卫·贝克、德米斯·哈萨比斯和约翰·朱珀的简介：2024年诺贝尔化学奖得主</w:t>
        </w:r>
      </w:hyperlink>
    </w:p>
    <w:p>
      <w:pPr>
        <w:spacing w:before="0" w:after="80"/>
      </w:pPr>
      <w:r>
        <w:rPr>
          <w:i/>
          <w:sz w:val="20"/>
        </w:rPr>
        <w:t>EN: Profile of David Baker, Demis Hassabis, and John Jumper: 2024 Nobel laureates in chemistry</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48">
        <w:r>
          <w:rPr>
            <w:color w:val="1155CC"/>
            <w:u w:val="single"/>
          </w:rPr>
          <w:t>10.1073/pnas.2422539123</w:t>
        </w:r>
      </w:hyperlink>
    </w:p>
    <w:p>
      <w:pPr>
        <w:spacing w:before="0" w:after="120"/>
      </w:pPr>
      <w:r>
        <w:rPr>
          <w:b/>
        </w:rPr>
        <w:t xml:space="preserve">Notes: </w:t>
      </w:r>
      <w:r>
        <w:t>abstract_source=crossref</w:t>
      </w:r>
    </w:p>
    <w:p>
      <w:pPr>
        <w:spacing w:before="0" w:after="80" w:lineRule="auto" w:line="276"/>
      </w:pPr>
      <w:r>
        <w:rPr>
          <w:b/>
        </w:rPr>
        <w:t xml:space="preserve">摘要（ZH）: </w:t>
      </w:r>
      <w:r>
        <w:t>2024年诺贝尔化学奖表彰了在从氨基酸序列预测蛋白质结构和设计折叠成所需蛋白质结构的氨基酸序列方面的革命性计算成功。最终的成就主要来自两个实验室，采用不同的方法，汇集了蛋白质科学家社区四十年的努力。华盛顿大学的David Baker实验室通过适应经典物理化学的方法使蛋白质设计成为现实。谷歌Deep Mind部门的Demis Hassabis和John Jumper应用共同进化和AI方法，使得蛋白质模型的预测与实验确定的结构非常接近，并预测了大量尚未实验的蛋白质结构</w:t>
      </w:r>
    </w:p>
    <w:p>
      <w:pPr>
        <w:spacing w:before="0" w:after="200" w:lineRule="auto" w:line="276"/>
      </w:pPr>
      <w:r>
        <w:rPr>
          <w:b/>
        </w:rPr>
        <w:t xml:space="preserve">Abstract (EN): </w:t>
      </w:r>
      <w:r>
        <w:t>The 2024 Nobel Prize in Chemistry recognized revolutionary computational success in predicting protein structures from amino acid sequences and for designing amino acid sequences that fold into desired protein structures. The ultimate accomplishment emerged principally from two labs, applying distinct approaches, culminating four decades of effort by the community of protein scientists. The lab of David Baker at the University of Washington made protein design a reality by adapting methods of classical physical chemistry. Demis Hassabis and John Jumper in the Deep Mind division of Google applied co-evolution and AI methods to enable prediction of protein models remarkably close to experimentally determined structures and prediction of vast numbers of structures of proteins not yet experimentally studied.</w:t>
      </w:r>
    </w:p>
    <w:p>
      <w:pPr>
        <w:spacing w:before="120" w:after="120"/>
      </w:pPr>
      <w:r>
        <w:rPr>
          <w:sz w:val="18"/>
        </w:rPr>
        <w:t>——————————————————————————————————————————————————————————————————————</w:t>
      </w:r>
    </w:p>
    <w:p>
      <w:pPr>
        <w:spacing w:before="160" w:after="40" w:line="240" w:lineRule="auto"/>
      </w:pPr>
      <w:r>
        <w:rPr>
          <w:b/>
        </w:rPr>
        <w:t xml:space="preserve">[420] </w:t>
      </w:r>
      <w:hyperlink r:id="rId849">
        <w:r>
          <w:rPr>
            <w:color w:val="1155CC"/>
            <w:u w:val="single"/>
          </w:rPr>
          <w:t>一种结构无序功能将局部对称性破坏与非晶态固体中的塑性指标和强度联系起来</w:t>
        </w:r>
      </w:hyperlink>
    </w:p>
    <w:p>
      <w:pPr>
        <w:spacing w:before="0" w:after="80"/>
      </w:pPr>
      <w:r>
        <w:rPr>
          <w:i/>
          <w:sz w:val="20"/>
        </w:rPr>
        <w:t>EN: A structural disorder function linking local symmetry breaking to plastic indicators and strength in amorphous solids</w:t>
      </w:r>
    </w:p>
    <w:p>
      <w:pPr>
        <w:spacing w:before="0" w:after="120"/>
      </w:pPr>
      <w:r>
        <w:rPr>
          <w:b/>
        </w:rPr>
        <w:t xml:space="preserve">Source: </w:t>
      </w:r>
      <w:r>
        <w:t>Proceedings of the National Academy of Sciences: Keyword search for query</w:t>
      </w:r>
      <w:r>
        <w:t xml:space="preserve">    </w:t>
      </w:r>
      <w:r>
        <w:rPr>
          <w:b/>
        </w:rPr>
        <w:t xml:space="preserve">Pub date: </w:t>
      </w:r>
      <w:r>
        <w:t>2026-02-27 08:00:00+00:00</w:t>
      </w:r>
      <w:r>
        <w:t xml:space="preserve">    </w:t>
      </w:r>
      <w:r>
        <w:rPr>
          <w:b/>
        </w:rPr>
        <w:t xml:space="preserve">DOI: </w:t>
      </w:r>
      <w:hyperlink r:id="rId850">
        <w:r>
          <w:rPr>
            <w:color w:val="1155CC"/>
            <w:u w:val="single"/>
          </w:rPr>
          <w:t>10.1073/pnas.2532235123</w:t>
        </w:r>
      </w:hyperlink>
    </w:p>
    <w:p>
      <w:pPr>
        <w:spacing w:before="0" w:after="120"/>
      </w:pPr>
      <w:r>
        <w:rPr>
          <w:b/>
        </w:rPr>
        <w:t xml:space="preserve">Notes: </w:t>
      </w:r>
      <w:r>
        <w:t>abstract_source=crossref</w:t>
      </w:r>
    </w:p>
    <w:p>
      <w:pPr>
        <w:spacing w:before="0" w:after="80" w:lineRule="auto" w:line="276"/>
      </w:pPr>
      <w:r>
        <w:rPr>
          <w:b/>
        </w:rPr>
        <w:t xml:space="preserve">摘要（ZH）: </w:t>
      </w:r>
      <w:r>
        <w:t>在材料科学中，建立非晶态固体的内在结构-性质关系仍然是一个核心挑战，因为缺乏长程有序性使得普遍的结构描述符变得模糊。在此，我们引入了一种结构无序函数，S_d(r)，作为非晶系统中原子尺度无序的物理可解释和定量度量。S_d(r)被公式化为从参考原子到其在不同径向壳层内的邻居的归一化矢量和的大小，从而捕捉到局部对称性破坏，其概念类似于伯格斯矢量。</w:t>
      </w:r>
    </w:p>
    <w:p>
      <w:pPr>
        <w:spacing w:before="0" w:after="200" w:lineRule="auto" w:line="276"/>
      </w:pPr>
      <w:r>
        <w:rPr>
          <w:b/>
        </w:rPr>
        <w:t xml:space="preserve">Abstract (EN): </w:t>
      </w:r>
      <w:r>
        <w:t>Establishing intrinsic structure–property relationships in amorphous solids remains a central challenge in materials science because the absence of long-range order obscures universal structural descriptors. Here, we introduce a structural disorder function,</w:t>
      </w:r>
      <w:r>
        <w:t xml:space="preserve"> </w:t>
      </w:r>
      <w:r>
        <w:t>S</w:t>
      </w:r>
      <w:r>
        <w:t xml:space="preserve"> </w:t>
      </w:r>
      <w:r>
        <w:t>d</w:t>
      </w:r>
      <w:r>
        <w:t xml:space="preserve"> </w:t>
      </w:r>
      <w:r>
        <w:t>(</w:t>
      </w:r>
      <w:r>
        <w:t xml:space="preserve"> </w:t>
      </w:r>
      <w:r>
        <w:t>r</w:t>
      </w:r>
      <w:r>
        <w:t xml:space="preserve"> </w:t>
      </w:r>
      <w:r>
        <w:t>), as a physically interpretable and quantitative metric for atomic-scale disorder in amorphous systems.</w:t>
      </w:r>
      <w:r>
        <w:t xml:space="preserve"> </w:t>
      </w:r>
      <w:r>
        <w:t>S</w:t>
      </w:r>
      <w:r>
        <w:t xml:space="preserve"> </w:t>
      </w:r>
      <w:r>
        <w:t>d</w:t>
      </w:r>
      <w:r>
        <w:t xml:space="preserve"> </w:t>
      </w:r>
      <w:r>
        <w:t>(</w:t>
      </w:r>
      <w:r>
        <w:t xml:space="preserve"> </w:t>
      </w:r>
      <w:r>
        <w:t>r</w:t>
      </w:r>
      <w:r>
        <w:t xml:space="preserve"> </w:t>
      </w:r>
      <w:r>
        <w:t>) is formulated as the magnitude of the normalized vector sum from a reference atom to its neighbors within different radial shells, thereby capturing local symmetry breaking analogous in concept to the Burgers vector in crystals. Molecular dynamics simulations across diverse amorphous alloys and glasses, together with colloidal-glass experiments, demonstrate that</w:t>
      </w:r>
      <w:r>
        <w:t xml:space="preserve"> </w:t>
      </w:r>
      <w:r>
        <w:t>S</w:t>
      </w:r>
      <w:r>
        <w:t xml:space="preserve"> </w:t>
      </w:r>
      <w:r>
        <w:t>d</w:t>
      </w:r>
      <w:r>
        <w:t xml:space="preserve"> </w:t>
      </w:r>
      <w:r>
        <w:t>(</w:t>
      </w:r>
      <w:r>
        <w:t xml:space="preserve"> </w:t>
      </w:r>
      <w:r>
        <w:t>r</w:t>
      </w:r>
      <w:r>
        <w:t xml:space="preserve"> </w:t>
      </w:r>
      <w:r>
        <w:t>) correlates meaningfully (correlation coefficient &amp;gt; 0.68) with key particle-scale plastic properties, including vibrational mean-square displacement, flexibility volume, atomic stiffness, and vibrational frequency. Liquid-like regions consistently exhibit higher</w:t>
      </w:r>
      <w:r>
        <w:t xml:space="preserve"> </w:t>
      </w:r>
      <w:r>
        <w:t>S</w:t>
      </w:r>
      <w:r>
        <w:t xml:space="preserve"> </w:t>
      </w:r>
      <w:r>
        <w:t>d</w:t>
      </w:r>
      <w:r>
        <w:t xml:space="preserve"> </w:t>
      </w:r>
      <w:r>
        <w:t>(</w:t>
      </w:r>
      <w:r>
        <w:t xml:space="preserve"> </w:t>
      </w:r>
      <w:r>
        <w:t>r</w:t>
      </w:r>
      <w:r>
        <w:t xml:space="preserve"> </w:t>
      </w:r>
      <w:r>
        <w:t>) values than solid-like ones, revealing its ability to distinguish mechanical heterogeneity. When averaged over the field,</w:t>
      </w:r>
      <w:r>
        <w:t xml:space="preserve"> </w:t>
      </w:r>
      <w:r>
        <w:t>S</w:t>
      </w:r>
      <w:r>
        <w:t xml:space="preserve"> </w:t>
      </w:r>
      <w:r>
        <w:t>d</w:t>
      </w:r>
      <w:r>
        <w:t xml:space="preserve"> </w:t>
      </w:r>
      <w:r>
        <w:t>monotonically increases with cooling rate and exhibits a universal negative linear relationship with shear strength, τ</w:t>
      </w:r>
      <w:r>
        <w:t xml:space="preserve"> </w:t>
      </w:r>
      <w:r>
        <w:t>p</w:t>
      </w:r>
      <w:r>
        <w:t xml:space="preserve"> </w:t>
      </w:r>
      <w:r>
        <w:t>=</w:t>
      </w:r>
      <w:r>
        <w:t xml:space="preserve"> </w:t>
      </w:r>
      <w:r>
        <w:t>A</w:t>
      </w:r>
      <w:r>
        <w:t xml:space="preserve"> </w:t>
      </w:r>
      <w:r>
        <w:t>–</w:t>
      </w:r>
      <w:r>
        <w:t xml:space="preserve"> </w:t>
      </w:r>
      <w:r>
        <w:t>B</w:t>
      </w:r>
      <w:r>
        <w:t xml:space="preserve"> </w:t>
      </w:r>
      <w:r>
        <w:t>S</w:t>
      </w:r>
      <w:r>
        <w:t xml:space="preserve"> </w:t>
      </w:r>
      <w:r>
        <w:t>d</w:t>
      </w:r>
      <w:r>
        <w:t xml:space="preserve"> </w:t>
      </w:r>
      <w:r>
        <w:t>, quantitatively linking structural disorder to macroscopic strength. These results establish</w:t>
      </w:r>
      <w:r>
        <w:t xml:space="preserve"> </w:t>
      </w:r>
      <w:r>
        <w:t>S</w:t>
      </w:r>
      <w:r>
        <w:t xml:space="preserve"> </w:t>
      </w:r>
      <w:r>
        <w:t>d</w:t>
      </w:r>
      <w:r>
        <w:t xml:space="preserve"> </w:t>
      </w:r>
      <w:r>
        <w:t>(</w:t>
      </w:r>
      <w:r>
        <w:t xml:space="preserve"> </w:t>
      </w:r>
      <w:r>
        <w:t>r</w:t>
      </w:r>
      <w:r>
        <w:t xml:space="preserve"> </w:t>
      </w:r>
      <w:r>
        <w:t>) as a simple, dimensionless, and broadly applicable descriptor that unifies atomic configuration, processing history, and mechanical response in disordered materials, providing a physics-based framework for the rational design of amorphous solids.</w:t>
      </w:r>
    </w:p>
    <w:p>
      <w:pPr>
        <w:spacing w:before="120" w:after="120"/>
      </w:pPr>
      <w:r>
        <w:rPr>
          <w:sz w:val="18"/>
        </w:rPr>
        <w:t>——————————————————————————————————————————————————————————————————————</w:t>
      </w:r>
    </w:p>
    <w:p>
      <w:pPr>
        <w:spacing w:before="160" w:after="40" w:line="240" w:lineRule="auto"/>
      </w:pPr>
      <w:r>
        <w:rPr>
          <w:b/>
        </w:rPr>
        <w:t xml:space="preserve">[421] </w:t>
      </w:r>
      <w:hyperlink r:id="rId851">
        <w:r>
          <w:rPr>
            <w:color w:val="1155CC"/>
            <w:u w:val="single"/>
          </w:rPr>
          <w:t>四氢四唑酮的合理设计作为抑制铁死亡的有效非经典自由基捕获抗氧化剂</w:t>
        </w:r>
      </w:hyperlink>
    </w:p>
    <w:p>
      <w:pPr>
        <w:spacing w:before="0" w:after="80"/>
      </w:pPr>
      <w:r>
        <w:rPr>
          <w:i/>
          <w:sz w:val="20"/>
        </w:rPr>
        <w:t>EN: Rational design of tetrahydrotetrazinones as potent nonclassical radical-trapping antioxidants for inhibition of ferroptosis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52">
        <w:r>
          <w:rPr>
            <w:color w:val="1155CC"/>
            <w:u w:val="single"/>
          </w:rPr>
          <w:t>10.1126/sciadv.aec2190</w:t>
        </w:r>
      </w:hyperlink>
    </w:p>
    <w:p>
      <w:pPr>
        <w:spacing w:before="0" w:after="120"/>
      </w:pPr>
      <w:r>
        <w:rPr>
          <w:b/>
        </w:rPr>
        <w:t xml:space="preserve">Notes: </w:t>
      </w:r>
      <w:r>
        <w:t>abstract_source=crossref</w:t>
      </w:r>
    </w:p>
    <w:p>
      <w:pPr>
        <w:spacing w:before="0" w:after="80" w:lineRule="auto" w:line="276"/>
      </w:pPr>
      <w:r>
        <w:rPr>
          <w:b/>
        </w:rPr>
        <w:t xml:space="preserve">摘要（ZH）: </w:t>
      </w:r>
      <w:r>
        <w:t>自由基捕获抗氧化剂（RTA）保护在工业、生物和制药领域中起着关键作用。RTAs的细胞保护作用已被越来越多地认为在调节铁死亡（一种由脂质过氧化驱动的受控细胞死亡形式）中是必不可少的。然而，目前的铁死亡抑制剂主要依赖于通过高通量筛选发现或从历史上已知的RTAs衍生的酚类或芳香胺骨架。我们引入了肼衍生的四氢-1,2,4,5-四嗪-3-酮（THTZOs）作为一类非经典RTAs。THTZOs通过一种独特的机制运作，涉及肼基和维达基自由基中间体，这种机制独立于芳香稳定性。这些化合物在自氧化中表现出广泛的反应性。</w:t>
      </w:r>
    </w:p>
    <w:p>
      <w:pPr>
        <w:spacing w:before="0" w:after="200" w:lineRule="auto" w:line="276"/>
      </w:pPr>
      <w:r>
        <w:rPr>
          <w:b/>
        </w:rPr>
        <w:t xml:space="preserve">Abstract (EN): </w:t>
      </w:r>
      <w:r>
        <w:t>Radical-trapping antioxidant (RTA) protection plays a critical role in industrial, biological, and pharmaceutical contexts. The cytoprotective role of RTAs has been increasingly recognized as essential in regulating ferroptosis, a form of regulated cell death driven by lipid peroxidation. However, current ferroptosis inhibitors primarily rely on phenolic or aromatic amine scaffolds, which were found through high-throughput screening or derived from historically known RTAs. We introduce hydrazine-derived tetrahydro-1,2,4,5-tetrazin-3-ones (THTZOs) as a class of nonclassical RTAs. THTZOs operate via a unique mechanism involving hydrazyl and verdazyl radical intermediates that is independent of aromatic stabilization. These compounds demonstrate broad reactivity against autoxidation in both simple hydrocarbons and membrane phospholipids, effectively suppressing ferroptosis induced by RAS-selective lethal 3 (RSL3) or erastin in multiple cell lines. Our findings revitalize the application of hydrazine derivatives in RTA chemistry and establish a foundation for the rational design of RTAs as potent ferroptosis inhibitors, offering previously unidentified antioxidant therapeutic candidates.</w:t>
      </w:r>
    </w:p>
    <w:p>
      <w:pPr>
        <w:spacing w:before="120" w:after="120"/>
      </w:pPr>
      <w:r>
        <w:rPr>
          <w:sz w:val="18"/>
        </w:rPr>
        <w:t>——————————————————————————————————————————————————————————————————————</w:t>
      </w:r>
    </w:p>
    <w:p>
      <w:pPr>
        <w:spacing w:before="160" w:after="40" w:line="240" w:lineRule="auto"/>
      </w:pPr>
      <w:r>
        <w:rPr>
          <w:b/>
        </w:rPr>
        <w:t xml:space="preserve">[422] </w:t>
      </w:r>
      <w:hyperlink r:id="rId853">
        <w:r>
          <w:rPr>
            <w:color w:val="1155CC"/>
            <w:u w:val="single"/>
          </w:rPr>
          <w:t>重新评估北方森林火灾驱动因素使得高分辨率排放图绘制成为可能，以适应气候变化</w:t>
        </w:r>
      </w:hyperlink>
    </w:p>
    <w:p>
      <w:pPr>
        <w:spacing w:before="0" w:after="80"/>
      </w:pPr>
      <w:r>
        <w:rPr>
          <w:i/>
          <w:sz w:val="20"/>
        </w:rPr>
        <w:t>EN: Reassessing boreal wildfire drivers enables high-resolution mapping of emissions for climate adaptation</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54">
        <w:r>
          <w:rPr>
            <w:color w:val="1155CC"/>
            <w:u w:val="single"/>
          </w:rPr>
          <w:t>10.1126/sciadv.adw5226</w:t>
        </w:r>
      </w:hyperlink>
    </w:p>
    <w:p>
      <w:pPr>
        <w:spacing w:before="0" w:after="120"/>
      </w:pPr>
      <w:r>
        <w:rPr>
          <w:b/>
        </w:rPr>
        <w:t xml:space="preserve">Notes: </w:t>
      </w:r>
      <w:r>
        <w:t>abstract_source=crossref</w:t>
      </w:r>
    </w:p>
    <w:p>
      <w:pPr>
        <w:spacing w:before="0" w:after="80" w:lineRule="auto" w:line="276"/>
      </w:pPr>
      <w:r>
        <w:rPr>
          <w:b/>
        </w:rPr>
        <w:t xml:space="preserve">摘要（ZH）: </w:t>
      </w:r>
      <w:r>
        <w:t>北方地区的广阔碳储库正在成为温室气体增长最快的来源之一，这种增长是由于火灾活动加剧与气候变化之间的正反馈。然而，目前的区域尺度方法缺乏提高对这些通量驱动因素理解所需的空间精度，以便制定旨在最大化景观碳储存的策略。在此，我们开发了一种替代且高度约束的程序，用于估算北方芬诺斯堪的亚地区在局部（10米）和区域（1000公里）尺度上的野火排放。该方法在现代地理空间数据集的背景下重新评估了现有的热量发展知识，揭示了卫星衍生火辐射功率在分类中的扩展应用。</w:t>
      </w:r>
    </w:p>
    <w:p>
      <w:pPr>
        <w:spacing w:before="0" w:after="200" w:lineRule="auto" w:line="276"/>
      </w:pPr>
      <w:r>
        <w:rPr>
          <w:b/>
        </w:rPr>
        <w:t xml:space="preserve">Abstract (EN): </w:t>
      </w:r>
      <w:r>
        <w:t>The expansive carbon reservoirs of the boreal region are becoming some of the most rapidly growing sources of greenhouse gasses under a positive feedback between intensifying fire activity and climate change. However, current regional-scale methods lack the spatial precision needed to improve understanding of the drivers of these fluxes to inform strategies aimed at maximizing landscape carbon storage. Here, we develop an alternative and highly constrained procedure for estimating wildfire emissions at both local (10 meters) and regional (1000 kilometers) scales in boreal Fennoscandia. This approach reassessed existing knowledge of heat development within the context of modern geospatial datasets, revealing expanded applications of satellite-derived fire radiative power in classifying distinct smoldering dynamics. The findings additionally emphasized the importance of capturing fine-scale variation in climate-sensitive fuel loading when determining regional fire season impact. Comparisons revealed substantial limitations in existing boreal carbon accounting methods while providing insights into the sensitivity of fire regime characteristics to climate, management, and landscape structure.</w:t>
      </w:r>
    </w:p>
    <w:p>
      <w:pPr>
        <w:spacing w:before="120" w:after="120"/>
      </w:pPr>
      <w:r>
        <w:rPr>
          <w:sz w:val="18"/>
        </w:rPr>
        <w:t>——————————————————————————————————————————————————————————————————————</w:t>
      </w:r>
    </w:p>
    <w:p>
      <w:pPr>
        <w:spacing w:before="160" w:after="40" w:line="240" w:lineRule="auto"/>
      </w:pPr>
      <w:r>
        <w:rPr>
          <w:b/>
        </w:rPr>
        <w:t xml:space="preserve">[423] </w:t>
      </w:r>
      <w:hyperlink r:id="rId855">
        <w:r>
          <w:rPr>
            <w:color w:val="1155CC"/>
            <w:u w:val="single"/>
          </w:rPr>
          <w:t>快速自组装的坚固超薄离子凝胶膜用于高性能生物电子学</w:t>
        </w:r>
      </w:hyperlink>
    </w:p>
    <w:p>
      <w:pPr>
        <w:spacing w:before="0" w:after="80"/>
      </w:pPr>
      <w:r>
        <w:rPr>
          <w:i/>
          <w:sz w:val="20"/>
        </w:rPr>
        <w:t>EN: Rapid self-assembly of robust ultrathin ionogel films for high-performance bioelectronics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56">
        <w:r>
          <w:rPr>
            <w:color w:val="1155CC"/>
            <w:u w:val="single"/>
          </w:rPr>
          <w:t>10.1126/sciadv.aeb4391</w:t>
        </w:r>
      </w:hyperlink>
    </w:p>
    <w:p>
      <w:pPr>
        <w:spacing w:before="0" w:after="120"/>
      </w:pPr>
      <w:r>
        <w:rPr>
          <w:b/>
        </w:rPr>
        <w:t xml:space="preserve">Notes: </w:t>
      </w:r>
      <w:r>
        <w:t>abstract_source=crossref</w:t>
      </w:r>
    </w:p>
    <w:p>
      <w:pPr>
        <w:spacing w:before="0" w:after="80" w:lineRule="auto" w:line="276"/>
      </w:pPr>
      <w:r>
        <w:rPr>
          <w:b/>
        </w:rPr>
        <w:t xml:space="preserve">摘要（ZH）: </w:t>
      </w:r>
      <w:r>
        <w:t>离子凝胶是渗透有离子液体（ILs）的聚合物网络，在柔性电子产品中具有前景，但在机械稳健性、超薄形态和可扩展制造之间存在权衡。我们提出了一种IL诱导的自组装策略，使超薄聚乙烯醇（PVA）离子凝胶薄膜能够快速形成。PVA链在与ILs接触时自发组织成稳健的、非共价交联的网络，实现了粘性前体向可调厚度（13至103 μm）薄膜的超快速转化（&lt;5 s）。所得的离子凝胶薄膜结合了高拉伸强度（9.69 MPa）、韧性（35.93 MJ m</w:t>
      </w:r>
      <w:r>
        <w:t xml:space="preserve"> </w:t>
      </w:r>
      <w:r>
        <w:t>−3</w:t>
      </w:r>
      <w:r>
        <w:t xml:space="preserve"> </w:t>
      </w:r>
      <w:r>
        <w:t>）、良好的离子导电性（0.2 S m</w:t>
      </w:r>
      <w:r>
        <w:t xml:space="preserve"> </w:t>
      </w:r>
      <w:r>
        <w:t>−1</w:t>
      </w:r>
      <w:r>
        <w:t xml:space="preserve"> </w:t>
      </w:r>
      <w:r>
        <w:t>）和优良的环境稳定性。</w:t>
      </w:r>
    </w:p>
    <w:p>
      <w:pPr>
        <w:spacing w:before="0" w:after="200" w:lineRule="auto" w:line="276"/>
      </w:pPr>
      <w:r>
        <w:rPr>
          <w:b/>
        </w:rPr>
        <w:t xml:space="preserve">Abstract (EN): </w:t>
      </w:r>
      <w:r>
        <w:t>Ionogels, polymer networks infiltrated with ionic liquids (ILs), are promising for flexible electronics but face trade-offs among mechanical robustness, ultrathin form factors, and scalable fabrication. We present an IL-induced self-assembly strategy enabling the rapid formation of ultrathin polyvinyl alcohol (PVA) ionogel films. Upon contact with ILs, PVA chains spontaneously organize into a robust, noncovalently cross-linked network, achieving ultrafast conversion (&amp;lt;5 s) of viscous precursors into films with tunable thickness (13 to 103 μm). The resulting ionogel films combine high tensile strength (9.69 MPa), toughness (35.93 MJ m</w:t>
      </w:r>
      <w:r>
        <w:t xml:space="preserve"> </w:t>
      </w:r>
      <w:r>
        <w:t>−3</w:t>
      </w:r>
      <w:r>
        <w:t xml:space="preserve"> </w:t>
      </w:r>
      <w:r>
        <w:t>), good ionic conductivity (0.2 S m</w:t>
      </w:r>
      <w:r>
        <w:t xml:space="preserve"> </w:t>
      </w:r>
      <w:r>
        <w:t>−1</w:t>
      </w:r>
      <w:r>
        <w:t xml:space="preserve"> </w:t>
      </w:r>
      <w:r>
        <w:t>), and excellent environmental stability. This approach allows in situ formation of conformal ionogel coatings on complex, nonplanar surfaces, yielding seamless skin-device interfaces that retain stable functionality under repetitive deformation. Ionogel-based bioelectrodes capture diverse electrophysiological signals with high fidelity while serving as stretchable substrates for printed circuits and electrode arrays. Compatibility with diverse ILs highlights the versatility of this rapid, scalable approach for fabricating ultrathin ionogels with broadly tunable properties.</w:t>
      </w:r>
    </w:p>
    <w:p>
      <w:pPr>
        <w:spacing w:before="120" w:after="120"/>
      </w:pPr>
      <w:r>
        <w:rPr>
          <w:sz w:val="18"/>
        </w:rPr>
        <w:t>——————————————————————————————————————————————————————————————————————</w:t>
      </w:r>
    </w:p>
    <w:p>
      <w:pPr>
        <w:spacing w:before="160" w:after="40" w:line="240" w:lineRule="auto"/>
      </w:pPr>
      <w:r>
        <w:rPr>
          <w:b/>
        </w:rPr>
        <w:t xml:space="preserve">[424] </w:t>
      </w:r>
      <w:hyperlink r:id="rId857">
        <w:r>
          <w:rPr>
            <w:color w:val="1155CC"/>
            <w:u w:val="single"/>
          </w:rPr>
          <w:t>免疫适应性病原体变异揭示了巨噬细胞中革兰氏阳性细菌杀伤的可靶向介质</w:t>
        </w:r>
      </w:hyperlink>
    </w:p>
    <w:p>
      <w:pPr>
        <w:spacing w:before="0" w:after="80"/>
      </w:pPr>
      <w:r>
        <w:rPr>
          <w:i/>
          <w:sz w:val="20"/>
        </w:rPr>
        <w:t>EN: Immune-adaptive pathogen variation reveals targetable mediators of gram-positive bacterial killing in macrophages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58">
        <w:r>
          <w:rPr>
            <w:color w:val="1155CC"/>
            <w:u w:val="single"/>
          </w:rPr>
          <w:t>10.1126/sciadv.aea0375</w:t>
        </w:r>
      </w:hyperlink>
    </w:p>
    <w:p>
      <w:pPr>
        <w:spacing w:before="0" w:after="120"/>
      </w:pPr>
      <w:r>
        <w:rPr>
          <w:b/>
        </w:rPr>
        <w:t xml:space="preserve">Notes: </w:t>
      </w:r>
      <w:r>
        <w:t>abstract_source=crossref</w:t>
      </w:r>
    </w:p>
    <w:p>
      <w:pPr>
        <w:spacing w:before="0" w:after="80" w:lineRule="auto" w:line="276"/>
      </w:pPr>
      <w:r>
        <w:rPr>
          <w:b/>
        </w:rPr>
        <w:t xml:space="preserve">摘要（ZH）: </w:t>
      </w:r>
      <w:r>
        <w:t>针对细菌感染的宿主导向疗法可以作为传统抗菌药物的补充或替代，减轻抗菌素耐药性的影响。然而，治疗上可靶向的先天免疫细菌杀伤介质仍然难以捉摸。我们假设免疫适应性病原体进化可以为这个问题提供一个有益的视角。我们研究了一种遗传上分化的高毒力</w:t>
      </w:r>
      <w:r>
        <w:t xml:space="preserve"> </w:t>
      </w:r>
      <w:r>
        <w:t>Streptococcus pneumoniae</w:t>
      </w:r>
      <w:r>
        <w:t xml:space="preserve"> </w:t>
      </w:r>
      <w:r>
        <w:t>（肺炎链球菌）血清型与巨噬细胞的相互作用，识别出在细胞内杀伤易感性上存在差异的密切系统发育相关的分离株。我们推测，在病原体逃避杀伤过程中相对抑制的巨噬细胞基因可能编码正常的介质。</w:t>
      </w:r>
    </w:p>
    <w:p>
      <w:pPr>
        <w:spacing w:before="0" w:after="200" w:lineRule="auto" w:line="276"/>
      </w:pPr>
      <w:r>
        <w:rPr>
          <w:b/>
        </w:rPr>
        <w:t xml:space="preserve">Abstract (EN): </w:t>
      </w:r>
      <w:r>
        <w:t>Host-directed therapies for bacterial infections can provide an adjunct or alternative to conventional antimicrobials, mitigating the impact of antimicrobial resistance. However, therapeutically targetable mediators of innate immune bacterial killing remain elusive. We hypothesized that immune-adaptive pathogen evolution could provide an informative perspective on this problem. We examined the interaction of a genetically diverging hypervirulent</w:t>
      </w:r>
      <w:r>
        <w:t xml:space="preserve"> </w:t>
      </w:r>
      <w:r>
        <w:t>Streptococcus pneumoniae</w:t>
      </w:r>
      <w:r>
        <w:t xml:space="preserve"> </w:t>
      </w:r>
      <w:r>
        <w:t>(pneumococcus) serotype with macrophages, identifying closely phylogenetically related isolates with differential susceptibility to intracellular killing. We reasoned that macrophage genes relatively suppressed during pathogen escape from killing were likely to encode mediators normally promoting bacterial killing. This led to the validation of ACOD1 and its product itaconate, NAMPT, and P2RX7 as host defense factors against pneumococci and related gram-positive pathogens. Last, we repurposed the antihistamine clemastine to augment phagolysosomal bacterial killing, via P2RX7, as a candidate host-directed therapy against pneumococci and vancomycin-resistant</w:t>
      </w:r>
      <w:r>
        <w:t xml:space="preserve"> </w:t>
      </w:r>
      <w:r>
        <w:t>Enterococcus faecium</w:t>
      </w:r>
      <w:r>
        <w:t xml:space="preserve"> </w:t>
      </w:r>
      <w:r>
        <w:t>. Overall, we show that pathogen-centric host screening can aid identification of microbicidal responses as targets for host-directed therapies.</w:t>
      </w:r>
    </w:p>
    <w:p>
      <w:pPr>
        <w:spacing w:before="120" w:after="120"/>
      </w:pPr>
      <w:r>
        <w:rPr>
          <w:sz w:val="18"/>
        </w:rPr>
        <w:t>——————————————————————————————————————————————————————————————————————</w:t>
      </w:r>
    </w:p>
    <w:p>
      <w:pPr>
        <w:spacing w:before="160" w:after="40" w:line="240" w:lineRule="auto"/>
      </w:pPr>
      <w:r>
        <w:rPr>
          <w:b/>
        </w:rPr>
        <w:t xml:space="preserve">[425] </w:t>
      </w:r>
      <w:hyperlink r:id="rId859">
        <w:r>
          <w:rPr>
            <w:color w:val="1155CC"/>
            <w:u w:val="single"/>
          </w:rPr>
          <w:t>附睾巨噬细胞衰老导致环境压力下精子运动能力下降</w:t>
        </w:r>
      </w:hyperlink>
    </w:p>
    <w:p>
      <w:pPr>
        <w:spacing w:before="0" w:after="80"/>
      </w:pPr>
      <w:r>
        <w:rPr>
          <w:i/>
          <w:sz w:val="20"/>
        </w:rPr>
        <w:t>EN: Epididymal macrophage senescence contributes to sperm motility decrease upon environmental stress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60">
        <w:r>
          <w:rPr>
            <w:color w:val="1155CC"/>
            <w:u w:val="single"/>
          </w:rPr>
          <w:t>10.1126/sciadv.aea3591</w:t>
        </w:r>
      </w:hyperlink>
    </w:p>
    <w:p>
      <w:pPr>
        <w:spacing w:before="0" w:after="120"/>
      </w:pPr>
      <w:r>
        <w:rPr>
          <w:b/>
        </w:rPr>
        <w:t xml:space="preserve">Notes: </w:t>
      </w:r>
      <w:r>
        <w:t>abstract_source=crossref</w:t>
      </w:r>
    </w:p>
    <w:p>
      <w:pPr>
        <w:spacing w:before="0" w:after="80" w:lineRule="auto" w:line="276"/>
      </w:pPr>
      <w:r>
        <w:rPr>
          <w:b/>
        </w:rPr>
        <w:t xml:space="preserve">摘要（ZH）: </w:t>
      </w:r>
      <w:r>
        <w:t>环境压力诱导的男性不育已成为一个主要的公共健康问题。精子运动能力是受孕的关键。然而，环境压力诱导的精子运动能力下降的免疫机制仍然未知。我们的实验发现，包括铅、镉和汞在内的三种经典环境压力源是降低精子运动能力的关键重金属。我们揭示环境压力诱导附睾巨噬细胞衰老，而清除上述细胞显著缓解了环境压力降低的精子运动能力。体内和体外实验进一步证明，环境压力通过下调</w:t>
      </w:r>
      <w:r>
        <w:t xml:space="preserve"> </w:t>
      </w:r>
      <w:r>
        <w:t>Foxo3</w:t>
      </w:r>
      <w:r>
        <w:t xml:space="preserve"> </w:t>
      </w:r>
      <w:r>
        <w:t>表达诱导巨噬细胞衰老。在机制上，环境</w:t>
      </w:r>
    </w:p>
    <w:p>
      <w:pPr>
        <w:spacing w:before="0" w:after="200" w:lineRule="auto" w:line="276"/>
      </w:pPr>
      <w:r>
        <w:rPr>
          <w:b/>
        </w:rPr>
        <w:t xml:space="preserve">Abstract (EN): </w:t>
      </w:r>
      <w:r>
        <w:t>Environmental stressors–induced male infertility has become a major public health issue. Sperm motility is the key to conception. However, the immunological mechanism for environmental stress–induced sperm motility reduction remains unknown. Our experiments find that three classical environmental stressors, including lead, cadmium, and mercury, are the key heavy metals reducing sperm motility. We reveal that environmental stress induces epididymal macrophage senescence, whereas the clearance of above cells significantly alleviates environmental stress–reduced sperm motility. In vivo and in vitro experiments further demonstrate that environmental stress induces macrophage senescence via down-regulating</w:t>
      </w:r>
      <w:r>
        <w:t xml:space="preserve"> </w:t>
      </w:r>
      <w:r>
        <w:t>Foxo3</w:t>
      </w:r>
      <w:r>
        <w:t xml:space="preserve"> </w:t>
      </w:r>
      <w:r>
        <w:t>expression. Mechanistically, environmental stress increases the epididymal</w:t>
      </w:r>
      <w:r>
        <w:t xml:space="preserve"> </w:t>
      </w:r>
      <w:r>
        <w:t>Foxo3 N</w:t>
      </w:r>
      <w:r>
        <w:t xml:space="preserve"> </w:t>
      </w:r>
      <w:r>
        <w:t>6-methyladenosine level and inhibits the FTO. Overexpression of</w:t>
      </w:r>
      <w:r>
        <w:t xml:space="preserve"> </w:t>
      </w:r>
      <w:r>
        <w:t>Fto</w:t>
      </w:r>
      <w:r>
        <w:t xml:space="preserve"> </w:t>
      </w:r>
      <w:r>
        <w:t>in vitro and</w:t>
      </w:r>
      <w:r>
        <w:t xml:space="preserve"> </w:t>
      </w:r>
      <w:r>
        <w:t>S</w:t>
      </w:r>
      <w:r>
        <w:t xml:space="preserve"> </w:t>
      </w:r>
      <w:r>
        <w:t>-adenosylhomocysteine supplementation in vivo alleviates environmental stress–induced macrophage senescence. Together, these results suggest that epididymal macrophage senescence contributes to sperm motility decrease upon environmental stress. Clearing senescent epididymal macrophages will provide a previously unknown strategy for preventing male infertility.</w:t>
      </w:r>
    </w:p>
    <w:p>
      <w:pPr>
        <w:spacing w:before="120" w:after="120"/>
      </w:pPr>
      <w:r>
        <w:rPr>
          <w:sz w:val="18"/>
        </w:rPr>
        <w:t>——————————————————————————————————————————————————————————————————————</w:t>
      </w:r>
    </w:p>
    <w:p>
      <w:pPr>
        <w:spacing w:before="160" w:after="40" w:line="240" w:lineRule="auto"/>
      </w:pPr>
      <w:r>
        <w:rPr>
          <w:b/>
        </w:rPr>
        <w:t xml:space="preserve">[426] </w:t>
      </w:r>
      <w:hyperlink r:id="rId861">
        <w:r>
          <w:rPr>
            <w:color w:val="1155CC"/>
            <w:u w:val="single"/>
          </w:rPr>
          <w:t>Z. Chi等人关于“Bi-Sb合金的自旋霍尔效应由热激狄拉克型电子驱动”的研究文章勘误</w:t>
        </w:r>
      </w:hyperlink>
    </w:p>
    <w:p>
      <w:pPr>
        <w:spacing w:before="0" w:after="80"/>
      </w:pPr>
      <w:r>
        <w:rPr>
          <w:i/>
          <w:sz w:val="20"/>
        </w:rPr>
        <w:t>EN: Erratum for the Research Article “The spin Hall effect of Bi-Sb alloys driven by thermally excited Dirac-like electrons” by Z. Chi et al.</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62">
        <w:r>
          <w:rPr>
            <w:color w:val="1155CC"/>
            <w:u w:val="single"/>
          </w:rPr>
          <w:t>10.1126/sciadv.aeg3111</w:t>
        </w:r>
      </w:hyperlink>
    </w:p>
    <w:p>
      <w:pPr>
        <w:spacing w:before="0" w:after="120"/>
      </w:pPr>
      <w:r>
        <w:rPr>
          <w:b/>
        </w:rPr>
        <w:t xml:space="preserve">Notes: </w:t>
      </w:r>
      <w:r>
        <w:t>abstract_source=openalex</w:t>
      </w:r>
    </w:p>
    <w:p>
      <w:pPr>
        <w:spacing w:before="0" w:after="80" w:lineRule="auto" w:line="276"/>
      </w:pPr>
      <w:r>
        <w:rPr>
          <w:b/>
        </w:rPr>
        <w:t xml:space="preserve">摘要（ZH）: </w:t>
      </w:r>
      <w:r>
        <w:t>在Z. Chi等人发表的研究文章“Bi-Sb合金的自旋霍尔效应由热激发的类Dirac电子驱动”中，最初发表的图2、3、4和5以及正文中存在错误。</w:t>
      </w:r>
    </w:p>
    <w:p>
      <w:pPr>
        <w:spacing w:before="0" w:after="200" w:lineRule="auto" w:line="276"/>
      </w:pPr>
      <w:r>
        <w:rPr>
          <w:b/>
        </w:rPr>
        <w:t xml:space="preserve">Abstract (EN): </w:t>
      </w:r>
      <w:r>
        <w:t>There were errors in the originally published versions of Figs. 2, 3, 4, and 5 and the main text for the Research Article “The spin Hall effect of Bi-Sb alloys driven by thermally excited Dirac-like electrons” by Z. Chi et al.</w:t>
      </w:r>
    </w:p>
    <w:p>
      <w:pPr>
        <w:spacing w:before="120" w:after="120"/>
      </w:pPr>
      <w:r>
        <w:rPr>
          <w:sz w:val="18"/>
        </w:rPr>
        <w:t>——————————————————————————————————————————————————————————————————————</w:t>
      </w:r>
    </w:p>
    <w:p>
      <w:pPr>
        <w:spacing w:before="160" w:after="40" w:line="240" w:lineRule="auto"/>
      </w:pPr>
      <w:r>
        <w:rPr>
          <w:b/>
        </w:rPr>
        <w:t xml:space="preserve">[427] </w:t>
      </w:r>
      <w:hyperlink r:id="rId863">
        <w:r>
          <w:rPr>
            <w:color w:val="1155CC"/>
            <w:u w:val="single"/>
          </w:rPr>
          <w:t>单细胞蛋白活性分析揭示了MYOD1突变横纹肌肉瘤中异常的肌生成和IGF2-PI3K通路依赖性</w:t>
        </w:r>
      </w:hyperlink>
    </w:p>
    <w:p>
      <w:pPr>
        <w:spacing w:before="0" w:after="80"/>
      </w:pPr>
      <w:r>
        <w:rPr>
          <w:i/>
          <w:sz w:val="20"/>
        </w:rPr>
        <w:t>EN: Single-cell protein activity analysis reveals aberrant myogenesis and IGF2-PI3K pathway dependencies in MYOD1-mutant rhabdomyosarcoma</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64">
        <w:r>
          <w:rPr>
            <w:color w:val="1155CC"/>
            <w:u w:val="single"/>
          </w:rPr>
          <w:t>10.1126/sciadv.aea6453</w:t>
        </w:r>
      </w:hyperlink>
    </w:p>
    <w:p>
      <w:pPr>
        <w:spacing w:before="0" w:after="120"/>
      </w:pPr>
      <w:r>
        <w:rPr>
          <w:b/>
        </w:rPr>
        <w:t xml:space="preserve">Notes: </w:t>
      </w:r>
      <w:r>
        <w:t>abstract_source=crossref</w:t>
      </w:r>
    </w:p>
    <w:p>
      <w:pPr>
        <w:spacing w:before="0" w:after="80" w:lineRule="auto" w:line="276"/>
      </w:pPr>
      <w:r>
        <w:rPr>
          <w:b/>
        </w:rPr>
        <w:t xml:space="preserve">摘要（ZH）: </w:t>
      </w:r>
      <w:r>
        <w:t>肌源性分化1（MYOD1）L122R突变的梭形细胞横纹肌肉瘤（SRMS）是一种极为罕见且难以治疗的肉瘤，预后不佳。我们对来自六位患者肿瘤的单核RNA测序（snRNA-seq）进行了调控网络分析，揭示了肌生成的破坏和在三种共存的肿瘤细胞状态中可操作的主调节因子（MR）依赖性，这些状态在患者来源的异种移植中也得到了保留：（i）MYOD1富集的祖细胞样状态，（ii）增殖过渡状态，以及（iii）MYOD1活性降低的部分分化状态。配体-受体分析揭示了旁分泌胰岛素样生长因子2（IGF2）-IGF1受体（IGF1R）-磷脂酰肌醇3-激酶（PI3K）信号传导</w:t>
      </w:r>
    </w:p>
    <w:p>
      <w:pPr>
        <w:spacing w:before="0" w:after="200" w:lineRule="auto" w:line="276"/>
      </w:pPr>
      <w:r>
        <w:rPr>
          <w:b/>
        </w:rPr>
        <w:t xml:space="preserve">Abstract (EN): </w:t>
      </w:r>
      <w:r>
        <w:t>Myogenic differentiation 1</w:t>
      </w:r>
      <w:r>
        <w:t xml:space="preserve"> </w:t>
      </w:r>
      <w:r>
        <w:t>(MYOD1)</w:t>
      </w:r>
      <w:r>
        <w:t xml:space="preserve"> </w:t>
      </w:r>
      <w:r>
        <w:t>L122R</w:t>
      </w:r>
      <w:r>
        <w:t xml:space="preserve"> </w:t>
      </w:r>
      <w:r>
        <w:t>-mutant spindle cell rhabdomyosarcoma (SRMS) is an ultrarare, treatment-resistant sarcoma with dismal outcomes. We performed regulatory network analysis of single-nucleus RNA sequencing (snRNA-seq) from six patient tumors, revealing disrupted myogenesis and actionable master regulator (MR) dependencies across three coexisting tumor cell states, also conserved in patient-derived xenografts: (i) a MYOD1-enriched progenitor-like state, (ii) a proliferative transition state, and (iii) a partially differentiated state with reduced MYOD1 activity. Ligand-receptor analysis uncovered paracrine insulin-like growth factor 2 (IGF2)-IGF1 receptor (IGF1R)–phosphatidylinositol 3-kinase (PI3K) signaling from progenitor to transition/differentiated states, whose inhibition demonstrated therapeutic potential in ex vivo drug screens, and significantly improved disease control in a patient-derived xenograft model. Oncogenic MRs were recapitulated in 24 bulk RNA profiles, while 20 DNA profiles revealed recurrent IGF2/PI3K/AKT alterations, reinforcing shared transcriptional vulnerabilities. These findings characterize aberrant, mutant MYOD1–driven myogenesis sustained by IGF2 and nominate IGF1R-PI3K/AKT/mammalian target of rapamycin inhibitors for therapeutic translation in</w:t>
      </w:r>
      <w:r>
        <w:t xml:space="preserve"> </w:t>
      </w:r>
      <w:r>
        <w:t>MYOD1</w:t>
      </w:r>
      <w:r>
        <w:t xml:space="preserve"> </w:t>
      </w:r>
      <w:r>
        <w:t>L122R</w:t>
      </w:r>
      <w:r>
        <w:t xml:space="preserve"> </w:t>
      </w:r>
      <w:r>
        <w:t>-mutant SRMS, underscoring the utility of single-cell regulatory network analysis for uncovering actionable dependencies in rare, transcriptionally complex cancers.</w:t>
      </w:r>
    </w:p>
    <w:p>
      <w:pPr>
        <w:spacing w:before="120" w:after="120"/>
      </w:pPr>
      <w:r>
        <w:rPr>
          <w:sz w:val="18"/>
        </w:rPr>
        <w:t>——————————————————————————————————————————————————————————————————————</w:t>
      </w:r>
    </w:p>
    <w:p>
      <w:pPr>
        <w:spacing w:before="160" w:after="40" w:line="240" w:lineRule="auto"/>
      </w:pPr>
      <w:r>
        <w:rPr>
          <w:b/>
        </w:rPr>
        <w:t xml:space="preserve">[428] </w:t>
      </w:r>
      <w:hyperlink r:id="rId865">
        <w:r>
          <w:rPr>
            <w:color w:val="1155CC"/>
            <w:u w:val="single"/>
          </w:rPr>
          <w:t>睡眠剥夺损害卵泡发育，归因于S100A8/A9驱动的巨噬细胞M1极化介导的颗粒细胞焦亡</w:t>
        </w:r>
      </w:hyperlink>
    </w:p>
    <w:p>
      <w:pPr>
        <w:spacing w:before="0" w:after="80"/>
      </w:pPr>
      <w:r>
        <w:rPr>
          <w:i/>
          <w:sz w:val="20"/>
        </w:rPr>
        <w:t>EN: Sleep deprivation impairs follicular development attributable to granulosa cell pyroptosis mediated by S100A8/A9-driven macrophage M1 polarization</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66">
        <w:r>
          <w:rPr>
            <w:color w:val="1155CC"/>
            <w:u w:val="single"/>
          </w:rPr>
          <w:t>10.1126/sciadv.ady4767</w:t>
        </w:r>
      </w:hyperlink>
    </w:p>
    <w:p>
      <w:pPr>
        <w:spacing w:before="0" w:after="120"/>
      </w:pPr>
      <w:r>
        <w:rPr>
          <w:b/>
        </w:rPr>
        <w:t xml:space="preserve">Notes: </w:t>
      </w:r>
      <w:r>
        <w:t>abstract_source=crossref</w:t>
      </w:r>
    </w:p>
    <w:p>
      <w:pPr>
        <w:spacing w:before="0" w:after="80" w:lineRule="auto" w:line="276"/>
      </w:pPr>
      <w:r>
        <w:rPr>
          <w:b/>
        </w:rPr>
        <w:t xml:space="preserve">摘要（ZH）: </w:t>
      </w:r>
      <w:r>
        <w:t>睡眠障碍和缺乏可以上调促炎介质，但其对卵巢功能的潜在不利影响尚未完全了解。在这项研究中，我们调查了睡眠剥夺（SD）诱导的卵巢损伤的免疫调节机制及其对卵泡发育的影响。我们发现，SD破坏了卵泡发育，并损害了雌性小鼠早期胚胎发育的潜力。值得注意的是，使用抗炎药对乙酰氨基酚可以有效缓解不利影响。卵巢组织的整体和单细胞RNA测序揭示了中性粒细胞相关基因的显著上调，包括S100a8、S100a9、巨噬细胞M1</w:t>
      </w:r>
    </w:p>
    <w:p>
      <w:pPr>
        <w:spacing w:before="0" w:after="200" w:lineRule="auto" w:line="276"/>
      </w:pPr>
      <w:r>
        <w:rPr>
          <w:b/>
        </w:rPr>
        <w:t xml:space="preserve">Abstract (EN): </w:t>
      </w:r>
      <w:r>
        <w:t>Sleep disorders and deficiencies can up-regulate pro-inflammatory mediators, but their potential adverse impact on ovarian function remains not fully understood. In this study, we investigated the immunoregulatory mechanisms underlying sleep deprivation (SD)–induced ovarian damage and the effects on follicular development. We found that SD disrupted follicular development and compromised early embryonic developmental potential in female mice. Notably, the use of the anti-inflammatory drug acetaminophen can effectively alleviate the adverse effect. Bulk and single-cell RNA sequencing of ovarian tissues revealed a notable up-regulation of neutrophil-associated genes, including</w:t>
      </w:r>
      <w:r>
        <w:t xml:space="preserve"> </w:t>
      </w:r>
      <w:r>
        <w:t>S100a8</w:t>
      </w:r>
      <w:r>
        <w:t xml:space="preserve"> </w:t>
      </w:r>
      <w:r>
        <w:t>,</w:t>
      </w:r>
      <w:r>
        <w:t xml:space="preserve"> </w:t>
      </w:r>
      <w:r>
        <w:t>S100a9</w:t>
      </w:r>
      <w:r>
        <w:t xml:space="preserve"> </w:t>
      </w:r>
      <w:r>
        <w:t>, the macrophage M1 polarization gene set, and pyroptosis-related genes in granulosa, immune, and mesothelial cells. Further experiments conducted both in vivo and in vitro verified that S100A8/A9 activates the TLR4/Myd88/NF-κB pathway, which induces the polarization of M1 macrophages and leads to pyroptosis of granulosa cells. Collectively, this study provides molecular insight into strategies for fertility preservation in individuals experiencing sleep deprivation, including those with occupational circadian rhythm disruptions.</w:t>
      </w:r>
    </w:p>
    <w:p>
      <w:pPr>
        <w:spacing w:before="120" w:after="120"/>
      </w:pPr>
      <w:r>
        <w:rPr>
          <w:sz w:val="18"/>
        </w:rPr>
        <w:t>——————————————————————————————————————————————————————————————————————</w:t>
      </w:r>
    </w:p>
    <w:p>
      <w:pPr>
        <w:spacing w:before="160" w:after="40" w:line="240" w:lineRule="auto"/>
      </w:pPr>
      <w:r>
        <w:rPr>
          <w:b/>
        </w:rPr>
        <w:t xml:space="preserve">[429] </w:t>
      </w:r>
      <w:hyperlink r:id="rId867">
        <w:r>
          <w:rPr>
            <w:color w:val="1155CC"/>
            <w:u w:val="single"/>
          </w:rPr>
          <w:t>有益环境通过表观遗传调控促进免疫恢复力</w:t>
        </w:r>
      </w:hyperlink>
    </w:p>
    <w:p>
      <w:pPr>
        <w:spacing w:before="0" w:after="80"/>
      </w:pPr>
      <w:r>
        <w:rPr>
          <w:i/>
          <w:sz w:val="20"/>
        </w:rPr>
        <w:t>EN: A beneficial environment promotes immune resilience through epigenetic regulation</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68">
        <w:r>
          <w:rPr>
            <w:color w:val="1155CC"/>
            <w:u w:val="single"/>
          </w:rPr>
          <w:t>10.1126/sciadv.ady7317</w:t>
        </w:r>
      </w:hyperlink>
    </w:p>
    <w:p>
      <w:pPr>
        <w:spacing w:before="0" w:after="120"/>
      </w:pPr>
      <w:r>
        <w:rPr>
          <w:b/>
        </w:rPr>
        <w:t xml:space="preserve">Notes: </w:t>
      </w:r>
      <w:r>
        <w:t>abstract_source=crossref</w:t>
      </w:r>
    </w:p>
    <w:p>
      <w:pPr>
        <w:spacing w:before="0" w:after="80" w:lineRule="auto" w:line="276"/>
      </w:pPr>
      <w:r>
        <w:rPr>
          <w:b/>
        </w:rPr>
        <w:t xml:space="preserve">摘要（ZH）: </w:t>
      </w:r>
      <w:r>
        <w:t>环境因素往往有害；然而，某些环境可以增强免疫力。值得注意的是，在传统农场长大的儿童过敏和哮喘的发病率较低。在此，我们研究了使用农场灰尘（FD）提取物的有益环境如何影响卵清蛋白诱导的过敏性炎症中的肺部免疫功能。FD暴露减少了过敏性肺部炎症并增加了单核细胞衍生的巨噬细胞（MDM）的募集。单细胞RNA测序显示，FD暴露的MDM基因表达发生了变化，包括抑制Ccl8和主要组织相容性复合体II类表达，削弱了嗜酸性粒细胞的募集和抗原呈递。RNA测序和转座酶可接近染色质的测定使用seque</w:t>
      </w:r>
    </w:p>
    <w:p>
      <w:pPr>
        <w:spacing w:before="0" w:after="200" w:lineRule="auto" w:line="276"/>
      </w:pPr>
      <w:r>
        <w:rPr>
          <w:b/>
        </w:rPr>
        <w:t xml:space="preserve">Abstract (EN): </w:t>
      </w:r>
      <w:r>
        <w:t>Environmental factors are often detrimental; however, certain environments enhance immune resilience. Notably, children raised on traditional farms show reduced allergies and asthma prevalence. Here, we investigated how a beneficial environment, using farm dust (FD) extract, influenced lung immune function in ovalbumin-induced allergic inflammation. FD exposure reduced allergic lung inflammation and increased monocyte-derived macrophage (MDM) recruitment. Single-cell RNA sequencing revealed that FD-exposed MDMs had altered gene expression, including dampened</w:t>
      </w:r>
      <w:r>
        <w:t xml:space="preserve"> </w:t>
      </w:r>
      <w:r>
        <w:t>Ccl8</w:t>
      </w:r>
      <w:r>
        <w:t xml:space="preserve"> </w:t>
      </w:r>
      <w:r>
        <w:t>and major histocompatibility complex class II expression, impairing eosinophil recruitment and antigen presentation. RNA sequencing and assay for transposase-accessible chromatin using sequencing confirmed FD-induced epigenetic reprogramming ex vivo, on bone marrow–derived macrophages. This modulation, seen in both human and murine cells, relied on histone deacetylase activity sustained by peroxisome proliferator–activated receptor γ signaling. These findings suggest that beneficial environmental exposures can reprogram immune cells and may offer a previously unidentified strategy for asthma prevention.</w:t>
      </w:r>
    </w:p>
    <w:p>
      <w:pPr>
        <w:spacing w:before="120" w:after="120"/>
      </w:pPr>
      <w:r>
        <w:rPr>
          <w:sz w:val="18"/>
        </w:rPr>
        <w:t>——————————————————————————————————————————————————————————————————————</w:t>
      </w:r>
    </w:p>
    <w:p>
      <w:pPr>
        <w:spacing w:before="160" w:after="40" w:line="240" w:lineRule="auto"/>
      </w:pPr>
      <w:r>
        <w:rPr>
          <w:b/>
        </w:rPr>
        <w:t xml:space="preserve">[430] </w:t>
      </w:r>
      <w:hyperlink r:id="rId869">
        <w:r>
          <w:rPr>
            <w:color w:val="1155CC"/>
            <w:u w:val="single"/>
          </w:rPr>
          <w:t>具有抗干扰能力的噪声抗性例外点传感</w:t>
        </w:r>
      </w:hyperlink>
    </w:p>
    <w:p>
      <w:pPr>
        <w:spacing w:before="0" w:after="80"/>
      </w:pPr>
      <w:r>
        <w:rPr>
          <w:i/>
          <w:sz w:val="20"/>
        </w:rPr>
        <w:t>EN: Noise-resilient exceptional point sensing with immunity to undesired perturbations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70">
        <w:r>
          <w:rPr>
            <w:color w:val="1155CC"/>
            <w:u w:val="single"/>
          </w:rPr>
          <w:t>10.1126/sciadv.aeb7018</w:t>
        </w:r>
      </w:hyperlink>
    </w:p>
    <w:p>
      <w:pPr>
        <w:spacing w:before="0" w:after="120"/>
      </w:pPr>
      <w:r>
        <w:rPr>
          <w:b/>
        </w:rPr>
        <w:t xml:space="preserve">Notes: </w:t>
      </w:r>
      <w:r>
        <w:t>abstract_source=crossref</w:t>
      </w:r>
    </w:p>
    <w:p>
      <w:pPr>
        <w:spacing w:before="0" w:after="80" w:lineRule="auto" w:line="276"/>
      </w:pPr>
      <w:r>
        <w:rPr>
          <w:b/>
        </w:rPr>
        <w:t xml:space="preserve">摘要（ZH）: </w:t>
      </w:r>
      <w:r>
        <w:t>异常点退化（EPDs）是非厄米奇奇异点，其中K个特征值及其对应的特征向量合并。当引入小扰动时，特征值从EPD的失谐遵循K次根次线性展开，这提供了一种增强基于谐振的传感器灵敏度（频率偏移）的方法。缺点是，基于谐振的传感器容易受到腔体缺陷、局部机械扰动（温度变化、振动）和其他实验不确定性的影响。在此，我们通过实验实现了在其布洛赫谱中发生非谐振EPDs（NR-EPDs）的被动周期性微波超材料来克服这一问题。我们展示</w:t>
      </w:r>
    </w:p>
    <w:p>
      <w:pPr>
        <w:spacing w:before="0" w:after="200" w:lineRule="auto" w:line="276"/>
      </w:pPr>
      <w:r>
        <w:rPr>
          <w:b/>
        </w:rPr>
        <w:t xml:space="preserve">Abstract (EN): </w:t>
      </w:r>
      <w:r>
        <w:t>Exceptional point degeneracies (EPDs) are non-Hermitian singularities where</w:t>
      </w:r>
      <w:r>
        <w:t xml:space="preserve"> </w:t>
      </w:r>
      <w:r>
        <w:t>K</w:t>
      </w:r>
      <w:r>
        <w:t xml:space="preserve"> </w:t>
      </w:r>
      <w:r>
        <w:t>eigenvalues and their corresponding eigenvectors coalesce. When a small perturbation is induced, the eigenvalue detuning from an EPD follows a</w:t>
      </w:r>
      <w:r>
        <w:t xml:space="preserve"> </w:t>
      </w:r>
      <w:r>
        <w:t>K</w:t>
      </w:r>
      <w:r>
        <w:t xml:space="preserve"> </w:t>
      </w:r>
      <w:r>
        <w:t>th-root sublinear expansion, which provides a means of enhancing the sensitivity (frequency shift) of resonant-based sensors. On the downside, resonant-based sensors are susceptible to cavity imperfections, local mechanical disturbances (temperature variations, vibrations), and other experimental uncertainties. Here, we overcome this problem by experimentally implementing passive periodic microwave metamaterials with nonresonant EPDs (NR-EPDs) occurring in their Bloch spectrum. We demonstrate a sublinear variation of the reflectance near NR-EPDs to a specific class of (global) perturbations and propose its usage for ultrasensitive sensing that is immune to undesired (local) perturbations. The sensitivity is shielded from technical or fundamental noise that typically degrades the signal-to-noise performance of resonant EPDs.</w:t>
      </w:r>
    </w:p>
    <w:p>
      <w:pPr>
        <w:spacing w:before="120" w:after="120"/>
      </w:pPr>
      <w:r>
        <w:rPr>
          <w:sz w:val="18"/>
        </w:rPr>
        <w:t>——————————————————————————————————————————————————————————————————————</w:t>
      </w:r>
    </w:p>
    <w:p>
      <w:pPr>
        <w:spacing w:before="160" w:after="40" w:line="240" w:lineRule="auto"/>
      </w:pPr>
      <w:r>
        <w:rPr>
          <w:b/>
        </w:rPr>
        <w:t xml:space="preserve">[431] </w:t>
      </w:r>
      <w:hyperlink r:id="rId871">
        <w:r>
          <w:rPr>
            <w:color w:val="1155CC"/>
            <w:u w:val="single"/>
          </w:rPr>
          <w:t>转录因子特性全球地图揭示了基于阈值的DNA结合和移动簇的形成</w:t>
        </w:r>
      </w:hyperlink>
    </w:p>
    <w:p>
      <w:pPr>
        <w:spacing w:before="0" w:after="80"/>
      </w:pPr>
      <w:r>
        <w:rPr>
          <w:i/>
          <w:sz w:val="20"/>
        </w:rPr>
        <w:t>EN: Global maps of transcription factor properties reveal threshold-based formation of DNA-bound and mobile clusters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72">
        <w:r>
          <w:rPr>
            <w:color w:val="1155CC"/>
            <w:u w:val="single"/>
          </w:rPr>
          <w:t>10.1126/sciadv.ady3909</w:t>
        </w:r>
      </w:hyperlink>
    </w:p>
    <w:p>
      <w:pPr>
        <w:spacing w:before="0" w:after="120"/>
      </w:pPr>
      <w:r>
        <w:rPr>
          <w:b/>
        </w:rPr>
        <w:t xml:space="preserve">Notes: </w:t>
      </w:r>
      <w:r>
        <w:t>abstract_source=crossref</w:t>
      </w:r>
    </w:p>
    <w:p>
      <w:pPr>
        <w:spacing w:before="0" w:after="80" w:lineRule="auto" w:line="276"/>
      </w:pPr>
      <w:r>
        <w:rPr>
          <w:b/>
        </w:rPr>
        <w:t xml:space="preserve">摘要（ZH）: </w:t>
      </w:r>
      <w:r>
        <w:t>体积转录因子浓度与DNA结合之间的关系是基因调控中一个核心问题。最近的研究提出，DNA结合的转录因子中心或簇有助于快速和精确的转录解释。使用实时成像技术，我们量化了形态发生素Dorsal（Dl）的浓度、结合和移动性，无论是在体积中还是在簇中，在果蝇胚胎的胚盘中。我们的实验涵盖了多个长度和时间尺度，使我们能够获得连接中心形成与体积Dl浓度的机制的核范围视图。我们的结果显示，除了预期的自由移动群体外，还存在以前未观察到的缓慢移动的Dl簇</w:t>
      </w:r>
    </w:p>
    <w:p>
      <w:pPr>
        <w:spacing w:before="0" w:after="200" w:lineRule="auto" w:line="276"/>
      </w:pPr>
      <w:r>
        <w:rPr>
          <w:b/>
        </w:rPr>
        <w:t xml:space="preserve">Abstract (EN): </w:t>
      </w:r>
      <w:r>
        <w:t>The relationship between bulk transcription factor concentration and DNA binding has been a central question in gene regulation for decades. Recent studies propose that DNA-bound transcription factor hubs, or clusters, aid in fast and precise transcriptional interpretation. Using live imaging techniques, we quantify the concentration, binding, and mobility of the morphogen Dorsal (Dl), both in bulk and in clusters, in</w:t>
      </w:r>
      <w:r>
        <w:t xml:space="preserve"> </w:t>
      </w:r>
      <w:r>
        <w:t>Drosophila</w:t>
      </w:r>
      <w:r>
        <w:t xml:space="preserve"> </w:t>
      </w:r>
      <w:r>
        <w:t>blastoderm embryo. Our experiments encompass multiple length and timescales, allowing us to obtain a nucleus-wide view of the mechanism connecting hub formation to bulk Dl concentration. Our results show that previously unobserved, slowly moving clusters of Dl are present, in addition to the expected populations of freely mobile and DNA-bound Dl. Furthermore, both mobile clusters and DNA-bound Dl appear only once a threshold concentration in the nucleus is surpassed, a behavior consistent with liquid-liquid phase separation. Thus, our work elucidates how bulk transcription factor concentration dictates the formation and spatiotemporal changes of different populations needed for gene regulation.</w:t>
      </w:r>
    </w:p>
    <w:p>
      <w:pPr>
        <w:spacing w:before="120" w:after="120"/>
      </w:pPr>
      <w:r>
        <w:rPr>
          <w:sz w:val="18"/>
        </w:rPr>
        <w:t>——————————————————————————————————————————————————————————————————————</w:t>
      </w:r>
    </w:p>
    <w:p>
      <w:pPr>
        <w:spacing w:before="160" w:after="40" w:line="240" w:lineRule="auto"/>
      </w:pPr>
      <w:r>
        <w:rPr>
          <w:b/>
        </w:rPr>
        <w:t xml:space="preserve">[432] </w:t>
      </w:r>
      <w:hyperlink r:id="rId873">
        <w:r>
          <w:rPr>
            <w:color w:val="1155CC"/>
            <w:u w:val="single"/>
          </w:rPr>
          <w:t>如何测量空中的威胁？测试社会身份威胁的普遍性、动态性和多方面性</w:t>
        </w:r>
      </w:hyperlink>
    </w:p>
    <w:p>
      <w:pPr>
        <w:spacing w:before="0" w:after="80"/>
      </w:pPr>
      <w:r>
        <w:rPr>
          <w:i/>
          <w:sz w:val="20"/>
        </w:rPr>
        <w:t>EN: How do you measure a threat in the air? Testing the universal, dynamic, and multifaceted nature of social identity threat</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74">
        <w:r>
          <w:rPr>
            <w:color w:val="1155CC"/>
            <w:u w:val="single"/>
          </w:rPr>
          <w:t>10.1126/sciadv.adx2953</w:t>
        </w:r>
      </w:hyperlink>
    </w:p>
    <w:p>
      <w:pPr>
        <w:spacing w:before="0" w:after="120"/>
      </w:pPr>
      <w:r>
        <w:rPr>
          <w:b/>
        </w:rPr>
        <w:t xml:space="preserve">Notes: </w:t>
      </w:r>
      <w:r>
        <w:t>abstract_source=crossref</w:t>
      </w:r>
    </w:p>
    <w:p>
      <w:pPr>
        <w:spacing w:before="0" w:after="80" w:lineRule="auto" w:line="276"/>
      </w:pPr>
      <w:r>
        <w:rPr>
          <w:b/>
        </w:rPr>
        <w:t xml:space="preserve">摘要（ZH）: </w:t>
      </w:r>
      <w:r>
        <w:t>社会身份威胁是一种警觉状态，其中一个人预期在某个环境中，其他人可能因为其一个（或多个）社会身份而贬低他们。根据理论，威胁是多方面的——包括对刻板印象、归属感、公平性、真实性等的担忧——并且是情境性的，会根据哪些身份和情境线索显著而波动。威胁也被理论化为一种普遍的体验——可能影响任何人，跨越他们的任何身份。在此，我们通过引入社会身份威胁关注（SITC）清单来测试这些理论的核心方面，这是一种自我报告工具，旨在评估不同身份与情境组合中的威胁。在九项研究中（N = 8533），</w:t>
      </w:r>
    </w:p>
    <w:p>
      <w:pPr>
        <w:spacing w:before="0" w:after="200" w:lineRule="auto" w:line="276"/>
      </w:pPr>
      <w:r>
        <w:rPr>
          <w:b/>
        </w:rPr>
        <w:t xml:space="preserve">Abstract (EN): </w:t>
      </w:r>
      <w:r>
        <w:t>Social identity threat is a vigilance state in which a person anticipates that others in a setting may devalue them because of one (or more) of their social identities. According to theory, threat is multifaceted—encompassing concerns about stereotyping, belonging, fairness, authenticity, and more—and situational, fluctuating depending on which identities and contextual cues are salient. Threat is also theorized as a universal experience—affecting potentially anyone, across any of their identities. Here, we put these central aspects of theory to the test by introducing the Social Identity Threat Concerns (SITC) Inventory, a self-report instrument designed to assess threat across varied identity-by-context situations. Across nine studies (</w:t>
      </w:r>
      <w:r>
        <w:t xml:space="preserve"> </w:t>
      </w:r>
      <w:r>
        <w:t>N</w:t>
      </w:r>
      <w:r>
        <w:t xml:space="preserve"> </w:t>
      </w:r>
      <w:r>
        <w:t>= 8533), we show that threat is common across social groups yet situational, emerging under specific, theorized conditions. The SITC Inventory is a field-advancing tool that equips researchers to better understand and reduce identity-based threats, laying the groundwork for more inclusive and equitable environments.</w:t>
      </w:r>
    </w:p>
    <w:p>
      <w:pPr>
        <w:spacing w:before="120" w:after="120"/>
      </w:pPr>
      <w:r>
        <w:rPr>
          <w:sz w:val="18"/>
        </w:rPr>
        <w:t>——————————————————————————————————————————————————————————————————————</w:t>
      </w:r>
    </w:p>
    <w:p>
      <w:pPr>
        <w:spacing w:before="160" w:after="40" w:line="240" w:lineRule="auto"/>
      </w:pPr>
      <w:r>
        <w:rPr>
          <w:b/>
        </w:rPr>
        <w:t xml:space="preserve">[433] </w:t>
      </w:r>
      <w:hyperlink r:id="rId875">
        <w:r>
          <w:rPr>
            <w:color w:val="1155CC"/>
            <w:u w:val="single"/>
          </w:rPr>
          <w:t>支持所有人实地工作的框架（EFFA）：支持实地工作的身体、社会、经济和心理安全</w:t>
        </w:r>
      </w:hyperlink>
    </w:p>
    <w:p>
      <w:pPr>
        <w:spacing w:before="0" w:after="80"/>
      </w:pPr>
      <w:r>
        <w:rPr>
          <w:i/>
          <w:sz w:val="20"/>
        </w:rPr>
        <w:t>EN: Enabling Fieldwork for All (EFFA) Framework: Supporting physical, social, financial, and psychological safety in the field</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76">
        <w:r>
          <w:rPr>
            <w:color w:val="1155CC"/>
            <w:u w:val="single"/>
          </w:rPr>
          <w:t>10.1126/sciadv.aeb6753</w:t>
        </w:r>
      </w:hyperlink>
    </w:p>
    <w:p>
      <w:pPr>
        <w:spacing w:before="0" w:after="120"/>
      </w:pPr>
      <w:r>
        <w:rPr>
          <w:b/>
        </w:rPr>
        <w:t xml:space="preserve">Notes: </w:t>
      </w:r>
      <w:r>
        <w:t>abstract_source=crossref</w:t>
      </w:r>
    </w:p>
    <w:p>
      <w:pPr>
        <w:spacing w:before="0" w:after="80" w:lineRule="auto" w:line="276"/>
      </w:pPr>
      <w:r>
        <w:rPr>
          <w:b/>
        </w:rPr>
        <w:t xml:space="preserve">摘要（ZH）: </w:t>
      </w:r>
      <w:r>
        <w:t>自20世纪80年代以来，要求解决实地工作安全问题的呼声在过去十年中被国家科学院、工程院和医学院以及美国联邦资助机构放大和扩展。现在，关于实地工作安全的研究及其产生的建议在很大程度上被科学学科所隔离，限制了数据和讨论的传播，这可能为实地研究带来快速变化。该综述综合了跨科学学科的实地工作安全文献，强调了领导者和研究人员需要解决的四个安全方面：身体、安全、财务和心理。文献和现实事件表明，这四个安全方面是相互关联的，应该一起考虑。该综述以建议的综合结尾</w:t>
      </w:r>
    </w:p>
    <w:p>
      <w:pPr>
        <w:spacing w:before="0" w:after="200" w:lineRule="auto" w:line="276"/>
      </w:pPr>
      <w:r>
        <w:rPr>
          <w:b/>
        </w:rPr>
        <w:t xml:space="preserve">Abstract (EN): </w:t>
      </w:r>
      <w:r>
        <w:t>Calls to address fieldwork safety that began in the 1980s have been amplified and expanded in the past decade by the National Academies of Sciences, Engineering, and Medicine and US federal funding agencies. Now, research on fieldwork safety and resulting recommendations are largely siloed by scientific discipline, limiting the spread of data and discussion that could yield rapid change for field research. This review synthesizes literature on fieldwork safety across scientific disciplines, highlighting four facets of safety for leaders and researchers to address: physical, social, financial, and psychological. Literature and real-life events demonstrate that the four facets of safety are interconnected and should be considered together. The review concludes with a synthesis of recommendations for each facet of safety. This review provides principal investigators with accessible, data-driven resources and propose a framework for future research on field safety that will enable cross-disciplinary sharing.</w:t>
      </w:r>
    </w:p>
    <w:p>
      <w:pPr>
        <w:spacing w:before="120" w:after="120"/>
      </w:pPr>
      <w:r>
        <w:rPr>
          <w:sz w:val="18"/>
        </w:rPr>
        <w:t>——————————————————————————————————————————————————————————————————————</w:t>
      </w:r>
    </w:p>
    <w:p>
      <w:pPr>
        <w:spacing w:before="160" w:after="40" w:line="240" w:lineRule="auto"/>
      </w:pPr>
      <w:r>
        <w:rPr>
          <w:b/>
        </w:rPr>
        <w:t xml:space="preserve">[434] </w:t>
      </w:r>
      <w:hyperlink r:id="rId877">
        <w:r>
          <w:rPr>
            <w:color w:val="1155CC"/>
            <w:u w:val="single"/>
          </w:rPr>
          <w:t>X. Wang等人关于“IGF2R启动的质子再通道化决定了巨噬细胞的抗炎特性”的研究文章勘误</w:t>
        </w:r>
      </w:hyperlink>
    </w:p>
    <w:p>
      <w:pPr>
        <w:spacing w:before="0" w:after="80"/>
      </w:pPr>
      <w:r>
        <w:rPr>
          <w:i/>
          <w:sz w:val="20"/>
        </w:rPr>
        <w:t>EN: Erratum for the Research Article “IGF2R-initiated proton rechanneling dictates an anti-inflammatory property in macrophages” by X. Wang et al.</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78">
        <w:r>
          <w:rPr>
            <w:color w:val="1155CC"/>
            <w:u w:val="single"/>
          </w:rPr>
          <w:t>10.1126/sciadv.aef9964</w:t>
        </w:r>
      </w:hyperlink>
    </w:p>
    <w:p>
      <w:pPr>
        <w:spacing w:before="0" w:after="120"/>
      </w:pPr>
      <w:r>
        <w:rPr>
          <w:b/>
        </w:rPr>
        <w:t xml:space="preserve">Notes: </w:t>
      </w:r>
      <w:r>
        <w:t>abstract_source=openalex</w:t>
      </w:r>
    </w:p>
    <w:p>
      <w:pPr>
        <w:spacing w:before="0" w:after="80" w:lineRule="auto" w:line="276"/>
      </w:pPr>
      <w:r>
        <w:rPr>
          <w:b/>
        </w:rPr>
        <w:t xml:space="preserve">摘要（ZH）: </w:t>
      </w:r>
      <w:r>
        <w:t>在X. Wang等人的研究文章“IGF2R启动的质子再通道在巨噬细胞中决定抗炎特性”的原始版本中，图5H中的GSK3α的Western blot图像被无意中重复使用并代替了GSK3β。</w:t>
      </w:r>
    </w:p>
    <w:p>
      <w:pPr>
        <w:spacing w:before="0" w:after="200" w:lineRule="auto" w:line="276"/>
      </w:pPr>
      <w:r>
        <w:rPr>
          <w:b/>
        </w:rPr>
        <w:t xml:space="preserve">Abstract (EN): </w:t>
      </w:r>
      <w:r>
        <w:t>In the original version of the Research Article “IGF2R-initiated proton rechanneling dictates an anti-inflammatory property in macrophages” by X. Wang et al., the Western blot image for GSK3α in Fig. 5H was inadvertently duplicated and used in place of GSK3β.</w:t>
      </w:r>
    </w:p>
    <w:p>
      <w:pPr>
        <w:spacing w:before="120" w:after="120"/>
      </w:pPr>
      <w:r>
        <w:rPr>
          <w:sz w:val="18"/>
        </w:rPr>
        <w:t>——————————————————————————————————————————————————————————————————————</w:t>
      </w:r>
    </w:p>
    <w:p>
      <w:pPr>
        <w:spacing w:before="160" w:after="40" w:line="240" w:lineRule="auto"/>
      </w:pPr>
      <w:r>
        <w:rPr>
          <w:b/>
        </w:rPr>
        <w:t xml:space="preserve">[435] </w:t>
      </w:r>
      <w:hyperlink r:id="rId879">
        <w:r>
          <w:rPr>
            <w:color w:val="1155CC"/>
            <w:u w:val="single"/>
          </w:rPr>
          <w:t>基于PROTAC的合成致死策略内源性激活系统性STING以增强抗肿瘤免疫</w:t>
        </w:r>
      </w:hyperlink>
    </w:p>
    <w:p>
      <w:pPr>
        <w:spacing w:before="0" w:after="80"/>
      </w:pPr>
      <w:r>
        <w:rPr>
          <w:i/>
          <w:sz w:val="20"/>
        </w:rPr>
        <w:t>EN: PROTAC-based synthetic lethality strategy endogenously activates systemic STING to boost antitumor immunity</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80">
        <w:r>
          <w:rPr>
            <w:color w:val="1155CC"/>
            <w:u w:val="single"/>
          </w:rPr>
          <w:t>10.1126/sciadv.ado7448</w:t>
        </w:r>
      </w:hyperlink>
    </w:p>
    <w:p>
      <w:pPr>
        <w:spacing w:before="0" w:after="120"/>
      </w:pPr>
      <w:r>
        <w:rPr>
          <w:b/>
        </w:rPr>
        <w:t xml:space="preserve">Notes: </w:t>
      </w:r>
      <w:r>
        <w:t>abstract_source=crossref</w:t>
      </w:r>
    </w:p>
    <w:p>
      <w:pPr>
        <w:spacing w:before="0" w:after="80" w:lineRule="auto" w:line="276"/>
      </w:pPr>
      <w:r>
        <w:rPr>
          <w:b/>
        </w:rPr>
        <w:t xml:space="preserve">摘要（ZH）: </w:t>
      </w:r>
      <w:r>
        <w:t>干扰素基因刺激因子（STING）通路的激活驱动自然杀伤（NK）细胞和T细胞协调多维抗肿瘤免疫反应。虽然细胞质DNA积累代表了STING激活的优越内源策略，但DNA修复机制大大限制了其免疫原性潜力。在此，我们提出了一种有前景的治疗策略，利用蛋白水解靶向嵌合体（PROTAC）介导的PARP1 [多(ADP-核糖)聚合酶1]和BRD4（溴结构域蛋白4）的降解来诱导合成致死，从而破坏驱动核到细胞质DNA泄漏的DNA修复机制，超越STING激活阈值以点燃cGAS-STING介导的先天免疫。我们的策略展示了优越的抗肿瘤</w:t>
      </w:r>
    </w:p>
    <w:p>
      <w:pPr>
        <w:spacing w:before="0" w:after="200" w:lineRule="auto" w:line="276"/>
      </w:pPr>
      <w:r>
        <w:rPr>
          <w:b/>
        </w:rPr>
        <w:t xml:space="preserve">Abstract (EN): </w:t>
      </w:r>
      <w:r>
        <w:t>Activation of the stimulator of interferon genes (STING) pathway drives natural killer (NK) cells and T cells to orchestrate multidimensional antitumor immune responses. While cytosolic DNA accumulation represents a superior endogenous strategy for STING activation, DNA repair machinery substantially constrains its immunogenic potential. Here, we propose a promising therapeutic strategy that leverages proteolysis-targeting chimera (PROTAC)–mediated degradation of PARP1 [poly(ADP-ribose) polymerase 1] and BRD4 (bromodomain-containing protein 4) to induce synthetic lethality, thereby disrupting DNA repair machinery that drives nuclear-to-cytosolic DNA leakage, surpassing the STING activation threshold to ignite cGAS-STING–mediated innate immunity. Our strategy demonstrates superior antitumor efficacy across multiple tumor models, eliciting robust CD8</w:t>
      </w:r>
      <w:r>
        <w:t xml:space="preserve"> </w:t>
      </w:r>
      <w:r>
        <w:t>+</w:t>
      </w:r>
      <w:r>
        <w:t xml:space="preserve"> </w:t>
      </w:r>
      <w:r>
        <w:t>T cell– and NK cell–mediated immunity while suppressing pulmonary metastasis progression. This strategic integration of synthetic lethality with an immunogenic stress response establishes a previously unidentified paradigm for expanding broad applications by cGAS-STING–mediated innate immunity.</w:t>
      </w:r>
    </w:p>
    <w:p>
      <w:pPr>
        <w:spacing w:before="120" w:after="120"/>
      </w:pPr>
      <w:r>
        <w:rPr>
          <w:sz w:val="18"/>
        </w:rPr>
        <w:t>——————————————————————————————————————————————————————————————————————</w:t>
      </w:r>
    </w:p>
    <w:p>
      <w:pPr>
        <w:spacing w:before="160" w:after="40" w:line="240" w:lineRule="auto"/>
      </w:pPr>
      <w:r>
        <w:rPr>
          <w:b/>
        </w:rPr>
        <w:t xml:space="preserve">[436] </w:t>
      </w:r>
      <w:hyperlink r:id="rId881">
        <w:r>
          <w:rPr>
            <w:color w:val="1155CC"/>
            <w:u w:val="single"/>
          </w:rPr>
          <w:t>关于研究文章“L. Zhu等人撰写的AIBP-LRP2介导的HDL摄取限制CXCR4+干细胞样毛细血管扩张和侧支循环”的勘误</w:t>
        </w:r>
      </w:hyperlink>
    </w:p>
    <w:p>
      <w:pPr>
        <w:spacing w:before="0" w:after="80"/>
      </w:pPr>
      <w:r>
        <w:rPr>
          <w:i/>
          <w:sz w:val="20"/>
        </w:rPr>
        <w:t>EN: Erratum for the Research Article “AIBP-LRP2–mediated HDL uptake restricts CXCR4+ stemlike capillary expansion and collateral circulation” by L. Zhu et al.</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82">
        <w:r>
          <w:rPr>
            <w:color w:val="1155CC"/>
            <w:u w:val="single"/>
          </w:rPr>
          <w:t>10.1126/sciadv.aeg3112</w:t>
        </w:r>
      </w:hyperlink>
    </w:p>
    <w:p>
      <w:pPr>
        <w:spacing w:before="0" w:after="120"/>
      </w:pPr>
      <w:r>
        <w:rPr>
          <w:b/>
        </w:rPr>
        <w:t xml:space="preserve">Notes: </w:t>
      </w:r>
      <w:r>
        <w:t>abstract_source=openalex</w:t>
      </w:r>
    </w:p>
    <w:p>
      <w:pPr>
        <w:spacing w:before="0" w:after="80" w:lineRule="auto" w:line="276"/>
      </w:pPr>
      <w:r>
        <w:rPr>
          <w:b/>
        </w:rPr>
        <w:t xml:space="preserve">摘要（ZH）: </w:t>
      </w:r>
      <w:r>
        <w:t>在L. Zhu等人发表的研究文章“AIBP-LRP2介导的HDL摄取限制CXCR4+干细胞样毛细血管扩张和侧支循环”中，原始发表版本的图4标题存在错误。</w:t>
      </w:r>
    </w:p>
    <w:p>
      <w:pPr>
        <w:spacing w:before="0" w:after="200" w:lineRule="auto" w:line="276"/>
      </w:pPr>
      <w:r>
        <w:rPr>
          <w:b/>
        </w:rPr>
        <w:t xml:space="preserve">Abstract (EN): </w:t>
      </w:r>
      <w:r>
        <w:t>There was an error in the originally published version of the Fig. 4 title for the Research Article “AIBP-LRP2–mediated HDL uptake restricts CXCR4+ stemlike capillary expansion and collateral circulation” by L. Zhu et al.</w:t>
      </w:r>
    </w:p>
    <w:p>
      <w:pPr>
        <w:spacing w:before="120" w:after="120"/>
      </w:pPr>
      <w:r>
        <w:rPr>
          <w:sz w:val="18"/>
        </w:rPr>
        <w:t>——————————————————————————————————————————————————————————————————————</w:t>
      </w:r>
    </w:p>
    <w:p>
      <w:pPr>
        <w:spacing w:before="160" w:after="40" w:line="240" w:lineRule="auto"/>
      </w:pPr>
      <w:r>
        <w:rPr>
          <w:b/>
        </w:rPr>
        <w:t xml:space="preserve">[437] </w:t>
      </w:r>
      <w:hyperlink r:id="rId883">
        <w:r>
          <w:rPr>
            <w:color w:val="1155CC"/>
            <w:u w:val="single"/>
          </w:rPr>
          <w:t>主动原推和流体高速公路：地震噪声揭示了Cascadia的隐蔽俯冲动力学</w:t>
        </w:r>
      </w:hyperlink>
    </w:p>
    <w:p>
      <w:pPr>
        <w:spacing w:before="0" w:after="80"/>
      </w:pPr>
      <w:r>
        <w:rPr>
          <w:i/>
          <w:sz w:val="20"/>
        </w:rPr>
        <w:t>EN: Active protothrusts and fluid highways: Seismic noise reveals hidden subduction dynamics in Cascadia</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84">
        <w:r>
          <w:rPr>
            <w:color w:val="1155CC"/>
            <w:u w:val="single"/>
          </w:rPr>
          <w:t>10.1126/sciadv.aea3684</w:t>
        </w:r>
      </w:hyperlink>
    </w:p>
    <w:p>
      <w:pPr>
        <w:spacing w:before="0" w:after="120"/>
      </w:pPr>
      <w:r>
        <w:rPr>
          <w:b/>
        </w:rPr>
        <w:t xml:space="preserve">Notes: </w:t>
      </w:r>
      <w:r>
        <w:t>abstract_source=crossref</w:t>
      </w:r>
    </w:p>
    <w:p>
      <w:pPr>
        <w:spacing w:before="0" w:after="80" w:lineRule="auto" w:line="276"/>
      </w:pPr>
      <w:r>
        <w:rPr>
          <w:b/>
        </w:rPr>
        <w:t xml:space="preserve">摘要（ZH）: </w:t>
      </w:r>
      <w:r>
        <w:t>应变积累、断层滑动和流体迁移之间的复杂相互作用影响浅层俯冲带动力学。利用来自Cascadia海底观测站的十年连续环境地震数据，我们识别出俯冲动力学的明显区域差异。北Cascadia表现出完全锁定的巨型推力，伴随持续的应变积累，而中部Cascadia则显示出原始推力上的慢滑事件和覆盖板块断层系统沿线的快速流体迁移。通过脱耦面和Alvin峡谷断层的有效流体运输可能调节地震行为，但不会在巨型推力上引发慢滑事件，并可能稳定大地震，促进破裂停止。</w:t>
      </w:r>
    </w:p>
    <w:p>
      <w:pPr>
        <w:spacing w:before="0" w:after="200" w:lineRule="auto" w:line="276"/>
      </w:pPr>
      <w:r>
        <w:rPr>
          <w:b/>
        </w:rPr>
        <w:t xml:space="preserve">Abstract (EN): </w:t>
      </w:r>
      <w:r>
        <w:t>Complex interactions between strain accumulation, fault slip, and fluid migration influence shallow subduction zone dynamics. Using a decade of continuous ambient seismic data from Cascadia’s seafloor observatories, we identified distinct regional variations in subduction dynamics. Northern Cascadia exhibits a fully locked megathrust with persistent strain accumulation, while central Cascadia displays a slow slip event on protothrusts and rapid fluid migration along fault systems in the overriding plate. Effective fluid transport through the décollement and the Alvin Canyon Fault likely modulates the earthquake behavior but does not cause slow slip events on the megathrust and likely stabilizes large earthquakes, promoting rupture arrest.</w:t>
      </w:r>
    </w:p>
    <w:p>
      <w:pPr>
        <w:spacing w:before="120" w:after="120"/>
      </w:pPr>
      <w:r>
        <w:rPr>
          <w:sz w:val="18"/>
        </w:rPr>
        <w:t>——————————————————————————————————————————————————————————————————————</w:t>
      </w:r>
    </w:p>
    <w:p>
      <w:pPr>
        <w:spacing w:before="160" w:after="40" w:line="240" w:lineRule="auto"/>
      </w:pPr>
      <w:r>
        <w:rPr>
          <w:b/>
        </w:rPr>
        <w:t xml:space="preserve">[438] </w:t>
      </w:r>
      <w:hyperlink r:id="rId885">
        <w:r>
          <w:rPr>
            <w:color w:val="1155CC"/>
            <w:u w:val="single"/>
          </w:rPr>
          <w:t>用于长期高保真脑电图记录的亲脂自润湿离子凝胶电极</w:t>
        </w:r>
      </w:hyperlink>
    </w:p>
    <w:p>
      <w:pPr>
        <w:spacing w:before="0" w:after="80"/>
      </w:pPr>
      <w:r>
        <w:rPr>
          <w:i/>
          <w:sz w:val="20"/>
        </w:rPr>
        <w:t>EN: Lipophilic Self‐Wetting Ionogel Electrodes for Long‐Term High‐Fidelity Electroencephalogram Recording</w:t>
      </w:r>
    </w:p>
    <w:p>
      <w:pPr>
        <w:spacing w:before="0" w:after="120"/>
      </w:pPr>
      <w:r>
        <w:rPr>
          <w:b/>
        </w:rPr>
        <w:t xml:space="preserve">Source: </w:t>
      </w:r>
      <w:r>
        <w:t>Wiley: Advanced Materials: Table of Contents</w:t>
      </w:r>
      <w:r>
        <w:t xml:space="preserve">    </w:t>
      </w:r>
      <w:r>
        <w:rPr>
          <w:b/>
        </w:rPr>
        <w:t xml:space="preserve">Pub date: </w:t>
      </w:r>
      <w:r>
        <w:t>2026-02-27 08:00:00+00:00</w:t>
      </w:r>
      <w:r>
        <w:t xml:space="preserve">    </w:t>
      </w:r>
      <w:r>
        <w:rPr>
          <w:b/>
        </w:rPr>
        <w:t xml:space="preserve">DOI: </w:t>
      </w:r>
      <w:hyperlink r:id="rId886">
        <w:r>
          <w:rPr>
            <w:color w:val="1155CC"/>
            <w:u w:val="single"/>
          </w:rPr>
          <w:t>10.1002/adma.202523019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[439] </w:t>
      </w:r>
      <w:hyperlink r:id="rId887">
        <w:r>
          <w:rPr>
            <w:color w:val="1155CC"/>
            <w:u w:val="single"/>
          </w:rPr>
          <w:t>解码果蝇中快速进化的ZAD锌指蛋白的分子逻辑</w:t>
        </w:r>
      </w:hyperlink>
    </w:p>
    <w:p>
      <w:pPr>
        <w:spacing w:before="0" w:after="80"/>
      </w:pPr>
      <w:r>
        <w:rPr>
          <w:i/>
          <w:sz w:val="20"/>
        </w:rPr>
        <w:t>EN: Decoding the molecular logic of rapidly evolving ZAD zinc finger proteins in Drosophila</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88">
        <w:r>
          <w:rPr>
            <w:color w:val="1155CC"/>
            <w:u w:val="single"/>
          </w:rPr>
          <w:t>10.1126/sciadv.ady7568</w:t>
        </w:r>
      </w:hyperlink>
    </w:p>
    <w:p>
      <w:pPr>
        <w:spacing w:before="0" w:after="120"/>
      </w:pPr>
      <w:r>
        <w:rPr>
          <w:b/>
        </w:rPr>
        <w:t xml:space="preserve">Notes: </w:t>
      </w:r>
      <w:r>
        <w:t>abstract_source=crossref</w:t>
      </w:r>
    </w:p>
    <w:p>
      <w:pPr>
        <w:spacing w:before="0" w:after="80" w:lineRule="auto" w:line="276"/>
      </w:pPr>
      <w:r>
        <w:rPr>
          <w:b/>
        </w:rPr>
        <w:t xml:space="preserve">摘要（ZH）: </w:t>
      </w:r>
      <w:r>
        <w:t>含有锌指相关结构域（ZAD）的C2H2锌指蛋白（ZAD-ZnFs）代表了昆虫进化过程中出现的最丰富的转录因子类别，但其分子多样性和生物学功能仍然很不清楚。在此，我们建立了一种系统的基于CRISPR的蛋白标记方法，可以直接、明确地比较发育中果蝇胚胎内源性ZAD-ZnFs的核定位和全基因组结合谱。证据表明，一部分ZAD-ZnFs通过N端ZAD二聚化表面的堆叠形成核凝聚体。凝聚活性的破坏导致全基因组结合谱的错误调控和致死性，强调了其功能的重要性。</w:t>
      </w:r>
    </w:p>
    <w:p>
      <w:pPr>
        <w:spacing w:before="0" w:after="200" w:lineRule="auto" w:line="276"/>
      </w:pPr>
      <w:r>
        <w:rPr>
          <w:b/>
        </w:rPr>
        <w:t xml:space="preserve">Abstract (EN): </w:t>
      </w:r>
      <w:r>
        <w:t>The zinc finger–associated domain (ZAD)–containing C2H2 zinc finger proteins (ZAD-ZnFs) represent the most abundant class of transcription factors that emerged during insect evolution, yet their molecular diversity and biological functions remain largely unclear. Here, we established a systematic CRISPR-based protein-tagging approach that enables direct, unambiguous comparison of nuclear localization and genome-wide binding profiles of endogenous ZAD-ZnFs in developing</w:t>
      </w:r>
      <w:r>
        <w:t xml:space="preserve"> </w:t>
      </w:r>
      <w:r>
        <w:t>Drosophila</w:t>
      </w:r>
      <w:r>
        <w:t xml:space="preserve"> </w:t>
      </w:r>
      <w:r>
        <w:t>embryos. Evidence is provided that a subset of ZAD-ZnFs forms nuclear condensates through the stacking of the N-terminal ZAD dimerization surface. Disruption of condensation activity leads to misregulation of genome-wide binding profiles and lethality, underscoring its functional and physiological significance in development. Integrative chromatin immunoprecipitation sequencing and Micro-C analyses reveal that many ZAD-ZnFs colocalize with core insulator proteins such as CCCTC-binding factor and Centrosomal protein 190 kD to control the formation of topological boundaries. We suggest that the diverse molecular functions of ZAD-ZnFs have evolutionarily arisen from their ancestral role as insulator-binding proteins.</w:t>
      </w:r>
    </w:p>
    <w:p>
      <w:pPr>
        <w:spacing w:before="120" w:after="120"/>
      </w:pPr>
      <w:r>
        <w:rPr>
          <w:sz w:val="18"/>
        </w:rPr>
        <w:t>——————————————————————————————————————————————————————————————————————</w:t>
      </w:r>
    </w:p>
    <w:p>
      <w:pPr>
        <w:spacing w:before="160" w:after="40" w:line="240" w:lineRule="auto"/>
      </w:pPr>
      <w:r>
        <w:rPr>
          <w:b/>
        </w:rPr>
        <w:t xml:space="preserve">[440] </w:t>
      </w:r>
      <w:hyperlink r:id="rId889">
        <w:r>
          <w:rPr>
            <w:color w:val="1155CC"/>
            <w:u w:val="single"/>
          </w:rPr>
          <w:t>自旋和结构玻璃中的普遍激活老化和弱遍历性破坏</w:t>
        </w:r>
      </w:hyperlink>
    </w:p>
    <w:p>
      <w:pPr>
        <w:spacing w:before="0" w:after="80"/>
      </w:pPr>
      <w:r>
        <w:rPr>
          <w:i/>
          <w:sz w:val="20"/>
        </w:rPr>
        <w:t>EN: Universal activated aging and weak ergodicity breaking in spin and structural glasses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90">
        <w:r>
          <w:rPr>
            <w:color w:val="1155CC"/>
            <w:u w:val="single"/>
          </w:rPr>
          <w:t>10.1126/sciadv.aec4416</w:t>
        </w:r>
      </w:hyperlink>
    </w:p>
    <w:p>
      <w:pPr>
        <w:spacing w:before="0" w:after="120"/>
      </w:pPr>
      <w:r>
        <w:rPr>
          <w:b/>
        </w:rPr>
        <w:t xml:space="preserve">Notes: </w:t>
      </w:r>
      <w:r>
        <w:t>abstract_source=crossref</w:t>
      </w:r>
    </w:p>
    <w:p>
      <w:pPr>
        <w:spacing w:before="0" w:after="80" w:lineRule="auto" w:line="276"/>
      </w:pPr>
      <w:r>
        <w:rPr>
          <w:b/>
        </w:rPr>
        <w:t xml:space="preserve">摘要（ZH）: </w:t>
      </w:r>
      <w:r>
        <w:t>玻璃具有复杂的能量景观并表现出非平衡老化动力学。在此，我们提出了一种基于能量景观关键静态特性的广义陷阱模型，用于激活老化：能量障碍的分布。我们的理论预测，在冷却时，淬火动力学中的弱遍历性破坏（WEB）发生在平衡动力学中的强遍历性破坏之前。此外，该理论表明，激活簇的特征大小可以从时间相关函数的对数衰减中推导出来。我们使用最简单的自旋玻璃模型，即随机能量模型，严格测试了模型的假设和预测。预测的老化行为也在包括Weeks-Chandle在内的典型结构玻璃中普遍观察到。</w:t>
      </w:r>
    </w:p>
    <w:p>
      <w:pPr>
        <w:spacing w:before="0" w:after="200" w:lineRule="auto" w:line="276"/>
      </w:pPr>
      <w:r>
        <w:rPr>
          <w:b/>
        </w:rPr>
        <w:t xml:space="preserve">Abstract (EN): </w:t>
      </w:r>
      <w:r>
        <w:t>Glasses have complex energy landscapes and exhibit nonequilibrium aging dynamics. Here, we propose a generalized trap model for activated aging based on a key static property of the energy landscape: the distribution of energy barriers. Our theory predicts that, upon cooling, weak ergodicity breaking (WEB) in quenching dynamics occurs before strong ergodicity breaking in equilibrium dynamics. Furthermore, the theory indicates that the characteristic size of activation clusters can be deduced from the logarithmic decay of the time-correlation function. We rigorously test the model’s assumptions and predictions using the simplest spin glass model, the random energy model. The predicted aging behavior is also universally observed in paradigmatic structural glasses, including the Weeks-Chandler-Andersen (WCA) model and amorphous silica. Applying our framework to the WCA model allows us to extract a static length from the nonequilibrium dynamics, extending its observable growth range from a mere factor of 2 to 3 to a full order of magnitude and providing supportive evidence for the random first-order transition scenario. Last, we propose a unified ergodic-WEB phase diagram for aging dynamics in general glassy systems.</w:t>
      </w:r>
    </w:p>
    <w:p>
      <w:pPr>
        <w:spacing w:before="120" w:after="120"/>
      </w:pPr>
      <w:r>
        <w:rPr>
          <w:sz w:val="18"/>
        </w:rPr>
        <w:t>——————————————————————————————————————————————————————————————————————</w:t>
      </w:r>
    </w:p>
    <w:p>
      <w:pPr>
        <w:spacing w:before="160" w:after="40" w:line="240" w:lineRule="auto"/>
      </w:pPr>
      <w:r>
        <w:rPr>
          <w:b/>
        </w:rPr>
        <w:t xml:space="preserve">[441] </w:t>
      </w:r>
      <w:hyperlink r:id="rId891">
        <w:r>
          <w:rPr>
            <w:color w:val="1155CC"/>
            <w:u w:val="single"/>
          </w:rPr>
          <w:t>通过在环境条件下电化学还原蒽醌实现高质量过氧化氢生产</w:t>
        </w:r>
      </w:hyperlink>
    </w:p>
    <w:p>
      <w:pPr>
        <w:spacing w:before="0" w:after="80"/>
      </w:pPr>
      <w:r>
        <w:rPr>
          <w:i/>
          <w:sz w:val="20"/>
        </w:rPr>
        <w:t>EN: High-quality hydrogen peroxide production through electrochemical reduction of anthraquinone in ambient environment</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92">
        <w:r>
          <w:rPr>
            <w:color w:val="1155CC"/>
            <w:u w:val="single"/>
          </w:rPr>
          <w:t>10.1126/sciadv.ady6378</w:t>
        </w:r>
      </w:hyperlink>
    </w:p>
    <w:p>
      <w:pPr>
        <w:spacing w:before="0" w:after="120"/>
      </w:pPr>
      <w:r>
        <w:rPr>
          <w:b/>
        </w:rPr>
        <w:t xml:space="preserve">Notes: </w:t>
      </w:r>
      <w:r>
        <w:t>abstract_source=crossref</w:t>
      </w:r>
    </w:p>
    <w:p>
      <w:pPr>
        <w:spacing w:before="0" w:after="80" w:lineRule="auto" w:line="276"/>
      </w:pPr>
      <w:r>
        <w:rPr>
          <w:b/>
        </w:rPr>
        <w:t xml:space="preserve">摘要（ZH）: </w:t>
      </w:r>
      <w:r>
        <w:t>目前，传统的蒽醌法是生产高质量和高浓度H2O2的主要方法，但它涉及使用H2，导致高碳排放和一定的风险。双电子氧还原反应已成为生产H2O2的更环保的替代方法。然而，在高过电位下，H2O2的生产和转化率仍然有限。在此，我们报告了一种电化学方法，可以将H</w:t>
      </w:r>
    </w:p>
    <w:p>
      <w:pPr>
        <w:spacing w:before="0" w:after="200" w:lineRule="auto" w:line="276"/>
      </w:pPr>
      <w:r>
        <w:rPr>
          <w:b/>
        </w:rPr>
        <w:t xml:space="preserve">Abstract (EN): </w:t>
      </w:r>
      <w:r>
        <w:t>At present, the traditional anthraquinone method is the main method for producing high-quality and high-concentration H</w:t>
      </w:r>
      <w:r>
        <w:rPr>
          <w:vertAlign w:val="subscript"/>
        </w:rPr>
        <w:t>2</w:t>
      </w:r>
      <w:r>
        <w:t>O</w:t>
      </w:r>
      <w:r>
        <w:rPr>
          <w:vertAlign w:val="subscript"/>
        </w:rPr>
        <w:t>2</w:t>
      </w:r>
      <w:r>
        <w:t>, but it involves the use of H</w:t>
      </w:r>
      <w:r>
        <w:rPr>
          <w:vertAlign w:val="subscript"/>
        </w:rPr>
        <w:t>2</w:t>
      </w:r>
      <w:r>
        <w:t>, resulting in high carbon emissions and certain risks. The double-electron oxygen reduction reaction has become a more environmentally friendly alternative method for producing H</w:t>
      </w:r>
      <w:r>
        <w:rPr>
          <w:vertAlign w:val="subscript"/>
        </w:rPr>
        <w:t>2</w:t>
      </w:r>
      <w:r>
        <w:t>O</w:t>
      </w:r>
      <w:r>
        <w:rPr>
          <w:vertAlign w:val="subscript"/>
        </w:rPr>
        <w:t>2</w:t>
      </w:r>
      <w:r>
        <w:t>. However, at high overpotentials, the production and conversion rates of H</w:t>
      </w:r>
      <w:r>
        <w:rPr>
          <w:vertAlign w:val="subscript"/>
        </w:rPr>
        <w:t>2</w:t>
      </w:r>
      <w:r>
        <w:t>O</w:t>
      </w:r>
      <w:r>
        <w:rPr>
          <w:vertAlign w:val="subscript"/>
        </w:rPr>
        <w:t>2</w:t>
      </w:r>
      <w:r>
        <w:t>are still limited. Here, we report an electrochemical method that can convert H</w:t>
      </w:r>
      <w:r>
        <w:rPr>
          <w:vertAlign w:val="subscript"/>
        </w:rPr>
        <w:t>2</w:t>
      </w:r>
      <w:r>
        <w:t>O and formaldehyde into high-concentration H</w:t>
      </w:r>
      <w:r>
        <w:rPr>
          <w:vertAlign w:val="subscript"/>
        </w:rPr>
        <w:t>2</w:t>
      </w:r>
      <w:r>
        <w:t>O</w:t>
      </w:r>
      <w:r>
        <w:rPr>
          <w:vertAlign w:val="subscript"/>
        </w:rPr>
        <w:t>2</w:t>
      </w:r>
      <w:r>
        <w:t>and high-value formate salts with high product purity under environmental conditions. At a current density of 30 milliamperes per square centimeter, continuous operation for 5 hours can produce 6.522% (m/v) H</w:t>
      </w:r>
      <w:r>
        <w:rPr>
          <w:vertAlign w:val="subscript"/>
        </w:rPr>
        <w:t>2</w:t>
      </w:r>
      <w:r>
        <w:t>O</w:t>
      </w:r>
      <w:r>
        <w:rPr>
          <w:vertAlign w:val="subscript"/>
        </w:rPr>
        <w:t>2</w:t>
      </w:r>
      <w:r>
        <w:t>, and the product does not contain acid, alkali, or excessive impurities. Faraday efficiency reaches 83%. The chronopotentiometry method shows stable current performance of the electrode after 360 hours of operation. This low-carbon, safe, and sustainable approach provides a promising alternative to traditional H</w:t>
      </w:r>
      <w:r>
        <w:rPr>
          <w:vertAlign w:val="subscript"/>
        </w:rPr>
        <w:t>2</w:t>
      </w:r>
      <w:r>
        <w:t>O</w:t>
      </w:r>
      <w:r>
        <w:rPr>
          <w:vertAlign w:val="subscript"/>
        </w:rPr>
        <w:t>2</w:t>
      </w:r>
      <w:r>
        <w:t>production.</w:t>
      </w:r>
    </w:p>
    <w:p>
      <w:pPr>
        <w:spacing w:before="120" w:after="120"/>
      </w:pPr>
      <w:r>
        <w:rPr>
          <w:sz w:val="18"/>
        </w:rPr>
        <w:t>——————————————————————————————————————————————————————————————————————</w:t>
      </w:r>
    </w:p>
    <w:p>
      <w:pPr>
        <w:spacing w:before="160" w:after="40" w:line="240" w:lineRule="auto"/>
      </w:pPr>
      <w:r>
        <w:rPr>
          <w:b/>
        </w:rPr>
        <w:t xml:space="preserve">[442] </w:t>
      </w:r>
      <w:hyperlink r:id="rId893">
        <w:r>
          <w:rPr>
            <w:color w:val="1155CC"/>
            <w:u w:val="single"/>
          </w:rPr>
          <w:t>运动中的快速多巴胺特征：到达活力反映奖励预测误差和学习期望</w:t>
        </w:r>
      </w:hyperlink>
    </w:p>
    <w:p>
      <w:pPr>
        <w:spacing w:before="0" w:after="80"/>
      </w:pPr>
      <w:r>
        <w:rPr>
          <w:i/>
          <w:sz w:val="20"/>
        </w:rPr>
        <w:t>EN: Rapid dopaminergic signatures in movement: Reach vigor reflects reward prediction error and learned expectation</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94">
        <w:r>
          <w:rPr>
            <w:color w:val="1155CC"/>
            <w:u w:val="single"/>
          </w:rPr>
          <w:t>10.1126/sciadv.adz9361</w:t>
        </w:r>
      </w:hyperlink>
    </w:p>
    <w:p>
      <w:pPr>
        <w:spacing w:before="0" w:after="120"/>
      </w:pPr>
      <w:r>
        <w:rPr>
          <w:b/>
        </w:rPr>
        <w:t xml:space="preserve">Notes: </w:t>
      </w:r>
      <w:r>
        <w:t>abstract_source=crossref</w:t>
      </w:r>
    </w:p>
    <w:p>
      <w:pPr>
        <w:spacing w:before="0" w:after="80" w:lineRule="auto" w:line="276"/>
      </w:pPr>
      <w:r>
        <w:rPr>
          <w:b/>
        </w:rPr>
        <w:t xml:space="preserve">摘要（ZH）: </w:t>
      </w:r>
      <w:r>
        <w:t>当预期有奖励时，动作变得更加有力，这表明动机信号会影响运动控制。已知编码奖励预期和预测误差的多巴胺能神经元是连接价值和活力的主要候选者。在此，我们展示了人类的到达活力不仅在运动开始时，而且在持续运动过程中动态追踪经典的多巴胺能学习信号。使用具有概率奖励（0, 33, 66 和 100%）的到达任务，我们观察到峰值速度与预期值成比例。关键是，在反馈之后，到达速度会根据奖励预测误差的符号和大小暂时增强或减弱。逐次试验的运动学变化反映了价值更新，与多巴胺能相位学习一致。</w:t>
      </w:r>
    </w:p>
    <w:p>
      <w:pPr>
        <w:spacing w:before="0" w:after="200" w:lineRule="auto" w:line="276"/>
      </w:pPr>
      <w:r>
        <w:rPr>
          <w:b/>
        </w:rPr>
        <w:t xml:space="preserve">Abstract (EN): </w:t>
      </w:r>
      <w:r>
        <w:t>Movements become more vigorous when rewards are expected, suggesting that motivational signals influence motor control. Dopaminergic neurons, known to encode reward expectation and prediction error, are prime candidates for linking value and vigor. Here, we show that human reach vigor dynamically tracks canonical dopaminergic learning signals not only at movement onset but also during ongoing motion. Using a reaching task with probabilistic rewards (0, 33, 66, and 100%), we observed that peak velocity scaled with expected value. Crucially, following feedback, reach velocity was transiently invigorated or enervated in proportion to the sign and magnitude of the reward prediction error. Trial-by-trial changes in kinematics reflected value updating, consistent with dopaminergic phasic learning signals. These results demonstrate that movement vigor is modulated by reward-learning signals on rapid timescales, revealing a real-time behavioral readout of motivational computation in the brain.</w:t>
      </w:r>
    </w:p>
    <w:p>
      <w:pPr>
        <w:spacing w:before="120" w:after="120"/>
      </w:pPr>
      <w:r>
        <w:rPr>
          <w:sz w:val="18"/>
        </w:rPr>
        <w:t>——————————————————————————————————————————————————————————————————————</w:t>
      </w:r>
    </w:p>
    <w:p>
      <w:pPr>
        <w:spacing w:before="160" w:after="40" w:line="240" w:lineRule="auto"/>
      </w:pPr>
      <w:r>
        <w:rPr>
          <w:b/>
        </w:rPr>
        <w:t xml:space="preserve">[443] </w:t>
      </w:r>
      <w:hyperlink r:id="rId895">
        <w:r>
          <w:rPr>
            <w:color w:val="1155CC"/>
            <w:u w:val="single"/>
          </w:rPr>
          <w:t>在量子退火器上进行的磁滞实验</w:t>
        </w:r>
      </w:hyperlink>
    </w:p>
    <w:p>
      <w:pPr>
        <w:spacing w:before="0" w:after="80"/>
      </w:pPr>
      <w:r>
        <w:rPr>
          <w:i/>
          <w:sz w:val="20"/>
        </w:rPr>
        <w:t>EN: Magnetic hysteresis experiments performed on quantum annealers</w:t>
      </w:r>
    </w:p>
    <w:p>
      <w:pPr>
        <w:spacing w:before="0" w:after="120"/>
      </w:pPr>
      <w:r>
        <w:rPr>
          <w:b/>
        </w:rPr>
        <w:t xml:space="preserve">Source: </w:t>
      </w:r>
      <w:r>
        <w:t>AAAS: Science Advances: Table of Contents</w:t>
      </w:r>
      <w:r>
        <w:t xml:space="preserve">    </w:t>
      </w:r>
      <w:r>
        <w:rPr>
          <w:b/>
        </w:rPr>
        <w:t xml:space="preserve">Pub date: </w:t>
      </w:r>
      <w:r>
        <w:t>2026-02-27 08:00:00+00:00</w:t>
      </w:r>
      <w:r>
        <w:t xml:space="preserve">    </w:t>
      </w:r>
      <w:r>
        <w:rPr>
          <w:b/>
        </w:rPr>
        <w:t xml:space="preserve">DOI: </w:t>
      </w:r>
      <w:hyperlink r:id="rId896">
        <w:r>
          <w:rPr>
            <w:color w:val="1155CC"/>
            <w:u w:val="single"/>
          </w:rPr>
          <w:t>10.1126/sciadv.aeb5192</w:t>
        </w:r>
      </w:hyperlink>
    </w:p>
    <w:p>
      <w:pPr>
        <w:spacing w:before="0" w:after="120"/>
      </w:pPr>
      <w:r>
        <w:rPr>
          <w:b/>
        </w:rPr>
        <w:t xml:space="preserve">Notes: </w:t>
      </w:r>
      <w:r>
        <w:t>abstract_source=crossref</w:t>
      </w:r>
    </w:p>
    <w:p>
      <w:pPr>
        <w:spacing w:before="0" w:after="80" w:lineRule="auto" w:line="276"/>
      </w:pPr>
      <w:r>
        <w:rPr>
          <w:b/>
        </w:rPr>
        <w:t xml:space="preserve">摘要（ZH）: </w:t>
      </w:r>
      <w:r>
        <w:t>虽然量子退火器已成为研究相关自旋系统的多功能且可控的平台，但磁记忆和磁滞的重要现象在设计用于通过量子隧穿逃离亚稳态的硬件上仍未被探索。在此，我们提出了第一个在可编程量子退火器上实验磁滞的通用协议，并在三个D-Wave超导量子比特量子退火器上实施，使用多达数千个自旋，适用于铁磁和无序伊辛模型，并跨越不同的图拓扑。我们观察到磁滞回线，其面积非单调地依赖于量子波动，表现出预期和意外的特征，如无序引起的阶跃和非单调性。我们的工作确立了</w:t>
      </w:r>
    </w:p>
    <w:p>
      <w:pPr>
        <w:spacing w:before="0" w:after="200" w:lineRule="auto" w:line="276"/>
      </w:pPr>
      <w:r>
        <w:rPr>
          <w:b/>
        </w:rPr>
        <w:t xml:space="preserve">Abstract (EN): </w:t>
      </w:r>
      <w:r>
        <w:t>While quantum annealers have emerged as versatile and controllable platforms for experimenting on correlated spin systems, the important phenomenology of magnetic memory and hysteresis remain unexplored on hardware designed to escape metastable states via quantum tunneling. Here, we present the first general protocol to experiment on magnetic hysteresis on programmable quantum annealers and implement it on three D-Wave superconducting qubit quantum annealers, using up to thousands of spins, for both ferromagnetic and disordered Ising models, and across different graph topologies. We observe hysteresis loops whose area depends nonmonotonically on quantum fluctuations, exhibiting both expected and unexpected features, such as disorder-induced steps and nonmonotonicities. Our work establishes quantum annealers as a platform for probing nonequilibrium emergent magnetic phenomena, thereby broadening the role of analog quantum computers into foundational questions in condensed matter physics.</w:t>
      </w:r>
    </w:p>
    <w:p>
      <w:pPr>
        <w:spacing w:before="120" w:after="120"/>
      </w:pPr>
      <w:r>
        <w:rPr>
          <w:sz w:val="18"/>
        </w:rPr>
        <w:t>——————————————————————————————————————————————————————————————————————</w:t>
      </w:r>
    </w:p>
    <w:p>
      <w:pPr>
        <w:spacing w:before="160" w:after="40" w:line="240" w:lineRule="auto"/>
      </w:pPr>
      <w:r>
        <w:rPr>
          <w:b/>
        </w:rPr>
        <w:t xml:space="preserve">[444] </w:t>
      </w:r>
      <w:hyperlink r:id="rId897">
        <w:r>
          <w:rPr>
            <w:color w:val="1155CC"/>
            <w:u w:val="single"/>
          </w:rPr>
          <w:t>[ASAP] 强激子限制实现混合双金属卤化物中接近单位的光致发光量子效率</w:t>
        </w:r>
      </w:hyperlink>
    </w:p>
    <w:p>
      <w:pPr>
        <w:spacing w:before="0" w:after="80"/>
      </w:pPr>
      <w:r>
        <w:rPr>
          <w:i/>
          <w:sz w:val="20"/>
        </w:rPr>
        <w:t>EN: [ASAP] Strong Exciton Confinement Enabling Near-Unity Photoluminescence Quantum Efficiency in Hybrid Bimetallic Halides</w:t>
      </w:r>
    </w:p>
    <w:p>
      <w:pPr>
        <w:spacing w:before="0" w:after="120"/>
      </w:pPr>
      <w:r>
        <w:rPr>
          <w:b/>
        </w:rPr>
        <w:t xml:space="preserve">Source: </w:t>
      </w:r>
      <w:r>
        <w:t>Journal of the American Chemical Society: Latest Articles (ACS Publications)</w:t>
      </w:r>
      <w:r>
        <w:t xml:space="preserve">    </w:t>
      </w:r>
      <w:r>
        <w:rPr>
          <w:b/>
        </w:rPr>
        <w:t xml:space="preserve">Pub date: </w:t>
      </w:r>
      <w:r>
        <w:t>2026-02-27 09:00:01+00:00</w:t>
      </w:r>
      <w:r>
        <w:t xml:space="preserve">    </w:t>
      </w:r>
      <w:r>
        <w:rPr>
          <w:b/>
        </w:rPr>
        <w:t xml:space="preserve">DOI: </w:t>
      </w:r>
      <w:hyperlink r:id="rId898">
        <w:r>
          <w:rPr>
            <w:color w:val="1155CC"/>
            <w:u w:val="single"/>
          </w:rPr>
          <w:t>10.1021/jacs.5c23218</w:t>
        </w:r>
      </w:hyperlink>
    </w:p>
    <w:p>
      <w:pPr>
        <w:spacing w:before="0" w:after="120"/>
      </w:pPr>
      <w:r>
        <w:rPr>
          <w:b/>
        </w:rPr>
        <w:t xml:space="preserve">Notes: </w:t>
      </w:r>
      <w:r>
        <w:t>abstract_source=pubmed</w:t>
      </w:r>
    </w:p>
    <w:p>
      <w:pPr>
        <w:spacing w:before="0" w:after="80" w:lineRule="auto" w:line="276"/>
      </w:pPr>
      <w:r>
        <w:rPr>
          <w:b/>
        </w:rPr>
        <w:t xml:space="preserve">摘要（ZH）: </w:t>
      </w:r>
      <w:r>
        <w:t>高效且结构稳定的零维（0D）杂化锑卤化物材料的开发仍然面临巨大挑战，因为其设计原则主要依赖于有限且耗时的试错法。在此，采用主客化学策略在A位设计了一系列杂化锑基双金属卤化物（HABHs），其通用公式为[A(L)6][BCln]（A = 镧系和碱土金属；B = Sb, In, 和 Bi；L = 具有不同取代基的尿素配体）。通过调整大[ A(L)6]2+/3+簇的空间效应，实现了可控的结构调节，达到了宽光致发光（PL）光谱调制和超过98%的高光致发光量子效率（PLQY）。某些光物理性质可以很好地与特定</w:t>
      </w:r>
    </w:p>
    <w:p>
      <w:pPr>
        <w:spacing w:before="0" w:after="200" w:lineRule="auto" w:line="276"/>
      </w:pPr>
      <w:r>
        <w:rPr>
          <w:b/>
        </w:rPr>
        <w:t xml:space="preserve">Abstract (EN): </w:t>
      </w:r>
      <w:r>
        <w:t>Development of efficient and structurally stable zero-dimensional (0D) hybrid antimony halide materials still encounters huge challenges due to the limited and time-consuming trial-and-error design principle. Here, a host-guest chemistry strategy is employed at the A-site to design a series of hybrid antimony-based bimetallic halides (HABHs) with a general formula of [A(L)6][BCln] (A = lanthanide and alkaline earth metals; B = Sb, In, and Bi; and L = urea ligands with different substituents). Controllable structural regulation is achieved by adjusting the steric effect of large [A(L)6]2+/3+ clusters, realizing a wide photoluminescence (PL) spectral modulation and high photoluminescence quantum efficiency (PLQY) over 98%. Some photophysical properties could be well correlated with specific structural changes. The PL spectral profile and emission energy are mainly dependent on the distortion of the SbCln polyhedra. In particular, a quantitatively exponential relationship between PLQY and structural parameters (bond distortion, angle deviation, and the defined effective Cl number describing the integrity of the hydrogen bonding network) related to the [SbCln](n-3)- sublattice has been reasonably established. As supported by theoretical calculations and photophysical analysis, strong exciton localization with negligible nonradiative recombination has been demonstrated for high PLQY, which results from a highly symmetrical rigid structure and the "shielding effect" of a complete hydrogen bonding network. Environmental stability and unique temperature-dependent PL behaviors enable multiapplications. This work proposes a quantitative "structure-property" correlation insight for new hybrid antimony halides, providing a direction for advancing the design of efficient hybrid metal halide materials.</w:t>
      </w:r>
    </w:p>
    <w:p>
      <w:pPr>
        <w:spacing w:before="120" w:after="120"/>
      </w:pPr>
      <w:r>
        <w:rPr>
          <w:sz w:val="18"/>
        </w:rPr>
        <w:t>——————————————————————————————————————————————————————————————————————</w:t>
      </w:r>
    </w:p>
    <w:p>
      <w:pPr>
        <w:spacing w:before="160" w:after="40" w:line="240" w:lineRule="auto"/>
      </w:pPr>
      <w:r>
        <w:rPr>
          <w:b/>
        </w:rPr>
        <w:t xml:space="preserve">[445] </w:t>
      </w:r>
      <w:hyperlink r:id="rId899">
        <w:r>
          <w:rPr>
            <w:color w:val="1155CC"/>
            <w:u w:val="single"/>
          </w:rPr>
          <w:t>[ASAP] 报告过电位中的隐藏变异性：轻微环境温度和pH变化对水氧化反应的影响</w:t>
        </w:r>
      </w:hyperlink>
    </w:p>
    <w:p>
      <w:pPr>
        <w:spacing w:before="0" w:after="80"/>
      </w:pPr>
      <w:r>
        <w:rPr>
          <w:i/>
          <w:sz w:val="20"/>
        </w:rPr>
        <w:t>EN: [ASAP] The Hidden Variability in Reporting Overpotential: Impact of Slight Ambient Temperature and pH Variations on the Water Oxidation Reaction</w:t>
      </w:r>
    </w:p>
    <w:p>
      <w:pPr>
        <w:spacing w:before="0" w:after="120"/>
      </w:pPr>
      <w:r>
        <w:rPr>
          <w:b/>
        </w:rPr>
        <w:t xml:space="preserve">Source: </w:t>
      </w:r>
      <w:r>
        <w:t>ACS Energy Letters: Latest Articles (ACS Publications)</w:t>
      </w:r>
      <w:r>
        <w:t xml:space="preserve">    </w:t>
      </w:r>
      <w:r>
        <w:rPr>
          <w:b/>
        </w:rPr>
        <w:t xml:space="preserve">Pub date: </w:t>
      </w:r>
      <w:r>
        <w:t>2026-02-27 09:31:14+00:00</w:t>
      </w:r>
      <w:r>
        <w:t xml:space="preserve">    </w:t>
      </w:r>
      <w:r>
        <w:rPr>
          <w:b/>
        </w:rPr>
        <w:t xml:space="preserve">DOI: </w:t>
      </w:r>
      <w:hyperlink r:id="rId900">
        <w:r>
          <w:rPr>
            <w:color w:val="1155CC"/>
            <w:u w:val="single"/>
          </w:rPr>
          <w:t>10.1021/acsenergylett.5c04320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[446] </w:t>
      </w:r>
      <w:hyperlink r:id="rId901">
        <w:r>
          <w:rPr>
            <w:color w:val="1155CC"/>
            <w:u w:val="single"/>
          </w:rPr>
          <w:t>[ASAP] 工程聚合物-脂质集成纳米颗粒的定量设计原则用于器官选择性mRNA递送</w:t>
        </w:r>
      </w:hyperlink>
    </w:p>
    <w:p>
      <w:pPr>
        <w:spacing w:before="0" w:after="80"/>
      </w:pPr>
      <w:r>
        <w:rPr>
          <w:i/>
          <w:sz w:val="20"/>
        </w:rPr>
        <w:t>EN: [ASAP] Engineering Polymer–Lipid Integrated Nanoparticles with Quantitative Design Principles for Organ-Selective mRNA Delivery</w:t>
      </w:r>
    </w:p>
    <w:p>
      <w:pPr>
        <w:spacing w:before="0" w:after="120"/>
      </w:pPr>
      <w:r>
        <w:rPr>
          <w:b/>
        </w:rPr>
        <w:t xml:space="preserve">Source: </w:t>
      </w:r>
      <w:r>
        <w:t>Journal of the American Chemical Society: Latest Articles (ACS Publications)</w:t>
      </w:r>
      <w:r>
        <w:t xml:space="preserve">    </w:t>
      </w:r>
      <w:r>
        <w:rPr>
          <w:b/>
        </w:rPr>
        <w:t xml:space="preserve">Pub date: </w:t>
      </w:r>
      <w:r>
        <w:t>2026-02-27 09:39:45+00:00</w:t>
      </w:r>
      <w:r>
        <w:t xml:space="preserve">    </w:t>
      </w:r>
      <w:r>
        <w:rPr>
          <w:b/>
        </w:rPr>
        <w:t xml:space="preserve">DOI: </w:t>
      </w:r>
      <w:hyperlink r:id="rId902">
        <w:r>
          <w:rPr>
            <w:color w:val="1155CC"/>
            <w:u w:val="single"/>
          </w:rPr>
          <w:t>10.1021/jacs.5c22504</w:t>
        </w:r>
      </w:hyperlink>
    </w:p>
    <w:p>
      <w:pPr>
        <w:spacing w:before="0" w:after="120"/>
      </w:pPr>
      <w:r>
        <w:rPr>
          <w:b/>
        </w:rPr>
        <w:t xml:space="preserve">Notes: </w:t>
      </w:r>
      <w:r>
        <w:t>abstract_source=openalex</w:t>
      </w:r>
    </w:p>
    <w:p>
      <w:pPr>
        <w:spacing w:before="0" w:after="80" w:lineRule="auto" w:line="276"/>
      </w:pPr>
      <w:r>
        <w:rPr>
          <w:b/>
        </w:rPr>
        <w:t xml:space="preserve">摘要（ZH）: </w:t>
      </w:r>
      <w:r>
        <w:t>mRNA的治疗成功关键在于能够实现稳健且器官选择性体内靶向的递送系统。然而，实现这种精确性仍然困难，因为纳米颗粒组成与体内递送结果之间的关系高度非线性，无法通过传统的经验筛选完全解决。在此，我们提出了一个定量设计框架，将I-最优实验设计（DOE）策略与预测回归建模相结合，以定义聚合物-脂质集成纳米颗粒（PLINs）的配方-生物分布关系。该PLIN架构由两亲性聚酯和阳离子/可离子化脂质组成，设计时不含胆固醇或辅助脂质，扩展了可访问的化学设计空间</w:t>
      </w:r>
    </w:p>
    <w:p>
      <w:pPr>
        <w:spacing w:before="0" w:after="200" w:lineRule="auto" w:line="276"/>
      </w:pPr>
      <w:r>
        <w:rPr>
          <w:b/>
        </w:rPr>
        <w:t xml:space="preserve">Abstract (EN): </w:t>
      </w:r>
      <w:r>
        <w:t>The therapeutic success of mRNA critically depends on delivery systems capable of robust and organ-selective in vivo targeting. However, achieving such precision remains difficult because the relationships between nanoparticle composition and in vivo delivery outcomes are highly nonlinear and cannot be fully resolved through conventional empirical screening. Here, we present a quantitative design framework that integrates an I-optimal design-of-experiments (DOE) strategy with predictive regression modeling to define the formulation-biodistribution relationships of polymer-lipid integrated nanoparticles (PLINs). This PLIN architecture, composed of amphiphilic polyesters and cationic/ionizable lipids and designed without cholesterol or helper lipids, expands the accessible chemical design space beyond that of conventional lipid nanoparticles. The I-optimal DoE identifies a minimal yet information-rich set of 15 formulations, enabling the construction of predictive regression models (&lt;i&gt;R&lt;/i&gt;&lt;sup&gt;2&lt;/sup&gt; &gt; 0.96) that quantitatively link formulation parameters to organ-specific mRNA expression in vivo. Model-guided optimization yields PLINs with up to 91% lung or 96% spleen selectivity, and mechanistic studies reveal the key physicochemical determinants underlying these organ-tropic behaviors. The resulting design rules are generalized across diverse therapeutic contexts, including somatic genome editing, cytokine delivery for acute lung injury, and antigen-specific cancer vaccination. Together, this model-driven and material-divergent framework establishes a quantitative and generalizable principle for engineering organ-targeted mRNA delivery systems.</w:t>
      </w:r>
    </w:p>
    <w:p>
      <w:pPr>
        <w:spacing w:before="120" w:after="120"/>
      </w:pPr>
      <w:r>
        <w:rPr>
          <w:sz w:val="18"/>
        </w:rPr>
        <w:t>——————————————————————————————————————————————————————————————————————</w:t>
      </w:r>
    </w:p>
    <w:p>
      <w:pPr>
        <w:spacing w:before="160" w:after="40" w:line="240" w:lineRule="auto"/>
      </w:pPr>
      <w:r>
        <w:rPr>
          <w:b/>
        </w:rPr>
        <w:t xml:space="preserve">[447] </w:t>
      </w:r>
      <w:hyperlink r:id="rId903">
        <w:r>
          <w:rPr>
            <w:color w:val="1155CC"/>
            <w:u w:val="single"/>
          </w:rPr>
          <w:t>[ASAP] 一种用于性能增强的聚合物主链编辑策略</w:t>
        </w:r>
      </w:hyperlink>
    </w:p>
    <w:p>
      <w:pPr>
        <w:spacing w:before="0" w:after="80"/>
      </w:pPr>
      <w:r>
        <w:rPr>
          <w:i/>
          <w:sz w:val="20"/>
        </w:rPr>
        <w:t>EN: [ASAP] A Polymer Backbone Editing Strategy for Property Enhancement</w:t>
      </w:r>
    </w:p>
    <w:p>
      <w:pPr>
        <w:spacing w:before="0" w:after="120"/>
      </w:pPr>
      <w:r>
        <w:rPr>
          <w:b/>
        </w:rPr>
        <w:t xml:space="preserve">Source: </w:t>
      </w:r>
      <w:r>
        <w:t>Journal of the American Chemical Society: Latest Articles (ACS Publications)</w:t>
      </w:r>
      <w:r>
        <w:t xml:space="preserve">    </w:t>
      </w:r>
      <w:r>
        <w:rPr>
          <w:b/>
        </w:rPr>
        <w:t xml:space="preserve">Pub date: </w:t>
      </w:r>
      <w:r>
        <w:t>2026-02-27 09:40:58+00:00</w:t>
      </w:r>
      <w:r>
        <w:t xml:space="preserve">    </w:t>
      </w:r>
      <w:r>
        <w:rPr>
          <w:b/>
        </w:rPr>
        <w:t xml:space="preserve">DOI: </w:t>
      </w:r>
      <w:hyperlink r:id="rId904">
        <w:r>
          <w:rPr>
            <w:color w:val="1155CC"/>
            <w:u w:val="single"/>
          </w:rPr>
          <w:t>10.1021/jacs.5c21829</w:t>
        </w:r>
      </w:hyperlink>
    </w:p>
    <w:p>
      <w:pPr>
        <w:spacing w:before="0" w:after="120"/>
      </w:pPr>
      <w:r>
        <w:rPr>
          <w:b/>
        </w:rPr>
        <w:t xml:space="preserve">Notes: </w:t>
      </w:r>
      <w:r>
        <w:t>abstract_source=pubmed</w:t>
      </w:r>
    </w:p>
    <w:p>
      <w:pPr>
        <w:spacing w:before="0" w:after="80" w:lineRule="auto" w:line="276"/>
      </w:pPr>
      <w:r>
        <w:rPr>
          <w:b/>
        </w:rPr>
        <w:t xml:space="preserve">摘要（ZH）: </w:t>
      </w:r>
      <w:r>
        <w:t>聚合物的性质与其微观结构密切相关，特别是其主链结构。聚合物主链编辑（PBE）通过聚合后修饰改变主链结构。然而，利用这一策略来改变聚合物材料性质的研究仍然很少。在这项研究中，采用PBE策略修改聚降冰片烯（PNB）的主链结构，以增强其综合材料性能。该PBE策略包括两个步骤，PNB的环氧化和所得环氧化聚降冰片烯（EPNB）的环扩反应，在不引起聚合物降解或交联的情况下实现了高效和选择性。实验研究了环扩反应机制</w:t>
      </w:r>
    </w:p>
    <w:p>
      <w:pPr>
        <w:spacing w:before="0" w:after="200" w:lineRule="auto" w:line="276"/>
      </w:pPr>
      <w:r>
        <w:rPr>
          <w:b/>
        </w:rPr>
        <w:t xml:space="preserve">Abstract (EN): </w:t>
      </w:r>
      <w:r>
        <w:t>The properties of polymers are closely related to their microstructure, particularly their backbone architecture. Polymer backbone editing (PBE) transforms the backbone architecture through postpolymerization modification. However, the utilization of this strategy to alter polymer material properties has remained largely unexplored. In this study, a PBE strategy was employed to modify the backbone architecture of a polynorbornene (PNB) to enhance its comprehensive material properties. This PBE strategy involved two steps, the epoxidation of PNB and a ring expansion reaction of the resulting epoxidized polynorbornene (EPNB), which achieved high efficiency and selectivity without causing polymer degradation or cross-linking. The ring expansion reaction mechanism was investigated experimentally and via density functional theory (DFT) calculations. The results revealed that a Lewis acid catalyzed the activation of the C-O bonds. This reaction generated a rigid main-chain architecture with bridged ring units with significantly improved heat resistance (Tg = 233 °C) and mechanical properties. Due to the introduction of polar oxygen-containing functional groups, the PBE products exhibited greater hydrophilicity and adhesion to inorganic substrates than PNB with a hydrocarbon chain structure. This PBE strategy provides a promising approach to improving the material properties of polymers after their formation.</w:t>
      </w:r>
    </w:p>
    <w:p>
      <w:pPr>
        <w:spacing w:before="120" w:after="120"/>
      </w:pPr>
      <w:r>
        <w:rPr>
          <w:sz w:val="18"/>
        </w:rPr>
        <w:t>——————————————————————————————————————————————————————————————————————</w:t>
      </w:r>
    </w:p>
    <w:p>
      <w:pPr>
        <w:spacing w:before="160" w:after="40" w:line="240" w:lineRule="auto"/>
      </w:pPr>
      <w:r>
        <w:rPr>
          <w:b/>
        </w:rPr>
        <w:t xml:space="preserve">[448] </w:t>
      </w:r>
      <w:hyperlink r:id="rId905">
        <w:r>
          <w:rPr>
            <w:color w:val="1155CC"/>
            <w:u w:val="single"/>
          </w:rPr>
          <w:t>[ASAP] 具有生物正交荧光探针和工程化报告酶的低背景癌症成像，带有靶向基团</w:t>
        </w:r>
      </w:hyperlink>
    </w:p>
    <w:p>
      <w:pPr>
        <w:spacing w:before="0" w:after="80"/>
      </w:pPr>
      <w:r>
        <w:rPr>
          <w:i/>
          <w:sz w:val="20"/>
        </w:rPr>
        <w:t>EN: [ASAP] Low-Background Cancer Imaging with a Bioorthogonal Fluorescence Probe and Engineered Reporter Enzyme Bearing a Targeting Moiety</w:t>
      </w:r>
    </w:p>
    <w:p>
      <w:pPr>
        <w:spacing w:before="0" w:after="120"/>
      </w:pPr>
      <w:r>
        <w:rPr>
          <w:b/>
        </w:rPr>
        <w:t xml:space="preserve">Source: </w:t>
      </w:r>
      <w:r>
        <w:t>Journal of the American Chemical Society: Latest Articles (ACS Publications)</w:t>
      </w:r>
      <w:r>
        <w:t xml:space="preserve">    </w:t>
      </w:r>
      <w:r>
        <w:rPr>
          <w:b/>
        </w:rPr>
        <w:t xml:space="preserve">Pub date: </w:t>
      </w:r>
      <w:r>
        <w:t>2026-02-27 10:00:10+00:00</w:t>
      </w:r>
      <w:r>
        <w:t xml:space="preserve">    </w:t>
      </w:r>
      <w:r>
        <w:rPr>
          <w:b/>
        </w:rPr>
        <w:t xml:space="preserve">DOI: </w:t>
      </w:r>
      <w:hyperlink r:id="rId906">
        <w:r>
          <w:rPr>
            <w:color w:val="1155CC"/>
            <w:u w:val="single"/>
          </w:rPr>
          <w:t>10.1021/jacs.5c14173</w:t>
        </w:r>
      </w:hyperlink>
    </w:p>
    <w:p>
      <w:pPr>
        <w:spacing w:before="0" w:after="120"/>
      </w:pPr>
      <w:r>
        <w:rPr>
          <w:b/>
        </w:rPr>
        <w:t xml:space="preserve">Notes: </w:t>
      </w:r>
      <w:r>
        <w:t>abstract_source=pubmed</w:t>
      </w:r>
    </w:p>
    <w:p>
      <w:pPr>
        <w:spacing w:before="0" w:after="80" w:lineRule="auto" w:line="276"/>
      </w:pPr>
      <w:r>
        <w:rPr>
          <w:b/>
        </w:rPr>
        <w:t xml:space="preserve">摘要（ZH）: </w:t>
      </w:r>
      <w:r>
        <w:t>抗体-报告酶结合物与酶激活的荧光探针的组合使用是荧光引导癌症手术的强大策略。然而，传统的典型报告酶探针缺乏足够的生物正交性，导致非靶组织中高背景信号。我们筛选了一个基于HMRef（罗丹衍生物）的荧光探针库，具有各种糖基，发现HMRef-β-d-岩藻糖在哺乳动物系统中是生物正交的，但可被一个元基因组糖苷酶Td2F2激活。定向进化产生了一个突变体，其kcat/Km为3.3 × 105/M/sec，比野生型Td2F2高7.3倍，并且与其对应探针的β-半乳糖苷酶（LacZ）相当。理论计算表明E296G突变促进了探针</w:t>
      </w:r>
    </w:p>
    <w:p>
      <w:pPr>
        <w:spacing w:before="0" w:after="200" w:lineRule="auto" w:line="276"/>
      </w:pPr>
      <w:r>
        <w:rPr>
          <w:b/>
        </w:rPr>
        <w:t xml:space="preserve">Abstract (EN): </w:t>
      </w:r>
      <w:r>
        <w:t>Combinatorial use of an antibody-reporter enzyme conjugate and a fluorescence probe activated by the enzyme is a powerful strategy for fluorescence-guided cancer surgery. However, conventional probes for typical reporter enzymes lack sufficient bioorthogonality, leading to high background signals in nontarget tissues. We screened a library of HMRef (rhodol derivative)-based fluorescence probes with various sugar moieties and found that HMRef-β-d-Fucose is bioorthogonal in mammalian systems but is activated by a metagenomic glycosidase, Td2F2. Directed evolution generated a mutant with a kcat/Km of 3.3 × 105/M/sec, 7.3 times higher than wild-type Td2F2 and comparable to β-galactosidase (LacZ) with its corresponding probe. Theoretical calculation suggested the E296G mutation facilitates probe access to the enzyme's active site. In a proof-of-concept study, SKOV-3 cells, which endogenously express HER2, were visualized with minimal background in the mesentery of a mouse model using HMRef-β-d-Fucose and engineered Td2F2 conjugated or fused to a HER2-binding antibody or nanobody.</w:t>
      </w:r>
    </w:p>
    <w:p>
      <w:pPr>
        <w:spacing w:before="120" w:after="120"/>
      </w:pPr>
      <w:r>
        <w:rPr>
          <w:sz w:val="18"/>
        </w:rPr>
        <w:t>——————————————————————————————————————————————————————————————————————</w:t>
      </w:r>
    </w:p>
    <w:p>
      <w:pPr>
        <w:spacing w:before="160" w:after="40" w:line="240" w:lineRule="auto"/>
      </w:pPr>
      <w:r>
        <w:rPr>
          <w:b/>
        </w:rPr>
        <w:t xml:space="preserve">[449] </w:t>
      </w:r>
      <w:hyperlink r:id="rId907">
        <w:r>
          <w:rPr>
            <w:color w:val="1155CC"/>
            <w:u w:val="single"/>
          </w:rPr>
          <w:t>可扩展和可定制的单原子涂层用于pH通用的H2O2电合成</w:t>
        </w:r>
      </w:hyperlink>
    </w:p>
    <w:p>
      <w:pPr>
        <w:spacing w:before="0" w:after="80"/>
      </w:pPr>
      <w:r>
        <w:rPr>
          <w:i/>
          <w:sz w:val="20"/>
        </w:rPr>
        <w:t>EN: Scalable and Customizable Single‐Atom Coatings for pH‐Universal H2O2 Electrosynthesis</w:t>
      </w:r>
    </w:p>
    <w:p>
      <w:pPr>
        <w:spacing w:before="0" w:after="120"/>
      </w:pPr>
      <w:r>
        <w:rPr>
          <w:b/>
        </w:rPr>
        <w:t xml:space="preserve">Source: </w:t>
      </w:r>
      <w:r>
        <w:t>Wiley: Advanced Materials: Table of Contents</w:t>
      </w:r>
      <w:r>
        <w:t xml:space="preserve">    </w:t>
      </w:r>
      <w:r>
        <w:rPr>
          <w:b/>
        </w:rPr>
        <w:t xml:space="preserve">Pub date: </w:t>
      </w:r>
      <w:r>
        <w:t>2026-02-27 10:19:44+00:00</w:t>
      </w:r>
      <w:r>
        <w:t xml:space="preserve">    </w:t>
      </w:r>
      <w:r>
        <w:rPr>
          <w:b/>
        </w:rPr>
        <w:t xml:space="preserve">DOI: </w:t>
      </w:r>
      <w:hyperlink r:id="rId908">
        <w:r>
          <w:rPr>
            <w:color w:val="1155CC"/>
            <w:u w:val="single"/>
          </w:rPr>
          <w:t>10.1002/adma.202521237</w:t>
        </w:r>
      </w:hyperlink>
    </w:p>
    <w:p>
      <w:pPr>
        <w:spacing w:before="0" w:after="120"/>
      </w:pPr>
      <w:r>
        <w:rPr>
          <w:b/>
        </w:rPr>
        <w:t xml:space="preserve">Notes: </w:t>
      </w:r>
      <w:r>
        <w:t>abstract_source=pubmed</w:t>
      </w:r>
    </w:p>
    <w:p>
      <w:pPr>
        <w:spacing w:before="0" w:after="80" w:lineRule="auto" w:line="276"/>
      </w:pPr>
      <w:r>
        <w:rPr>
          <w:b/>
        </w:rPr>
        <w:t xml:space="preserve">摘要（ZH）: </w:t>
      </w:r>
      <w:r>
        <w:t>实现基于单原子催化剂的气体扩散电极（SAC-GDEs）的可扩展制造仍然具有挑战性。在此，开发了一种通用的一步烟灰沉积路线，将各种含金属的石蜡转化为多种电极（1D纤维、2D板和3D泡沫）上的一致单原子催化剂（SAC）涂层。该过程提供了从前体定义的分子配位到微孔润湿性和宏观几何形状的多尺度控制，以集体设计出层次化涂层膜，结合了强化的传质和高本征催化活性，以实现高效的H2O2电合成。作为设备级演示，Pd-SAC-GDE在工业级电流（500 mA cm-2）下实现了pH通用的H2O2生产，持续100小时，</w:t>
      </w:r>
    </w:p>
    <w:p>
      <w:pPr>
        <w:spacing w:before="0" w:after="200" w:lineRule="auto" w:line="276"/>
      </w:pPr>
      <w:r>
        <w:rPr>
          <w:b/>
        </w:rPr>
        <w:t xml:space="preserve">Abstract (EN): </w:t>
      </w:r>
      <w:r>
        <w:t>Achieving scalable fabrication of robust and uniform single-atom catalyst-based gas-diffusion electrodes (SAC-GDEs) remains challenging. Here, a universal one-step soot-deposition route was developed to convert various metal-containing paraffins into conformal single-atom catalyst (SAC) coatings on diverse electrodes (1D fibers, 2D plates, and 3D foams). The process provides multiscale control, from precursor-defined molecular coordination to micropore wettability and macroscopic geometry, to collectively engineer hierarchical coating films that couple intensified mass transfer and high intrinsic catalytic activity for efficient H2O2 electrosynthesis. As a device-level demonstration, Pd-SAC-GDE delivers pH-universal H2O2 production under an industrial-level current (500 mA cm-2) for 100 h, achieving a record-high H2O2 yield of 16.9 mol g-1 h-1. A tip-enhanced mechanism was proposed based on constant-potential calculations. The results reveal that the curvature-enhanced localized electric field promotes O2 polarization and activation at the Pd-O3 sites, thereby facilitating both *OOH generation and adsorption and ultimately leading to highly selective H2O2 production. This facile, broadly applicable fabrication strategy significantly advances the scalable manufacture of SAC-coated GDEs for environmental and sustainable catalysis.</w:t>
      </w:r>
    </w:p>
    <w:p>
      <w:pPr>
        <w:spacing w:before="120" w:after="120"/>
      </w:pPr>
      <w:r>
        <w:rPr>
          <w:sz w:val="18"/>
        </w:rPr>
        <w:t>——————————————————————————————————————————————————————————————————————</w:t>
      </w:r>
    </w:p>
    <w:p>
      <w:pPr>
        <w:spacing w:before="160" w:after="40" w:line="240" w:lineRule="auto"/>
      </w:pPr>
      <w:r>
        <w:rPr>
          <w:b/>
        </w:rPr>
        <w:t xml:space="preserve">[450] </w:t>
      </w:r>
      <w:hyperlink r:id="rId909">
        <w:r>
          <w:rPr>
            <w:color w:val="1155CC"/>
            <w:u w:val="single"/>
          </w:rPr>
          <w:t>[ASAP] 一种通过有机硼介导的有氧串联聚合反应进行嵌段共聚物一锅合成的通用平台</w:t>
        </w:r>
      </w:hyperlink>
    </w:p>
    <w:p>
      <w:pPr>
        <w:spacing w:before="0" w:after="80"/>
      </w:pPr>
      <w:r>
        <w:rPr>
          <w:i/>
          <w:sz w:val="20"/>
        </w:rPr>
        <w:t>EN: [ASAP] A Universal Platform for One-Pot Synthesis of Block Copolymers via Organoborane-Mediated Aerobic Tandem 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2026-02-27 10:20:08+00:00</w:t>
      </w:r>
      <w:r>
        <w:t xml:space="preserve">    </w:t>
      </w:r>
      <w:r>
        <w:rPr>
          <w:b/>
        </w:rPr>
        <w:t xml:space="preserve">DOI: </w:t>
      </w:r>
      <w:hyperlink r:id="rId910">
        <w:r>
          <w:rPr>
            <w:color w:val="1155CC"/>
            <w:u w:val="single"/>
          </w:rPr>
          <w:t>10.1021/jacs.5c20519</w:t>
        </w:r>
      </w:hyperlink>
    </w:p>
    <w:p>
      <w:pPr>
        <w:spacing w:before="0" w:after="120"/>
      </w:pPr>
      <w:r>
        <w:rPr>
          <w:b/>
        </w:rPr>
        <w:t xml:space="preserve">Notes: </w:t>
      </w:r>
      <w:r>
        <w:t>abstract_source=pubmed</w:t>
      </w:r>
    </w:p>
    <w:p>
      <w:pPr>
        <w:spacing w:before="0" w:after="80" w:lineRule="auto" w:line="276"/>
      </w:pPr>
      <w:r>
        <w:rPr>
          <w:b/>
        </w:rPr>
        <w:t xml:space="preserve">摘要（ZH）: </w:t>
      </w:r>
      <w:r>
        <w:t>嵌段共聚物对先进材料至关重要，但从不同单体类别构建多样化、定义明确的嵌段结构的一般且操作简单的策略仍然难以实现。在此，我们报告了一种有机硼介导的有氧串联聚合系统，该系统无缝连接可逆加成-断裂链转移（RAFT）聚合与八种开环（共）聚合（RO(CO)P）技术。这个统一的平台使得一锅合成广泛的嵌段共聚物成为可能，包括聚醚、聚酯、聚肽、CO2衍生的聚碳酸酯、聚氮丙啶、聚（酯硫酯）和聚（酯酰胺）嵌段聚丙烯酸酯。机制研究表明，强亲核的RO(CO)P活性物种（RX-，X = O, N</w:t>
      </w:r>
    </w:p>
    <w:p>
      <w:pPr>
        <w:spacing w:before="0" w:after="200" w:lineRule="auto" w:line="276"/>
      </w:pPr>
      <w:r>
        <w:rPr>
          <w:b/>
        </w:rPr>
        <w:t xml:space="preserve">Abstract (EN): </w:t>
      </w:r>
      <w:r>
        <w:t>Block copolymers are pivotal to advanced materials, yet a general and operationally simple strategy for constructing diverse, well-defined block architectures from distinct monomer classes remains elusive. Here, we report an organoborane-mediated aerobic tandem polymerization system that seamlessly interlinks reversible addition-fragmentation chain-transfer (RAFT) polymerization with eight ring-opening (co)polymerization (RO(CO)P) techniques. This unified platform enables one-pot synthesis of an extensive array of block copolymers, including polyether-, polyester-, polypeptide-, CO2-derived polycarbonate-, polyaziridine-, poly(ester thioester)-, and poly(ester amide)-block-polyacrylates. Mechanistic investigations demonstrate that strongly nucleophilic RO(CO)P active species (RX-, X = O, N) react with an anhydride/thioanhydride to form less nucleophilic intermediates (RCOY-, Y = O, S), which unlocks the controlled autoxidation of organoborane by O2. This process generates alkyl radicals in situ and initiates a clean mechanistic switch from RO(CO)P to RAFT polymerization. Our work establishes a versatile and scalable route to previously inaccessible block copolymers while providing a general framework for unifying disparate polymerization mechanisms, opening broad avenues in polymer science and functional materials design.</w:t>
      </w:r>
    </w:p>
    <w:p>
      <w:pPr>
        <w:spacing w:before="120" w:after="120"/>
      </w:pPr>
      <w:r>
        <w:rPr>
          <w:sz w:val="18"/>
        </w:rPr>
        <w:t>——————————————————————————————————————————————————————————————————————</w:t>
      </w:r>
    </w:p>
    <w:p>
      <w:pPr>
        <w:spacing w:before="160" w:after="40" w:line="240" w:lineRule="auto"/>
      </w:pPr>
      <w:r>
        <w:rPr>
          <w:b/>
        </w:rPr>
        <w:t xml:space="preserve">[451] </w:t>
      </w:r>
      <w:hyperlink r:id="rId911">
        <w:r>
          <w:rPr>
            <w:color w:val="1155CC"/>
            <w:u w:val="single"/>
          </w:rPr>
          <w:t>金属微结构中封装的微升液体的热力学</w:t>
        </w:r>
      </w:hyperlink>
    </w:p>
    <w:p>
      <w:pPr>
        <w:spacing w:before="0" w:after="80"/>
      </w:pPr>
      <w:r>
        <w:rPr>
          <w:i/>
          <w:sz w:val="20"/>
        </w:rPr>
        <w:t>EN: Thermomechanics of Picoliter Liquids Encapsulated in Metal Microarchitectures</w:t>
      </w:r>
    </w:p>
    <w:p>
      <w:pPr>
        <w:spacing w:before="0" w:after="120"/>
      </w:pPr>
      <w:r>
        <w:rPr>
          <w:b/>
        </w:rPr>
        <w:t xml:space="preserve">Source: </w:t>
      </w:r>
      <w:r>
        <w:t>Wiley: Advanced Materials: Table of Contents</w:t>
      </w:r>
      <w:r>
        <w:t xml:space="preserve">    </w:t>
      </w:r>
      <w:r>
        <w:rPr>
          <w:b/>
        </w:rPr>
        <w:t xml:space="preserve">Pub date: </w:t>
      </w:r>
      <w:r>
        <w:t>2026-02-27 10:29:32+00:00</w:t>
      </w:r>
      <w:r>
        <w:t xml:space="preserve">    </w:t>
      </w:r>
      <w:r>
        <w:rPr>
          <w:b/>
        </w:rPr>
        <w:t xml:space="preserve">DOI: </w:t>
      </w:r>
      <w:hyperlink r:id="rId912">
        <w:r>
          <w:rPr>
            <w:color w:val="1155CC"/>
            <w:u w:val="single"/>
          </w:rPr>
          <w:t>10.1002/adma.202515677</w:t>
        </w:r>
      </w:hyperlink>
    </w:p>
    <w:p>
      <w:pPr>
        <w:spacing w:before="0" w:after="120"/>
      </w:pPr>
      <w:r>
        <w:rPr>
          <w:b/>
        </w:rPr>
        <w:t xml:space="preserve">Notes: </w:t>
      </w:r>
      <w:r>
        <w:t>abstract_source=pubmed</w:t>
      </w:r>
    </w:p>
    <w:p>
      <w:pPr>
        <w:spacing w:before="0" w:after="80" w:lineRule="auto" w:line="276"/>
      </w:pPr>
      <w:r>
        <w:rPr>
          <w:b/>
        </w:rPr>
        <w:t xml:space="preserve">摘要（ZH）: </w:t>
      </w:r>
      <w:r>
        <w:t>在纳米尺度下探测液体的机械行为，特别是在具有不同应变速率和极端温度条件的静水压力下，具有推动微流体、生物医学和能源系统发展的巨大潜力。然而，由于在微/纳米尺度上封装液体的固有困难以及在受限微尺度环境中准确施加和测量应力的挑战，实验上仍然具有挑战性。在这项工作中，我们提出了一种新颖的单步方法，用于在微尺度上封装液体，并在极端动态热机械条件下进行原位微机械测试。液体过程中的局部电沉积使得直接形成含有微升液体的空心铜微结构成为可能。Th</w:t>
      </w:r>
    </w:p>
    <w:p>
      <w:pPr>
        <w:spacing w:before="0" w:after="200" w:lineRule="auto" w:line="276"/>
      </w:pPr>
      <w:r>
        <w:rPr>
          <w:b/>
        </w:rPr>
        <w:t xml:space="preserve">Abstract (EN): </w:t>
      </w:r>
      <w:r>
        <w:t>Probing the mechanical behavior of liquids at the nanoscale-especially under hydrostatic stress with various strain rates and extreme temperature conditions-holds significant potential for advancing microfluidic, biomedical, and energy systems. However, it remains experimentally challenging due to the inherent difficulties in encapsulation of liquid at micro/nanoscale and in accurately applying and measuring stress within confined microscale environments. In this work, we present a novel single-step method for liquid encapsulation at the microscale and subsequent in situ micromechanical testing at extreme dynamic thermomechanical conditions. Localized electrodeposition in the liquid process enables the direct formation of hollow copper microarchitectures containing picoliters of liquid. The presence of the encapsulated liquid was verified via structural analysis at cryogenic and elevated temperatures. We investigated the mechanical role of the confined liquid through compressive tests, demonstrating its incompressibility at room temperature and its enhanced load-bearing capacity in the ice phase at -160°C. These results reveal enhanced energy dissipation due to the size-dependent strength of ice. Additionally, we evaluated the tensile response of copper-ice composites at -160°C using microfabricated push-to-pull structures. Our findings outline a new pathway for encapsulation of liquids in metal microarchitectures that could aid and impact fields of microelectronics, pharmaceuticals, and energy storage.</w:t>
      </w:r>
    </w:p>
    <w:p>
      <w:pPr>
        <w:spacing w:before="120" w:after="120"/>
      </w:pPr>
      <w:r>
        <w:rPr>
          <w:sz w:val="18"/>
        </w:rPr>
        <w:t>——————————————————————————————————————————————————————————————————————</w:t>
      </w:r>
    </w:p>
    <w:p>
      <w:pPr>
        <w:spacing w:before="160" w:after="40" w:line="240" w:lineRule="auto"/>
      </w:pPr>
      <w:r>
        <w:rPr>
          <w:b/>
        </w:rPr>
        <w:t xml:space="preserve">[452] </w:t>
      </w:r>
      <w:hyperlink r:id="rId913">
        <w:r>
          <w:rPr>
            <w:color w:val="1155CC"/>
            <w:u w:val="single"/>
          </w:rPr>
          <w:t>[ASAP] 酶催化的腈类分子内C–C偶联转化</w:t>
        </w:r>
      </w:hyperlink>
    </w:p>
    <w:p>
      <w:pPr>
        <w:spacing w:before="0" w:after="80"/>
      </w:pPr>
      <w:r>
        <w:rPr>
          <w:i/>
          <w:sz w:val="20"/>
        </w:rPr>
        <w:t>EN: [ASAP] Enzyme-Catalyzed Intramolecular C–C Coupling Transformation of Nitriles</w:t>
      </w:r>
    </w:p>
    <w:p>
      <w:pPr>
        <w:spacing w:before="0" w:after="120"/>
      </w:pPr>
      <w:r>
        <w:rPr>
          <w:b/>
        </w:rPr>
        <w:t xml:space="preserve">Source: </w:t>
      </w:r>
      <w:r>
        <w:t>Journal of the American Chemical Society: Latest Articles (ACS Publications)</w:t>
      </w:r>
      <w:r>
        <w:t xml:space="preserve">    </w:t>
      </w:r>
      <w:r>
        <w:rPr>
          <w:b/>
        </w:rPr>
        <w:t xml:space="preserve">Pub date: </w:t>
      </w:r>
      <w:r>
        <w:t>2026-02-27 10:55:08+00:00</w:t>
      </w:r>
      <w:r>
        <w:t xml:space="preserve">    </w:t>
      </w:r>
      <w:r>
        <w:rPr>
          <w:b/>
        </w:rPr>
        <w:t xml:space="preserve">DOI: </w:t>
      </w:r>
      <w:hyperlink r:id="rId914">
        <w:r>
          <w:rPr>
            <w:color w:val="1155CC"/>
            <w:u w:val="single"/>
          </w:rPr>
          <w:t>10.1021/jacs.6c02210</w:t>
        </w:r>
      </w:hyperlink>
    </w:p>
    <w:p>
      <w:pPr>
        <w:spacing w:before="0" w:after="120"/>
      </w:pPr>
      <w:r>
        <w:rPr>
          <w:b/>
        </w:rPr>
        <w:t xml:space="preserve">Notes: </w:t>
      </w:r>
      <w:r>
        <w:t>abstract_source=pubmed</w:t>
      </w:r>
    </w:p>
    <w:p>
      <w:pPr>
        <w:spacing w:before="0" w:after="80" w:lineRule="auto" w:line="276"/>
      </w:pPr>
      <w:r>
        <w:rPr>
          <w:b/>
        </w:rPr>
        <w:t xml:space="preserve">摘要（ZH）: </w:t>
      </w:r>
      <w:r>
        <w:t>腈类C-C偶联转化，目前在现有的生物催化工具箱中尚不存在，是酶催化中的一个关键目标。在此，我们设计了一种ThDP依赖的酶，以实现腈类C-C偶联与原位生成的酰基阴离子等效物，提供了对当前酶促转化的有价值的合成补充。这一反应也构成了首次ThDP依赖的酶促醛基添加到惰性三键上的反应。在温和的酸性水溶液条件下，这种生物催化反应实现了易于异构化的亚胺中间体的有效水解。这种水解过程对依赖有机溶剂的化学反应构成了巨大的挑战，并且很少被探索。此外，这一反应构成了一种酶催化的、氧化剂自由的反应。</w:t>
      </w:r>
    </w:p>
    <w:p>
      <w:pPr>
        <w:spacing w:before="0" w:after="200" w:lineRule="auto" w:line="276"/>
      </w:pPr>
      <w:r>
        <w:rPr>
          <w:b/>
        </w:rPr>
        <w:t xml:space="preserve">Abstract (EN): </w:t>
      </w:r>
      <w:r>
        <w:t>Nitrile C-C coupling transformation, currently absent from existing biocatalytic toolbox, is a pivotal objective in enzyme catalysis. Herein, we engineered a ThDP-dependent enzyme to achieve nitrile C-C coupling with in situ-generated acyl anion equivalent, providing a valuable synthetic complement to current enzymatic transformations. This reaction also constitutes the first ThDP-dependent enzymatic addition of aldehyde group to an inert triple bond. Under mildly acidic aqueous conditions, this biocatalytic reaction achieves effective hydrolysis of readily isomerizable imine intermediates. Such a hydrolysis process poses formidable challenges to organic solvent-reliant chemical reactions and has been scarcely explored. In addition, this reaction constitutes an enzyme-catalyzed, oxidant-free strategy for the efficient synthesis of valuable 3-hydroxychromones─key intermediates for accessing flavonol natural products and functional molecules. Related mechanistic studies and preliminary kinetic resolution experiments were also conducted. Our study will encourage further development of biocatalytic systems for nitrile C-C coupling transformations, particularly those challenging to chemical methods.</w:t>
      </w:r>
    </w:p>
    <w:p>
      <w:pPr>
        <w:spacing w:before="120" w:after="120"/>
      </w:pPr>
      <w:r>
        <w:rPr>
          <w:sz w:val="18"/>
        </w:rPr>
        <w:t>——————————————————————————————————————————————————————————————————————</w:t>
      </w:r>
    </w:p>
    <w:p>
      <w:pPr>
        <w:spacing w:before="160" w:after="40" w:line="240" w:lineRule="auto"/>
      </w:pPr>
      <w:r>
        <w:rPr>
          <w:b/>
        </w:rPr>
        <w:t xml:space="preserve">[453] </w:t>
      </w:r>
      <w:hyperlink r:id="rId915">
        <w:r>
          <w:rPr>
            <w:color w:val="1155CC"/>
            <w:u w:val="single"/>
          </w:rPr>
          <w:t>用于活细胞单分子超分辨率成像的1,3-二羰基罗丹明</w:t>
        </w:r>
      </w:hyperlink>
    </w:p>
    <w:p>
      <w:pPr>
        <w:spacing w:before="0" w:after="80"/>
      </w:pPr>
      <w:r>
        <w:rPr>
          <w:i/>
          <w:sz w:val="20"/>
        </w:rPr>
        <w:t>EN: 1,3‐Dicarbonyl Rhodamines for Live‐Cell Single‐Molecule Super‐Resolution Imaging</w:t>
      </w:r>
    </w:p>
    <w:p>
      <w:pPr>
        <w:spacing w:before="0" w:after="120"/>
      </w:pPr>
      <w:r>
        <w:rPr>
          <w:b/>
        </w:rPr>
        <w:t xml:space="preserve">Source: </w:t>
      </w:r>
      <w:r>
        <w:t>Wiley: Angewandte Chemie International Edition: Table of Contents</w:t>
      </w:r>
      <w:r>
        <w:t xml:space="preserve">    </w:t>
      </w:r>
      <w:r>
        <w:rPr>
          <w:b/>
        </w:rPr>
        <w:t xml:space="preserve">Pub date: </w:t>
      </w:r>
      <w:r>
        <w:t>2026-02-27 10:56:49+00:00</w:t>
      </w:r>
      <w:r>
        <w:t xml:space="preserve">    </w:t>
      </w:r>
      <w:r>
        <w:rPr>
          <w:b/>
        </w:rPr>
        <w:t xml:space="preserve">DOI: </w:t>
      </w:r>
      <w:hyperlink r:id="rId916">
        <w:r>
          <w:rPr>
            <w:color w:val="1155CC"/>
            <w:u w:val="single"/>
          </w:rPr>
          <w:t>10.1002/anie.202524603</w:t>
        </w:r>
      </w:hyperlink>
    </w:p>
    <w:p>
      <w:pPr>
        <w:spacing w:before="0" w:after="120"/>
      </w:pPr>
      <w:r>
        <w:rPr>
          <w:b/>
        </w:rPr>
        <w:t xml:space="preserve">Notes: </w:t>
      </w:r>
      <w:r>
        <w:t>abstract_source=pubmed</w:t>
      </w:r>
    </w:p>
    <w:p>
      <w:pPr>
        <w:spacing w:before="0" w:after="80" w:lineRule="auto" w:line="276"/>
      </w:pPr>
      <w:r>
        <w:rPr>
          <w:b/>
        </w:rPr>
        <w:t xml:space="preserve">摘要（ZH）: </w:t>
      </w:r>
      <w:r>
        <w:t>1,3-二羰基化合物以其多样且有趣的化学性质，在有机合成、制药、发光材料和个人护理产品等领域得到了广泛应用。在此，我们将1,3-二羰基骨架与罗丹明基荧光团结合，构建了一系列1,3-二羰基-罗丹明衍生物。通过利用1,3-二羰基化合物的内在热力学和光化学性质，这些罗丹明衍生物在单激光或双激光照射下实现了稀疏定位、可调发射体密度和自触发光氧化级联。这些特性使其适用于单分子定位显微镜（SMLM）。通过点击化学、HaloTag标记和磷脂靶向基团，我们实现了</w:t>
      </w:r>
    </w:p>
    <w:p>
      <w:pPr>
        <w:spacing w:before="0" w:after="200" w:lineRule="auto" w:line="276"/>
      </w:pPr>
      <w:r>
        <w:rPr>
          <w:b/>
        </w:rPr>
        <w:t xml:space="preserve">Abstract (EN): </w:t>
      </w:r>
      <w:r>
        <w:t>1,3-Dicarbonyl compounds, with their diverse and intriguing chemical properties, have found broad applications in fields such as organic synthesis, pharmaceuticals, luminescent materials, and personal care products. Here, we integrated the 1,3-dicarbonyl scaffold with rhodamine-based fluorophores to construct a series of 1,3-dicarbonyl-rhodamine derivatives. By exploiting the intrinsic thermodynamic and photochemical properties of 1,3-dicarbonyl compounds, these rhodamine derivatives enable sparse localization, tunable emitter density, and a self-triggered photooxidation cascade under single- or dual-laser irradiation. These features render them suitable for single-molecule localization microscopy (SMLM). Using click chemistry, HaloTag labeling, and phospholipid-targeting groups, we achieved super-resolution imaging and dynamic tracking of actin, the endoplasmic reticulum, mitochondria, and the plasma membrane in live cells. Notably, under low laser intensity, a rich repertoire of filopodia dynamics was resolved in live cells over an extended 20 min time course (encompassing 120,000 total frames). The imaging achieved a spatial localization accuracy of 22 nm and a temporal resolution of 20 s, enabling high-fidelity tracking of dynamic cellular protrusions.</w:t>
      </w:r>
    </w:p>
    <w:p>
      <w:pPr>
        <w:spacing w:before="120" w:after="120"/>
      </w:pPr>
      <w:r>
        <w:rPr>
          <w:sz w:val="18"/>
        </w:rPr>
        <w:t>——————————————————————————————————————————————————————————————————————</w:t>
      </w:r>
    </w:p>
    <w:p>
      <w:pPr>
        <w:spacing w:before="160" w:after="40" w:line="240" w:lineRule="auto"/>
      </w:pPr>
      <w:r>
        <w:rPr>
          <w:b/>
        </w:rPr>
        <w:t xml:space="preserve">[454] </w:t>
      </w:r>
      <w:hyperlink r:id="rId917">
        <w:r>
          <w:rPr>
            <w:color w:val="1155CC"/>
            <w:u w:val="single"/>
          </w:rPr>
          <w:t>用于定制碳材料上单原子催化剂外层微环境的共价功能化策略</w:t>
        </w:r>
      </w:hyperlink>
    </w:p>
    <w:p>
      <w:pPr>
        <w:spacing w:before="0" w:after="80"/>
      </w:pPr>
      <w:r>
        <w:rPr>
          <w:i/>
          <w:sz w:val="20"/>
        </w:rPr>
        <w:t>EN: Covalent Functionalization Strategies for Tailoring the Outer‐Sphere Microenvironments of Single‐Atom Catalysts Supported on Carbon Materials</w:t>
      </w:r>
    </w:p>
    <w:p>
      <w:pPr>
        <w:spacing w:before="0" w:after="120"/>
      </w:pPr>
      <w:r>
        <w:rPr>
          <w:b/>
        </w:rPr>
        <w:t xml:space="preserve">Source: </w:t>
      </w:r>
      <w:r>
        <w:t>Wiley: Angewandte Chemie International Edition: Table of Contents</w:t>
      </w:r>
      <w:r>
        <w:t xml:space="preserve">    </w:t>
      </w:r>
      <w:r>
        <w:rPr>
          <w:b/>
        </w:rPr>
        <w:t xml:space="preserve">Pub date: </w:t>
      </w:r>
      <w:r>
        <w:t>2026-02-27 10:59:22+00:00</w:t>
      </w:r>
      <w:r>
        <w:t xml:space="preserve">    </w:t>
      </w:r>
      <w:r>
        <w:rPr>
          <w:b/>
        </w:rPr>
        <w:t xml:space="preserve">DOI: </w:t>
      </w:r>
      <w:hyperlink r:id="rId918">
        <w:r>
          <w:rPr>
            <w:color w:val="1155CC"/>
            <w:u w:val="single"/>
          </w:rPr>
          <w:t>10.1002/anie.202525181</w:t>
        </w:r>
      </w:hyperlink>
    </w:p>
    <w:p>
      <w:pPr>
        <w:spacing w:before="0" w:after="120"/>
      </w:pPr>
      <w:r>
        <w:rPr>
          <w:b/>
        </w:rPr>
        <w:t xml:space="preserve">Notes: </w:t>
      </w:r>
      <w:r>
        <w:t>abstract_source=pubmed</w:t>
      </w:r>
    </w:p>
    <w:p>
      <w:pPr>
        <w:spacing w:before="0" w:after="80" w:lineRule="auto" w:line="276"/>
      </w:pPr>
      <w:r>
        <w:rPr>
          <w:b/>
        </w:rPr>
        <w:t xml:space="preserve">摘要（ZH）: </w:t>
      </w:r>
      <w:r>
        <w:t>单原子催化剂（SACs）的高活性、选择性和稳定性设计依赖于对活性位点的精细调控。天然金属酶的活性位点结构为设计人工催化剂提供了蓝图。空间折叠的蛋白质包围着中心原子，提供了迷人的第二球体，以优化金属位点的微环境，从而影响其催化性能。受金属酶功能的启发，这篇小综述重点介绍了通过共价功能化策略优化碳材料上SACs的外球微环境。文章首先概述了SACs的优势和固有挑战，然后强调了微环境工程在天然金属酶中的关键作用。</w:t>
      </w:r>
    </w:p>
    <w:p>
      <w:pPr>
        <w:spacing w:before="0" w:after="200" w:lineRule="auto" w:line="276"/>
      </w:pPr>
      <w:r>
        <w:rPr>
          <w:b/>
        </w:rPr>
        <w:t xml:space="preserve">Abstract (EN): </w:t>
      </w:r>
      <w:r>
        <w:t>The design of single-atom catalysts (SACs) with high activity, selectivity, and stability relies on careful modulation of the active sites. The active-site structures of natural metalloenzymes provide blueprints for designing artificial catalysts. Spatially folded proteins surround the central atom, providing fascinating second spheres to optimize the microenvironments of metal sites and thereby influencing their catalytic properties. Inspired by the functions of metalloenzymes, this minireview focuses on optimizing the outer-sphere microenvironment of SACs on carbon materials via covalent functionalization strategies. The article begins by outlining the advantages and inherent challenges of SACs, then highlights the pivotal role of microenvironment engineering in natural metalloenzymes in enhancing catalytic performance. Then, the unique merits of SACs supported on carbon materials toward surface modulation are presented. Building on these insights, the covalent functionalization strategies for carbon-supported SACs are comprehensively elaborated. Furthermore, by leveraging recent examples of bioinspired photo- and electrocatalysts, the modulation mechanisms of the outer-sphere microenvironment in SACs are explored in depth. Finally, this work summarizes recent advances and remaining challenges in this field, critically discusses current limitations, and proposes perspectives to guide the development of advanced covalently modified SACs.</w:t>
      </w:r>
    </w:p>
    <w:p>
      <w:pPr>
        <w:spacing w:before="120" w:after="120"/>
      </w:pPr>
      <w:r>
        <w:rPr>
          <w:sz w:val="18"/>
        </w:rPr>
        <w:t>——————————————————————————————————————————————————————————————————————</w:t>
      </w:r>
    </w:p>
    <w:p>
      <w:pPr>
        <w:spacing w:before="160" w:after="40" w:line="240" w:lineRule="auto"/>
      </w:pPr>
      <w:r>
        <w:rPr>
          <w:b/>
        </w:rPr>
        <w:t xml:space="preserve">[455] </w:t>
      </w:r>
      <w:hyperlink r:id="rId919">
        <w:r>
          <w:rPr>
            <w:color w:val="1155CC"/>
            <w:u w:val="single"/>
          </w:rPr>
          <w:t>通过电子供体和受体有机阳离子在2D金属卤化物钙钛矿中重新配置带边态</w:t>
        </w:r>
      </w:hyperlink>
    </w:p>
    <w:p>
      <w:pPr>
        <w:spacing w:before="0" w:after="80"/>
      </w:pPr>
      <w:r>
        <w:rPr>
          <w:i/>
          <w:sz w:val="20"/>
        </w:rPr>
        <w:t>EN: Reconfiguring Band‐Edge States in 2D Metal Halide Perovskites via Electron‐Donating and ‐Withdrawing Organic Cations</w:t>
      </w:r>
    </w:p>
    <w:p>
      <w:pPr>
        <w:spacing w:before="0" w:after="120"/>
      </w:pPr>
      <w:r>
        <w:rPr>
          <w:b/>
        </w:rPr>
        <w:t xml:space="preserve">Source: </w:t>
      </w:r>
      <w:r>
        <w:t>Wiley: Angewandte Chemie International Edition: Table of Contents</w:t>
      </w:r>
      <w:r>
        <w:t xml:space="preserve">    </w:t>
      </w:r>
      <w:r>
        <w:rPr>
          <w:b/>
        </w:rPr>
        <w:t xml:space="preserve">Pub date: </w:t>
      </w:r>
      <w:r>
        <w:t>2026-02-27 11:03:28+00:00</w:t>
      </w:r>
      <w:r>
        <w:t xml:space="preserve">    </w:t>
      </w:r>
      <w:r>
        <w:rPr>
          <w:b/>
        </w:rPr>
        <w:t xml:space="preserve">DOI: </w:t>
      </w:r>
      <w:hyperlink r:id="rId920">
        <w:r>
          <w:rPr>
            <w:color w:val="1155CC"/>
            <w:u w:val="single"/>
          </w:rPr>
          <w:t>10.1002/anie.1490993</w:t>
        </w:r>
      </w:hyperlink>
    </w:p>
    <w:p>
      <w:pPr>
        <w:spacing w:before="0" w:after="120"/>
      </w:pPr>
      <w:r>
        <w:rPr>
          <w:b/>
        </w:rPr>
        <w:t xml:space="preserve">Notes: </w:t>
      </w:r>
      <w:r>
        <w:t>abstract_source=pubmed</w:t>
      </w:r>
    </w:p>
    <w:p>
      <w:pPr>
        <w:spacing w:before="0" w:after="80" w:lineRule="auto" w:line="276"/>
      </w:pPr>
      <w:r>
        <w:rPr>
          <w:b/>
        </w:rPr>
        <w:t xml:space="preserve">摘要（ZH）: </w:t>
      </w:r>
      <w:r>
        <w:t>混合金属卤化物钙钛矿由有机阳离子（A位）和无机骨架（B位金属阳离子和X位卤素阴离子）组成。传统上，带边附近的电子结构主要由无机成分控制，A位的影响可以忽略不计，因为其电子态远离带边。在这项工作中，我们展示了通过调整有机阳离子的配置和引入取代基，A位可以直接贡献于带边电子态。使用密度泛函理论计算、从头算分子动力学模拟、共聚焦光谱和同步辐射高压衍射，我们揭示了二维混合铅卤化物钙钛矿中带边电子态重构的起源。我们的结果</w:t>
      </w:r>
    </w:p>
    <w:p>
      <w:pPr>
        <w:spacing w:before="0" w:after="200" w:lineRule="auto" w:line="276"/>
      </w:pPr>
      <w:r>
        <w:rPr>
          <w:b/>
        </w:rPr>
        <w:t xml:space="preserve">Abstract (EN): </w:t>
      </w:r>
      <w:r>
        <w:t>Hybrid metal halide perovskites consist of the organic cation (A-site) and inorganic skeleton (B-site metal cation and X-site halide anion). Traditionally, the electronic structures near the band edges are mainly controlled by the inorganic component, with the A-site having negligible influence as its electronic states lie far from the band edges. In this work, we show that by adjusting the configuration of organic cations and introducing substituents, the A-site can directly contribute to the band-edge electronic states. Using density functional theory calculations, ab initio molecular dynamics simulations, confocal spectroscopy, and synchrotron high-pressure diffraction, we uncover the origins of band-edge electronic state reconfiguration in 2D hybrid lead halide perovskites. Our results demonstrate that the conjugation of organic cations, combined with the electron-donating and withdrawing substituents, enables the reconfiguration of band-edge electronic states. Specifically, electron-donating groups raise the energy levels of the organic cation, allowing its contribution to the valence band maximum. Conversely, electron-withdrawing groups lower these levels, enabling participation at the conduction band minimum. This mechanism is confirmed by our use of tailored cations together with temperature- and pressure-dependent studies. This work offers a new approach for tailoring the electronic states of hybrid metal halide perovskites with desired optoelectronic performance.</w:t>
      </w:r>
    </w:p>
    <w:p>
      <w:pPr>
        <w:spacing w:before="120" w:after="120"/>
      </w:pPr>
      <w:r>
        <w:rPr>
          <w:sz w:val="18"/>
        </w:rPr>
        <w:t>——————————————————————————————————————————————————————————————————————</w:t>
      </w:r>
    </w:p>
    <w:p>
      <w:pPr>
        <w:spacing w:before="160" w:after="40" w:line="240" w:lineRule="auto"/>
      </w:pPr>
      <w:r>
        <w:rPr>
          <w:b/>
        </w:rPr>
        <w:t xml:space="preserve">[456] </w:t>
      </w:r>
      <w:hyperlink r:id="rId921">
        <w:r>
          <w:rPr>
            <w:color w:val="1155CC"/>
            <w:u w:val="single"/>
          </w:rPr>
          <w:t>微生物电合成生物混合系统协同为红假单胞菌提供电子和CO2以生产番茄红素</w:t>
        </w:r>
      </w:hyperlink>
    </w:p>
    <w:p>
      <w:pPr>
        <w:spacing w:before="0" w:after="80"/>
      </w:pPr>
      <w:r>
        <w:rPr>
          <w:i/>
          <w:sz w:val="20"/>
        </w:rPr>
        <w:t>EN: Microbial Electrosynthetic Biohybrid System to Synergistically Supply Electrons and CO2 to Rhodopseudomonas palustris for Lycopene Production</w:t>
      </w:r>
    </w:p>
    <w:p>
      <w:pPr>
        <w:spacing w:before="0" w:after="120"/>
      </w:pPr>
      <w:r>
        <w:rPr>
          <w:b/>
        </w:rPr>
        <w:t xml:space="preserve">Source: </w:t>
      </w:r>
      <w:r>
        <w:t>Wiley: Angewandte Chemie International Edition: Table of Contents</w:t>
      </w:r>
      <w:r>
        <w:t xml:space="preserve">    </w:t>
      </w:r>
      <w:r>
        <w:rPr>
          <w:b/>
        </w:rPr>
        <w:t xml:space="preserve">Pub date: </w:t>
      </w:r>
      <w:r>
        <w:t>2026-02-27 11:04:24+00:00</w:t>
      </w:r>
      <w:r>
        <w:t xml:space="preserve">    </w:t>
      </w:r>
      <w:r>
        <w:rPr>
          <w:b/>
        </w:rPr>
        <w:t xml:space="preserve">DOI: </w:t>
      </w:r>
      <w:hyperlink r:id="rId922">
        <w:r>
          <w:rPr>
            <w:color w:val="1155CC"/>
            <w:u w:val="single"/>
          </w:rPr>
          <w:t>10.1002/anie.202522703</w:t>
        </w:r>
      </w:hyperlink>
    </w:p>
    <w:p>
      <w:pPr>
        <w:spacing w:before="0" w:after="120"/>
      </w:pPr>
      <w:r>
        <w:rPr>
          <w:b/>
        </w:rPr>
        <w:t xml:space="preserve">Notes: </w:t>
      </w:r>
      <w:r>
        <w:t>abstract_source=pubmed</w:t>
      </w:r>
    </w:p>
    <w:p>
      <w:pPr>
        <w:spacing w:before="0" w:after="80" w:lineRule="auto" w:line="276"/>
      </w:pPr>
      <w:r>
        <w:rPr>
          <w:b/>
        </w:rPr>
        <w:t xml:space="preserve">摘要（ZH）: </w:t>
      </w:r>
      <w:r>
        <w:t>微生物电合成（MES）系统旨在利用电活性微生物（EAMs）实现电力驱动的CO2固定以合成多碳化学品。然而，EAMs的胞外电子转移（EET）和CO2同化效率低下仍然是限制MES系统性能的关键因素。在此，我们开发了一种电合成生物混合系统，协同向Rhodopseudomonas palustris（一种EAM）提供电子和CO2以合成番茄红素。通过加强番茄红素合成途径和阻断氮固定途径，重新定向细胞内碳和能量流量，番茄红素产量比野生型R. palustris提高了23倍。为了增强胞外电子转移</w:t>
      </w:r>
    </w:p>
    <w:p>
      <w:pPr>
        <w:spacing w:before="0" w:after="200" w:lineRule="auto" w:line="276"/>
      </w:pPr>
      <w:r>
        <w:rPr>
          <w:b/>
        </w:rPr>
        <w:t xml:space="preserve">Abstract (EN): </w:t>
      </w:r>
      <w:r>
        <w:t>Microbial electrosynthesis (MES) systems aim to use electroactive microorganisms (EAMs) to achieve electricity-driven CO2 fixation for biosynthesis of multicarbon chemicals. However, the low efficiencies of extracellular electron transfer (EET) and CO2 assimilation of EAMs remain the essential limiting factors that restrict performance of MES systems. Herein, we developed an electrosynthetic biohybrid system to synergistically supply electrons and CO2 to Rhodopseudomonas palustris (an EAM) for lycopene biosynthesis. Intracellular carbon and energy fluxes were redirected by strengthening the lycopene biosynthesis pathway and blocking the nitrogen-fixation pathway, resulting in 23-fold increase in lycopene yield than that of the wild-type R. palustris. To enhance extracellular transfer of CO2 and electrons to R. palustris, metal-organic frameworks (MOFs) with high CO2 adsorption capacity were assembled with polydopamine on cell membrane to construct a biohybrid MES system, which produced 3.55 mg/L lycopene in two consecutive MES cycles, the highest lycopene production from CO2. Electrochemical and transcriptomic analyses revealed that the biohybrid MES system stimulated microbial metabolism including EET, the Calvin-Benson-Bassham cycle and lycopene biosynthesis, thereby improving CO2-to-chemical conversion. This study demonstrated directional supply of electrons and CO2 to EAMs enabled high-performance MES systems, which also offered insights into the mechanisms underlying efficient CO2 fixation and carbon-negative biomanufacturing.</w:t>
      </w:r>
    </w:p>
    <w:p>
      <w:pPr>
        <w:spacing w:before="120" w:after="120"/>
      </w:pPr>
      <w:r>
        <w:rPr>
          <w:sz w:val="18"/>
        </w:rPr>
        <w:t>——————————————————————————————————————————————————————————————————————</w:t>
      </w:r>
    </w:p>
    <w:p>
      <w:pPr>
        <w:spacing w:before="160" w:after="40" w:line="240" w:lineRule="auto"/>
      </w:pPr>
      <w:r>
        <w:rPr>
          <w:b/>
        </w:rPr>
        <w:t xml:space="preserve">[457] </w:t>
      </w:r>
      <w:hyperlink r:id="rId923">
        <w:r>
          <w:rPr>
            <w:color w:val="1155CC"/>
            <w:u w:val="single"/>
          </w:rPr>
          <w:t>通过一种前所未有的亚砜亚胺实现碳酰基的动力学立体控制宝石氟（氯）烯化：可编程构建具有挑战性的全取代烯基氟化物</w:t>
        </w:r>
      </w:hyperlink>
    </w:p>
    <w:p>
      <w:pPr>
        <w:spacing w:before="0" w:after="80"/>
      </w:pPr>
      <w:r>
        <w:rPr>
          <w:i/>
          <w:sz w:val="20"/>
        </w:rPr>
        <w:t>EN: Kinetically Stereocontrolled Gem‐Fluoro(chloro)‐Olefination of Carbonyls by an Unprecedented Sulfoximine: Programmable Construction of Challenging Persubstituted Alkenyl Fluorides</w:t>
      </w:r>
    </w:p>
    <w:p>
      <w:pPr>
        <w:spacing w:before="0" w:after="120"/>
      </w:pPr>
      <w:r>
        <w:rPr>
          <w:b/>
        </w:rPr>
        <w:t xml:space="preserve">Source: </w:t>
      </w:r>
      <w:r>
        <w:t>Wiley: Angewandte Chemie International Edition: Table of Contents</w:t>
      </w:r>
      <w:r>
        <w:t xml:space="preserve">    </w:t>
      </w:r>
      <w:r>
        <w:rPr>
          <w:b/>
        </w:rPr>
        <w:t xml:space="preserve">Pub date: </w:t>
      </w:r>
      <w:r>
        <w:t>2026-02-27 11:12:34+00:00</w:t>
      </w:r>
      <w:r>
        <w:t xml:space="preserve">    </w:t>
      </w:r>
      <w:r>
        <w:rPr>
          <w:b/>
        </w:rPr>
        <w:t xml:space="preserve">DOI: </w:t>
      </w:r>
      <w:hyperlink r:id="rId924">
        <w:r>
          <w:rPr>
            <w:color w:val="1155CC"/>
            <w:u w:val="single"/>
          </w:rPr>
          <w:t>10.1002/anie.5110668</w:t>
        </w:r>
      </w:hyperlink>
    </w:p>
    <w:p>
      <w:pPr>
        <w:spacing w:before="0" w:after="120"/>
      </w:pPr>
      <w:r>
        <w:rPr>
          <w:b/>
        </w:rPr>
        <w:t xml:space="preserve">Notes: </w:t>
      </w:r>
      <w:r>
        <w:t>abstract_source=pubmed</w:t>
      </w:r>
    </w:p>
    <w:p>
      <w:pPr>
        <w:spacing w:before="0" w:after="80" w:lineRule="auto" w:line="276"/>
      </w:pPr>
      <w:r>
        <w:rPr>
          <w:b/>
        </w:rPr>
        <w:t xml:space="preserve">摘要（ZH）: </w:t>
      </w:r>
      <w:r>
        <w:t>全取代烯基氟化物在药物发现、农用化学品开发和生物科学中代表了关键的结构单元。广泛公认的(E)-异构全取代烯基氟化物作为酰胺键的构象稳定模拟物，通常表现出显著高于(Z)-异构体的生物活性。尽管具有潜力，但由于严重的空间阻碍，这种骨架的合成仍然具有挑战性。在此，我们报道了一种具有前所未有的亚砜亚胺试剂的高立体选择性羰基宝石-氟（氯）烯化反应，提供了一系列(Z)-全取代宝石-氟（氯）烯。随后的交叉偶联使其迅速转化为一系列具有挑战性的立体定义的(E)-或(Z)-烯基氟化物。实验和计算数据</w:t>
      </w:r>
    </w:p>
    <w:p>
      <w:pPr>
        <w:spacing w:before="0" w:after="200" w:lineRule="auto" w:line="276"/>
      </w:pPr>
      <w:r>
        <w:rPr>
          <w:b/>
        </w:rPr>
        <w:t xml:space="preserve">Abstract (EN): </w:t>
      </w:r>
      <w:r>
        <w:t>Persubstituted alkenyl fluorides represent pivotal motifs in drug discovery, agrochemical development, and biological science. The (E)-isomeric persubstituted alkenyl fluoride, widely recognized as a conformationally stable mimic of the amide bond, frequently exhibits significantly higher bioactivity than the (Z)-counterpart. Despite their potential, the synthesis of this scaffold remains challenging, due to the severe steric encumbrance. Herein, we reported a highly stereoselective carbonyl gem-fluoro(chloro)olefination with an unprecedented sulfoximine reagent, affording an array of (Z)-persubstituted gem-fluoro(chloro)alkenes. Subsequent cross-couplings enabled them rapidly into a wide array of challenging stereodefined (E)- or (Z)-alkenyl fluorides. The experimental and computational data demonstrated that the key mechanistic feature involved a predominant 1,5-attack pathway, which operated as the rate-determining step with kinetic stereocontrol and prevailed over both the 1,3- and 1,4-attack pathways. The synthetic utility was demonstrated through microfluid synthesis, late-stage modifications, and a streamlined stereoselective synthesis of factor Xa inhibitor and RXR regulator.</w:t>
      </w:r>
    </w:p>
    <w:p>
      <w:pPr>
        <w:spacing w:before="120" w:after="120"/>
      </w:pPr>
      <w:r>
        <w:rPr>
          <w:sz w:val="18"/>
        </w:rPr>
        <w:t>——————————————————————————————————————————————————————————————————————</w:t>
      </w:r>
    </w:p>
    <w:p>
      <w:pPr>
        <w:spacing w:before="160" w:after="40" w:line="240" w:lineRule="auto"/>
      </w:pPr>
      <w:r>
        <w:rPr>
          <w:b/>
        </w:rPr>
        <w:t xml:space="preserve">[458] </w:t>
      </w:r>
      <w:hyperlink r:id="rId925">
        <w:r>
          <w:rPr>
            <w:color w:val="1155CC"/>
            <w:u w:val="single"/>
          </w:rPr>
          <w:t>可扩展获取N-酰基吲哚键：促进合成用于查加斯病的抗锥虫非典型环肽</w:t>
        </w:r>
      </w:hyperlink>
    </w:p>
    <w:p>
      <w:pPr>
        <w:spacing w:before="0" w:after="80"/>
      </w:pPr>
      <w:r>
        <w:rPr>
          <w:i/>
          <w:sz w:val="20"/>
        </w:rPr>
        <w:t>EN: Scalable Access to N‑Acylindole Linkages: Enabling the Synthesis of Antitrypanosomal Noncanonical Cyclic Peptides for Chagas Disease</w:t>
      </w:r>
    </w:p>
    <w:p>
      <w:pPr>
        <w:spacing w:before="0" w:after="120"/>
      </w:pPr>
      <w:r>
        <w:rPr>
          <w:b/>
        </w:rPr>
        <w:t xml:space="preserve">Source: </w:t>
      </w:r>
      <w:r>
        <w:t>Wiley: Angewandte Chemie International Edition: Table of Contents</w:t>
      </w:r>
      <w:r>
        <w:t xml:space="preserve">    </w:t>
      </w:r>
      <w:r>
        <w:rPr>
          <w:b/>
        </w:rPr>
        <w:t xml:space="preserve">Pub date: </w:t>
      </w:r>
      <w:r>
        <w:t>2026-02-27 11:12:40+00:00</w:t>
      </w:r>
      <w:r>
        <w:t xml:space="preserve">    </w:t>
      </w:r>
      <w:r>
        <w:rPr>
          <w:b/>
        </w:rPr>
        <w:t xml:space="preserve">DOI: </w:t>
      </w:r>
      <w:hyperlink r:id="rId926">
        <w:r>
          <w:rPr>
            <w:color w:val="1155CC"/>
            <w:u w:val="single"/>
          </w:rPr>
          <w:t>10.1002/anie.202526149</w:t>
        </w:r>
      </w:hyperlink>
    </w:p>
    <w:p>
      <w:pPr>
        <w:spacing w:before="0" w:after="120"/>
      </w:pPr>
      <w:r>
        <w:rPr>
          <w:b/>
        </w:rPr>
        <w:t xml:space="preserve">Notes: </w:t>
      </w:r>
      <w:r>
        <w:t>abstract_source=pubmed</w:t>
      </w:r>
    </w:p>
    <w:p>
      <w:pPr>
        <w:spacing w:before="0" w:after="80" w:lineRule="auto" w:line="276"/>
      </w:pPr>
      <w:r>
        <w:rPr>
          <w:b/>
        </w:rPr>
        <w:t xml:space="preserve">摘要（ZH）: </w:t>
      </w:r>
      <w:r>
        <w:t>查加斯病被归类为被忽视的热带病（NTD），主要流行于南美洲。尽管现代医学取得了进步，但全球目前仍有超过1000万人感染，每年约有12,000人死亡。世界卫生组织（WHO）旨在于2030年前消除查加斯病。尽管自查加斯病被发现以来已经过去了100多年，但尚未开发出有效的疫苗。唯一可用的化疗药物是硝呋莫司和苯硝唑，这两种药物都是在半个多世纪前引入的，并被列入WHO的基本药物清单。然而，由于这些药物与严重的不良反应相关，并且仅在感染早期有效，因此</w:t>
      </w:r>
    </w:p>
    <w:p>
      <w:pPr>
        <w:spacing w:before="0" w:after="200" w:lineRule="auto" w:line="276"/>
      </w:pPr>
      <w:r>
        <w:rPr>
          <w:b/>
        </w:rPr>
        <w:t xml:space="preserve">Abstract (EN): </w:t>
      </w:r>
      <w:r>
        <w:t>Chagas disease is classified as a neglected tropical disease (NTD) and is predominantly endemic in South America. Despite advances in modern medicine, more than 10 million people worldwide are currently infected, and approximately 12 000 deaths are reported annually. The World Health Organization (WHO) aims to eliminate Chagas disease by 2030. Although more than 100 years have passed since the discovery of Chagas disease, no effective vaccine has yet been developed. The only available chemotherapeutic agents are nifurtimox and benznidazole, both of which were introduced more than half a century ago and are included in the WHO's list of essential medicines. However, because these drugs are associated with severe adverse effects and are effective only during the early phase of infection, they have not achieved eradication of Chagas disease. In this study, a scalable synthetic method was developed for noncanonical cyclic peptides bearing a rare N-acylindole linkage, a structural motif not typically observed in conventional cyclic peptides. This strategy enabled the synthesis of bulbiferamide A, a potent antitrypanosomal agent reported to be effective against Chagas disease, as well as a variety of related analogues that had previously been difficult to access synthetically.</w:t>
      </w:r>
    </w:p>
    <w:p>
      <w:pPr>
        <w:spacing w:before="120" w:after="120"/>
      </w:pPr>
      <w:r>
        <w:rPr>
          <w:sz w:val="18"/>
        </w:rPr>
        <w:t>——————————————————————————————————————————————————————————————————————</w:t>
      </w:r>
    </w:p>
    <w:p>
      <w:pPr>
        <w:spacing w:before="160" w:after="40" w:line="240" w:lineRule="auto"/>
      </w:pPr>
      <w:r>
        <w:rPr>
          <w:b/>
        </w:rPr>
        <w:t xml:space="preserve">[459] </w:t>
      </w:r>
      <w:hyperlink r:id="rId927">
        <w:r>
          <w:rPr>
            <w:color w:val="1155CC"/>
            <w:u w:val="single"/>
          </w:rPr>
          <w:t>花状超分子聚合物实现生物膜根除、改善叶面亲和性和细菌病害管理</w:t>
        </w:r>
      </w:hyperlink>
    </w:p>
    <w:p>
      <w:pPr>
        <w:spacing w:before="0" w:after="80"/>
      </w:pPr>
      <w:r>
        <w:rPr>
          <w:i/>
          <w:sz w:val="20"/>
        </w:rPr>
        <w:t>EN: Flower‐Shaped Supramolecular Polymer Enabling Biofilm Eradication, Improved Foliar Affinity, and Bacterial Disease Management</w:t>
      </w:r>
    </w:p>
    <w:p>
      <w:pPr>
        <w:spacing w:before="0" w:after="120"/>
      </w:pPr>
      <w:r>
        <w:rPr>
          <w:b/>
        </w:rPr>
        <w:t xml:space="preserve">Source: </w:t>
      </w:r>
      <w:r>
        <w:t>Wiley: Angewandte Chemie International Edition: Table of Contents</w:t>
      </w:r>
      <w:r>
        <w:t xml:space="preserve">    </w:t>
      </w:r>
      <w:r>
        <w:rPr>
          <w:b/>
        </w:rPr>
        <w:t xml:space="preserve">Pub date: </w:t>
      </w:r>
      <w:r>
        <w:t>2026-02-27 11:17:37+00:00</w:t>
      </w:r>
      <w:r>
        <w:t xml:space="preserve">    </w:t>
      </w:r>
      <w:r>
        <w:rPr>
          <w:b/>
        </w:rPr>
        <w:t xml:space="preserve">DOI: </w:t>
      </w:r>
      <w:hyperlink r:id="rId928">
        <w:r>
          <w:rPr>
            <w:color w:val="1155CC"/>
            <w:u w:val="single"/>
          </w:rPr>
          <w:t>10.1002/anie.202525538</w:t>
        </w:r>
      </w:hyperlink>
    </w:p>
    <w:p>
      <w:pPr>
        <w:spacing w:before="0" w:after="120"/>
      </w:pPr>
      <w:r>
        <w:rPr>
          <w:b/>
        </w:rPr>
        <w:t xml:space="preserve">Notes: </w:t>
      </w:r>
      <w:r>
        <w:t>abstract_source=pubmed</w:t>
      </w:r>
    </w:p>
    <w:p>
      <w:pPr>
        <w:spacing w:before="0" w:after="80" w:lineRule="auto" w:line="276"/>
      </w:pPr>
      <w:r>
        <w:rPr>
          <w:b/>
        </w:rPr>
        <w:t xml:space="preserve">摘要（ZH）: </w:t>
      </w:r>
      <w:r>
        <w:t>细菌植物病害的管理受到生物膜防御和传统抗菌剂叶面亲和力差的阻碍。超分子组装体最近作为具有增强表面粘附的生物膜消除剂出现。然而，尽管超分子聚合物具有相当或更大的潜力，但在这一领域仍未被广泛利用。在此，我们介绍NOP@CB[8]，一种在水中自组装的花状超分子聚合物，由新设计的阳离子吡啶盐（NOP）和葫芦[8]脲（CB[8]）组成。作为多功能剂，NOP@CB[8]破坏细菌膜，扰乱氧化还原平衡，分解生物膜，并同时增强叶面亲和力。这些综合特性赋予NOP@CB[8]强大的体内效</w:t>
      </w:r>
    </w:p>
    <w:p>
      <w:pPr>
        <w:spacing w:before="0" w:after="200" w:lineRule="auto" w:line="276"/>
      </w:pPr>
      <w:r>
        <w:rPr>
          <w:b/>
        </w:rPr>
        <w:t xml:space="preserve">Abstract (EN): </w:t>
      </w:r>
      <w:r>
        <w:t>The management of bacterial plant diseases is impeded by biofilm fortifications and the poor foliar affinity of conventional antimicrobials. Supramolecular assemblies have recently emerged as promising biofilm-eradicating agents with enhanced surface adhesion. Yet, supramolecular polymers, although endowed with comparable or even greater potential, remain largely untapped in this arena. Herein, we introduce NOP@CB[8], a flower-like supramolecular polymer self-assembled in water from a de novo designed cationic pyridinium salt (NOP) and cucurbit[8]uril (CB[8]). Acting as a multifunctional agent, NOP@CB[8] disrupts bacterial membranes, perturbs redox equilibrium, disintegrates biofilms, and concurrently enhances foliar affinity. These combined attributes endow NOP@CB[8] with potent in vivo efficacy, exhibiting protective and curative efficacies of 56.1% and 51.2%, respectively, at 200 µg mL-1 against rice bacterial leaf blight, thereby surpassing both free NOP (47.9%/43.1%) and thiodiazole copper (TC, 36.2%/33.7%). Remarkably, NOP@CB[8] delivers high control efficacy with uncompromised safety toward both target and non‑target organisms, even demonstrates enhanced safety in zebrafish relative to free NOP. Extending its scope to citrus and kiwifruit cankers, NOP@CB[8] achieves approximately 80% protective and over 60% curative efficacy, consistently outperforming NOP and TC. Together, this study delineates a green alternative for crop protection and a conceptual framework for next-generation functional supramolecular polymers.</w:t>
      </w:r>
    </w:p>
    <w:p>
      <w:pPr>
        <w:spacing w:before="120" w:after="120"/>
      </w:pPr>
      <w:r>
        <w:rPr>
          <w:sz w:val="18"/>
        </w:rPr>
        <w:t>——————————————————————————————————————————————————————————————————————</w:t>
      </w:r>
    </w:p>
    <w:p>
      <w:pPr>
        <w:spacing w:before="160" w:after="40" w:line="240" w:lineRule="auto"/>
      </w:pPr>
      <w:r>
        <w:rPr>
          <w:b/>
        </w:rPr>
        <w:t xml:space="preserve">[460] </w:t>
      </w:r>
      <w:hyperlink r:id="rId929">
        <w:r>
          <w:rPr>
            <w:color w:val="1155CC"/>
            <w:u w:val="single"/>
          </w:rPr>
          <w:t>半导体低聚物中的共价键锁定提升超亮NIR-II发光用于深脑治疗诊断</w:t>
        </w:r>
      </w:hyperlink>
    </w:p>
    <w:p>
      <w:pPr>
        <w:spacing w:before="0" w:after="80"/>
      </w:pPr>
      <w:r>
        <w:rPr>
          <w:i/>
          <w:sz w:val="20"/>
        </w:rPr>
        <w:t>EN: Covalent Bond Locking in Semiconducting Oligomers Boosts Ultrabright NIR‐II Luminescence for Deep Brain Theranostics</w:t>
      </w:r>
    </w:p>
    <w:p>
      <w:pPr>
        <w:spacing w:before="0" w:after="120"/>
      </w:pPr>
      <w:r>
        <w:rPr>
          <w:b/>
        </w:rPr>
        <w:t xml:space="preserve">Source: </w:t>
      </w:r>
      <w:r>
        <w:t>Wiley: Angewandte Chemie International Edition: Table of Contents</w:t>
      </w:r>
      <w:r>
        <w:t xml:space="preserve">    </w:t>
      </w:r>
      <w:r>
        <w:rPr>
          <w:b/>
        </w:rPr>
        <w:t xml:space="preserve">Pub date: </w:t>
      </w:r>
      <w:r>
        <w:t>2026-02-27 11:27:30+00:00</w:t>
      </w:r>
      <w:r>
        <w:t xml:space="preserve">    </w:t>
      </w:r>
      <w:r>
        <w:rPr>
          <w:b/>
        </w:rPr>
        <w:t xml:space="preserve">DOI: </w:t>
      </w:r>
      <w:hyperlink r:id="rId930">
        <w:r>
          <w:rPr>
            <w:color w:val="1155CC"/>
            <w:u w:val="single"/>
          </w:rPr>
          <w:t>10.1002/anie.7337664</w:t>
        </w:r>
      </w:hyperlink>
    </w:p>
    <w:p>
      <w:pPr>
        <w:spacing w:before="0" w:after="120"/>
      </w:pPr>
      <w:r>
        <w:rPr>
          <w:b/>
        </w:rPr>
        <w:t xml:space="preserve">Notes: </w:t>
      </w:r>
      <w:r>
        <w:t>abstract_source=pubmed</w:t>
      </w:r>
    </w:p>
    <w:p>
      <w:pPr>
        <w:spacing w:before="0" w:after="80" w:lineRule="auto" w:line="276"/>
      </w:pPr>
      <w:r>
        <w:rPr>
          <w:b/>
        </w:rPr>
        <w:t xml:space="preserve">摘要（ZH）: </w:t>
      </w:r>
      <w:r>
        <w:t>1000-1700 nm的近红外（NIR）-II荧光成像广泛用于大脑深层组织的可视化和疾病治疗诊断，NIR-II治疗诊断大大提高了成像分辨率、成像深度和治疗效果。然而，NIR-II荧光团的分子设计极度缺乏，减缓了明亮候选者的发现，并限制了其在大脑治疗诊断中的有效应用。在此，我们开发了一种共价键锁定（CBL）策略，通过有效限制扭曲的分子内电荷转移状态，使明亮的NIR-II荧光团的设计成为可能。这些螺旋荧光团结合了末端螺旋供体基团，导致比非螺旋荧光团更高的摩尔消光系数和改进的量子产率</w:t>
      </w:r>
    </w:p>
    <w:p>
      <w:pPr>
        <w:spacing w:before="0" w:after="200" w:lineRule="auto" w:line="276"/>
      </w:pPr>
      <w:r>
        <w:rPr>
          <w:b/>
        </w:rPr>
        <w:t xml:space="preserve">Abstract (EN): </w:t>
      </w:r>
      <w:r>
        <w:t>Near-infrared (NIR)-II fluorescence imaging at 1000-1700 nm is widely used for deep-tissue visualisation and disease theranostics in the brain, with NIR-II theranostics greatly improving imaging resolution, imaging depth, and therapeutic efficacy. However, the extreme lack of molecular design in NIR-II fluorophores has slowed the discovery of bright candidates and restricted their efficacious application in brain theranostics. Here, we develop a covalent bond locking (CBL) strategy that enables the feasible design of bright NIR-II fluorophores by effectively restricting the twisted intramolecular charge transfer state. These spirofluorophores incorporate terminally spiro-donor groups, which leads to a higher molar extinction coefficient and improved quantum yield than non-spirofluorophores do. With bright and stable NIR-II fluorescence advantages, we demonstrate that CBL nanoparticles (NPs) of spirofluorophores achieve multiscale high-resolution NIR-II angiography via one-photon fluorescence and two-photon fluorescence bioimaging simultaneously. With apolipoprotein E (ApoE) modification, CBL@ApoE NPs achieve enhanced blood-brain barrier permeability, facilitating superior brain glioma theranostics. This work proposes a CBL strategy to engineer highly bright NIR-II fluorescent fluorophores, providing a reliable nanoplatform for deep brain theranostics that can be effectively delivered across biological barriers to target brain tumors.</w:t>
      </w:r>
    </w:p>
    <w:p>
      <w:pPr>
        <w:spacing w:before="120" w:after="120"/>
      </w:pPr>
      <w:r>
        <w:rPr>
          <w:sz w:val="18"/>
        </w:rPr>
        <w:t>——————————————————————————————————————————————————————————————————————</w:t>
      </w:r>
    </w:p>
    <w:p>
      <w:pPr>
        <w:spacing w:before="160" w:after="40" w:line="240" w:lineRule="auto"/>
      </w:pPr>
      <w:r>
        <w:rPr>
          <w:b/>
        </w:rPr>
        <w:t xml:space="preserve">[461] </w:t>
      </w:r>
      <w:hyperlink r:id="rId931">
        <w:r>
          <w:rPr>
            <w:color w:val="1155CC"/>
            <w:u w:val="single"/>
          </w:rPr>
          <w:t>T形锡烯离子：合成、反应性和氧化还原催化</w:t>
        </w:r>
      </w:hyperlink>
    </w:p>
    <w:p>
      <w:pPr>
        <w:spacing w:before="0" w:after="80"/>
      </w:pPr>
      <w:r>
        <w:rPr>
          <w:i/>
          <w:sz w:val="20"/>
        </w:rPr>
        <w:t>EN: T‐Shaped Stannyliumylidene Ion: Synthesis, Reactivity, and Redox Catalysis</w:t>
      </w:r>
    </w:p>
    <w:p>
      <w:pPr>
        <w:spacing w:before="0" w:after="120"/>
      </w:pPr>
      <w:r>
        <w:rPr>
          <w:b/>
        </w:rPr>
        <w:t xml:space="preserve">Source: </w:t>
      </w:r>
      <w:r>
        <w:t>Wiley: Angewandte Chemie International Edition: Table of Contents</w:t>
      </w:r>
      <w:r>
        <w:t xml:space="preserve">    </w:t>
      </w:r>
      <w:r>
        <w:rPr>
          <w:b/>
        </w:rPr>
        <w:t xml:space="preserve">Pub date: </w:t>
      </w:r>
      <w:r>
        <w:t>2026-02-27 11:43:06+00:00</w:t>
      </w:r>
      <w:r>
        <w:t xml:space="preserve">    </w:t>
      </w:r>
      <w:r>
        <w:rPr>
          <w:b/>
        </w:rPr>
        <w:t xml:space="preserve">DOI: </w:t>
      </w:r>
      <w:hyperlink r:id="rId932">
        <w:r>
          <w:rPr>
            <w:color w:val="1155CC"/>
            <w:u w:val="single"/>
          </w:rPr>
          <w:t>10.1002/anie.7786614</w:t>
        </w:r>
      </w:hyperlink>
    </w:p>
    <w:p>
      <w:pPr>
        <w:spacing w:before="0" w:after="120"/>
      </w:pPr>
      <w:r>
        <w:rPr>
          <w:b/>
        </w:rPr>
        <w:t xml:space="preserve">Notes: </w:t>
      </w:r>
      <w:r>
        <w:t>abstract_source=pubmed</w:t>
      </w:r>
    </w:p>
    <w:p>
      <w:pPr>
        <w:spacing w:before="0" w:after="80" w:lineRule="auto" w:line="276"/>
      </w:pPr>
      <w:r>
        <w:rPr>
          <w:b/>
        </w:rPr>
        <w:t xml:space="preserve">摘要（ZH）: </w:t>
      </w:r>
      <w:r>
        <w:t>我们报告了一种T形、8电子的锡基阳离子，其具有刚性丙烯酸基钳形配体的合成和表征。该阳离子Sn(II)配合物表现出显著的两性反应性，参与亲电、亲核和σ键活化反应。所有衍生化合物均通过核磁共振波谱、单晶X射线衍射分析和高分辨质谱进行表征。密度泛函理论计算揭示了锡中心存在孤对电子和空的5p轨道的共存，这解释了实验观察到的双重反应性。值得注意的是，类似过渡金属的电子结构使得这种有机锡(II)物种能够作为高效的转移氢催化剂。</w:t>
      </w:r>
    </w:p>
    <w:p>
      <w:pPr>
        <w:spacing w:before="0" w:after="200" w:lineRule="auto" w:line="276"/>
      </w:pPr>
      <w:r>
        <w:rPr>
          <w:b/>
        </w:rPr>
        <w:t xml:space="preserve">Abstract (EN): </w:t>
      </w:r>
      <w:r>
        <w:t>We report the synthesis and characterization of a T-shaped, 8-electron stannyliumylidene ion bearing a rigid acridane-based pincer ligand. This cationic Sn(II) complex exhibits pronounced ambiphilic reactivity, participating in electrophilic, nucleophilic, and σ-bond activation reactions. All derived compounds were characterized by nuclear magnetic resonance spectroscopy, single crystal x-ray diffraction analysis, and high-resolution mass spectrometry. Density functional theory calculations reveal the coexistence of a lone pair of electrons and a vacant 5p-orbital at the tin center, which rationalizes the experimentally observed dual reactivity. Remarkably, the transition metal-like electronic structure enables this organotin(II) species to act as an efficient catalyst for transfer hydrogenation of azoarenes and imines using NH3BH3 as hydrogen source. Combined experimental and computational mechanistic studies reveal a distinct catalytic platform based on Sn(II)/Sn(IV) redox cycle at a single tin(II) center. This work demonstrates the first Sn(II)/Sn(IV) catalyzed reduction of unsaturated bonds, offering a paradigm for mimicking transition metal reactivity through rationally designed main group systems in mediating diverse chemical transformations.</w:t>
      </w:r>
    </w:p>
    <w:p>
      <w:pPr>
        <w:spacing w:before="120" w:after="120"/>
      </w:pPr>
      <w:r>
        <w:rPr>
          <w:sz w:val="18"/>
        </w:rPr>
        <w:t>——————————————————————————————————————————————————————————————————————</w:t>
      </w:r>
    </w:p>
    <w:p>
      <w:pPr>
        <w:spacing w:before="160" w:after="40" w:line="240" w:lineRule="auto"/>
      </w:pPr>
      <w:r>
        <w:rPr>
          <w:b/>
        </w:rPr>
        <w:t xml:space="preserve">[462] </w:t>
      </w:r>
      <w:hyperlink r:id="rId933">
        <w:r>
          <w:rPr>
            <w:color w:val="1155CC"/>
            <w:u w:val="single"/>
          </w:rPr>
          <w:t>手性超分子氢键网络用于对抗神经炎症的对映选择性催化</w:t>
        </w:r>
      </w:hyperlink>
    </w:p>
    <w:p>
      <w:pPr>
        <w:spacing w:before="0" w:after="80"/>
      </w:pPr>
      <w:r>
        <w:rPr>
          <w:i/>
          <w:sz w:val="20"/>
        </w:rPr>
        <w:t>EN: Chiral Supramolecular Hydrogen Bonding Networks for Enantio‐Selective Catalysis Against Neuroinflammation</w:t>
      </w:r>
    </w:p>
    <w:p>
      <w:pPr>
        <w:spacing w:before="0" w:after="120"/>
      </w:pPr>
      <w:r>
        <w:rPr>
          <w:b/>
        </w:rPr>
        <w:t xml:space="preserve">Source: </w:t>
      </w:r>
      <w:r>
        <w:t>Wiley: Angewandte Chemie International Edition: Table of Contents</w:t>
      </w:r>
      <w:r>
        <w:t xml:space="preserve">    </w:t>
      </w:r>
      <w:r>
        <w:rPr>
          <w:b/>
        </w:rPr>
        <w:t xml:space="preserve">Pub date: </w:t>
      </w:r>
      <w:r>
        <w:t>2026-02-27 11:48:22+00:00</w:t>
      </w:r>
      <w:r>
        <w:t xml:space="preserve">    </w:t>
      </w:r>
      <w:r>
        <w:rPr>
          <w:b/>
        </w:rPr>
        <w:t xml:space="preserve">DOI: </w:t>
      </w:r>
      <w:hyperlink r:id="rId934">
        <w:r>
          <w:rPr>
            <w:color w:val="1155CC"/>
            <w:u w:val="single"/>
          </w:rPr>
          <w:t>10.1002/anie.4720702</w:t>
        </w:r>
      </w:hyperlink>
    </w:p>
    <w:p>
      <w:pPr>
        <w:spacing w:before="0" w:after="120"/>
      </w:pPr>
      <w:r>
        <w:rPr>
          <w:b/>
        </w:rPr>
        <w:t xml:space="preserve">Notes: </w:t>
      </w:r>
      <w:r>
        <w:t>abstract_source=pubmed</w:t>
      </w:r>
    </w:p>
    <w:p>
      <w:pPr>
        <w:spacing w:before="0" w:after="80" w:lineRule="auto" w:line="276"/>
      </w:pPr>
      <w:r>
        <w:rPr>
          <w:b/>
        </w:rPr>
        <w:t xml:space="preserve">摘要（ZH）: </w:t>
      </w:r>
      <w:r>
        <w:t>非共价相互作用对于调节蛋白质稳定性、重塑催化活性位点和促进酶促反应至关重要。将这些相互作用引入网状材料提供了一种构建人工酶和更接近模拟催化微环境的新方法。在此，构建了一对手性氢键有机框架（LHOF和DHOF），并确定了其独特的晶体结构。这些多孔手性HOFs作为底物富集口袋、活性腔，并具有醛缩酶样活性，可以催化对映体生物活性分子3-羟基-1,5-二苯基-1-戊酮的不对称合成。与右旋对映体相比，左旋化合物显示出更优越的反应性。</w:t>
      </w:r>
    </w:p>
    <w:p>
      <w:pPr>
        <w:spacing w:before="0" w:after="200" w:lineRule="auto" w:line="276"/>
      </w:pPr>
      <w:r>
        <w:rPr>
          <w:b/>
        </w:rPr>
        <w:t xml:space="preserve">Abstract (EN): </w:t>
      </w:r>
      <w:r>
        <w:t>Non-covalent interactions are critical for regulating protein stability, reshaping catalytic active sites, and facilitating enzymatic reactions. Introducing these interactions into reticular materials offers a new approach to constructing artificial enzymes and more closely mimicking the catalytic microenvironment. Herein, a pair of chiral hydrogen-bonded organic frameworks (LHOF and DHOF) has been constructed, and their unique crystal structures have been determined. These porous chiral HOFs act as substrate enrichment pockets, active cavities, and possess aldolase-like activity, which can catalyze the asymmetric synthesis of the enantiomeric bioactive molecule, 3-hydroxy-1,5-diphenyl-1-pehtanone. Compared to the right-handed enantiomer, the left-handed compound shows superior reactive oxygen species (ROS) scavenging capability in an LPS-induced inflammatory model. Further studies demonstrate that the anti-neuroinflammatory effect of this chiral product can reverse microglia phenotype, thereby enhancing their Aβ phagocytosis and alleviating Alzheimer's disease symptoms in the 3×Tg-AD mouse model. Thus, introduction of non-covalent interactions into reticular materials enhances enzyme-mimicking technology and offers new insights into enantioselective in vivo catalysis. This work provides a new paradigm for developing bioinspired materials chemistry and exploring their applications in enantioselective biomimetic catalysis.</w:t>
      </w:r>
    </w:p>
    <w:p>
      <w:pPr>
        <w:spacing w:before="120" w:after="120"/>
      </w:pPr>
      <w:r>
        <w:rPr>
          <w:sz w:val="18"/>
        </w:rPr>
        <w:t>——————————————————————————————————————————————————————————————————————</w:t>
      </w:r>
    </w:p>
    <w:p>
      <w:pPr>
        <w:spacing w:before="160" w:after="40" w:line="240" w:lineRule="auto"/>
      </w:pPr>
      <w:r>
        <w:rPr>
          <w:b/>
        </w:rPr>
        <w:t xml:space="preserve">[463] </w:t>
      </w:r>
      <w:hyperlink r:id="rId935">
        <w:r>
          <w:rPr>
            <w:color w:val="1155CC"/>
            <w:u w:val="single"/>
          </w:rPr>
          <w:t>机器学习指导的纳米共组装抑制成纤维细胞活化蛋白并改善纤维化组织中的药物递送</w:t>
        </w:r>
      </w:hyperlink>
    </w:p>
    <w:p>
      <w:pPr>
        <w:spacing w:before="0" w:after="80"/>
      </w:pPr>
      <w:r>
        <w:rPr>
          <w:i/>
          <w:sz w:val="20"/>
        </w:rPr>
        <w:t>EN: Machine Learning‐Informed Nano Co‐Assembly Inhibits Fibroblast Activation Protein and Improves Drug Delivery in Fibrotic Tissue</w:t>
      </w:r>
    </w:p>
    <w:p>
      <w:pPr>
        <w:spacing w:before="0" w:after="120"/>
      </w:pPr>
      <w:r>
        <w:rPr>
          <w:b/>
        </w:rPr>
        <w:t xml:space="preserve">Source: </w:t>
      </w:r>
      <w:r>
        <w:t>Wiley: Advanced Materials: Table of Contents</w:t>
      </w:r>
      <w:r>
        <w:t xml:space="preserve">    </w:t>
      </w:r>
      <w:r>
        <w:rPr>
          <w:b/>
        </w:rPr>
        <w:t xml:space="preserve">Pub date: </w:t>
      </w:r>
      <w:r>
        <w:t>2026-02-27 12:00:13+00:00</w:t>
      </w:r>
      <w:r>
        <w:t xml:space="preserve">    </w:t>
      </w:r>
      <w:r>
        <w:rPr>
          <w:b/>
        </w:rPr>
        <w:t xml:space="preserve">DOI: </w:t>
      </w:r>
      <w:hyperlink r:id="rId936">
        <w:r>
          <w:rPr>
            <w:color w:val="1155CC"/>
            <w:u w:val="single"/>
          </w:rPr>
          <w:t>10.1002/adma.202519805</w:t>
        </w:r>
      </w:hyperlink>
    </w:p>
    <w:p>
      <w:pPr>
        <w:spacing w:before="0" w:after="120"/>
      </w:pPr>
      <w:r>
        <w:rPr>
          <w:b/>
        </w:rPr>
        <w:t xml:space="preserve">Notes: </w:t>
      </w:r>
      <w:r>
        <w:t>abstract_source=pubmed</w:t>
      </w:r>
    </w:p>
    <w:p>
      <w:pPr>
        <w:spacing w:before="0" w:after="80" w:lineRule="auto" w:line="276"/>
      </w:pPr>
      <w:r>
        <w:rPr>
          <w:b/>
        </w:rPr>
        <w:t xml:space="preserve">摘要（ZH）: </w:t>
      </w:r>
      <w:r>
        <w:t>基于纳米颗粒的药物递送面临持续的挑战，包括复杂的制造工艺和有限的病灶积累。我们在此介绍SP-13786（SP），一种精确的小分子成纤维细胞活化蛋白（FAP）抑制剂，作为一种通用且有效的赋形剂，能够与多种疏水药物共同沉淀成稳定的纳米颗粒（SCAN）。对861种化合物的筛选显示，SP显著增强了胶体稳定性和药物负载。相应的模拟和可解释的机器学习（XML）表明，SCAN组装依赖于芳香性、刚性和平衡的氮介导相互作用，提供了可解释的共组装纳米医学框架。生物学评估表明，SCAN增强了药物递送和治疗效果</w:t>
      </w:r>
    </w:p>
    <w:p>
      <w:pPr>
        <w:spacing w:before="0" w:after="200" w:lineRule="auto" w:line="276"/>
      </w:pPr>
      <w:r>
        <w:rPr>
          <w:b/>
        </w:rPr>
        <w:t xml:space="preserve">Abstract (EN): </w:t>
      </w:r>
      <w:r>
        <w:t>Nanoparticle-based drug delivery faces persistent challenges, including complex fabrication processes and limited lesional accumulation. Here we introduce SP-13786 (SP), a precise small-molecule inhibitor of fibroblast activation protein (FAP), as a universal and effective excipient enabling facile co-precipitation into stable nanoparticles (SCAN) with diverse hydrophobic drugs. Screening of 861 compounds revealed a broadly enhanced colloidal stability and drug loading by SP. Corresponding simulations and explainable machine learning (XML) showed SCAN assembly hinges on balanced aromaticity, rigidity, and nitrogen-mediated interaction, offering interpretable framework for co-assembly nanomedicine. Biological assessment demonstrate that SCAN enhances drug delivery and therapeutic efficacy in FAP-positive cells, therefore attentuate the fibrosis-induced drug penetration barriers, increasing drug accumulation within the fibrotic tissue. The improved bioavailability correlate with superior therapeutic outcomes in multiple disease models with progressive fibrosis. Overall, we establish SP as a versatile nanotherapeutic platform combining simplicity in preparation, mechanistic insights provided by XML, and broad applicability for diseases characterized by pathological fibrosis and impaired drug delivery.</w:t>
      </w:r>
    </w:p>
    <w:p>
      <w:pPr>
        <w:spacing w:before="120" w:after="120"/>
      </w:pPr>
      <w:r>
        <w:rPr>
          <w:sz w:val="18"/>
        </w:rPr>
        <w:t>——————————————————————————————————————————————————————————————————————</w:t>
      </w:r>
    </w:p>
    <w:p>
      <w:pPr>
        <w:spacing w:before="160" w:after="40" w:line="240" w:lineRule="auto"/>
      </w:pPr>
      <w:r>
        <w:rPr>
          <w:b/>
        </w:rPr>
        <w:t xml:space="preserve">[464] </w:t>
      </w:r>
      <w:hyperlink r:id="rId937">
        <w:r>
          <w:rPr>
            <w:color w:val="1155CC"/>
            <w:u w:val="single"/>
          </w:rPr>
          <w:t>[ASAP] 通过钼催化的形式C(O)–C(O)键断裂进行邻二羰基重编程</w:t>
        </w:r>
      </w:hyperlink>
    </w:p>
    <w:p>
      <w:pPr>
        <w:spacing w:before="0" w:after="80"/>
      </w:pPr>
      <w:r>
        <w:rPr>
          <w:i/>
          <w:sz w:val="20"/>
        </w:rPr>
        <w:t>EN: [ASAP] Vicinal Dicarbonyl Reprogramming via Molybdenum-Catalyzed Formal C(O)–C(O) Bond Cleavage</w:t>
      </w:r>
    </w:p>
    <w:p>
      <w:pPr>
        <w:spacing w:before="0" w:after="120"/>
      </w:pPr>
      <w:r>
        <w:rPr>
          <w:b/>
        </w:rPr>
        <w:t xml:space="preserve">Source: </w:t>
      </w:r>
      <w:r>
        <w:t>Journal of the American Chemical Society: Latest Articles (ACS Publications)</w:t>
      </w:r>
      <w:r>
        <w:t xml:space="preserve">    </w:t>
      </w:r>
      <w:r>
        <w:rPr>
          <w:b/>
        </w:rPr>
        <w:t xml:space="preserve">Pub date: </w:t>
      </w:r>
      <w:r>
        <w:t>2026-02-27 12:13:12+00:00</w:t>
      </w:r>
      <w:r>
        <w:t xml:space="preserve">    </w:t>
      </w:r>
      <w:r>
        <w:rPr>
          <w:b/>
        </w:rPr>
        <w:t xml:space="preserve">DOI: </w:t>
      </w:r>
      <w:hyperlink r:id="rId938">
        <w:r>
          <w:rPr>
            <w:color w:val="1155CC"/>
            <w:u w:val="single"/>
          </w:rPr>
          <w:t>10.1021/jacs.6c00571</w:t>
        </w:r>
      </w:hyperlink>
    </w:p>
    <w:p>
      <w:pPr>
        <w:spacing w:before="0" w:after="120"/>
      </w:pPr>
      <w:r>
        <w:rPr>
          <w:b/>
        </w:rPr>
        <w:t xml:space="preserve">Notes: </w:t>
      </w:r>
      <w:r>
        <w:t>abstract_source=openalex</w:t>
      </w:r>
    </w:p>
    <w:p>
      <w:pPr>
        <w:spacing w:before="0" w:after="80" w:lineRule="auto" w:line="276"/>
      </w:pPr>
      <w:r>
        <w:rPr>
          <w:b/>
        </w:rPr>
        <w:t xml:space="preserve">摘要（ZH）: </w:t>
      </w:r>
      <w:r>
        <w:t>高效的C-C键活化和转化方法为构建有机分子框架提供了强大的策略。然而，开发通用且高效的过渡金属催化C-C键活化策略仍然是一个重大挑战。在此，我们报道了一种钼催化策略，用于高效和对映选择性的形式C(O)-C(O)键断裂和重组，从而将邻二羰基重编程为1,4-二羰基。借助强大的Mo催化平台，反应通常具有良好的产率、良好的区域选择性和优异的非对映选择性。机制研究表明，钼催化的逐步自由基[2 + 2]环加成途径可能涉及分子内形式C(O)-C(O)键断裂反应</w:t>
      </w:r>
    </w:p>
    <w:p>
      <w:pPr>
        <w:spacing w:before="0" w:after="200" w:lineRule="auto" w:line="276"/>
      </w:pPr>
      <w:r>
        <w:rPr>
          <w:b/>
        </w:rPr>
        <w:t xml:space="preserve">Abstract (EN): </w:t>
      </w:r>
      <w:r>
        <w:t>Efficient C-C bond activation and transformation methods provide powerful strategies for constructing organic molecular frameworks. However, the development of general and efficient transition-metal-catalyzed C-C bond activation strategies remains a significant challenge. Herein, we report a molybdenum catalytic strategy for efficient and enantioselective formal C(O)-C(O) bond cleavage and recombination, thus reprogramming vicinal dicarbonyls to 1,4-dicarbonyls. Enabled by a powerful Mo-catalytic platform, the reactions proceeded with generally good yields, good regioselectivity, and excellent diastereoselectivity. Mechanistic studies suggested that a Mo-catalyzed stepwise radical [2 + 2] cycloaddition pathway was plausibly involved in the intramolecular formal C(O)-C(O) bond cleavage reaction. Furthermore, an array of chiral 1,4-dicarbonyl products was obtained with good enantioselectivity and excellent diastereoselectivity when a simple chiral salan-Mo catalyst was used as the chiral catalyst. This strategy not only offers an efficient catalytic platform for vicinal dicarbonyl reprogramming but also opens new avenues for the applications of chiral salan-Mo complexes in asymmetric catalysis.</w:t>
      </w:r>
    </w:p>
    <w:p>
      <w:pPr>
        <w:spacing w:before="120" w:after="120"/>
      </w:pPr>
      <w:r>
        <w:rPr>
          <w:sz w:val="18"/>
        </w:rPr>
        <w:t>——————————————————————————————————————————————————————————————————————</w:t>
      </w:r>
    </w:p>
    <w:p>
      <w:pPr>
        <w:spacing w:before="160" w:after="40" w:line="240" w:lineRule="auto"/>
      </w:pPr>
      <w:r>
        <w:rPr>
          <w:b/>
        </w:rPr>
        <w:t xml:space="preserve">[465] </w:t>
      </w:r>
      <w:hyperlink r:id="rId939">
        <w:r>
          <w:rPr>
            <w:color w:val="1155CC"/>
            <w:u w:val="single"/>
          </w:rPr>
          <w:t>从CO、CO2和丁二烯合成功能性聚合物</w:t>
        </w:r>
      </w:hyperlink>
    </w:p>
    <w:p>
      <w:pPr>
        <w:spacing w:before="0" w:after="80"/>
      </w:pPr>
      <w:r>
        <w:rPr>
          <w:i/>
          <w:sz w:val="20"/>
        </w:rPr>
        <w:t>EN: Functional Polymer Synthesis From CO, CO2, and Butadiene</w:t>
      </w:r>
    </w:p>
    <w:p>
      <w:pPr>
        <w:spacing w:before="0" w:after="120"/>
      </w:pPr>
      <w:r>
        <w:rPr>
          <w:b/>
        </w:rPr>
        <w:t xml:space="preserve">Source: </w:t>
      </w:r>
      <w:r>
        <w:t>Wiley: Angewandte Chemie International Edition: Table of Contents</w:t>
      </w:r>
      <w:r>
        <w:t xml:space="preserve">    </w:t>
      </w:r>
      <w:r>
        <w:rPr>
          <w:b/>
        </w:rPr>
        <w:t xml:space="preserve">Pub date: </w:t>
      </w:r>
      <w:r>
        <w:t>2026-02-27 12:18:00+00:00</w:t>
      </w:r>
      <w:r>
        <w:t xml:space="preserve">    </w:t>
      </w:r>
      <w:r>
        <w:rPr>
          <w:b/>
        </w:rPr>
        <w:t xml:space="preserve">DOI: </w:t>
      </w:r>
      <w:hyperlink r:id="rId940">
        <w:r>
          <w:rPr>
            <w:color w:val="1155CC"/>
            <w:u w:val="single"/>
          </w:rPr>
          <w:t>10.1002/anie.6906738</w:t>
        </w:r>
      </w:hyperlink>
    </w:p>
    <w:p>
      <w:pPr>
        <w:spacing w:before="0" w:after="120"/>
      </w:pPr>
      <w:r>
        <w:rPr>
          <w:b/>
        </w:rPr>
        <w:t xml:space="preserve">Notes: </w:t>
      </w:r>
      <w:r>
        <w:t>abstract_source=pubmed</w:t>
      </w:r>
    </w:p>
    <w:p>
      <w:pPr>
        <w:spacing w:before="0" w:after="80" w:lineRule="auto" w:line="276"/>
      </w:pPr>
      <w:r>
        <w:rPr>
          <w:b/>
        </w:rPr>
        <w:t xml:space="preserve">摘要（ZH）: </w:t>
      </w:r>
      <w:r>
        <w:t>二氧化碳（CO2）和一氧化碳（CO）是最丰富的可再生C1构建块之一，已被广泛用于合成可持续聚合物。然而，它们显著不同的热力学特性阻碍了它们同时掺入单一聚合物中。在此，我们报告了一种新颖的反应策略，用于选择性构建形式CO/CO2/丁二烯三元共聚物，摩尔比为1:1:2。该方案涉及CO2与丁二烯的钯催化端聚合形成基于内酯的中间体（EVP），然后与CO催化交替共聚，获得高产率的功能性聚酮，具有未饱和内酯侧基。值得注意的是，功能性聚合物中的酮和内酯功能团都可以</w:t>
      </w:r>
    </w:p>
    <w:p>
      <w:pPr>
        <w:spacing w:before="0" w:after="200" w:lineRule="auto" w:line="276"/>
      </w:pPr>
      <w:r>
        <w:rPr>
          <w:b/>
        </w:rPr>
        <w:t xml:space="preserve">Abstract (EN): </w:t>
      </w:r>
      <w:r>
        <w:t>Carbon dioxide (CO2) and carbon monoxide (CO) are among the most abundant, renewable C1 building blocks that have been widely used to synthesize sustainable polymers. However, their markedly different thermodynamic profiles have precluded their simultaneous incorporation into a single polymer. Here we report a novel reaction strategy for the selective construction of formal CO/CO2/butadiene terpolymers in a 1:1:2 molar ratio. This protocol involves the Pd-catalyzed telomerization of CO2 with butadiene to form a lactone-based intermediate (EVP), followed by its catalytic alternating copolymerization with CO, affording functional polyketones bearing pendent unsaturated lactone side groups in high yields. Notably, both the ketone and lactone functionalities within the functional polymers can be quantitatively reduced to hydroxyl groups using sodium borohydride (NaBH4) at room temperature. The obtained multi-hydroxy functionalized polymer exhibits strong adhesion to common substrates (adhesion strength up to 10.13 MPa on wood) together with desirable oxidative degradability.</w:t>
      </w:r>
    </w:p>
    <w:p>
      <w:pPr>
        <w:spacing w:before="120" w:after="120"/>
      </w:pPr>
      <w:r>
        <w:rPr>
          <w:sz w:val="18"/>
        </w:rPr>
        <w:t>——————————————————————————————————————————————————————————————————————</w:t>
      </w:r>
    </w:p>
    <w:p>
      <w:pPr>
        <w:spacing w:before="160" w:after="40" w:line="240" w:lineRule="auto"/>
      </w:pPr>
      <w:r>
        <w:rPr>
          <w:b/>
        </w:rPr>
        <w:t xml:space="preserve">[466] </w:t>
      </w:r>
      <w:hyperlink r:id="rId941">
        <w:r>
          <w:rPr>
            <w:color w:val="1155CC"/>
            <w:u w:val="single"/>
          </w:rPr>
          <w:t>[ASAP] 在体内共翻译性掺入(R)-和(S)-β2-羟基酸：高效氨酰-tRNA合成酶的定向进化</w:t>
        </w:r>
      </w:hyperlink>
    </w:p>
    <w:p>
      <w:pPr>
        <w:spacing w:before="0" w:after="80"/>
      </w:pPr>
      <w:r>
        <w:rPr>
          <w:i/>
          <w:sz w:val="20"/>
        </w:rPr>
        <w:t>EN: [ASAP] Co-Translational Incorporation of (R)- and (S)-β2-Hydroxyacids In Vivo: Directed Evolution of Efficient Aminoacyl-tRNA Synthetases</w:t>
      </w:r>
    </w:p>
    <w:p>
      <w:pPr>
        <w:spacing w:before="0" w:after="120"/>
      </w:pPr>
      <w:r>
        <w:rPr>
          <w:b/>
        </w:rPr>
        <w:t xml:space="preserve">Source: </w:t>
      </w:r>
      <w:r>
        <w:t>Journal of the American Chemical Society: Latest Articles (ACS Publications)</w:t>
      </w:r>
      <w:r>
        <w:t xml:space="preserve">    </w:t>
      </w:r>
      <w:r>
        <w:rPr>
          <w:b/>
        </w:rPr>
        <w:t xml:space="preserve">Pub date: </w:t>
      </w:r>
      <w:r>
        <w:t>2026-02-27 12:23:14+00:00</w:t>
      </w:r>
      <w:r>
        <w:t xml:space="preserve">    </w:t>
      </w:r>
      <w:r>
        <w:rPr>
          <w:b/>
        </w:rPr>
        <w:t xml:space="preserve">DOI: </w:t>
      </w:r>
      <w:hyperlink r:id="rId942">
        <w:r>
          <w:rPr>
            <w:color w:val="1155CC"/>
            <w:u w:val="single"/>
          </w:rPr>
          <w:t>10.1021/jacs.5c18595</w:t>
        </w:r>
      </w:hyperlink>
    </w:p>
    <w:p>
      <w:pPr>
        <w:spacing w:before="0" w:after="120"/>
      </w:pPr>
      <w:r>
        <w:rPr>
          <w:b/>
        </w:rPr>
        <w:t xml:space="preserve">Notes: </w:t>
      </w:r>
      <w:r>
        <w:t>abstract_source=pubmed</w:t>
      </w:r>
    </w:p>
    <w:p>
      <w:pPr>
        <w:spacing w:before="0" w:after="80" w:lineRule="auto" w:line="276"/>
      </w:pPr>
      <w:r>
        <w:rPr>
          <w:b/>
        </w:rPr>
        <w:t xml:space="preserve">摘要（ZH）: </w:t>
      </w:r>
      <w:r>
        <w:t>利用非典型单体（ncMs）扩展活细胞的遗传密码依赖于工程化的氨酰-tRNA合成酶（aaRS）及其对应的tRNA。传统的aaRS工程策略依赖于翻译依赖的选择系统，限制了它们在本地翻译机制难以容纳的ncMs中的应用。为了解决这一限制，我们最近开发了START，这是一种翻译独立的平台，基于其酰化对应tRNAMaPyl的能力选择Methanomethylophilus alvus吡咯赖氨酸合成酶（MaPylRS）突变体。START使用带条形码的tRNA来编码库中不同aaRS突变体的身份。活性aaRS突变体的酰化保护相应的tRNA免受高碘酸氧化，随后检索其身份。</w:t>
      </w:r>
    </w:p>
    <w:p>
      <w:pPr>
        <w:spacing w:before="0" w:after="200" w:lineRule="auto" w:line="276"/>
      </w:pPr>
      <w:r>
        <w:rPr>
          <w:b/>
        </w:rPr>
        <w:t xml:space="preserve">Abstract (EN): </w:t>
      </w:r>
      <w:r>
        <w:t>Expanding the genetic code of living cells with noncanonical monomers (ncMs) relies on engineered aminoacyl-tRNA synthetases (aaRS) and their cognate tRNAs. Conventional aaRS engineering strategies rely on translation-dependent selection systems, limiting their utility for ncMs that are poorly accommodated by the native translational machinery. To address this limitation, we recently developed START, a translation-independent platform that selects Methanomethylophilus alvus pyrrolysyl-synthetase (MaPylRS) mutants based on their ability to acylate cognate tRNAMaPyl. START uses barcoded tRNAs to encode the identity of distinct aaRS mutants in a library. Acylation by active aaRS mutants protects the corresponding tRNAs from periodate oxidation, and their identity is retrieved subsequently through sequencing. START was previously applied to genetically encode noncanonical α-amino acids. Here, we successfully applied START to engineer MaPylRS mutants capable of acylating tRNAMaPyl with diverse non-α-amino acid substrates with good efficiency and fidelity, including (R) and (S) enantiomers of a β2-hydroxy acid, a β2-amino acids, and a malonate. Several mutants exhibit notable polyspecificity across noncanonical backbones while maintaining selectivity against their α-amino acid counterparts. Using these novel enzymes, we demonstrate the ribosomal incorporation of both (R)- and (S)-β2-hydroxy acids into a luciferase reporter protein expressed in Escherichia coli with good efficiency and fidelity. These results imply that highly active engineered aaRS/tRNA pairs can overcome the recently established limitations of EF-Tu with respect to non-α-amino acid substrates. The engineered MaPylRS mutants also enabled the successful incorporation of both (R)- and (S)-β2-hydroxy acids into a protein expressed in mammalian cells, demonstrating for the first time that eukaryotic translation can accommodate non-α-backbones.</w:t>
      </w:r>
    </w:p>
    <w:p>
      <w:pPr>
        <w:spacing w:before="120" w:after="120"/>
      </w:pPr>
      <w:r>
        <w:rPr>
          <w:sz w:val="18"/>
        </w:rPr>
        <w:t>——————————————————————————————————————————————————————————————————————</w:t>
      </w:r>
    </w:p>
    <w:p>
      <w:pPr>
        <w:spacing w:before="160" w:after="40" w:line="240" w:lineRule="auto"/>
      </w:pPr>
      <w:r>
        <w:rPr>
          <w:b/>
        </w:rPr>
        <w:t xml:space="preserve">[467] </w:t>
      </w:r>
      <w:hyperlink r:id="rId943">
        <w:r>
          <w:rPr>
            <w:color w:val="1155CC"/>
            <w:u w:val="single"/>
          </w:rPr>
          <w:t>[ASAP] 在体外共翻译性掺入(R)-和(S)-β2-羟基酸：关于大肠杆菌核糖体的结构和生化研究</w:t>
        </w:r>
      </w:hyperlink>
    </w:p>
    <w:p>
      <w:pPr>
        <w:spacing w:before="0" w:after="80"/>
      </w:pPr>
      <w:r>
        <w:rPr>
          <w:i/>
          <w:sz w:val="20"/>
        </w:rPr>
        <w:t>EN: [ASAP] Co-Translational Incorporation of (R)- and (S)-β2-Hydroxy Acids In Vitro: A Structural and Biochemical Study on the E. coli Ribosome</w:t>
      </w:r>
    </w:p>
    <w:p>
      <w:pPr>
        <w:spacing w:before="0" w:after="120"/>
      </w:pPr>
      <w:r>
        <w:rPr>
          <w:b/>
        </w:rPr>
        <w:t xml:space="preserve">Source: </w:t>
      </w:r>
      <w:r>
        <w:t>Journal of the American Chemical Society: Latest Articles (ACS Publications)</w:t>
      </w:r>
      <w:r>
        <w:t xml:space="preserve">    </w:t>
      </w:r>
      <w:r>
        <w:rPr>
          <w:b/>
        </w:rPr>
        <w:t xml:space="preserve">Pub date: </w:t>
      </w:r>
      <w:r>
        <w:t>2026-02-27 12:23:50+00:00</w:t>
      </w:r>
      <w:r>
        <w:t xml:space="preserve">    </w:t>
      </w:r>
      <w:r>
        <w:rPr>
          <w:b/>
        </w:rPr>
        <w:t xml:space="preserve">DOI: </w:t>
      </w:r>
      <w:hyperlink r:id="rId944">
        <w:r>
          <w:rPr>
            <w:color w:val="1155CC"/>
            <w:u w:val="single"/>
          </w:rPr>
          <w:t>10.1021/jacs.5c18603</w:t>
        </w:r>
      </w:hyperlink>
    </w:p>
    <w:p>
      <w:pPr>
        <w:spacing w:before="0" w:after="120"/>
      </w:pPr>
      <w:r>
        <w:rPr>
          <w:b/>
        </w:rPr>
        <w:t xml:space="preserve">Notes: </w:t>
      </w:r>
      <w:r>
        <w:t>abstract_source=pubmed</w:t>
      </w:r>
    </w:p>
    <w:p>
      <w:pPr>
        <w:spacing w:before="0" w:after="80" w:lineRule="auto" w:line="276"/>
      </w:pPr>
      <w:r>
        <w:rPr>
          <w:b/>
        </w:rPr>
        <w:t xml:space="preserve">摘要（ZH）: </w:t>
      </w:r>
      <w:r>
        <w:t>工程化翻译装置以接受主链修饰的氨基酸类似物将使具有可调性质的序列定义生物聚合物的程序化合成成为可能。β-羟基酸特别引人注目，因为它们可以支持生物相容性聚酯材料以及类天然产物的脱肽的程序化生物合成。先前的研究报告称，β2-羟基-Nε-Boc-赖氨酸（β2-OH-BocK）的两种对映体都是正交M. alvi吡咯赖氨酸-tRNA合成酶（PylRS）/tRNA对的体外底物，但只有一种对映体在体内被引入蛋白质。我们在此利用高分辨率低温电子显微镜（cryo-EM）确定这一观察的结构基础。这些结构揭示了两种β2-OH-BocK异构体均等</w:t>
      </w:r>
    </w:p>
    <w:p>
      <w:pPr>
        <w:spacing w:before="0" w:after="200" w:lineRule="auto" w:line="276"/>
      </w:pPr>
      <w:r>
        <w:rPr>
          <w:b/>
        </w:rPr>
        <w:t xml:space="preserve">Abstract (EN): </w:t>
      </w:r>
      <w:r>
        <w:t>Engineering the translation apparatus to accept backbone-modified amino acid analogues would enable the programmed synthesis of sequence-defined biopolymers with tunable properties. β-Hydroxy acids are of particular interest because they could support the programmed biosynthesis of both biocompatible polyester materials as well as natural product-like depsipeptides. Previous work has reported that both enantiomers of β2-hydroxy-Nε-Boc-lysine (β2-OH-BocK) are in vitro substrates for the orthogonal M. alvi pyrrolysyl-tRNA synthetase (PylRS)/tRNA pair, but only one enantiomer is introduced into protein in vivo. Here we make use of high-resolution cryogenic electron microscopy (cryo-EM) to determine the structural basis for this observation. These structures reveal both β2-OH-BocK isomers equally well-positioned within the ribosomal A site regardless of stereochemistry. Consistent with this observation, in vitro translation reactions charged with tRNAs acylated with (R)- or (S)-β2-OH-BocK produced roughly equal amounts of translated product when quantified on the basis of either mass spectrometry or luminescence. Together, these experiments imply that the substantial preferential in vivo incorporation of one enantiomer over the other observed previously results primarily from deficiencies in the steps that precede bond formation by the E. coli ribosome. Indeed, as predicted by this work and demonstrated in an accompanying paper (Soni, C. Co-Translational Incorporation of (R)- and (S)-β2-Hydroxyacids In Vivo: Directed Evolution of Efficient Aminoacyl-tRNA Synthetases. J. Am. Chem. Soc. 2026, 148, 10.1021/jacs.5c18595), when cells are provided with an active and orthogonal aminoacyl-tRNA synthetase/tRNA pair that accepts both (R)- and (S)-β2-OH-BocK as substrates, both monomers are introduced into protein in good yield and with high fidelity.</w:t>
      </w:r>
    </w:p>
    <w:p>
      <w:pPr>
        <w:spacing w:before="120" w:after="120"/>
      </w:pPr>
      <w:r>
        <w:rPr>
          <w:sz w:val="18"/>
        </w:rPr>
        <w:t>——————————————————————————————————————————————————————————————————————</w:t>
      </w:r>
    </w:p>
    <w:p>
      <w:pPr>
        <w:spacing w:before="160" w:after="40" w:line="240" w:lineRule="auto"/>
      </w:pPr>
      <w:r>
        <w:rPr>
          <w:b/>
        </w:rPr>
        <w:t xml:space="preserve">[468] </w:t>
      </w:r>
      <w:hyperlink r:id="rId945">
        <w:r>
          <w:rPr>
            <w:color w:val="1155CC"/>
            <w:u w:val="single"/>
          </w:rPr>
          <w:t>[ASAP] 通过C–H扩展的四种五环同源原阿朴啡生物碱的分歧不对称合成</w:t>
        </w:r>
      </w:hyperlink>
    </w:p>
    <w:p>
      <w:pPr>
        <w:spacing w:before="0" w:after="80"/>
      </w:pPr>
      <w:r>
        <w:rPr>
          <w:i/>
          <w:sz w:val="20"/>
        </w:rPr>
        <w:t>EN: [ASAP] Divergent Asymmetric Synthesis of Four Pentacyclic Homoproaporphine Alkaloids via C–H Elaboration</w:t>
      </w:r>
    </w:p>
    <w:p>
      <w:pPr>
        <w:spacing w:before="0" w:after="120"/>
      </w:pPr>
      <w:r>
        <w:rPr>
          <w:b/>
        </w:rPr>
        <w:t xml:space="preserve">Source: </w:t>
      </w:r>
      <w:r>
        <w:t>Journal of the American Chemical Society: Latest Articles (ACS Publications)</w:t>
      </w:r>
      <w:r>
        <w:t xml:space="preserve">    </w:t>
      </w:r>
      <w:r>
        <w:rPr>
          <w:b/>
        </w:rPr>
        <w:t xml:space="preserve">Pub date: </w:t>
      </w:r>
      <w:r>
        <w:t>2026-02-27 12:24:13+00:00</w:t>
      </w:r>
      <w:r>
        <w:t xml:space="preserve">    </w:t>
      </w:r>
      <w:r>
        <w:rPr>
          <w:b/>
        </w:rPr>
        <w:t xml:space="preserve">DOI: </w:t>
      </w:r>
      <w:hyperlink r:id="rId946">
        <w:r>
          <w:rPr>
            <w:color w:val="1155CC"/>
            <w:u w:val="single"/>
          </w:rPr>
          <w:t>10.1021/jacs.6c00213</w:t>
        </w:r>
      </w:hyperlink>
    </w:p>
    <w:p>
      <w:pPr>
        <w:spacing w:before="0" w:after="120"/>
      </w:pPr>
      <w:r>
        <w:rPr>
          <w:b/>
        </w:rPr>
        <w:t xml:space="preserve">Notes: </w:t>
      </w:r>
      <w:r>
        <w:t>abstract_source=pubmed</w:t>
      </w:r>
    </w:p>
    <w:p>
      <w:pPr>
        <w:spacing w:before="0" w:after="80" w:lineRule="auto" w:line="276"/>
      </w:pPr>
      <w:r>
        <w:rPr>
          <w:b/>
        </w:rPr>
        <w:t xml:space="preserve">摘要（ZH）: </w:t>
      </w:r>
      <w:r>
        <w:t>五环同原阿朴啡生物碱，包含一个[6/6/6/6/6]-螺桥框架和多个立体中心，提出了合成挑战。在此，我们通过顺序C-H扩展，报告了四种五环同原阿朴啡生物碱，(-)-robustamine, (-)-robustamine cis-N-oxide, (+)-regelinine和(+)-regeline的分歧合成，该过程通过两阶段环化-功能化策略进行。合成策略的第一阶段是通过两个顺序Csp2-H环化高效构建[6/6/6/6]-四环核心框架。第二阶段是通过一系列Csp3-H功能化步骤，包括局部去对称化螺碳环酮转位、可调Csp3-H氧化，精确调控主链立体化学多样性。</w:t>
      </w:r>
    </w:p>
    <w:p>
      <w:pPr>
        <w:spacing w:before="0" w:after="200" w:lineRule="auto" w:line="276"/>
      </w:pPr>
      <w:r>
        <w:rPr>
          <w:b/>
        </w:rPr>
        <w:t xml:space="preserve">Abstract (EN): </w:t>
      </w:r>
      <w:r>
        <w:t>Pentacyclic homoproaporphine alkaloids, which contain a [6/6/6/6/6]-spiro-bridged framework and multiple stereocenters, present synthetic challenges. Here, we report a divergent synthesis of four pentacyclic homoproaporphine alkaloids, (-)-robustamine, (-)-robustamine cis-N-oxide, (+)-regelinine, and (+)-regeline, through sequential C-H elaboration that proceeds via a two-stage cyclization-functionalization strategy. The first stage of the synthetic strategy is the efficient construction of the [6/6/6/6]-tetracyclic core framework via two sequential Csp2-H cyclizations. The second stage is precise regulation of the backbone stereochemical diversity through a series of Csp3-H functionalization steps, including a locally desymmetrizing spirocarbocyclic ketone transposition, tunable Csp3-H oxidation at C11, and stereoselective Csp3-H epimerization at C6a. This work establishes a practical C-H elaboration platform that enables concise access to structurally complex natural product architectures.</w:t>
      </w:r>
    </w:p>
    <w:p>
      <w:pPr>
        <w:spacing w:before="120" w:after="120"/>
      </w:pPr>
      <w:r>
        <w:rPr>
          <w:sz w:val="18"/>
        </w:rPr>
        <w:t>——————————————————————————————————————————————————————————————————————</w:t>
      </w:r>
    </w:p>
    <w:p>
      <w:pPr>
        <w:spacing w:before="160" w:after="40" w:line="240" w:lineRule="auto"/>
      </w:pPr>
      <w:r>
        <w:rPr>
          <w:b/>
        </w:rPr>
        <w:t xml:space="preserve">[469] </w:t>
      </w:r>
      <w:hyperlink r:id="rId947">
        <w:r>
          <w:rPr>
            <w:color w:val="1155CC"/>
            <w:u w:val="single"/>
          </w:rPr>
          <w:t>析出合金-钙钛矿异质结构实现高效且稳健的CH4-CO2固体氧化物燃料电池</w:t>
        </w:r>
      </w:hyperlink>
    </w:p>
    <w:p>
      <w:pPr>
        <w:spacing w:before="0" w:after="80"/>
      </w:pPr>
      <w:r>
        <w:rPr>
          <w:i/>
          <w:sz w:val="20"/>
        </w:rPr>
        <w:t>EN: Exsolved Alloy‐Perovskite Heterostructure Enables Efficient and Robust CH4‐CO2 Solid Oxide Fuel Cells</w:t>
      </w:r>
    </w:p>
    <w:p>
      <w:pPr>
        <w:spacing w:before="0" w:after="120"/>
      </w:pPr>
      <w:r>
        <w:rPr>
          <w:b/>
        </w:rPr>
        <w:t xml:space="preserve">Source: </w:t>
      </w:r>
      <w:r>
        <w:t>Wiley: Advanced Energy Materials: Table of Contents</w:t>
      </w:r>
      <w:r>
        <w:t xml:space="preserve">    </w:t>
      </w:r>
      <w:r>
        <w:rPr>
          <w:b/>
        </w:rPr>
        <w:t xml:space="preserve">Pub date: </w:t>
      </w:r>
      <w:r>
        <w:t>2026-02-27 12:29:56+00:00</w:t>
      </w:r>
      <w:r>
        <w:t xml:space="preserve">    </w:t>
      </w:r>
      <w:r>
        <w:rPr>
          <w:b/>
        </w:rPr>
        <w:t xml:space="preserve">DOI: </w:t>
      </w:r>
      <w:hyperlink r:id="rId948">
        <w:r>
          <w:rPr>
            <w:color w:val="1155CC"/>
            <w:u w:val="single"/>
          </w:rPr>
          <w:t>10.1002/aenm.202505267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[470] </w:t>
      </w:r>
      <w:hyperlink r:id="rId949">
        <w:r>
          <w:rPr>
            <w:color w:val="1155CC"/>
            <w:u w:val="single"/>
          </w:rPr>
          <w:t>[ASAP] 在电子强耦合下直接读取叶绿素染料的激发态寿命</w:t>
        </w:r>
      </w:hyperlink>
    </w:p>
    <w:p>
      <w:pPr>
        <w:spacing w:before="0" w:after="80"/>
      </w:pPr>
      <w:r>
        <w:rPr>
          <w:i/>
          <w:sz w:val="20"/>
        </w:rPr>
        <w:t>EN: [ASAP] Direct Readout of Excited-State Lifetimes in Chlorin Chromophores under Electronic Strong Coupling</w:t>
      </w:r>
    </w:p>
    <w:p>
      <w:pPr>
        <w:spacing w:before="0" w:after="120"/>
      </w:pPr>
      <w:r>
        <w:rPr>
          <w:b/>
        </w:rPr>
        <w:t xml:space="preserve">Source: </w:t>
      </w:r>
      <w:r>
        <w:t>Journal of the American Chemical Society: Latest Articles (ACS Publications)</w:t>
      </w:r>
      <w:r>
        <w:t xml:space="preserve">    </w:t>
      </w:r>
      <w:r>
        <w:rPr>
          <w:b/>
        </w:rPr>
        <w:t xml:space="preserve">Pub date: </w:t>
      </w:r>
      <w:r>
        <w:t>2026-02-27 12:31:05+00:00</w:t>
      </w:r>
      <w:r>
        <w:t xml:space="preserve">    </w:t>
      </w:r>
      <w:r>
        <w:rPr>
          <w:b/>
        </w:rPr>
        <w:t xml:space="preserve">DOI: </w:t>
      </w:r>
      <w:hyperlink r:id="rId950">
        <w:r>
          <w:rPr>
            <w:color w:val="1155CC"/>
            <w:u w:val="single"/>
          </w:rPr>
          <w:t>10.1021/jacs.5c21433</w:t>
        </w:r>
      </w:hyperlink>
    </w:p>
    <w:p>
      <w:pPr>
        <w:spacing w:before="0" w:after="120"/>
      </w:pPr>
      <w:r>
        <w:rPr>
          <w:b/>
        </w:rPr>
        <w:t xml:space="preserve">Notes: </w:t>
      </w:r>
      <w:r>
        <w:t>abstract_source=pubmed</w:t>
      </w:r>
    </w:p>
    <w:p>
      <w:pPr>
        <w:spacing w:before="0" w:after="80" w:lineRule="auto" w:line="276"/>
      </w:pPr>
      <w:r>
        <w:rPr>
          <w:b/>
        </w:rPr>
        <w:t xml:space="preserve">摘要（ZH）: </w:t>
      </w:r>
      <w:r>
        <w:t>迄今为止，电子强耦合（ESC）下分子光物理的机制仍不清楚。在此，我们使用超快泵浦探针光谱研究氯化e6三甲酯（Ce6T）在其从电子基态到Qy带的跃迁的强耦合下的激发态弛豫动力学。Ce6T是一个引人注目的测试平台，用于解决关于ESC下激发态寿命的未解问题，因为之前有关于腔体改变氯化物行为的报告。我们使用二色法布里-珀罗腔体提供一个透明的光谱窗口，可以直接跟踪在光泵浦强耦合Qy带或更高的B带后激发态的种群。这一方案规避了超快光谱中固有的许多光学伪影。</w:t>
      </w:r>
    </w:p>
    <w:p>
      <w:pPr>
        <w:spacing w:before="0" w:after="200" w:lineRule="auto" w:line="276"/>
      </w:pPr>
      <w:r>
        <w:rPr>
          <w:b/>
        </w:rPr>
        <w:t xml:space="preserve">Abstract (EN): </w:t>
      </w:r>
      <w:r>
        <w:t>The mechanisms governing molecular photophysics under electronic strong coupling (ESC) remain elusive to date. Here, we use ultrafast pump-probe spectroscopy to study the excited-state relaxation dynamics of chlorin e6 trimethyl ester (Ce6T) under strong coupling of its transition from the electronic ground state to the Qy band. Ce6T is a compelling testbed with which to address open questions about excited-state lifetimes under ESC given prior reports of cavity-altered behavior in chlorins. We use dichroic Fabry-Pérot cavities to provide a transparent spectral window in which we can directly track the excited-state population following the optical pumping of either the strongly-coupled Qy band or the higher-lying B band. This scheme circumvents many of the optical artifacts inherent in ultrafast cavity measurements and allows for facile comparison of strongly-coupled measurements with extracavity controls. We observe no significant changes in excited-state lifetimes for any optical pumping schemes or cavity-coupling conditions considered herein. These results suggest that Ce6T exhibits identical photophysics under ESC and in free space, presenting a new data point for benchmarking emerging theories for cavity photochemistry.</w:t>
      </w:r>
    </w:p>
    <w:p>
      <w:pPr>
        <w:spacing w:before="120" w:after="120"/>
      </w:pPr>
      <w:r>
        <w:rPr>
          <w:sz w:val="18"/>
        </w:rPr>
        <w:t>——————————————————————————————————————————————————————————————————————</w:t>
      </w:r>
    </w:p>
    <w:p>
      <w:pPr>
        <w:spacing w:before="160" w:after="40" w:line="240" w:lineRule="auto"/>
      </w:pPr>
      <w:r>
        <w:rPr>
          <w:b/>
        </w:rPr>
        <w:t xml:space="preserve">[471] </w:t>
      </w:r>
      <w:hyperlink r:id="rId951">
        <w:r>
          <w:rPr>
            <w:color w:val="1155CC"/>
            <w:u w:val="single"/>
          </w:rPr>
          <w:t>[ASAP] 通过埃米级尖端增强拉曼成像揭示单分子的吸附驱动对称性降低</w:t>
        </w:r>
      </w:hyperlink>
    </w:p>
    <w:p>
      <w:pPr>
        <w:spacing w:before="0" w:after="80"/>
      </w:pPr>
      <w:r>
        <w:rPr>
          <w:i/>
          <w:sz w:val="20"/>
        </w:rPr>
        <w:t>EN: [ASAP] Adsorption-Driven Symmetry Lowering in Single Molecules Revealed by Ångstrom-Scale Tip-Enhanced Raman Imaging</w:t>
      </w:r>
    </w:p>
    <w:p>
      <w:pPr>
        <w:spacing w:before="0" w:after="120"/>
      </w:pPr>
      <w:r>
        <w:rPr>
          <w:b/>
        </w:rPr>
        <w:t xml:space="preserve">Source: </w:t>
      </w:r>
      <w:r>
        <w:t>Journal of the American Chemical Society: Latest Articles (ACS Publications)</w:t>
      </w:r>
      <w:r>
        <w:t xml:space="preserve">    </w:t>
      </w:r>
      <w:r>
        <w:rPr>
          <w:b/>
        </w:rPr>
        <w:t xml:space="preserve">Pub date: </w:t>
      </w:r>
      <w:r>
        <w:t>2026-02-27 12:40:09+00:00</w:t>
      </w:r>
      <w:r>
        <w:t xml:space="preserve">    </w:t>
      </w:r>
      <w:r>
        <w:rPr>
          <w:b/>
        </w:rPr>
        <w:t xml:space="preserve">DOI: </w:t>
      </w:r>
      <w:hyperlink r:id="rId952">
        <w:r>
          <w:rPr>
            <w:color w:val="1155CC"/>
            <w:u w:val="single"/>
          </w:rPr>
          <w:t>10.1021/jacs.5c18593</w:t>
        </w:r>
      </w:hyperlink>
    </w:p>
    <w:p>
      <w:pPr>
        <w:spacing w:before="0" w:after="120"/>
      </w:pPr>
      <w:r>
        <w:rPr>
          <w:b/>
        </w:rPr>
        <w:t xml:space="preserve">Notes: </w:t>
      </w:r>
      <w:r>
        <w:t>abstract_source=semanticscholar</w:t>
      </w:r>
    </w:p>
    <w:p>
      <w:pPr>
        <w:spacing w:before="0" w:after="80" w:lineRule="auto" w:line="276"/>
      </w:pPr>
      <w:r>
        <w:rPr>
          <w:b/>
        </w:rPr>
        <w:t xml:space="preserve">摘要（ZH）: </w:t>
      </w:r>
      <w:r>
        <w:t>吸附分子的振动景观是理解原子尺度表面相互作用的核心，影响从催化到分子电子学的现象。原子尺度尖端增强拉曼光谱（TERS）的最新进展使得单分子的振动映射成为可能，具有亚纳米空间分辨率，通过在等离子体微腔中限制光提供了对分子-表面相互作用的前所未有的见解。在此，我们利用低温扫描隧道显微镜结中的TERS进行单个铁酞菁（FePc）分子在Ag表面三种不等价吸附构型的拉曼高光谱映射。我们探讨了吸附在两种不同银晶体终端上的FePc分子振动模式的变化。</w:t>
      </w:r>
    </w:p>
    <w:p>
      <w:pPr>
        <w:spacing w:before="0" w:after="200" w:lineRule="auto" w:line="276"/>
      </w:pPr>
      <w:r>
        <w:rPr>
          <w:b/>
        </w:rPr>
        <w:t xml:space="preserve">Abstract (EN): </w:t>
      </w:r>
      <w:r>
        <w:t>The vibrational landscape of adsorbed molecules is central to understanding surface interactions at the atomic scale, influencing phenomena from catalysis to molecular electronics. Recent advances in atomic-scale tip-enhanced Raman spectroscopy (TERS) have enabled vibrational mapping of single molecules with subnanometer spatial resolution, providing unprecedented insights into molecule-surface interactions by confining light in plasmonic picocavities. Here, we exploit TERS in a cryogenic scanning tunneling microscope junction to perform Raman hyperspectral mapping of single iron phthalocyanine (FePc) molecules in three nonequivalent adsorption configurations on Ag surfaces. We explore the changes in the vibrational modes of FePc molecules adsorbed on two distinct silver crystal terminations with differing symmetry, Ag(111) and Ag(110), revealing how subtle variations in the adsorption geometry due to substrate anisotropy can strongly influence molecular vibrations, lifting the degeneracy of individual normal modes. Our findings not only demonstrate the first use of subnanometer TERS mapping across different symmetry configurations but also provide a deeper understanding of how site-specific vibrational properties are intimately linked to local atomic environments. This capability paves the way for precisely tailoring surface interactions and controlling chemical reactions on the atomic scale.</w:t>
      </w:r>
    </w:p>
    <w:p>
      <w:pPr>
        <w:spacing w:before="120" w:after="120"/>
      </w:pPr>
      <w:r>
        <w:rPr>
          <w:sz w:val="18"/>
        </w:rPr>
        <w:t>——————————————————————————————————————————————————————————————————————</w:t>
      </w:r>
    </w:p>
    <w:p>
      <w:pPr>
        <w:spacing w:before="160" w:after="40" w:line="240" w:lineRule="auto"/>
      </w:pPr>
      <w:r>
        <w:rPr>
          <w:b/>
        </w:rPr>
        <w:t xml:space="preserve">[472] </w:t>
      </w:r>
      <w:hyperlink r:id="rId953">
        <w:r>
          <w:rPr>
            <w:color w:val="1155CC"/>
            <w:u w:val="single"/>
          </w:rPr>
          <w:t>[ASAP] 通过革兰氏阳性细菌中特异性途径的糖苷水解酶样酶脱水实现吡咯酰胺的正交生物合成</w:t>
        </w:r>
      </w:hyperlink>
    </w:p>
    <w:p>
      <w:pPr>
        <w:spacing w:before="0" w:after="80"/>
      </w:pPr>
      <w:r>
        <w:rPr>
          <w:i/>
          <w:sz w:val="20"/>
        </w:rPr>
        <w:t>EN: [ASAP] Orthogonal Biosynthesis of Pyrrolamides through Dehydration by a Pathway-Specific Glycoside Hydrolase-Like Enzyme in Gram-Positive Bacteria</w:t>
      </w:r>
    </w:p>
    <w:p>
      <w:pPr>
        <w:spacing w:before="0" w:after="120"/>
      </w:pPr>
      <w:r>
        <w:rPr>
          <w:b/>
        </w:rPr>
        <w:t xml:space="preserve">Source: </w:t>
      </w:r>
      <w:r>
        <w:t>Journal of the American Chemical Society: Latest Articles (ACS Publications)</w:t>
      </w:r>
      <w:r>
        <w:t xml:space="preserve">    </w:t>
      </w:r>
      <w:r>
        <w:rPr>
          <w:b/>
        </w:rPr>
        <w:t xml:space="preserve">Pub date: </w:t>
      </w:r>
      <w:r>
        <w:t>2026-02-27 13:53:22+00:00</w:t>
      </w:r>
      <w:r>
        <w:t xml:space="preserve">    </w:t>
      </w:r>
      <w:r>
        <w:rPr>
          <w:b/>
        </w:rPr>
        <w:t xml:space="preserve">DOI: </w:t>
      </w:r>
      <w:hyperlink r:id="rId954">
        <w:r>
          <w:rPr>
            <w:color w:val="1155CC"/>
            <w:u w:val="single"/>
          </w:rPr>
          <w:t>10.1021/jacs.5c23027</w:t>
        </w:r>
      </w:hyperlink>
    </w:p>
    <w:p>
      <w:pPr>
        <w:spacing w:before="0" w:after="120"/>
      </w:pPr>
      <w:r>
        <w:rPr>
          <w:b/>
        </w:rPr>
        <w:t xml:space="preserve">Notes: </w:t>
      </w:r>
      <w:r>
        <w:t>abstract_source=openalex</w:t>
      </w:r>
    </w:p>
    <w:p>
      <w:pPr>
        <w:spacing w:before="0" w:after="80" w:lineRule="auto" w:line="276"/>
      </w:pPr>
      <w:r>
        <w:rPr>
          <w:b/>
        </w:rPr>
        <w:t xml:space="preserve">摘要（ZH）: </w:t>
      </w:r>
      <w:r>
        <w:t>吡咯酰胺，由吡咯-2-甲酰胺核心定义，代表了一类由&lt;i&gt;链霉菌&lt;/i&gt;物种产生的天然产物。它们表现出强效但多样的生物活性，包括抗菌、抗真菌、抗病毒和抗癌作用。特征性的吡咯基团来源于4-乙酰氨基吡咯-2-羧酸酯，之前被提议最有可能来源于&lt;i&gt;N&lt;/i&gt;-乙酰氨基葡萄糖-1-磷酸。这种将初级代谢糖转化为芳香肽构建块的非同寻常转化在机制上引起了兴趣；然而，吡咯形成之前的途径仍不清楚。我们在此报告从&lt;i&gt;曼利链霉菌&lt;/i&gt;中发现了曼利吡咯酰胺A-F，这是一类具有独特结构特征的新型吡咯酰胺。基因</w:t>
      </w:r>
    </w:p>
    <w:p>
      <w:pPr>
        <w:spacing w:before="0" w:after="200" w:lineRule="auto" w:line="276"/>
      </w:pPr>
      <w:r>
        <w:rPr>
          <w:b/>
        </w:rPr>
        <w:t xml:space="preserve">Abstract (EN): </w:t>
      </w:r>
      <w:r>
        <w:t>Pyrrolamides, defined by a pyrrole-2-carboxamide core, represent a family of natural products produced by &lt;i&gt;Streptomyces&lt;/i&gt; species. They exhibit potent yet promiscuous bioactivities, including antimicrobial, antifungal, antiviral, and anticancer effects. The characteristic pyrrole moiety is derived from 4-acetamidopyrrole-2-carboxylate, which was previously proposed to originate most likely from &lt;i&gt;N&lt;/i&gt;-acetylglucosamine-1-phosphate. This unusual transformation of a primary metabolite sugar into an aromatic peptide building block is of interest mechanistically; however, the pathway preceding pyrrole formation remains unclear. We herein report the discovery of manlipyrrolamides A-F from &lt;i&gt;Bacillus manliponensis&lt;/i&gt;, a new class of pyrrolamides with distinctive structural features. Gene disruption and in vitro assays allowed us to identify the functions of key enzymes in the pyrrole formation pathway. Man17, a nucleotidyltransferase, functions as a gatekeeper that activates the precursor &lt;i&gt;N&lt;/i&gt;-acetylglucosamine-1-phosphate, through guanosine diphosphate (GDP) derivatization for subsequent modifications. Man18, a glycosyltransferase-like enzyme, and Man15, a glycoside hydrolase-like enzyme, function as a hydrolase and dehydratase, respectively, forming a pyrrole from a mature GDP-linked sugar. After pyrrole formation, a xanthine dehydrogenase-like enzyme complex is utilized in oxidation to produce carboxylate, distinct from the previously proposed &lt;i&gt;Streptomyces&lt;/i&gt; pathway. The pathway-specific enzyme Man15, which is widely distributed in Gram-positive bacteria, is encoded in diverse biosynthetic gene clusters, indicating that this unprecedented transformation is utilized for unknown classes of pyrrolamides. The use of a GDP derivative suggests an orthogonal strategy distinct from that of the canonical UDP-linked sugar pathway. The present study reveals novel sugar skeletal conversion in secondary metabolism, which provides novel insights into bacterial metabolic strategies.</w:t>
      </w:r>
    </w:p>
    <w:p>
      <w:pPr>
        <w:spacing w:before="120" w:after="120"/>
      </w:pPr>
      <w:r>
        <w:rPr>
          <w:sz w:val="18"/>
        </w:rPr>
        <w:t>——————————————————————————————————————————————————————————————————————</w:t>
      </w:r>
    </w:p>
    <w:p>
      <w:pPr>
        <w:spacing w:before="160" w:after="40" w:line="240" w:lineRule="auto"/>
      </w:pPr>
      <w:r>
        <w:rPr>
          <w:b/>
        </w:rPr>
        <w:t xml:space="preserve">[473] </w:t>
      </w:r>
      <w:hyperlink r:id="rId955">
        <w:r>
          <w:rPr>
            <w:color w:val="1155CC"/>
            <w:u w:val="single"/>
          </w:rPr>
          <w:t>[ASAP] IIT Bombay的电池研究：从基础电化学到可扩展的储能</w:t>
        </w:r>
      </w:hyperlink>
    </w:p>
    <w:p>
      <w:pPr>
        <w:spacing w:before="0" w:after="80"/>
      </w:pPr>
      <w:r>
        <w:rPr>
          <w:i/>
          <w:sz w:val="20"/>
        </w:rPr>
        <w:t>EN: [ASAP] Battery Research at IIT Bombay: From Fundamental Electrochemistry to Scalable Energy Storage</w:t>
      </w:r>
    </w:p>
    <w:p>
      <w:pPr>
        <w:spacing w:before="0" w:after="120"/>
      </w:pPr>
      <w:r>
        <w:rPr>
          <w:b/>
        </w:rPr>
        <w:t xml:space="preserve">Source: </w:t>
      </w:r>
      <w:r>
        <w:t>ACS Energy Letters: Latest Articles (ACS Publications)</w:t>
      </w:r>
      <w:r>
        <w:t xml:space="preserve">    </w:t>
      </w:r>
      <w:r>
        <w:rPr>
          <w:b/>
        </w:rPr>
        <w:t xml:space="preserve">Pub date: </w:t>
      </w:r>
      <w:r>
        <w:t>2026-02-27 14:22:41+00:00</w:t>
      </w:r>
      <w:r>
        <w:t xml:space="preserve">    </w:t>
      </w:r>
      <w:r>
        <w:rPr>
          <w:b/>
        </w:rPr>
        <w:t xml:space="preserve">DOI: </w:t>
      </w:r>
      <w:hyperlink r:id="rId956">
        <w:r>
          <w:rPr>
            <w:color w:val="1155CC"/>
            <w:u w:val="single"/>
          </w:rPr>
          <w:t>10.1021/acsenergylett.6c00404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[474] </w:t>
      </w:r>
      <w:hyperlink r:id="rId957">
        <w:r>
          <w:rPr>
            <w:color w:val="1155CC"/>
            <w:u w:val="single"/>
          </w:rPr>
          <w:t>[ASAP] 同心手性和磁性在手性DyFe3簇中实现强NIR磁光活性</w:t>
        </w:r>
      </w:hyperlink>
    </w:p>
    <w:p>
      <w:pPr>
        <w:spacing w:before="0" w:after="80"/>
      </w:pPr>
      <w:r>
        <w:rPr>
          <w:i/>
          <w:sz w:val="20"/>
        </w:rPr>
        <w:t>EN: [ASAP] Homocentric Chirality and Magnetism Enable Strong NIR Magneto-Optical Activity in a Chiral DyFe3 Cluster</w:t>
      </w:r>
    </w:p>
    <w:p>
      <w:pPr>
        <w:spacing w:before="0" w:after="120"/>
      </w:pPr>
      <w:r>
        <w:rPr>
          <w:b/>
        </w:rPr>
        <w:t xml:space="preserve">Source: </w:t>
      </w:r>
      <w:r>
        <w:t>Journal of the American Chemical Society: Latest Articles (ACS Publications)</w:t>
      </w:r>
      <w:r>
        <w:t xml:space="preserve">    </w:t>
      </w:r>
      <w:r>
        <w:rPr>
          <w:b/>
        </w:rPr>
        <w:t xml:space="preserve">Pub date: </w:t>
      </w:r>
      <w:r>
        <w:t>2026-02-27 14:43:21+00:00</w:t>
      </w:r>
      <w:r>
        <w:t xml:space="preserve">    </w:t>
      </w:r>
      <w:r>
        <w:rPr>
          <w:b/>
        </w:rPr>
        <w:t xml:space="preserve">DOI: </w:t>
      </w:r>
      <w:hyperlink r:id="rId958">
        <w:r>
          <w:rPr>
            <w:color w:val="1155CC"/>
            <w:u w:val="single"/>
          </w:rPr>
          <w:t>10.1021/jacs.5c22065</w:t>
        </w:r>
      </w:hyperlink>
    </w:p>
    <w:p>
      <w:pPr>
        <w:spacing w:before="0" w:after="120"/>
      </w:pPr>
      <w:r>
        <w:rPr>
          <w:b/>
        </w:rPr>
        <w:t xml:space="preserve">Notes: </w:t>
      </w:r>
      <w:r>
        <w:t>abstract_source=openalex</w:t>
      </w:r>
    </w:p>
    <w:p>
      <w:pPr>
        <w:spacing w:before="0" w:after="80" w:lineRule="auto" w:line="276"/>
      </w:pPr>
      <w:r>
        <w:rPr>
          <w:b/>
        </w:rPr>
        <w:t xml:space="preserve">摘要（ZH）: </w:t>
      </w:r>
      <w:r>
        <w:t>支持手性和磁性的单一金属中心是预期实现强磁光响应的关键设计因素，因为它最大化了磁性和光学自由度之间的耦合。然而，在分子系统中实现这种集成仍然非常具有挑战性。在此，我们报告了一对手性簇合物，&lt;i&gt;&lt;b&gt;R&lt;/b&gt;&lt;/i&gt;&lt;b&gt;/&lt;/b&gt;&lt;i&gt;&lt;b&gt;S&lt;/b&gt;&lt;/i&gt;&lt;b&gt;-DyFe&lt;/b&gt;&lt;sub&gt;&lt;b&gt;3&lt;/b&gt;&lt;/sub&gt;，其中磁性Dy&lt;sup&gt;III&lt;/sup&gt;离子同时作为螺旋桨状框架内的手性和磁性中心。磁光测量显示出显著且完全可逆的磁调制圆二色性（CD）信号，NIR f-f跃迁在±1.6 T下表现出强烈增强和明显的信号反转。特别是，场依赖</w:t>
      </w:r>
    </w:p>
    <w:p>
      <w:pPr>
        <w:spacing w:before="0" w:after="200" w:lineRule="auto" w:line="276"/>
      </w:pPr>
      <w:r>
        <w:rPr>
          <w:b/>
        </w:rPr>
        <w:t xml:space="preserve">Abstract (EN): </w:t>
      </w:r>
      <w:r>
        <w:t>A single metal center that supports both the chirality and magnetism is a crucial design factor expected to achieve strong magneto-optical response, as it maximizes the coupling between magnetic and optical degrees of freedom. However, achieving such integration in molecular systems remains highly challenging. Here, we report a pair of chiral clusters, &lt;i&gt;&lt;b&gt;R&lt;/b&gt;&lt;/i&gt;&lt;b&gt;/&lt;/b&gt;&lt;i&gt;&lt;b&gt;S&lt;/b&gt;&lt;/i&gt;&lt;b&gt;-DyFe&lt;/b&gt;&lt;sub&gt;&lt;b&gt;3&lt;/b&gt;&lt;/sub&gt;, in which the magnetic Dy&lt;sup&gt;III&lt;/sup&gt; ion simultaneously acts as the chiral and magnetic center within a propeller-like framework. Magneto-optical measurements reveal pronounced and fully reversible magnetic modulation circular dichroism (CD) signal of the NIR f-f transitions, with strong enhancement and clear signal inversion under ±1.6 T. Particularly, the field-dependent CD intensity corresponding to the &lt;sup&gt;6&lt;/sup&gt;H&lt;sub&gt;15/2&lt;/sub&gt; → &lt;sup&gt;6&lt;/sup&gt;F&lt;sub&gt;11/2&lt;/sub&gt; hypersensitive transition increases by approximately 40 times under an applied magnetic field compared to zero field. The exceptional responsiveness arises from Zeeman splitting and magnetic-field-induced mixing of 4f sublevels, which markedly amplify the magnetic circular dichroism (MCD) contribution within the overall CD signal. These findings provide the first chiral molecular demonstration of magnetic-field-controlled CD signal in a chiral cluster with structural centers that support both chirality and magnetism, offering crucial insights into designing chiroptical materials with magnetic field modulation.</w:t>
      </w:r>
    </w:p>
    <w:p>
      <w:pPr>
        <w:spacing w:before="120" w:after="120"/>
      </w:pPr>
      <w:r>
        <w:rPr>
          <w:sz w:val="18"/>
        </w:rPr>
        <w:t>——————————————————————————————————————————————————————————————————————</w:t>
      </w:r>
    </w:p>
    <w:p>
      <w:pPr>
        <w:spacing w:before="160" w:after="40" w:line="240" w:lineRule="auto"/>
      </w:pPr>
      <w:r>
        <w:rPr>
          <w:b/>
        </w:rPr>
        <w:t xml:space="preserve">[475] </w:t>
      </w:r>
      <w:hyperlink r:id="rId959">
        <w:r>
          <w:rPr>
            <w:color w:val="1155CC"/>
            <w:u w:val="single"/>
          </w:rPr>
          <w:t>[ASAP] 糖苷类抗生素Paulomycin A的全合成</w:t>
        </w:r>
      </w:hyperlink>
    </w:p>
    <w:p>
      <w:pPr>
        <w:spacing w:before="0" w:after="80"/>
      </w:pPr>
      <w:r>
        <w:rPr>
          <w:i/>
          <w:sz w:val="20"/>
        </w:rPr>
        <w:t>EN: [ASAP] Total Synthesis of the Glycoside Antibiotic Paulomycin A</w:t>
      </w:r>
    </w:p>
    <w:p>
      <w:pPr>
        <w:spacing w:before="0" w:after="120"/>
      </w:pPr>
      <w:r>
        <w:rPr>
          <w:b/>
        </w:rPr>
        <w:t xml:space="preserve">Source: </w:t>
      </w:r>
      <w:r>
        <w:t>Journal of the American Chemical Society: Latest Articles (ACS Publications)</w:t>
      </w:r>
      <w:r>
        <w:t xml:space="preserve">    </w:t>
      </w:r>
      <w:r>
        <w:rPr>
          <w:b/>
        </w:rPr>
        <w:t xml:space="preserve">Pub date: </w:t>
      </w:r>
      <w:r>
        <w:t>2026-02-27 15:39:42+00:00</w:t>
      </w:r>
      <w:r>
        <w:t xml:space="preserve">    </w:t>
      </w:r>
      <w:r>
        <w:rPr>
          <w:b/>
        </w:rPr>
        <w:t xml:space="preserve">DOI: </w:t>
      </w:r>
      <w:hyperlink r:id="rId960">
        <w:r>
          <w:rPr>
            <w:color w:val="1155CC"/>
            <w:u w:val="single"/>
          </w:rPr>
          <w:t>10.1021/jacs.6c00331</w:t>
        </w:r>
      </w:hyperlink>
    </w:p>
    <w:p>
      <w:pPr>
        <w:spacing w:before="0" w:after="120"/>
      </w:pPr>
      <w:r>
        <w:rPr>
          <w:b/>
        </w:rPr>
        <w:t xml:space="preserve">Notes: </w:t>
      </w:r>
      <w:r>
        <w:t>abstract_source=openalex</w:t>
      </w:r>
    </w:p>
    <w:p>
      <w:pPr>
        <w:spacing w:before="0" w:after="80" w:lineRule="auto" w:line="276"/>
      </w:pPr>
      <w:r>
        <w:rPr>
          <w:b/>
        </w:rPr>
        <w:t xml:space="preserve">摘要（ZH）: </w:t>
      </w:r>
      <w:r>
        <w:t>保罗霉素A是一种结构独特的糖苷抗生素，对革兰氏阳性病原体表现出强效活性，但其固有的化学不稳定性和高结构复杂性长期以来阻碍了药物开发和合成探索。在此，我们描述了保罗霉素A的首次全合成，通过一系列高度选择性的转化实现，专门针对其不寻常的反应性特征。合成的关键特征包括通过Wan糖苷化进行的芳基&lt;i&gt;C&lt;/i&gt;-糖苷化，提供了含苯胺的芳基&lt;i&gt;C&lt;/i&gt;-糖苷的高效途径，溶剂控制的金催化Yu&lt;i&gt;O&lt;/i&gt;-糖苷化中的苷型立体控制，以及用于安装pha的后期位点选择性酯化/[3,3]-σ迁移重排。</w:t>
      </w:r>
    </w:p>
    <w:p>
      <w:pPr>
        <w:spacing w:before="0" w:after="200" w:lineRule="auto" w:line="276"/>
      </w:pPr>
      <w:r>
        <w:rPr>
          <w:b/>
        </w:rPr>
        <w:t xml:space="preserve">Abstract (EN): </w:t>
      </w:r>
      <w:r>
        <w:t>Paulomycin A is a structurally distinctive glycoside antibiotic that displays potent activity against Gram-positive pathogens, yet its intrinsic chemical instability and high structural complexity have long prevented both drug development and synthetic exploration. Here, we describe the first total synthesis of paulomycin A, accomplished through a sequence of highly selective transformations tailored to its unusual reactivity profile. Key features of the synthesis include an aryl &lt;i&gt;C&lt;/i&gt;-glycosylation via Wan glycosylation that provides efficient access to aniline-containing aryl &lt;i&gt;C&lt;/i&gt;-glycosides, solvent-controlled anomeric stereocontrol in a gold-catalyzed Yu &lt;i&gt;O&lt;/i&gt;-glycosylation, and a late-stage site-selective esterification/[3,3]-sigmatropic rearrangement used to install the pharmacologically essential paulic acid fragment.</w:t>
      </w:r>
    </w:p>
    <w:p>
      <w:pPr>
        <w:spacing w:before="120" w:after="120"/>
      </w:pPr>
      <w:r>
        <w:rPr>
          <w:sz w:val="18"/>
        </w:rPr>
        <w:t>——————————————————————————————————————————————————————————————————————</w:t>
      </w:r>
    </w:p>
    <w:p>
      <w:pPr>
        <w:spacing w:before="160" w:after="40" w:line="240" w:lineRule="auto"/>
      </w:pPr>
      <w:r>
        <w:rPr>
          <w:b/>
        </w:rPr>
        <w:t xml:space="preserve">[476] </w:t>
      </w:r>
      <w:hyperlink r:id="rId961">
        <w:r>
          <w:rPr>
            <w:color w:val="1155CC"/>
            <w:u w:val="single"/>
          </w:rPr>
          <w:t>[ASAP] 混合价态和高自旋的磷化钒</w:t>
        </w:r>
      </w:hyperlink>
    </w:p>
    <w:p>
      <w:pPr>
        <w:spacing w:before="0" w:after="80"/>
      </w:pPr>
      <w:r>
        <w:rPr>
          <w:i/>
          <w:sz w:val="20"/>
        </w:rPr>
        <w:t>EN: [ASAP] A Mixed-Valent and High-Spin Vanadium Phosphide</w:t>
      </w:r>
    </w:p>
    <w:p>
      <w:pPr>
        <w:spacing w:before="0" w:after="120"/>
      </w:pPr>
      <w:r>
        <w:rPr>
          <w:b/>
        </w:rPr>
        <w:t xml:space="preserve">Source: </w:t>
      </w:r>
      <w:r>
        <w:t>Journal of the American Chemical Society: Latest Articles (ACS Publications)</w:t>
      </w:r>
      <w:r>
        <w:t xml:space="preserve">    </w:t>
      </w:r>
      <w:r>
        <w:rPr>
          <w:b/>
        </w:rPr>
        <w:t xml:space="preserve">Pub date: </w:t>
      </w:r>
      <w:r>
        <w:t>2026-02-27 15:52:35+00:00</w:t>
      </w:r>
      <w:r>
        <w:t xml:space="preserve">    </w:t>
      </w:r>
      <w:r>
        <w:rPr>
          <w:b/>
        </w:rPr>
        <w:t xml:space="preserve">DOI: </w:t>
      </w:r>
      <w:hyperlink r:id="rId962">
        <w:r>
          <w:rPr>
            <w:color w:val="1155CC"/>
            <w:u w:val="single"/>
          </w:rPr>
          <w:t>10.1021/jacs.5c20647</w:t>
        </w:r>
      </w:hyperlink>
    </w:p>
    <w:p>
      <w:pPr>
        <w:spacing w:before="0" w:after="120"/>
      </w:pPr>
      <w:r>
        <w:rPr>
          <w:b/>
        </w:rPr>
        <w:t xml:space="preserve">Notes: </w:t>
      </w:r>
      <w:r>
        <w:t>abstract_source=openalex</w:t>
      </w:r>
    </w:p>
    <w:p>
      <w:pPr>
        <w:spacing w:before="0" w:after="80" w:lineRule="auto" w:line="276"/>
      </w:pPr>
      <w:r>
        <w:rPr>
          <w:b/>
        </w:rPr>
        <w:t xml:space="preserve">摘要（ZH）: </w:t>
      </w:r>
      <w:r>
        <w:t>访问过渡金属磷化物的高自旋构型定义了一条分界线，阻止了固态材料的常见特性在多重键分子类似物中被复制。在此，我们报告了V&lt;sup&gt;III&lt;/sup&gt;磷乙炔酸盐配合物[(pyrNdipp)&lt;sub&gt;2&lt;/sub&gt;V(PCO)] (&lt;b&gt;2&lt;/b&gt;)在与Na(OCP)的卤化物复分解反应中的合成。&lt;b&gt;2&lt;/b&gt;暴露于路易斯碱性配体时，会诱导PCO&lt;sup&gt;-&lt;/sup&gt;基团的单电子还原消除，生成V&lt;sup&gt;II&lt;/sup&gt;配合物[(pyrNdipp)&lt;sub&gt;2&lt;/sub&gt;V(L)&lt;sub&gt;2&lt;/sub&gt;] (L = THF, DMAP; &lt;b&gt;3&lt;/b&gt;&lt;sup&gt;&lt;b&gt;THF&lt;/b&gt;&lt;/sup&gt;, &lt;b&gt;3&lt;/b&gt;&lt;sup&gt;&lt;b&gt;DMAP&lt;/b&gt;&lt;/sup&gt;)。当&lt;b&gt;2&lt;/b&gt;被光解时，会发生一系列还原、脱羰和多重键形成步骤，产生高自旋和混合价态的钒</w:t>
      </w:r>
    </w:p>
    <w:p>
      <w:pPr>
        <w:spacing w:before="0" w:after="200" w:lineRule="auto" w:line="276"/>
      </w:pPr>
      <w:r>
        <w:rPr>
          <w:b/>
        </w:rPr>
        <w:t xml:space="preserve">Abstract (EN): </w:t>
      </w:r>
      <w:r>
        <w:t>Accessing high-spin configurations of transition metal phosphides defines a dividing line that prevents common properties of solid-state materials from being replicated within multiple-bonded molecular analogs. Here, we report the synthesis of a V&lt;sup&gt;III&lt;/sup&gt; phosphaethynolate complex, [(pyrNdipp)&lt;sub&gt;2&lt;/sub&gt;V(PCO)] (&lt;b&gt;2&lt;/b&gt;) in a halide metathesis with Na(OCP). Exposure of &lt;b&gt;2&lt;/b&gt; to Lewis-basic ligands induces a one-electron reductive elimination of the PCO&lt;sup&gt;-&lt;/sup&gt; moiety, generating V&lt;sup&gt;II&lt;/sup&gt; complexes [(pyrNdipp)&lt;sub&gt;2&lt;/sub&gt;V(L)&lt;sub&gt;2&lt;/sub&gt;] (L = THF, DMAP; &lt;b&gt;3&lt;/b&gt;&lt;sup&gt;&lt;b&gt;THF&lt;/b&gt;&lt;/sup&gt;, &lt;b&gt;3&lt;/b&gt;&lt;sup&gt;&lt;b&gt;DMAP&lt;/b&gt;&lt;/sup&gt;). When &lt;b&gt;2&lt;/b&gt; is instead photolyzed, a cascade of reduction, decarbonylation, and multiple-bond formation steps affords a high-spin and mixed-valent vanadium phosphide, [(pyrNdipp)&lt;sub&gt;2&lt;/sub&gt;V═P═V(pyrNdipp)&lt;sub&gt;2&lt;/sub&gt;] (&lt;b&gt;4&lt;/b&gt;) comprising formal [V&lt;sub&gt;2&lt;/sub&gt;&lt;sup&gt;III, IV&lt;/sup&gt;] nodes. Structural characterization coupled with vibrational, UV-visible, and X-ray spectroscopic studies reveals an &lt;i&gt;S&lt;/i&gt;&lt;sub&gt;4&lt;/sub&gt; symmetrical [V═P═V] centered architecture conforming to a fully delocalized, mixed-valency description. Theoretical studies demonstrate that &lt;b&gt;4&lt;/b&gt; evades spin-pairing by leveraging the weak ligand-field splitting at the vanadium nodes, leading to a high-spin, &lt;i&gt;S&lt;/i&gt;&lt;sub&gt;T&lt;/sub&gt; = 3/2 ground state of this multiple-bonded, weakly Jahn-Teller distorted system.</w:t>
      </w:r>
    </w:p>
    <w:p>
      <w:pPr>
        <w:spacing w:before="120" w:after="120"/>
      </w:pPr>
      <w:r>
        <w:rPr>
          <w:sz w:val="18"/>
        </w:rPr>
        <w:t>——————————————————————————————————————————————————————————————————————</w:t>
      </w:r>
    </w:p>
    <w:p>
      <w:pPr>
        <w:spacing w:before="160" w:after="40" w:line="240" w:lineRule="auto"/>
      </w:pPr>
      <w:r>
        <w:rPr>
          <w:b/>
        </w:rPr>
        <w:t xml:space="preserve">[477] </w:t>
      </w:r>
      <w:hyperlink r:id="rId963">
        <w:r>
          <w:rPr>
            <w:color w:val="1155CC"/>
            <w:u w:val="single"/>
          </w:rPr>
          <w:t>[ASAP] 动态共价硼酸酯化学用于原位形成、界面稳定化和仿细胞优化的凝聚体</w:t>
        </w:r>
      </w:hyperlink>
    </w:p>
    <w:p>
      <w:pPr>
        <w:spacing w:before="0" w:after="80"/>
      </w:pPr>
      <w:r>
        <w:rPr>
          <w:i/>
          <w:sz w:val="20"/>
        </w:rPr>
        <w:t>EN: [ASAP] Dynamic Covalent Boronate Chemistry for In Situ Formation, Interfacial Stabilization, and Cytomimetic Optimization of Coacervates</w:t>
      </w:r>
    </w:p>
    <w:p>
      <w:pPr>
        <w:spacing w:before="0" w:after="120"/>
      </w:pPr>
      <w:r>
        <w:rPr>
          <w:b/>
        </w:rPr>
        <w:t xml:space="preserve">Source: </w:t>
      </w:r>
      <w:r>
        <w:t>Journal of the American Chemical Society: Latest Articles (ACS Publications)</w:t>
      </w:r>
      <w:r>
        <w:t xml:space="preserve">    </w:t>
      </w:r>
      <w:r>
        <w:rPr>
          <w:b/>
        </w:rPr>
        <w:t xml:space="preserve">Pub date: </w:t>
      </w:r>
      <w:r>
        <w:t>2026-02-27 16:05:38+00:00</w:t>
      </w:r>
      <w:r>
        <w:t xml:space="preserve">    </w:t>
      </w:r>
      <w:r>
        <w:rPr>
          <w:b/>
        </w:rPr>
        <w:t xml:space="preserve">DOI: </w:t>
      </w:r>
      <w:hyperlink r:id="rId964">
        <w:r>
          <w:rPr>
            <w:color w:val="1155CC"/>
            <w:u w:val="single"/>
          </w:rPr>
          <w:t>10.1021/jacs.5c17688</w:t>
        </w:r>
      </w:hyperlink>
    </w:p>
    <w:p>
      <w:pPr>
        <w:spacing w:before="0" w:after="120"/>
      </w:pPr>
      <w:r>
        <w:rPr>
          <w:b/>
        </w:rPr>
        <w:t xml:space="preserve">Notes: </w:t>
      </w:r>
      <w:r>
        <w:t>abstract_source=openalex</w:t>
      </w:r>
    </w:p>
    <w:p>
      <w:pPr>
        <w:spacing w:before="0" w:after="80" w:lineRule="auto" w:line="276"/>
      </w:pPr>
      <w:r>
        <w:rPr>
          <w:b/>
        </w:rPr>
        <w:t xml:space="preserve">摘要（ZH）: </w:t>
      </w:r>
      <w:r>
        <w:t>仿生合成细胞正在迅速改变我们研究细胞生命原理以及生物工程和医学应用发展的方式。然而，尽管在模拟细胞行为方面取得了显著进展，材料工程在优化细胞模拟功能时仍然是一个耗时且常常在幕后进行的工作。在此，我们描述了如何利用动态共价化学来绕过这一瓶颈，使用膜化共聚物微滴（MCM）作为合成细胞模型。具体而言，动态共价硼酸酯化学在MCM的&lt;i&gt;原位&lt;/i&gt;形成、界面稳定化和自适应细胞模拟优化中的潜力被展示。通过同时向聚合物硼酸（BA）中加入阳离子和阴离子儿茶酚</w:t>
      </w:r>
    </w:p>
    <w:p>
      <w:pPr>
        <w:spacing w:before="0" w:after="200" w:lineRule="auto" w:line="276"/>
      </w:pPr>
      <w:r>
        <w:rPr>
          <w:b/>
        </w:rPr>
        <w:t xml:space="preserve">Abstract (EN): </w:t>
      </w:r>
      <w:r>
        <w:t>Bioinspired synthetic cells are rapidly transforming the way we interrogate the principles of cellular life and the development of bioengineering and medical applications. However, despite significant progress in modeling cell-like behavior, material engineering remains a time-consuming and often behind-the-scenes endeavor when optimizing cytomimetic functions. Here, we describe how dynamic covalent chemistry can be used to bypass this bottleneck using membranized coacervate microdroplets (MCM) as synthetic cell models. Specifically, the potential of dynamic covalent boronate chemistry for the &lt;i&gt;in situ&lt;/i&gt; formation, interfacial stabilization, and adaptive cytomimetic optimization of MCM is presented. Simultaneous addition of cationic and anionic catechols to a polymeric boronic acid (BA) generates dynamic zwitterionic polyboronates that spontaneously phase separate into microdroplets, which can then be interfacially stabilized as MCM with a BA-functionalized block copolymer. The cytomimetic properties, membranization, internal dynamics, and enzymatic activity within the MCM can be modulated &lt;i&gt;in situ&lt;/i&gt; using dynamic covalent libraries to fine-tune material properties (either by adjusting the charge ratio between oppositely charged catechols, varying the catechol-to-BA ratio, or introducing auxiliary catechol dopants) without the need to synthesize, isolate, purify, and characterize new polymeric materials. Application of this technology to other catechols, multivalent BA, and synthetic cell architectures holds promise for optimizing diverse biomimetic functions and providing programmable synthetic cells with emerging properties.</w:t>
      </w:r>
    </w:p>
    <w:p>
      <w:pPr>
        <w:spacing w:before="120" w:after="120"/>
      </w:pPr>
      <w:r>
        <w:rPr>
          <w:sz w:val="18"/>
        </w:rPr>
        <w:t>——————————————————————————————————————————————————————————————————————</w:t>
      </w:r>
    </w:p>
    <w:p>
      <w:pPr>
        <w:spacing w:before="160" w:after="40" w:line="240" w:lineRule="auto"/>
      </w:pPr>
      <w:r>
        <w:rPr>
          <w:b/>
        </w:rPr>
        <w:t xml:space="preserve">[478] </w:t>
      </w:r>
      <w:hyperlink r:id="rId965">
        <w:r>
          <w:rPr>
            <w:color w:val="1155CC"/>
            <w:u w:val="single"/>
          </w:rPr>
          <w:t>[ASAP] 模仿Scintillon的机械发光用于治疗诊断应用</w:t>
        </w:r>
      </w:hyperlink>
    </w:p>
    <w:p>
      <w:pPr>
        <w:spacing w:before="0" w:after="80"/>
      </w:pPr>
      <w:r>
        <w:rPr>
          <w:i/>
          <w:sz w:val="20"/>
        </w:rPr>
        <w:t>EN: [ASAP] Scintillon–Mimicking Mechanoluminescence for Theranostic Applications</w:t>
      </w:r>
    </w:p>
    <w:p>
      <w:pPr>
        <w:spacing w:before="0" w:after="120"/>
      </w:pPr>
      <w:r>
        <w:rPr>
          <w:b/>
        </w:rPr>
        <w:t xml:space="preserve">Source: </w:t>
      </w:r>
      <w:r>
        <w:t>Journal of the American Chemical Society: Latest Articles (ACS Publications)</w:t>
      </w:r>
      <w:r>
        <w:t xml:space="preserve">    </w:t>
      </w:r>
      <w:r>
        <w:rPr>
          <w:b/>
        </w:rPr>
        <w:t xml:space="preserve">Pub date: </w:t>
      </w:r>
      <w:r>
        <w:t>2026-02-27 17:44:36+00:00</w:t>
      </w:r>
      <w:r>
        <w:t xml:space="preserve">    </w:t>
      </w:r>
      <w:r>
        <w:rPr>
          <w:b/>
        </w:rPr>
        <w:t xml:space="preserve">DOI: </w:t>
      </w:r>
      <w:hyperlink r:id="rId966">
        <w:r>
          <w:rPr>
            <w:color w:val="1155CC"/>
            <w:u w:val="single"/>
          </w:rPr>
          <w:t>10.1021/jacs.5c21878</w:t>
        </w:r>
      </w:hyperlink>
    </w:p>
    <w:p>
      <w:pPr>
        <w:spacing w:before="0" w:after="120"/>
      </w:pPr>
      <w:r>
        <w:rPr>
          <w:b/>
        </w:rPr>
        <w:t xml:space="preserve">Notes: </w:t>
      </w:r>
      <w:r>
        <w:t>abstract_source=openalex</w:t>
      </w:r>
    </w:p>
    <w:p>
      <w:pPr>
        <w:spacing w:before="0" w:after="80" w:lineRule="auto" w:line="276"/>
      </w:pPr>
      <w:r>
        <w:rPr>
          <w:b/>
        </w:rPr>
        <w:t xml:space="preserve">摘要（ZH）: </w:t>
      </w:r>
      <w:r>
        <w:t>机械发光相较于传统光致发光具有独特优势，包括更深的组织穿透力和最小的自发荧光。然而，机械发光材料通常缺乏其生物对应物的灵敏度和可重复使用性。受发光素酶在甲藻闪光体中机械调节的启发，我们通过将机械响应的二茂铁（Fc）基团整合到柔性有机硅胶囊中，开发了一种闪光体模拟的机械发光纳米反应器（sMLN）。在超声（US）辐照下，声剪切力拉伸和扭曲Fc基团，增加Fe中心的电子密度并减少空间位阻，从而促进底物结合并激活触发基于鲁米诺的发光的类芬顿反应。与</w:t>
      </w:r>
    </w:p>
    <w:p>
      <w:pPr>
        <w:spacing w:before="0" w:after="200" w:lineRule="auto" w:line="276"/>
      </w:pPr>
      <w:r>
        <w:rPr>
          <w:b/>
        </w:rPr>
        <w:t xml:space="preserve">Abstract (EN): </w:t>
      </w:r>
      <w:r>
        <w:t>Mechanoluminescence offers unique advantages over traditional photoluminescence, including deeper tissue penetration and minimal autofluorescence. However, mechanoluminescent materials typically lack the sensitivity and reusability of their biological counterparts. Inspired by the mechanoregulation of luciferase in dinoflagellate scintillons, we develop a scintillon-mimetic mechanoluminescent nanoreactor (sMLN) by integrating mechanoresponsive ferrocene (Fc) moieties into a flexible organic silica vesicle. Under ultrasound (US) irradiation, acoustic shear forces stretch and twist the Fc moiety, increasing the Fe center electron density and reducing steric hindrance, thereby facilitating substrate binding and activating a Fenton-like reaction that triggers luminol-based luminescence. Unlike conventional mechanoluminescent materials, sMLNs exhibit repeatable and long-lasting luminescence with a half-life of approximately 5.73 min, leading to a ∼2.2 × 10&lt;sup&gt;3&lt;/sup&gt;-fold enhancement in intensity compared to H&lt;sub&gt;2&lt;/sub&gt;O sonoluminescence. This US-induced mechanoluminescence functions as an "internal light source" to excite the chromophore for bioimaging and photodynamic therapy, overcoming the limitations of light penetration depth. This high-performance platform enables intense and ultrasensitive mechanoluminescence, providing a powerful mechanochemical tool for advanced theranostic applications.</w:t>
      </w:r>
    </w:p>
    <w:p>
      <w:pPr>
        <w:spacing w:before="120" w:after="120"/>
      </w:pPr>
      <w:r>
        <w:rPr>
          <w:sz w:val="18"/>
        </w:rPr>
        <w:t>——————————————————————————————————————————————————————————————————————</w:t>
      </w:r>
    </w:p>
    <w:p>
      <w:pPr>
        <w:spacing w:before="160" w:after="40" w:line="240" w:lineRule="auto"/>
      </w:pPr>
      <w:r>
        <w:rPr>
          <w:b/>
        </w:rPr>
        <w:t xml:space="preserve">[479] </w:t>
      </w:r>
      <w:hyperlink r:id="rId967">
        <w:r>
          <w:rPr>
            <w:color w:val="1155CC"/>
            <w:u w:val="single"/>
          </w:rPr>
          <w:t>[ASAP] 表面极化子用于协同动力学和热力学C–H键氧化</w:t>
        </w:r>
      </w:hyperlink>
    </w:p>
    <w:p>
      <w:pPr>
        <w:spacing w:before="0" w:after="80"/>
      </w:pPr>
      <w:r>
        <w:rPr>
          <w:i/>
          <w:sz w:val="20"/>
        </w:rPr>
        <w:t>EN: [ASAP] Surface Polarons for Synergistic Kinetic and Thermodynamic C–H Bond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2026-02-27 18:19:48+00:00</w:t>
      </w:r>
      <w:r>
        <w:t xml:space="preserve">    </w:t>
      </w:r>
      <w:r>
        <w:rPr>
          <w:b/>
        </w:rPr>
        <w:t xml:space="preserve">DOI: </w:t>
      </w:r>
      <w:hyperlink r:id="rId968">
        <w:r>
          <w:rPr>
            <w:color w:val="1155CC"/>
            <w:u w:val="single"/>
          </w:rPr>
          <w:t>10.1021/jacs.5c21530</w:t>
        </w:r>
      </w:hyperlink>
    </w:p>
    <w:p>
      <w:pPr>
        <w:spacing w:before="0" w:after="120"/>
      </w:pPr>
      <w:r>
        <w:rPr>
          <w:b/>
        </w:rPr>
        <w:t xml:space="preserve">Notes: </w:t>
      </w:r>
      <w:r>
        <w:t>abstract_source=openalex</w:t>
      </w:r>
    </w:p>
    <w:p>
      <w:pPr>
        <w:spacing w:before="0" w:after="80" w:lineRule="auto" w:line="276"/>
      </w:pPr>
      <w:r>
        <w:rPr>
          <w:b/>
        </w:rPr>
        <w:t xml:space="preserve">摘要（ZH）: </w:t>
      </w:r>
      <w:r>
        <w:t>惰性C-H键的光催化氧化仍然是一个主要挑战，受到动力学中快速载流子复合和热力学中缓慢表面反应的困扰。在此，我们提出了一种概念上不同的策略，通过在低结晶度SnO&lt;sub&gt;2&lt;/sub&gt;支撑上锚定原子分散的Mn位点来调整光催化剂的表面极化子，从而同时解决这两个核心挑战。这些原子位点通过强电子-声子耦合引发局部晶格畸变，产生表面小极化子，具有双重功能。在动力学上，这些极化子在皮秒内捕获光生电子，抑制体复合并建立一个主要的、长寿命的界面电荷转移通道（约65 ps）直接到反应物，</w:t>
      </w:r>
    </w:p>
    <w:p>
      <w:pPr>
        <w:spacing w:before="0" w:after="200" w:lineRule="auto" w:line="276"/>
      </w:pPr>
      <w:r>
        <w:rPr>
          <w:b/>
        </w:rPr>
        <w:t xml:space="preserve">Abstract (EN): </w:t>
      </w:r>
      <w:r>
        <w:t>The photocatalytic oxidation of the inert C-H bond remains a paramount challenge, plagued by both rapid carrier recombination in kinetics and slow surface reactions in thermodynamics. Herein, we present a conceptually distinct strategy to simultaneously resolve both core challenges by tailoring surface polarons on photocatalysts via anchoring atomically dispersed Mn sites onto a low-crystallinity SnO&lt;sub&gt;2&lt;/sub&gt; support. These atomic sites induce localized lattice distortions via strong electron-phonon coupling, generating surface small polarons that serve a dual function. Kinetically, these polarons trap photogenerated electrons within picoseconds, suppressing bulk recombination and establishing a dominant, long-lived interfacial charge transfer channel (∼65 ps) directly to the reactants, as revealed by femtosecond transient absorption spectroscopy (fs-TAS). Thermodynamically, the polaronic field strengthens toluene adsorption (adsorption energy strengthened from -0.49 to -0.91 eV) and polarizes the C-H bond, significantly lowering the activation barrier, as confirmed by density functional theory (DFT) calculations and in situ DRIFTS. Consequently, the Mn&lt;sub&gt;1&lt;/sub&gt;/SnO&lt;sub&gt;2&lt;/sub&gt; catalyst achieved about 100% efficiency in the challenging toluene oxidation with a high weight hourly space velocity (WHSV) of 60,000 mL·g&lt;sub&gt;cat&lt;/sub&gt;&lt;sup&gt;-1&lt;/sup&gt;·h&lt;sup&gt;-1&lt;/sup&gt; under a continuous flow system. Additionally, the Mn&lt;sub&gt;1&lt;/sub&gt;/SnO&lt;sub&gt;2&lt;/sub&gt; catalyst exhibited exceptional stability over 600 min and resistance to relative humidity (RH) ranging from 5% to 90%. This work elucidated the fundamental role of surface polarons in harmonizing charge dynamics with surface catalysis, offering a powerful strategy for designing highly efficient and robust photocatalysts for challenging chemical transformations.</w:t>
      </w:r>
    </w:p>
    <w:p>
      <w:pPr>
        <w:spacing w:before="120" w:after="120"/>
      </w:pPr>
      <w:r>
        <w:rPr>
          <w:sz w:val="18"/>
        </w:rPr>
        <w:t>——————————————————————————————————————————————————————————————————————</w:t>
      </w:r>
    </w:p>
    <w:p>
      <w:pPr>
        <w:spacing w:before="160" w:after="40" w:line="240" w:lineRule="auto"/>
      </w:pPr>
      <w:r>
        <w:rPr>
          <w:b/>
        </w:rPr>
        <w:t xml:space="preserve">[480] </w:t>
      </w:r>
      <w:hyperlink r:id="rId969">
        <w:r>
          <w:rPr>
            <w:color w:val="1155CC"/>
            <w:u w:val="single"/>
          </w:rPr>
          <w:t>[ASAP] 拓扑驱动的结构排序和与组成环状聚合物混合调节的环状二嵌段共聚物的结构色</w:t>
        </w:r>
      </w:hyperlink>
    </w:p>
    <w:p>
      <w:pPr>
        <w:spacing w:before="0" w:after="80"/>
      </w:pPr>
      <w:r>
        <w:rPr>
          <w:i/>
          <w:sz w:val="20"/>
        </w:rPr>
        <w:t>EN: [ASAP] Structural Colors of Cyclic Diblock Copolymers Enabled by Topology-Driven Structural Ordering and Tuned by Blending with Constituent Cyclic Polymers</w:t>
      </w:r>
    </w:p>
    <w:p>
      <w:pPr>
        <w:spacing w:before="0" w:after="120"/>
      </w:pPr>
      <w:r>
        <w:rPr>
          <w:b/>
        </w:rPr>
        <w:t xml:space="preserve">Source: </w:t>
      </w:r>
      <w:r>
        <w:t>Journal of the American Chemical Society: Latest Articles (ACS Publications)</w:t>
      </w:r>
      <w:r>
        <w:t xml:space="preserve">    </w:t>
      </w:r>
      <w:r>
        <w:rPr>
          <w:b/>
        </w:rPr>
        <w:t xml:space="preserve">Pub date: </w:t>
      </w:r>
      <w:r>
        <w:t>2026-02-27 18:43:39+00:00</w:t>
      </w:r>
      <w:r>
        <w:t xml:space="preserve">    </w:t>
      </w:r>
      <w:r>
        <w:rPr>
          <w:b/>
        </w:rPr>
        <w:t xml:space="preserve">DOI: </w:t>
      </w:r>
      <w:hyperlink r:id="rId970">
        <w:r>
          <w:rPr>
            <w:color w:val="1155CC"/>
            <w:u w:val="single"/>
          </w:rPr>
          <w:t>10.1021/jacs.5c21376</w:t>
        </w:r>
      </w:hyperlink>
    </w:p>
    <w:p>
      <w:pPr>
        <w:spacing w:before="0" w:after="120"/>
      </w:pPr>
      <w:r>
        <w:rPr>
          <w:b/>
        </w:rPr>
        <w:t xml:space="preserve">Notes: </w:t>
      </w:r>
      <w:r>
        <w:t>abstract_source=openalex</w:t>
      </w:r>
    </w:p>
    <w:p>
      <w:pPr>
        <w:spacing w:before="0" w:after="80" w:lineRule="auto" w:line="276"/>
      </w:pPr>
      <w:r>
        <w:rPr>
          <w:b/>
        </w:rPr>
        <w:t xml:space="preserve">摘要（ZH）: </w:t>
      </w:r>
      <w:r>
        <w:t>控制高分子量（HMW）嵌段共聚物的结构色是具有挑战性的，因为它们显著的链缠结通常限制了自组装成光子晶体所需的可访问聚合物结构。在此，我们展示了由简单的环状二嵌段共聚物（CDCs）自组装引发的光子薄膜中的可调结构色。得益于路易斯对聚合的独特复合序列和时空拓扑控制，一锅共聚（甲基）丙烯酸单体混合物提供了精确合成具有高分子量（862.4 kDa）且规模化（20 g）的定义良好的CDCs。所得的CDC自发地自组装成一个有序的层状结构，产生鲜艳的蓝色结构色。原位小角X射线散射</w:t>
      </w:r>
    </w:p>
    <w:p>
      <w:pPr>
        <w:spacing w:before="0" w:after="200" w:lineRule="auto" w:line="276"/>
      </w:pPr>
      <w:r>
        <w:rPr>
          <w:b/>
        </w:rPr>
        <w:t xml:space="preserve">Abstract (EN): </w:t>
      </w:r>
      <w:r>
        <w:t>Controlling structural colors of high-molecular-weight (HMW) block copolymers is challenging due to their pronounced chain entanglements, often limiting accessible polymeric architectures required for self-assembly into photonic crystals. Here, we demonstrate tunable structural colors in photonic films induced by the self-assembly of simple cyclic diblock copolymers (CDCs). Thanks to the unique compounded sequence and spatiotemporal topology controls of Lewis pair polymerization, one-pot copolymerization of (meth)acrylic monomer mixtures furnishes the precision synthesis of well-defined CDCs with a HMW (862.4 kDa) at scale (20 g). The resulting CDC spontaneously self-assembles into a well-ordered lamellar structure, producing a vivid blue structural color. In situ small-angle X-ray scattering measurements reveal that the self-assembly of the HMW CDC occurs at a much faster rate than that of its linear counterpart, leading to long-range ordering with improved lamellar domain purity and avoiding a kinetically trapped morphology. Blending the CDC with the linear counterpart disrupts this coloration, coinciding with a loss of lamellar structural ordering. Owing to the cyclic topology-driven structural ordering, blending the CDC with cyclic polymer additives swells the lamellae up to 123% of the initial spacing, allowing for controlling the reflected wavelength spanning from 467 to 608 nm and accordingly producing blue to orange colors.</w:t>
      </w:r>
    </w:p>
    <w:p>
      <w:pPr>
        <w:spacing w:before="120" w:after="120"/>
      </w:pPr>
      <w:r>
        <w:rPr>
          <w:sz w:val="18"/>
        </w:rPr>
        <w:t>——————————————————————————————————————————————————————————————————————</w:t>
      </w:r>
    </w:p>
    <w:p>
      <w:pPr>
        <w:spacing w:before="160" w:after="40" w:line="240" w:lineRule="auto"/>
      </w:pPr>
      <w:r>
        <w:rPr>
          <w:b/>
        </w:rPr>
        <w:t xml:space="preserve">[481] </w:t>
      </w:r>
      <w:hyperlink r:id="rId971">
        <w:r>
          <w:rPr>
            <w:color w:val="1155CC"/>
            <w:u w:val="single"/>
          </w:rPr>
          <w:t>[ASAP] 钯纳米颗粒的尺寸和形状对其电化学氢吸附能力的影响</w:t>
        </w:r>
      </w:hyperlink>
    </w:p>
    <w:p>
      <w:pPr>
        <w:spacing w:before="0" w:after="80"/>
      </w:pPr>
      <w:r>
        <w:rPr>
          <w:i/>
          <w:sz w:val="20"/>
        </w:rPr>
        <w:t>EN: [ASAP] Influence of the Size and Shape of Palladium Nanoparticles on Their Electrochemical Hydrogen Sorption Capacity</w:t>
      </w:r>
    </w:p>
    <w:p>
      <w:pPr>
        <w:spacing w:before="0" w:after="120"/>
      </w:pPr>
      <w:r>
        <w:rPr>
          <w:b/>
        </w:rPr>
        <w:t xml:space="preserve">Source: </w:t>
      </w:r>
      <w:r>
        <w:t>Journal of the American Chemical Society: Latest Articles (ACS Publications)</w:t>
      </w:r>
      <w:r>
        <w:t xml:space="preserve">    </w:t>
      </w:r>
      <w:r>
        <w:rPr>
          <w:b/>
        </w:rPr>
        <w:t xml:space="preserve">Pub date: </w:t>
      </w:r>
      <w:r>
        <w:t>2026-02-27 19:21:51+00:00</w:t>
      </w:r>
      <w:r>
        <w:t xml:space="preserve">    </w:t>
      </w:r>
      <w:r>
        <w:rPr>
          <w:b/>
        </w:rPr>
        <w:t xml:space="preserve">DOI: </w:t>
      </w:r>
      <w:hyperlink r:id="rId972">
        <w:r>
          <w:rPr>
            <w:color w:val="1155CC"/>
            <w:u w:val="single"/>
          </w:rPr>
          <w:t>10.1021/jacs.5c19692</w:t>
        </w:r>
      </w:hyperlink>
    </w:p>
    <w:p>
      <w:pPr>
        <w:spacing w:before="0" w:after="120"/>
      </w:pPr>
      <w:r>
        <w:rPr>
          <w:b/>
        </w:rPr>
        <w:t xml:space="preserve">Notes: </w:t>
      </w:r>
      <w:r>
        <w:t>abstract_source=openalex</w:t>
      </w:r>
    </w:p>
    <w:p>
      <w:pPr>
        <w:spacing w:before="0" w:after="80" w:lineRule="auto" w:line="276"/>
      </w:pPr>
      <w:r>
        <w:rPr>
          <w:b/>
        </w:rPr>
        <w:t xml:space="preserve">摘要（ZH）: </w:t>
      </w:r>
      <w:r>
        <w:t>钯氢化物 (PdH&lt;sub&gt;&lt;i&gt;x&lt;/i&gt;&lt;/sub&gt;) 由于其明确的相变，是研究金属-H相互作用的原型平台，并且与分子氢存储、传感和（电）催化相关。众所周知，钯纳米颗粒 (NPs) 的 H 吸附能力取决于其尺寸，并且在反复的 H 吸附/解吸循环后，H 原子逐渐被困在 Pd 中。然而，NP 形状对这些特性的影响研究较少。在此，通过合成由 {100} 面包围的碳负载钯纳米立方体 (NCs)，我们揭示了显著的尺寸依赖性 H 吸附能力，随着 Pd NC 尺寸从 5.4 增加到 20.2 nm，在 0.1 M H&lt;sub&gt;2&lt;/sub&gt;SO&lt;sub&gt;4&lt;/</w:t>
      </w:r>
    </w:p>
    <w:p>
      <w:pPr>
        <w:spacing w:before="0" w:after="200" w:lineRule="auto" w:line="276"/>
      </w:pPr>
      <w:r>
        <w:rPr>
          <w:b/>
        </w:rPr>
        <w:t xml:space="preserve">Abstract (EN): </w:t>
      </w:r>
      <w:r>
        <w:t>Palladium hydrides (PdH&lt;sub&gt;&lt;i&gt;x&lt;/i&gt;&lt;/sub&gt;) represent a prototypal platform for investigating metal-H interactions, owing to their well-defined phase transition, and are also relevant to molecular hydrogen storage, sensing and (electro)catalysis. It is well-known that the H sorption capacity of Pd nanoparticles (NPs) depends on their size and that H atoms become progressively trapped in Pd after repeated H sorption/desorption cycles. However, the influence of the NP shape on these properties has been much less explored. Herein, by synthesizing carbon-supported Pd nanocubes (NCs) enclosed by {100} facets, we reveal a pronounced size-dependent H sorption capacity, with the H:Pd ratio increasing from 0.55 to 0.68 as the Pd NC size increased from 5.4 to 20.2 nm in 0.1 M H&lt;sub&gt;2&lt;/sub&gt;SO&lt;sub&gt;4&lt;/sub&gt; at 20 °C. In parallel, a size-dependent H trapping is evidenced, with the fraction of trapped H decreasing from 13.9% to 5.1% as the Pd NC size increases over the same size range. Combining electrochemical measurements on both cubic and spherical Pd NPs with molecular dynamics simulations, we disentangle size and shape effects and demonstrate that both H sorption capacity and H trapping amplitude are primarily governed by the surface-to-volume ratio of the Pd NPs, rather than by their shape.</w:t>
      </w:r>
    </w:p>
    <w:p>
      <w:pPr>
        <w:spacing w:before="120" w:after="120"/>
      </w:pPr>
      <w:r>
        <w:rPr>
          <w:sz w:val="18"/>
        </w:rPr>
        <w:t>——————————————————————————————————————————————————————————————————————</w:t>
      </w:r>
    </w:p>
    <w:p>
      <w:pPr>
        <w:spacing w:before="160" w:after="40" w:line="240" w:lineRule="auto"/>
      </w:pPr>
      <w:r>
        <w:rPr>
          <w:b/>
        </w:rPr>
        <w:t xml:space="preserve">[482] </w:t>
      </w:r>
      <w:hyperlink r:id="rId973">
        <w:r>
          <w:rPr>
            <w:color w:val="1155CC"/>
            <w:u w:val="single"/>
          </w:rPr>
          <w:t>SOD1乳酸化通过构象变化损害其酶活性，加剧椎间盘退变</w:t>
        </w:r>
      </w:hyperlink>
    </w:p>
    <w:p>
      <w:pPr>
        <w:spacing w:before="0" w:after="80"/>
      </w:pPr>
      <w:r>
        <w:rPr>
          <w:i/>
          <w:sz w:val="20"/>
        </w:rPr>
        <w:t>EN: SOD1 lactylation impair its enzymatic activity by conformational change to aggravate intervertebral disc degeneration</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974">
        <w:r>
          <w:rPr>
            <w:color w:val="1155CC"/>
            <w:u w:val="single"/>
          </w:rPr>
          <w:t>10.1038/s41467-026-69127-3</w:t>
        </w:r>
      </w:hyperlink>
    </w:p>
    <w:p>
      <w:pPr>
        <w:spacing w:before="0" w:after="120"/>
      </w:pPr>
      <w:r>
        <w:rPr>
          <w:b/>
        </w:rPr>
        <w:t xml:space="preserve">Notes: </w:t>
      </w:r>
      <w:r>
        <w:t>abstract_source=nature_html</w:t>
      </w:r>
    </w:p>
    <w:p>
      <w:pPr>
        <w:spacing w:before="0" w:after="80" w:lineRule="auto" w:line="276"/>
      </w:pPr>
      <w:r>
        <w:rPr>
          <w:b/>
        </w:rPr>
        <w:t xml:space="preserve">摘要（ZH）: </w:t>
      </w:r>
      <w:r>
        <w:t>乳酸积累是椎间盘退变 (IVDD) 的标志和促成因素，而乳酸积累引起的蛋白质乳酸化在 IVDD 中的作用尚不清楚。通过代谢组学、单细胞 RNA 测序分析和乳酸化蛋白质组学，我们揭示了 IVDD 中的乳酸化组景观，并确定了超氧化物歧化酶 1 (SOD1) 在赖氨酸 123 (SOD1K123la) 的乳酸化对 IVDD 加重至关重要。通过体外定点突变、体内生成 SOD1K123R 突变雄性大鼠和计算机分子动力学模拟，我们发现 SOD1K123la 改变了 SOD1 构象并损害其酶活性，诱导氧化损伤，并在髓核细胞 (NPCs) 中激活 p53 通路。值得注意的是，我们发现了一种小分子 ZL-01</w:t>
      </w:r>
    </w:p>
    <w:p>
      <w:pPr>
        <w:spacing w:before="0" w:after="200" w:lineRule="auto" w:line="276"/>
      </w:pPr>
      <w:r>
        <w:rPr>
          <w:b/>
        </w:rPr>
        <w:t xml:space="preserve">Abstract (EN): </w:t>
      </w:r>
      <w:r>
        <w:t>Lactate accumulation is a hallmark and contributing factor of intervertebral disc degeneration (IVDD), while the role of protein lactylation caused by lactate accumulation in IVDD remains unclear. Via metabolomics, single-cell RNA-sequencing analysis, and lactylation proteomics, we reveal the lactylome landscape in IVDD and identified superoxide dismutase 1 (SOD1) lactylation at lysine 123 (SOD1K123la) as crucial for IVDD aggravation. Using in vitro site-directed mutagenesis, in vivo generation of SOD1K123R mutant male rats, and in silico molecular dynamics simulations, we find that SOD1K123la alters SOD1 conformation and impairs its enzymatic activity, and induces oxidative damage, and activates p53 pathway in nucleus pulposus cells (NPCs). Notably, we identify a small molecule ZL-01 that inhibits SOD1K123la. NPC-targeted delivery of ZL-01 via collagen type II-targeted peptide-modified extracellular vesicles alleviated IVDD in male rats. Together, these findings clarify the mechanism by which SOD1K123la promotes IVDD aggravation and provide a promising therapeutic strategy for IVDD.</w:t>
      </w:r>
    </w:p>
    <w:p>
      <w:pPr>
        <w:spacing w:before="120" w:after="120"/>
      </w:pPr>
      <w:r>
        <w:rPr>
          <w:sz w:val="18"/>
        </w:rPr>
        <w:t>——————————————————————————————————————————————————————————————————————</w:t>
      </w:r>
    </w:p>
    <w:p>
      <w:pPr>
        <w:spacing w:before="160" w:after="40" w:line="240" w:lineRule="auto"/>
      </w:pPr>
      <w:r>
        <w:rPr>
          <w:b/>
        </w:rPr>
        <w:t xml:space="preserve">[483] </w:t>
      </w:r>
      <w:hyperlink r:id="rId975">
        <w:r>
          <w:rPr>
            <w:color w:val="1155CC"/>
            <w:u w:val="single"/>
          </w:rPr>
          <w:t>针对台风的决策依赖不确定性下的海上风电一体化电力系统的弹性预防策略</w:t>
        </w:r>
      </w:hyperlink>
    </w:p>
    <w:p>
      <w:pPr>
        <w:spacing w:before="0" w:after="80"/>
      </w:pPr>
      <w:r>
        <w:rPr>
          <w:i/>
          <w:sz w:val="20"/>
        </w:rPr>
        <w:t>EN: Resilient preventive strategies for offshore wind-integrated power systems against typhoons under decision-dependent uncertainty</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[484] </w:t>
      </w:r>
      <w:hyperlink r:id="rId976">
        <w:r>
          <w:rPr>
            <w:color w:val="1155CC"/>
            <w:u w:val="single"/>
          </w:rPr>
          <w:t>清洁生产的能源政策策略：可再生能源和绿色创新的作用</w:t>
        </w:r>
      </w:hyperlink>
    </w:p>
    <w:p>
      <w:pPr>
        <w:spacing w:before="0" w:after="80"/>
      </w:pPr>
      <w:r>
        <w:rPr>
          <w:i/>
          <w:sz w:val="20"/>
        </w:rPr>
        <w:t>EN: Energy policy strategies for cleaner production: The roles of renewable energy and green innovation</w:t>
      </w:r>
    </w:p>
    <w:p>
      <w:pPr>
        <w:spacing w:before="0" w:after="120"/>
      </w:pPr>
      <w:r>
        <w:rPr>
          <w:b/>
        </w:rPr>
        <w:t xml:space="preserve">Source: </w:t>
      </w:r>
      <w:r>
        <w:t>ScienceDirect Publication: Energy Policy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[485] </w:t>
      </w:r>
      <w:hyperlink r:id="rId977">
        <w:r>
          <w:rPr>
            <w:color w:val="1155CC"/>
            <w:u w:val="single"/>
          </w:rPr>
          <w:t>基于非线性和动态响应的双极异质结构晶体管的物理回声状态网络</w:t>
        </w:r>
      </w:hyperlink>
    </w:p>
    <w:p>
      <w:pPr>
        <w:spacing w:before="0" w:after="80"/>
      </w:pPr>
      <w:r>
        <w:rPr>
          <w:i/>
          <w:sz w:val="20"/>
        </w:rPr>
        <w:t>EN: Physical echo state network based on the nonlinearity and dynamic response of ambipolar heterostructure transistors</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978">
        <w:r>
          <w:rPr>
            <w:color w:val="1155CC"/>
            <w:u w:val="single"/>
          </w:rPr>
          <w:t>10.1038/s41467-026-70171-2</w:t>
        </w:r>
      </w:hyperlink>
    </w:p>
    <w:p>
      <w:pPr>
        <w:spacing w:before="0" w:after="120"/>
      </w:pPr>
      <w:r>
        <w:rPr>
          <w:b/>
        </w:rPr>
        <w:t xml:space="preserve">Notes: </w:t>
      </w:r>
      <w:r>
        <w:t>abstract_source=nature_html</w:t>
      </w:r>
    </w:p>
    <w:p>
      <w:pPr>
        <w:spacing w:before="0" w:after="80" w:lineRule="auto" w:line="276"/>
      </w:pPr>
      <w:r>
        <w:rPr>
          <w:b/>
        </w:rPr>
        <w:t xml:space="preserve">摘要（ZH）: </w:t>
      </w:r>
      <w:r>
        <w:t>在神经形态计算领域，时间序列预测对递归神经网络架构构成了重大挑战，通常需要特定任务的定制化，限制了通用计算平台的发展。在这项工作中，我们使用双极性有机-无机异质结构晶体管实现了物理回声状态网络 (ESN) 的储层层。利用晶体管的双极性特性，其可变电阻区域实现稀疏矩阵运算，而饱和区域提供类似 tanh 的非线性，使其非常适合在 ESN 中实现突触加权和神经元激活。此外，其动态响应自然引入时间属性。因此，它可以作为神经形态计算</w:t>
      </w:r>
    </w:p>
    <w:p>
      <w:pPr>
        <w:spacing w:before="0" w:after="200" w:lineRule="auto" w:line="276"/>
      </w:pPr>
      <w:r>
        <w:rPr>
          <w:b/>
        </w:rPr>
        <w:t xml:space="preserve">Abstract (EN): </w:t>
      </w:r>
      <w:r>
        <w:t>In the field of neuromorphic computing, time-series prediction poses a significant challenge to recurrent neural network architectures, often requiring task-specific customization that limits the development of general-purpose computing platforms. In this work, we implement a physical echo-state network (ESN) using ambipolar organic–inorganic heterostructure transistors to form its reservoir layer. Leveraging the ambipolar nature of the transistor, its variable-resistance region enables sparse matrix operations, while the saturation region provides tanh-like nonlinearity, making it well-suited for implementing both synaptic weighting and neuronal activation in an ESN. Additionally, its dynamic response naturally introduces temporal attributes. Thus, it can serve as a neuromorphic computing model for time-series tasks. Without the involvement of dynamic mechanisms, it is capable of performing image recognition, time-series prediction, and multimodal recognition tasks. When dynamic mechanisms are incorporated, the model achieves an accuracy of 96.98% on the MNIST handwritten digit dataset and 86.67% on the Fashion-MNIST dataset. This work offers a neuromorphic computing architecture, providing insights for tasks such as nonlinear mapping and time-series prediction.</w:t>
      </w:r>
    </w:p>
    <w:p>
      <w:pPr>
        <w:spacing w:before="120" w:after="120"/>
      </w:pPr>
      <w:r>
        <w:rPr>
          <w:sz w:val="18"/>
        </w:rPr>
        <w:t>——————————————————————————————————————————————————————————————————————</w:t>
      </w:r>
    </w:p>
    <w:p>
      <w:pPr>
        <w:spacing w:before="160" w:after="40" w:line="240" w:lineRule="auto"/>
      </w:pPr>
      <w:r>
        <w:rPr>
          <w:b/>
        </w:rPr>
        <w:t xml:space="preserve">[486] </w:t>
      </w:r>
      <w:hyperlink r:id="rId979">
        <w:r>
          <w:rPr>
            <w:color w:val="1155CC"/>
            <w:u w:val="single"/>
          </w:rPr>
          <w:t>基于专家混合的多评论家深度强化学习用于数据中心微电网的可持续管理</w:t>
        </w:r>
      </w:hyperlink>
    </w:p>
    <w:p>
      <w:pPr>
        <w:spacing w:before="0" w:after="80"/>
      </w:pPr>
      <w:r>
        <w:rPr>
          <w:i/>
          <w:sz w:val="20"/>
        </w:rPr>
        <w:t>EN: Mixture-of-experts based multi-critic deep reinforcement learning for sustainable management of data center microgrids</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[487] </w:t>
      </w:r>
      <w:hyperlink r:id="rId980">
        <w:r>
          <w:rPr>
            <w:color w:val="1155CC"/>
            <w:u w:val="single"/>
          </w:rPr>
          <w:t>增材制造的纳米结构金属的纳米孔隙驱动变形</w:t>
        </w:r>
      </w:hyperlink>
    </w:p>
    <w:p>
      <w:pPr>
        <w:spacing w:before="0" w:after="80"/>
      </w:pPr>
      <w:r>
        <w:rPr>
          <w:i/>
          <w:sz w:val="20"/>
        </w:rPr>
        <w:t>EN: Nanoporosity-driven deformation of additively manufactured nano-architected metals</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981">
        <w:r>
          <w:rPr>
            <w:color w:val="1155CC"/>
            <w:u w:val="single"/>
          </w:rPr>
          <w:t>10.1038/s41467-026-69845-8</w:t>
        </w:r>
      </w:hyperlink>
    </w:p>
    <w:p>
      <w:pPr>
        <w:spacing w:before="0" w:after="120"/>
      </w:pPr>
      <w:r>
        <w:rPr>
          <w:b/>
        </w:rPr>
        <w:t xml:space="preserve">Notes: </w:t>
      </w:r>
      <w:r>
        <w:t>abstract_source=nature_html</w:t>
      </w:r>
    </w:p>
    <w:p>
      <w:pPr>
        <w:spacing w:before="0" w:after="80" w:lineRule="auto" w:line="276"/>
      </w:pPr>
      <w:r>
        <w:rPr>
          <w:b/>
        </w:rPr>
        <w:t xml:space="preserve">摘要（ZH）: </w:t>
      </w:r>
      <w:r>
        <w:t>小规模金属的3D打印方法在功能特征尺寸、关键微观结构细节和原子级缺陷汇聚的10–100 nm尺寸范围内提供了独特的利基，挑战了传统的分层关系，并具有显著的纳米力学意义。我们介绍了一种金属纳米打印系统，结合了双光子光刻、水凝胶注入的增材制造和3D纳米结构镍的原位机械实验，实现了约100 nm的关键尺寸、约10 nm的表面粗糙度，以及广泛的几何形状（周期性与非周期性；基于梁与基于壳）的优越比强度约为100 MPa·g − 1·cm3，由明确的尺寸效应“越小越强”所支持。实验识别出集中孔隙区域为</w:t>
      </w:r>
    </w:p>
    <w:p>
      <w:pPr>
        <w:spacing w:before="0" w:after="200" w:lineRule="auto" w:line="276"/>
      </w:pPr>
      <w:r>
        <w:rPr>
          <w:b/>
        </w:rPr>
        <w:t xml:space="preserve">Abstract (EN): </w:t>
      </w:r>
      <w:r>
        <w:t>3D printing methods for small-scale metals enable a unique 10–100 nm dimensional niche where functional feature sizes, critical microstructural detail and atomic-level defects converge, challenging conventional hierarchical relationships and carrying significant nanomechanical implications. We introduce a metal nano-printing system combining two-photon lithography, hydrogel infusion-based additive manufacturing and in situ mechanical experiments on 3D nano-architected Ni, achieving ~100 nm critical dimensions, ~10 nm surface roughness, and a broad range of geometries (periodic vs. non-periodic; beam-based vs. shell-based) with superior specific strengths of ~100 MPa·g − 1·cm3 enabled by an unambiguous smaller is stronger size effect. Experiments identify concentrated-porosity regions as primary deformation-initiation sources and quantify their distribution as input for physics-informed, multiscale finite-element simulations that accurately predict size-dependent mechanical properties governed by nanoporosity-driven deformation. This work integrates experimental and computational approaches for the fabrication, characterization, and evaluation of nano- and micro-architected metals for nanotechnology and nanoscale manufacturing systems.</w:t>
      </w:r>
    </w:p>
    <w:p>
      <w:pPr>
        <w:spacing w:before="120" w:after="120"/>
      </w:pPr>
      <w:r>
        <w:rPr>
          <w:sz w:val="18"/>
        </w:rPr>
        <w:t>——————————————————————————————————————————————————————————————————————</w:t>
      </w:r>
    </w:p>
    <w:p>
      <w:pPr>
        <w:spacing w:before="160" w:after="40" w:line="240" w:lineRule="auto"/>
      </w:pPr>
      <w:r>
        <w:rPr>
          <w:b/>
        </w:rPr>
        <w:t xml:space="preserve">[488] </w:t>
      </w:r>
      <w:hyperlink r:id="rId982">
        <w:r>
          <w:rPr>
            <w:color w:val="1155CC"/>
            <w:u w:val="single"/>
          </w:rPr>
          <w:t>能源商品市场的波动性建模：对冲击的响应回顾及走向弹性和可持续性的路径</w:t>
        </w:r>
      </w:hyperlink>
    </w:p>
    <w:p>
      <w:pPr>
        <w:spacing w:before="0" w:after="80"/>
      </w:pPr>
      <w:r>
        <w:rPr>
          <w:i/>
          <w:sz w:val="20"/>
        </w:rPr>
        <w:t>EN: Volatility modeling in energy commodity markets: A review of responses to shocks and the path towards resiliency and sustainability</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[489] </w:t>
      </w:r>
      <w:hyperlink r:id="rId983">
        <w:r>
          <w:rPr>
            <w:color w:val="1155CC"/>
            <w:u w:val="single"/>
          </w:rPr>
          <w:t>一维磷波纹管中的强光学各向异性</w:t>
        </w:r>
      </w:hyperlink>
    </w:p>
    <w:p>
      <w:pPr>
        <w:spacing w:before="0" w:after="80"/>
      </w:pPr>
      <w:r>
        <w:rPr>
          <w:i/>
          <w:sz w:val="20"/>
        </w:rPr>
        <w:t>EN: Strong optical anisotropy in one-dimensional phosphorus wavy tubes</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984">
        <w:r>
          <w:rPr>
            <w:color w:val="1155CC"/>
            <w:u w:val="single"/>
          </w:rPr>
          <w:t>10.1038/s41467-026-70129-4</w:t>
        </w:r>
      </w:hyperlink>
    </w:p>
    <w:p>
      <w:pPr>
        <w:spacing w:before="0" w:after="120"/>
      </w:pPr>
      <w:r>
        <w:rPr>
          <w:b/>
        </w:rPr>
        <w:t xml:space="preserve">Notes: </w:t>
      </w:r>
      <w:r>
        <w:t>abstract_source=nature_html</w:t>
      </w:r>
    </w:p>
    <w:p>
      <w:pPr>
        <w:spacing w:before="0" w:after="80" w:lineRule="auto" w:line="276"/>
      </w:pPr>
      <w:r>
        <w:rPr>
          <w:b/>
        </w:rPr>
        <w:t xml:space="preserve">摘要（ZH）: </w:t>
      </w:r>
      <w:r>
        <w:t>具有内在一维结构的各向异性材料，其中链或管沿晶体学轴对齐，表现出方向依赖的光学响应，并作为理想的偏振敏感光电子学构建块。虽然在工程化合物方面取得了一定进展，但发现具有天然有序一维构建块并表现出巨大光学各向异性的元素晶体仍然具有挑战性。在此，我们报告了一种由独特波状多边形管组成的直接带隙半导体一维磷单晶的合成。通过单晶X射线衍射和先进的透射电子显微镜揭示了单斜晶格结构。该晶体在可见光和近红外区域表现出巨大的双折射，</w:t>
      </w:r>
    </w:p>
    <w:p>
      <w:pPr>
        <w:spacing w:before="0" w:after="200" w:lineRule="auto" w:line="276"/>
      </w:pPr>
      <w:r>
        <w:rPr>
          <w:b/>
        </w:rPr>
        <w:t xml:space="preserve">Abstract (EN): </w:t>
      </w:r>
      <w:r>
        <w:t>Anisotropic materials with intrinsic one-dimensional architectures, where chains or tubes align along a crystallographic axis, exhibit direction-dependent optical responses and serve as ideal building blocks for polarization-sensitive optoelectronics. While progress exists in engineered compounds, discovering elemental crystals with naturally ordered one-dimensional building blocks exhibiting giant optical anisotropy remains challenging. Here, we report the synthesis of a direct-bandgap semiconducting one-dimensional phosphorus single crystal composed of unique wavy polygonal tubes. The monoclinic lattice structure is revealed by single-crystal X-ray diffraction and advanced transmission electron microscopy. The crystal exhibits giant birefringence in the visible and near-infrared regions, stemming from electron localization and anisotropic transitions of the phosphorus 3p orbital along the tube axis. The low-symmetry structure endows remarkable linear and nonlinear optical anisotropies, including orientation-dependent photoluminescence, Raman scattering, and second-harmonic generation. This study establishes a paradigm for designing giant optical anisotropies, opening avenues for on-chip polarization devices and nonlinear photonic circuits.</w:t>
      </w:r>
    </w:p>
    <w:p>
      <w:pPr>
        <w:spacing w:before="120" w:after="120"/>
      </w:pPr>
      <w:r>
        <w:rPr>
          <w:sz w:val="18"/>
        </w:rPr>
        <w:t>——————————————————————————————————————————————————————————————————————</w:t>
      </w:r>
    </w:p>
    <w:p>
      <w:pPr>
        <w:spacing w:before="160" w:after="40" w:line="240" w:lineRule="auto"/>
      </w:pPr>
      <w:r>
        <w:rPr>
          <w:b/>
        </w:rPr>
        <w:t xml:space="preserve">[490] </w:t>
      </w:r>
      <w:hyperlink r:id="rId985">
        <w:r>
          <w:rPr>
            <w:color w:val="1155CC"/>
            <w:u w:val="single"/>
          </w:rPr>
          <w:t>上丘中与注意相关的调制编码感知敏感性，但不编码感知选择</w:t>
        </w:r>
      </w:hyperlink>
    </w:p>
    <w:p>
      <w:pPr>
        <w:spacing w:before="0" w:after="80"/>
      </w:pPr>
      <w:r>
        <w:rPr>
          <w:i/>
          <w:sz w:val="20"/>
        </w:rPr>
        <w:t>EN: Attention-related modulation in the superior colliculus encodes perceptual sensitivity, but not perceptual choice</w:t>
      </w:r>
    </w:p>
    <w:p>
      <w:pPr>
        <w:spacing w:before="0" w:after="120"/>
      </w:pPr>
      <w:r>
        <w:rPr>
          <w:b/>
        </w:rPr>
        <w:t xml:space="preserve">Source: </w:t>
      </w:r>
      <w:r>
        <w:t>Nature Communications</w:t>
      </w:r>
      <w:r>
        <w:t xml:space="preserve">    </w:t>
      </w:r>
      <w:r>
        <w:rPr>
          <w:b/>
        </w:rPr>
        <w:t xml:space="preserve">Pub date: </w:t>
      </w:r>
      <w:r>
        <w:t>2026-02-28 00:00:00+00:00</w:t>
      </w:r>
      <w:r>
        <w:t xml:space="preserve">    </w:t>
      </w:r>
      <w:r>
        <w:rPr>
          <w:b/>
        </w:rPr>
        <w:t xml:space="preserve">DOI: </w:t>
      </w:r>
      <w:hyperlink r:id="rId986">
        <w:r>
          <w:rPr>
            <w:color w:val="1155CC"/>
            <w:u w:val="single"/>
          </w:rPr>
          <w:t>10.1038/s41467-026-69954-4</w:t>
        </w:r>
      </w:hyperlink>
    </w:p>
    <w:p>
      <w:pPr>
        <w:spacing w:before="0" w:after="120"/>
      </w:pPr>
      <w:r>
        <w:rPr>
          <w:b/>
        </w:rPr>
        <w:t xml:space="preserve">Notes: </w:t>
      </w:r>
      <w:r>
        <w:t>abstract_source=nature_html</w:t>
      </w:r>
    </w:p>
    <w:p>
      <w:pPr>
        <w:spacing w:before="0" w:after="80" w:lineRule="auto" w:line="276"/>
      </w:pPr>
      <w:r>
        <w:rPr>
          <w:b/>
        </w:rPr>
        <w:t xml:space="preserve">摘要（ZH）: </w:t>
      </w:r>
      <w:r>
        <w:t>上丘（SC）中的神经元与皮层中的神经元一样，会受到注意力转移的调节，但与视觉皮层神经元的贡献不同。SC注意力相关活动是否代表增强的感知敏感性、决策标准的转变或与神经元反应场中的扫视计划相关的运动偏差仍存在争议。我们通过在两个雄性猕猴的视觉空间注意任务中独立控制行为敏感性、感知决策标准和运动反应标准来分离这些成分。SC活动与行为敏感性和选择反应场内扫视目标的运动标准强烈相关，与扫视执行无关。相反，尽管发生了大幅度的转变，SC反应仍保持不变</w:t>
      </w:r>
    </w:p>
    <w:p>
      <w:pPr>
        <w:spacing w:before="0" w:after="200" w:lineRule="auto" w:line="276"/>
      </w:pPr>
      <w:r>
        <w:rPr>
          <w:b/>
        </w:rPr>
        <w:t xml:space="preserve">Abstract (EN): </w:t>
      </w:r>
      <w:r>
        <w:t>Neurons in the superior colliculus (SC), like those in cortex, are modulated by shifts in attention but contribute differently from visual cortex neurons. It remains debated whether SC attention-related activity represents enhanced perceptual sensitivity, decision criterion shifts, or motor bias linked to saccade planning at neurons’ response fields. We dissociated these components by independently controlling behavioral sensitivity, perceptual decision criterion, and motor response criterion in a visual spatial attention task in two male rhesus monkeys. SC activity correlated strongly with behavioral sensitivity and motor criterion for selecting a saccade target within the response field, independent of saccade execution. In contrast, SC responses remained unchanged despite large shifts in decision criterion when motor bias was excluded. Notably, SC activity did not predict trial-by-trial choice accuracy. These results demonstrate that the SC specifically supports components of attention related to heightened perceptual sensitivity and response selection, while being largely independent of internal perceptual decision criterion and trial outcome.</w:t>
      </w:r>
    </w:p>
    <w:p>
      <w:pPr>
        <w:spacing w:before="120" w:after="120"/>
      </w:pPr>
      <w:r>
        <w:rPr>
          <w:sz w:val="18"/>
        </w:rPr>
        <w:t>——————————————————————————————————————————————————————————————————————</w:t>
      </w:r>
    </w:p>
    <w:p>
      <w:pPr>
        <w:spacing w:before="160" w:after="40" w:line="240" w:lineRule="auto"/>
      </w:pPr>
      <w:r>
        <w:rPr>
          <w:b/>
        </w:rPr>
        <w:t xml:space="preserve">[491] </w:t>
      </w:r>
      <w:hyperlink r:id="rId987">
        <w:r>
          <w:rPr>
            <w:color w:val="1155CC"/>
            <w:u w:val="single"/>
          </w:rPr>
          <w:t>甲烷水合物安全高效生产的流动-压力-饱和耦合的系统级见解</w:t>
        </w:r>
      </w:hyperlink>
    </w:p>
    <w:p>
      <w:pPr>
        <w:spacing w:before="0" w:after="80"/>
      </w:pPr>
      <w:r>
        <w:rPr>
          <w:i/>
          <w:sz w:val="20"/>
        </w:rPr>
        <w:t>EN: System-level insights into flow-pressure-saturation coupling for safe and efficient methane hydrate production</w:t>
      </w:r>
    </w:p>
    <w:p>
      <w:pPr>
        <w:spacing w:before="0" w:after="120"/>
      </w:pPr>
      <w:r>
        <w:rPr>
          <w:b/>
        </w:rPr>
        <w:t xml:space="preserve">Source: </w:t>
      </w:r>
      <w:r>
        <w:t>ScienceDirect Publication: Applied Energy</w:t>
      </w:r>
      <w:r>
        <w:t xml:space="preserve">    </w:t>
      </w:r>
      <w:r>
        <w:rPr>
          <w:b/>
        </w:rPr>
        <w:t xml:space="preserve">Pub date: </w:t>
      </w:r>
      <w:r>
        <w:t>2026-02-28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[492] </w:t>
      </w:r>
      <w:hyperlink r:id="rId988">
        <w:r>
          <w:rPr>
            <w:color w:val="1155CC"/>
            <w:u w:val="single"/>
          </w:rPr>
          <w:t>反向偏压下全钙钛矿叠层太阳能电池的氧化还原级联驱动结构降解</w:t>
        </w:r>
      </w:hyperlink>
    </w:p>
    <w:p>
      <w:pPr>
        <w:spacing w:before="0" w:after="80"/>
      </w:pPr>
      <w:r>
        <w:rPr>
          <w:i/>
          <w:sz w:val="20"/>
        </w:rPr>
        <w:t>EN: Redox Cascade‐Driven Structural Degradation Under Reverse Bias in All‐Perovskite Tandem Solar Cells</w:t>
      </w:r>
    </w:p>
    <w:p>
      <w:pPr>
        <w:spacing w:before="0" w:after="120"/>
      </w:pPr>
      <w:r>
        <w:rPr>
          <w:b/>
        </w:rPr>
        <w:t xml:space="preserve">Source: </w:t>
      </w:r>
      <w:r>
        <w:t>Wiley: Advanced Materials: Table of Contents</w:t>
      </w:r>
      <w:r>
        <w:t xml:space="preserve">    </w:t>
      </w:r>
      <w:r>
        <w:rPr>
          <w:b/>
        </w:rPr>
        <w:t xml:space="preserve">Pub date: </w:t>
      </w:r>
      <w:r>
        <w:t>2026-02-28 06:55:24+00:00</w:t>
      </w:r>
      <w:r>
        <w:t xml:space="preserve">    </w:t>
      </w:r>
      <w:r>
        <w:rPr>
          <w:b/>
        </w:rPr>
        <w:t xml:space="preserve">DOI: </w:t>
      </w:r>
      <w:hyperlink r:id="rId989">
        <w:r>
          <w:rPr>
            <w:color w:val="1155CC"/>
            <w:u w:val="single"/>
          </w:rPr>
          <w:t>10.1002/adma.202522942</w:t>
        </w:r>
      </w:hyperlink>
    </w:p>
    <w:p>
      <w:pPr>
        <w:spacing w:before="0" w:after="120"/>
      </w:pPr>
      <w:r>
        <w:rPr>
          <w:b/>
        </w:rPr>
        <w:t xml:space="preserve">Notes: </w:t>
      </w:r>
      <w:r>
        <w:t>abstract_source=pubmed</w:t>
      </w:r>
    </w:p>
    <w:p>
      <w:pPr>
        <w:spacing w:before="0" w:after="80" w:lineRule="auto" w:line="276"/>
      </w:pPr>
      <w:r>
        <w:rPr>
          <w:b/>
        </w:rPr>
        <w:t xml:space="preserve">摘要（ZH）: </w:t>
      </w:r>
      <w:r>
        <w:t>反向偏压，由电流不匹配或遮光引起，已成为全钙钛矿叠层太阳能电池中一种隐藏但致命的不稳定性。我们揭示了持续的反向偏压会在窄带隙子电池中引发氧化还原耦合的晶格崩溃。在电应力下，空穴注入将碘离子氧化为中性碘物种，随后氧化锡阳离子并驱动场导向的离子迁移。这种氧化还原级联垂直传播通过晶格，耦合离子传输与结构重建和界面腐蚀，最终导致不可逆的性能损失。这些发现揭示了全钙钛矿叠层作为化学机械系统，其中电应力被转化为内部电化学损伤。为了抑制这种</w:t>
      </w:r>
    </w:p>
    <w:p>
      <w:pPr>
        <w:spacing w:before="0" w:after="200" w:lineRule="auto" w:line="276"/>
      </w:pPr>
      <w:r>
        <w:rPr>
          <w:b/>
        </w:rPr>
        <w:t xml:space="preserve">Abstract (EN): </w:t>
      </w:r>
      <w:r>
        <w:t>Reverse bias, originating from current mismatch or shading, has emerged as a hidden yet fatal instability in all-perovskite tandem solar cells. Here we reveal that sustained reverse bias triggers a redox-coupled lattice collapse within the narrow-bandgap subcells. Under electrical stress, hole injection oxidizes iodide ions into neutral iodine species, which subsequently oxidize tin cations and drive field-directed ion migration. This redox cascade propagates vertically through the lattice, coupling ionic transport with structural reconstruction and interfacial corrosion, ultimately leading to irreversible performance loss. These findings expose all-perovskite tandems as chemomechanical systems in which electrical stress is converted into internal electrochemical damage. To suppress this feedback loop, we introduce a "multideck-fence" interfacial design that integrates a nanometric oxide diffusion barrier with a chemically stable dual-metal electrode. This strategy halts the redox-driven degradation, yielding a power conversion efficiency of 29.03% and more than 30-fold enhancement in reverse-bias endurance. Our results redefine reverse bias as a chemomechanically driven failure mode and establish a mechanistic framework for bias-resilient perovskite architectures.</w:t>
      </w:r>
    </w:p>
    <w:p>
      <w:pPr>
        <w:spacing w:before="120" w:after="120"/>
      </w:pPr>
      <w:r>
        <w:rPr>
          <w:sz w:val="18"/>
        </w:rPr>
        <w:t>——————————————————————————————————————————————————————————————————————</w:t>
      </w:r>
    </w:p>
    <w:p>
      <w:pPr>
        <w:spacing w:before="160" w:after="40" w:line="240" w:lineRule="auto"/>
      </w:pPr>
      <w:r>
        <w:rPr>
          <w:b/>
        </w:rPr>
        <w:t xml:space="preserve">[493] </w:t>
      </w:r>
      <w:hyperlink r:id="rId990">
        <w:r>
          <w:rPr>
            <w:color w:val="1155CC"/>
            <w:u w:val="single"/>
          </w:rPr>
          <w:t>自由形式柔性超表面稳健地产生微波斯格明子</w:t>
        </w:r>
      </w:hyperlink>
    </w:p>
    <w:p>
      <w:pPr>
        <w:spacing w:before="0" w:after="80"/>
      </w:pPr>
      <w:r>
        <w:rPr>
          <w:i/>
          <w:sz w:val="20"/>
        </w:rPr>
        <w:t>EN: Free‐Form Flexible Metasurfaces Robustly Generating Microwave Skyrmions</w:t>
      </w:r>
    </w:p>
    <w:p>
      <w:pPr>
        <w:spacing w:before="0" w:after="120"/>
      </w:pPr>
      <w:r>
        <w:rPr>
          <w:b/>
        </w:rPr>
        <w:t xml:space="preserve">Source: </w:t>
      </w:r>
      <w:r>
        <w:t>Wiley: Advanced Materials: Table of Contents</w:t>
      </w:r>
      <w:r>
        <w:t xml:space="preserve">    </w:t>
      </w:r>
      <w:r>
        <w:rPr>
          <w:b/>
        </w:rPr>
        <w:t xml:space="preserve">Pub date: </w:t>
      </w:r>
      <w:r>
        <w:t>2026-02-28 07:15:56+00:00</w:t>
      </w:r>
      <w:r>
        <w:t xml:space="preserve">    </w:t>
      </w:r>
      <w:r>
        <w:rPr>
          <w:b/>
        </w:rPr>
        <w:t xml:space="preserve">DOI: </w:t>
      </w:r>
      <w:hyperlink r:id="rId991">
        <w:r>
          <w:rPr>
            <w:color w:val="1155CC"/>
            <w:u w:val="single"/>
          </w:rPr>
          <w:t>10.1002/adma.202518268</w:t>
        </w:r>
      </w:hyperlink>
    </w:p>
    <w:p>
      <w:pPr>
        <w:spacing w:before="0" w:after="120"/>
      </w:pPr>
      <w:r>
        <w:rPr>
          <w:b/>
        </w:rPr>
        <w:t xml:space="preserve">Notes: </w:t>
      </w:r>
      <w:r>
        <w:t>abstract_source=pubmed</w:t>
      </w:r>
    </w:p>
    <w:p>
      <w:pPr>
        <w:spacing w:before="0" w:after="80" w:lineRule="auto" w:line="276"/>
      </w:pPr>
      <w:r>
        <w:rPr>
          <w:b/>
        </w:rPr>
        <w:t xml:space="preserve">摘要（ZH）: </w:t>
      </w:r>
      <w:r>
        <w:t>斯格明子是拓扑稳定的矢量纹理，作为高密度数据存储和通信的潜在信息载体，尤其是最近在电磁场中出现的斯格明子元生成器的推动。然而，这些实现总是依赖于平面、刚性设计，并具有严格的制造要求。在此，我们提出了自由形式的柔性超表面生成斯格明子，以实现未来可穿戴和柔性设备的拓扑弹性光场。此外，我们在实验中测试了斯格明子数在不同无序程度下的卓越拓扑鲁棒性。斯格明子的内在拓扑保护自然匹配柔性超表面的可变形性，实现了无法达到的鲁棒性</w:t>
      </w:r>
    </w:p>
    <w:p>
      <w:pPr>
        <w:spacing w:before="0" w:after="200" w:lineRule="auto" w:line="276"/>
      </w:pPr>
      <w:r>
        <w:rPr>
          <w:b/>
        </w:rPr>
        <w:t xml:space="preserve">Abstract (EN): </w:t>
      </w:r>
      <w:r>
        <w:t>Skyrmions are topologically stable vector textures as potential information carriers for high-density data storage and communications, especially boosted by the recently emerging meta-generators of skyrmions in electromagnetic fields. However, these implementations always rely on planar, rigid designs with stringent fabrication requirements. Here, we propose the free-form flexible metasurface generating skyrmions toward future wearable and flexible devices for topologically resilient light fields. Furthermore, we experimentally tested the outstanding topological robustness of the skyrmion number under different disorder degrees on the metasurface. The intrinsic topological protection of skyrmions naturally matches the deformability of flexible metasurfaces, enabling a robustness unattainable with conventional carriers. The microwave band can directly be relevant to practical telecommunication systems, also motivate future extension to THz and optical frequency flexible skyrmion platforms. Overall, our results position free-form flexible metasurfaces as a compact and inherently robust framework for skyrmion-based information transfer and next-generation robust free-space communication networks.</w:t>
      </w:r>
    </w:p>
    <w:p>
      <w:pPr>
        <w:spacing w:before="120" w:after="120"/>
      </w:pPr>
      <w:r>
        <w:rPr>
          <w:sz w:val="18"/>
        </w:rPr>
        <w:t>——————————————————————————————————————————————————————————————————————</w:t>
      </w:r>
    </w:p>
    <w:p>
      <w:pPr>
        <w:spacing w:before="160" w:after="40" w:line="240" w:lineRule="auto"/>
      </w:pPr>
      <w:r>
        <w:rPr>
          <w:b/>
        </w:rPr>
        <w:t xml:space="preserve">[494] </w:t>
      </w:r>
      <w:hyperlink r:id="rId992">
        <w:r>
          <w:rPr>
            <w:color w:val="1155CC"/>
            <w:u w:val="single"/>
          </w:rPr>
          <w:t>四苯基硅烷工程的MR-TADF发射体用于高效率、长寿命且色域接近BT.2020标准的纯绿色OLED</w:t>
        </w:r>
      </w:hyperlink>
    </w:p>
    <w:p>
      <w:pPr>
        <w:spacing w:before="0" w:after="80"/>
      </w:pPr>
      <w:r>
        <w:rPr>
          <w:i/>
          <w:sz w:val="20"/>
        </w:rPr>
        <w:t>EN: Tetraphenylsilane‐Engineered MR‐TADF Emitters for Pure‐Green OLEDs with High‐Efficiency, Long Lifetime, and Gamut Close to BT.2020 Standard</w:t>
      </w:r>
    </w:p>
    <w:p>
      <w:pPr>
        <w:spacing w:before="0" w:after="120"/>
      </w:pPr>
      <w:r>
        <w:rPr>
          <w:b/>
        </w:rPr>
        <w:t xml:space="preserve">Source: </w:t>
      </w:r>
      <w:r>
        <w:t>Wiley: Advanced Materials: Table of Contents</w:t>
      </w:r>
      <w:r>
        <w:t xml:space="preserve">    </w:t>
      </w:r>
      <w:r>
        <w:rPr>
          <w:b/>
        </w:rPr>
        <w:t xml:space="preserve">Pub date: </w:t>
      </w:r>
      <w:r>
        <w:t>2026-02-28 07:24:19+00:00</w:t>
      </w:r>
      <w:r>
        <w:t xml:space="preserve">    </w:t>
      </w:r>
      <w:r>
        <w:rPr>
          <w:b/>
        </w:rPr>
        <w:t xml:space="preserve">DOI: </w:t>
      </w:r>
      <w:hyperlink r:id="rId993">
        <w:r>
          <w:rPr>
            <w:color w:val="1155CC"/>
            <w:u w:val="single"/>
          </w:rPr>
          <w:t>10.1002/adma.72684</w:t>
        </w:r>
      </w:hyperlink>
    </w:p>
    <w:p>
      <w:pPr>
        <w:spacing w:before="0" w:after="120"/>
      </w:pPr>
      <w:r>
        <w:rPr>
          <w:b/>
        </w:rPr>
        <w:t xml:space="preserve">Notes: </w:t>
      </w:r>
      <w:r>
        <w:t>abstract_source=pubmed</w:t>
      </w:r>
    </w:p>
    <w:p>
      <w:pPr>
        <w:spacing w:before="0" w:after="80" w:lineRule="auto" w:line="276"/>
      </w:pPr>
      <w:r>
        <w:rPr>
          <w:b/>
        </w:rPr>
        <w:t xml:space="preserve">摘要（ZH）: </w:t>
      </w:r>
      <w:r>
        <w:t>实现优异的色纯度、高效率和长操作耐久性的同时结合仍然是有机发光二极管（OLEDs）的一个艰巨挑战，这对于实现超高清（UHD）显示器是不可或缺的。在此，我们提出了一种合理的分子设计策略，通过在多共振热激活延迟荧光（MR-TADF）骨架上外围功能化四苯基硅烷（TPS）和氘代TPS基团来解决这些挑战。所得发射体p-DBFSi、m-DBFSi和m-DBFSi-d表现出尖锐的绿色发射（515-517 nm），其半高宽（FWHMs）低于0.070 eV，位列报道的最窄绿色MR-TADF材料之列。使用m-DBFSi和m-DBFSi-d作为发射体的OLEDs提供</w:t>
      </w:r>
    </w:p>
    <w:p>
      <w:pPr>
        <w:spacing w:before="0" w:after="200" w:lineRule="auto" w:line="276"/>
      </w:pPr>
      <w:r>
        <w:rPr>
          <w:b/>
        </w:rPr>
        <w:t xml:space="preserve">Abstract (EN): </w:t>
      </w:r>
      <w:r>
        <w:t>Achieving the concurrent combination of superior color purity, high efficiency, and long operational durability remains a formidable challenge for organic light-emitting diodes (OLEDs), which are indispensable for realizing ultra-high-definition (UHD) displays. Herein, we propose a rational molecular design strategy that peripherally functionalizes the multi-resonance thermally activated delayed fluorescence (MR-TADF) skeleton with tetraphenylsilane (TPS) and deuterated TPS groups to address these challenges. The resulting emitters, p-DBFSi, m-DBFSi, and m-DBFSi-d, exhibit sharp green emission (515-517 nm) with ultra-narrow full-widths at half-maximum (FWHMs) below 0.070 eV, ranking among the narrowest green MR-TADF materials reported. OLEDs employing m-DBFSi and m-DBFSi-d as emitters deliver the purest green electroluminescence (CIEy = 0.76), extraordinary maximum external quantum efficiencies (EQEmax) of 40.1% and 41.9%, and maximum power efficiency (PEmax) approaching 200 lm W-1, without employing an additional sensitizer, positioning them among the state-of-the-art narrowband pure-green OLEDs. Furthermore, the m-DBFSi-d-based device exhibits remarkably enhanced operational stability with operational lifetime (LT80) of 2491 h at initial luminance of 1000 cd m-2. Collectively, this work establishes a TPS- and deuteration-engineered MR-TADF strategy that enables OLEDs to combine ultra-narrowband emission, outstanding efficiency, and exceptional durability, paving the way for next-generation UHD displays.</w:t>
      </w:r>
    </w:p>
    <w:p>
      <w:pPr>
        <w:spacing w:before="120" w:after="120"/>
      </w:pPr>
      <w:r>
        <w:rPr>
          <w:sz w:val="18"/>
        </w:rPr>
        <w:t>——————————————————————————————————————————————————————————————————————</w:t>
      </w:r>
    </w:p>
    <w:p>
      <w:pPr>
        <w:spacing w:before="160" w:after="40" w:line="240" w:lineRule="auto"/>
      </w:pPr>
      <w:r>
        <w:rPr>
          <w:b/>
        </w:rPr>
        <w:t xml:space="preserve">[495] </w:t>
      </w:r>
      <w:hyperlink r:id="rId994">
        <w:r>
          <w:rPr>
            <w:color w:val="1155CC"/>
            <w:u w:val="single"/>
          </w:rPr>
          <w:t>映射糖类环状烯醇醚衍生物的C═C键反应性：糖苷的亲核性参数</w:t>
        </w:r>
      </w:hyperlink>
    </w:p>
    <w:p>
      <w:pPr>
        <w:spacing w:before="0" w:after="80"/>
      </w:pPr>
      <w:r>
        <w:rPr>
          <w:i/>
          <w:sz w:val="20"/>
        </w:rPr>
        <w:t>EN: Mapping the Reactivity of the C═C Bond of Cyclic Enol Ether Derivatives of Sugars: Nucleophilicity Parameters of Glycals</w:t>
      </w:r>
    </w:p>
    <w:p>
      <w:pPr>
        <w:spacing w:before="0" w:after="120"/>
      </w:pPr>
      <w:r>
        <w:rPr>
          <w:b/>
        </w:rPr>
        <w:t xml:space="preserve">Source: </w:t>
      </w:r>
      <w:r>
        <w:t>Wiley: Angewandte Chemie International Edition: Table of Contents</w:t>
      </w:r>
      <w:r>
        <w:t xml:space="preserve">    </w:t>
      </w:r>
      <w:r>
        <w:rPr>
          <w:b/>
        </w:rPr>
        <w:t xml:space="preserve">Pub date: </w:t>
      </w:r>
      <w:r>
        <w:t>2026-02-28 08:21:40+00:00</w:t>
      </w:r>
      <w:r>
        <w:t xml:space="preserve">    </w:t>
      </w:r>
      <w:r>
        <w:rPr>
          <w:b/>
        </w:rPr>
        <w:t xml:space="preserve">DOI: </w:t>
      </w:r>
      <w:hyperlink r:id="rId995">
        <w:r>
          <w:rPr>
            <w:color w:val="1155CC"/>
            <w:u w:val="single"/>
          </w:rPr>
          <w:t>10.1002/anie.202524329</w:t>
        </w:r>
      </w:hyperlink>
    </w:p>
    <w:p>
      <w:pPr>
        <w:spacing w:before="0" w:after="120"/>
      </w:pPr>
      <w:r>
        <w:rPr>
          <w:b/>
        </w:rPr>
        <w:t xml:space="preserve">Notes: </w:t>
      </w:r>
      <w:r>
        <w:t>abstract_source=pubmed</w:t>
      </w:r>
    </w:p>
    <w:p>
      <w:pPr>
        <w:spacing w:before="0" w:after="80" w:lineRule="auto" w:line="276"/>
      </w:pPr>
      <w:r>
        <w:rPr>
          <w:b/>
        </w:rPr>
        <w:t xml:space="preserve">摘要（ZH）: </w:t>
      </w:r>
      <w:r>
        <w:t>糖烯是由不饱和糖衍生物构成的大型多羟基合成子家族，广泛用于天然产物合成中的合成中间体以及生化应用的最终分子。我们报告了在结构-反应性关系和内糖烯与外糖烯化合物反应性的定量映射这一未充分研究领域的首次研究。为了量化一系列内糖烯和外糖烯的C═C双键的亲核性，我们进行了它们与已知亲电性参数的参考亲电体的C─C键形成的动力学研究。快速光谱技术实验（停流和激光闪光光解）使我们能够确定数百个反应的速率常数，这</w:t>
      </w:r>
    </w:p>
    <w:p>
      <w:pPr>
        <w:spacing w:before="0" w:after="200" w:lineRule="auto" w:line="276"/>
      </w:pPr>
      <w:r>
        <w:rPr>
          <w:b/>
        </w:rPr>
        <w:t xml:space="preserve">Abstract (EN): </w:t>
      </w:r>
      <w:r>
        <w:t>Glycals are unsaturated sugar derivatives constituting a large family of polyhydroxylated synthons which are widely exploited as synthetic intermediates in the synthesis of natural products and as final molecules for biochemical applications. We report the first investigation in the understudied area of structure-reactivity relationship and quantitative mapping of reactivity in endo- and exo-glycals compounds. For quantifying the nucleophilicity of the C═C double bond of a series of endo- and exo-glycals, we performed kinetic investigations of their C─C bond formation with reference electrophiles of known electrophilicity parameters. Fast spectroscopic techniques experiments (stopped-flow and laser-flash photolysis) enabled us to determine the rate constant of hundreds of reactions, which allows the first comprehensive mapping and structure-reactivity analysis of the nucleophilic reactivity of this wide family of cyclic enol ethers. Quantum-chemical calculations corroborate with kinetic investigations and highlight the crucial role of ring strain variations to explain the relative nucleophilicity of endo- and exo-glycals. We examined also the influence of substitution and showed that alkoxy substituents decrease nucleophilicity through inductive effects and hyperconjugation.</w:t>
      </w:r>
    </w:p>
    <w:p>
      <w:pPr>
        <w:spacing w:before="120" w:after="120"/>
      </w:pPr>
      <w:r>
        <w:rPr>
          <w:sz w:val="18"/>
        </w:rPr>
        <w:t>——————————————————————————————————————————————————————————————————————</w:t>
      </w:r>
    </w:p>
    <w:p>
      <w:pPr>
        <w:spacing w:before="160" w:after="40" w:line="240" w:lineRule="auto"/>
      </w:pPr>
      <w:r>
        <w:rPr>
          <w:b/>
        </w:rPr>
        <w:t xml:space="preserve">[496] </w:t>
      </w:r>
      <w:hyperlink r:id="rId996">
        <w:r>
          <w:rPr>
            <w:color w:val="1155CC"/>
            <w:u w:val="single"/>
          </w:rPr>
          <w:t>磺酰基自由基引发的磺化α-烯烃和乙烯基醚的光介导可控自由基均聚反应</w:t>
        </w:r>
      </w:hyperlink>
    </w:p>
    <w:p>
      <w:pPr>
        <w:spacing w:before="0" w:after="80"/>
      </w:pPr>
      <w:r>
        <w:rPr>
          <w:i/>
          <w:sz w:val="20"/>
        </w:rPr>
        <w:t>EN: Photomediated Controlled Radical Homopolymerization of Sulfonated α‐Olefins and Vinyl Ethers with Propagating Sulfonyl Radicals</w:t>
      </w:r>
    </w:p>
    <w:p>
      <w:pPr>
        <w:spacing w:before="0" w:after="120"/>
      </w:pPr>
      <w:r>
        <w:rPr>
          <w:b/>
        </w:rPr>
        <w:t xml:space="preserve">Source: </w:t>
      </w:r>
      <w:r>
        <w:t>Wiley: Angewandte Chemie International Edition: Table of Contents</w:t>
      </w:r>
      <w:r>
        <w:t xml:space="preserve">    </w:t>
      </w:r>
      <w:r>
        <w:rPr>
          <w:b/>
        </w:rPr>
        <w:t xml:space="preserve">Pub date: </w:t>
      </w:r>
      <w:r>
        <w:t>2026-02-28 08:26:26+00:00</w:t>
      </w:r>
      <w:r>
        <w:t xml:space="preserve">    </w:t>
      </w:r>
      <w:r>
        <w:rPr>
          <w:b/>
        </w:rPr>
        <w:t xml:space="preserve">DOI: </w:t>
      </w:r>
      <w:hyperlink r:id="rId997">
        <w:r>
          <w:rPr>
            <w:color w:val="1155CC"/>
            <w:u w:val="single"/>
          </w:rPr>
          <w:t>10.1002/anie.202523751</w:t>
        </w:r>
      </w:hyperlink>
    </w:p>
    <w:p>
      <w:pPr>
        <w:spacing w:before="0" w:after="120"/>
      </w:pPr>
      <w:r>
        <w:rPr>
          <w:b/>
        </w:rPr>
        <w:t xml:space="preserve">Notes: </w:t>
      </w:r>
      <w:r>
        <w:t>abstract_source=pubmed</w:t>
      </w:r>
    </w:p>
    <w:p>
      <w:pPr>
        <w:spacing w:before="0" w:after="80" w:lineRule="auto" w:line="276"/>
      </w:pPr>
      <w:r>
        <w:rPr>
          <w:b/>
        </w:rPr>
        <w:t xml:space="preserve">摘要（ZH）: </w:t>
      </w:r>
      <w:r>
        <w:t>在此，我们展示了磺酰基功能化α-烯烃和乙烯基醚单体的光介导可控自由基均聚反应，生成序列可控的聚砜。这一独特的自由基聚合过程由通过光诱导电子转移控制的自由基聚合（PET-CRP）调节的磺酰基自由基促进。所得的三元序列可控聚砜与传统的交替二元聚砜相比，表现出显著增强的热稳定性。本研究首次展示了由异原子中心自由基传播调节的自由基聚合，由PET-CRP调节。这种光介导的可控自由基聚合为合成具有精确主链序列、结构的聚合物提供了新方法，</w:t>
      </w:r>
    </w:p>
    <w:p>
      <w:pPr>
        <w:spacing w:before="0" w:after="200" w:lineRule="auto" w:line="276"/>
      </w:pPr>
      <w:r>
        <w:rPr>
          <w:b/>
        </w:rPr>
        <w:t xml:space="preserve">Abstract (EN): </w:t>
      </w:r>
      <w:r>
        <w:t>Herein, we present the photomediated controlled radical homopolymerization of sulfonyl-functionalized α-olefin and vinyl ether monomers, yielding sequence-controlled polysulfones. This unique radical polymerization process is facilitated by sulfonyl radicals regulated through photoinduced electron transfer-controlled radical polymerization (PET-CRP). The resultant ternary sequence-controlled polysulfones exhibit notably enhanced thermal stability compared to conventional alternating binary polysulfones. This study presents the first demonstration of radical polymerization mediated by propagating heteroatom-centered radicals, regulated by PET-CRP. This photo-mediated controlled radical polymerization offers novel approaches for synthesizing polymers with precise main chain sequences, structures, and controlled molecular weights, presenting promising candidates for advanced polymeric materials.</w:t>
      </w:r>
    </w:p>
    <w:p>
      <w:pPr>
        <w:spacing w:before="120" w:after="120"/>
      </w:pPr>
      <w:r>
        <w:rPr>
          <w:sz w:val="18"/>
        </w:rPr>
        <w:t>——————————————————————————————————————————————————————————————————————</w:t>
      </w:r>
    </w:p>
    <w:p>
      <w:pPr>
        <w:spacing w:before="160" w:after="40" w:line="240" w:lineRule="auto"/>
      </w:pPr>
      <w:r>
        <w:rPr>
          <w:b/>
        </w:rPr>
        <w:t xml:space="preserve">[497] </w:t>
      </w:r>
      <w:hyperlink r:id="rId998">
        <w:r>
          <w:rPr>
            <w:color w:val="1155CC"/>
            <w:u w:val="single"/>
          </w:rPr>
          <w:t>整合协同单线态和三线态激发的紫精共价有机框架用于高效苯并唑类药物的光合成</w:t>
        </w:r>
      </w:hyperlink>
    </w:p>
    <w:p>
      <w:pPr>
        <w:spacing w:before="0" w:after="80"/>
      </w:pPr>
      <w:r>
        <w:rPr>
          <w:i/>
          <w:sz w:val="20"/>
        </w:rPr>
        <w:t>EN: Viologen Covalent Organic Frameworks Integrating Synergistic Singlet and Triplet Excitation for Efficient Photosynthesis of Benzazole Pharmaceuticals</w:t>
      </w:r>
    </w:p>
    <w:p>
      <w:pPr>
        <w:spacing w:before="0" w:after="120"/>
      </w:pPr>
      <w:r>
        <w:rPr>
          <w:b/>
        </w:rPr>
        <w:t xml:space="preserve">Source: </w:t>
      </w:r>
      <w:r>
        <w:t>Wiley: Angewandte Chemie International Edition: Table of Contents</w:t>
      </w:r>
      <w:r>
        <w:t xml:space="preserve">    </w:t>
      </w:r>
      <w:r>
        <w:rPr>
          <w:b/>
        </w:rPr>
        <w:t xml:space="preserve">Pub date: </w:t>
      </w:r>
      <w:r>
        <w:t>2026-02-28 08:29:08+00:00</w:t>
      </w:r>
      <w:r>
        <w:t xml:space="preserve">    </w:t>
      </w:r>
      <w:r>
        <w:rPr>
          <w:b/>
        </w:rPr>
        <w:t xml:space="preserve">DOI: </w:t>
      </w:r>
      <w:hyperlink r:id="rId999">
        <w:r>
          <w:rPr>
            <w:color w:val="1155CC"/>
            <w:u w:val="single"/>
          </w:rPr>
          <w:t>10.1002/anie.3751232</w:t>
        </w:r>
      </w:hyperlink>
    </w:p>
    <w:p>
      <w:pPr>
        <w:spacing w:before="0" w:after="120"/>
      </w:pPr>
      <w:r>
        <w:rPr>
          <w:b/>
        </w:rPr>
        <w:t xml:space="preserve">Notes: </w:t>
      </w:r>
      <w:r>
        <w:t>abstract_source=pubmed</w:t>
      </w:r>
    </w:p>
    <w:p>
      <w:pPr>
        <w:spacing w:before="0" w:after="80" w:lineRule="auto" w:line="276"/>
      </w:pPr>
      <w:r>
        <w:rPr>
          <w:b/>
        </w:rPr>
        <w:t xml:space="preserve">摘要（ZH）: </w:t>
      </w:r>
      <w:r>
        <w:t>紫精及其衍生物是构建自由基型光催化剂的理想平台，但其还原性常导致堆积诱导的猝灭和过度还原至中性状态，从而显著抑制其光催化性能。在此，我们通过简便的环化电离策略在共价有机框架中引入了3,3'-紫精骨架，所得的PyBpy-3,3'-ion在中性状态下具有独特的阳离子和双自由基特性，从而通过协同单线态（S1）或三线态（T1）激发促进超氧自由基和单线态氧的同时生成。同时，催化剂中的双自由基对氧表现出强烈的排斥相互作用，确保其长期稳定性和</w:t>
      </w:r>
    </w:p>
    <w:p>
      <w:pPr>
        <w:spacing w:before="0" w:after="200" w:lineRule="auto" w:line="276"/>
      </w:pPr>
      <w:r>
        <w:rPr>
          <w:b/>
        </w:rPr>
        <w:t xml:space="preserve">Abstract (EN): </w:t>
      </w:r>
      <w:r>
        <w:t>Viologen and its derivatives serve as an ideal platform for constructing radical-type photocatalysts, but their reductive nature often causes stacking-induced quenching and over-reduction to the neutral state, substantially suppressing their photocatalytic performance. Herein, we intentionally introduced a 3,3'-viologen skeleton in covalent organic frameworks via a facile cyclization ionization strategy, and the resulting PyBpy-3,3'-ion features unique cationic and diradical characteristics in its neutral state, thereby promoting the simultaneous generation of superoxide radical and singlet oxygen through synergistic singlet (S1) or triplet (T1) excitation. Meanwhile, the diradicals in the catalyst exhibit a strong repulsive interaction toward oxygen, ensuring its long-term stability and activity under aerobic conditions. As a result, PyBpy-3,3'-ion exhibits exceptional photocatalytic efficiency (&gt;90%, 1 h) for the synthesis of benzimidazole-[thiazole/oxazole] (up to 40 examples) under ambient conditions, outperforming most of the state-of-the-art catalytic systems. More impressively, PyBpy-3,3'-ion serves as an outstanding photocatalyst for the facile and highly efficient syntheses of over 10 key benzazole pharmaceuticals, such as Ridinilazole, PMX-610, Tafamidis, and so on, as well as the gram-scale preparation of Thiabendazole and Pimobendan under mild conditions. Our work establishes a rational design protocol to achieve the synergistic S1 and T1 excitation in viologen for highly efficient photocatalytic synthesis of high-value pharmaceuticals.</w:t>
      </w:r>
    </w:p>
    <w:p>
      <w:pPr>
        <w:spacing w:before="120" w:after="120"/>
      </w:pPr>
      <w:r>
        <w:rPr>
          <w:sz w:val="18"/>
        </w:rPr>
        <w:t>——————————————————————————————————————————————————————————————————————</w:t>
      </w:r>
    </w:p>
    <w:p>
      <w:pPr>
        <w:spacing w:before="160" w:after="40" w:line="240" w:lineRule="auto"/>
      </w:pPr>
      <w:r>
        <w:rPr>
          <w:b/>
        </w:rPr>
        <w:t xml:space="preserve">[498] </w:t>
      </w:r>
      <w:hyperlink r:id="rId1000">
        <w:r>
          <w:rPr>
            <w:color w:val="1155CC"/>
            <w:u w:val="single"/>
          </w:rPr>
          <w:t>10–23 DNA酶在生物传感和诊断中的应用：挑战与未来方向</w:t>
        </w:r>
      </w:hyperlink>
    </w:p>
    <w:p>
      <w:pPr>
        <w:spacing w:before="0" w:after="80"/>
      </w:pPr>
      <w:r>
        <w:rPr>
          <w:i/>
          <w:sz w:val="20"/>
        </w:rPr>
        <w:t>EN: The 10–23 DNAzyme in Biosensing and Diagnostics: Applications, Challenges, and Future Directions</w:t>
      </w:r>
    </w:p>
    <w:p>
      <w:pPr>
        <w:spacing w:before="0" w:after="120"/>
      </w:pPr>
      <w:r>
        <w:rPr>
          <w:b/>
        </w:rPr>
        <w:t xml:space="preserve">Source: </w:t>
      </w:r>
      <w:r>
        <w:t>Wiley: Angewandte Chemie International Edition: Table of Contents</w:t>
      </w:r>
      <w:r>
        <w:t xml:space="preserve">    </w:t>
      </w:r>
      <w:r>
        <w:rPr>
          <w:b/>
        </w:rPr>
        <w:t xml:space="preserve">Pub date: </w:t>
      </w:r>
      <w:r>
        <w:t>2026-02-28 08:31:20+00:00</w:t>
      </w:r>
      <w:r>
        <w:t xml:space="preserve">    </w:t>
      </w:r>
      <w:r>
        <w:rPr>
          <w:b/>
        </w:rPr>
        <w:t xml:space="preserve">DOI: </w:t>
      </w:r>
      <w:hyperlink r:id="rId1001">
        <w:r>
          <w:rPr>
            <w:color w:val="1155CC"/>
            <w:u w:val="single"/>
          </w:rPr>
          <w:t>10.1002/anie.7876181</w:t>
        </w:r>
      </w:hyperlink>
    </w:p>
    <w:p>
      <w:pPr>
        <w:spacing w:before="0" w:after="120"/>
      </w:pPr>
      <w:r>
        <w:rPr>
          <w:b/>
        </w:rPr>
        <w:t xml:space="preserve">Notes: </w:t>
      </w:r>
      <w:r>
        <w:t>abstract_source=pubmed</w:t>
      </w:r>
    </w:p>
    <w:p>
      <w:pPr>
        <w:spacing w:before="0" w:after="80" w:lineRule="auto" w:line="276"/>
      </w:pPr>
      <w:r>
        <w:rPr>
          <w:b/>
        </w:rPr>
        <w:t xml:space="preserve">摘要（ZH）: </w:t>
      </w:r>
      <w:r>
        <w:t>催化DNA分子（DNAzymes）因其简单性、可编程性和成本效益而在生物传感和诊断平台中受到越来越多的关注。其中，10-23 DNAzyme仍然是最广泛使用的RNA切割DNAzyme，结合了高催化效率和在各种传感器架构中的广泛适应性。尽管有这些优点，其性能可能会受到次优反应温度、低Mg2+浓度、富含核酸酶的生物基质和对结构化RNA靶标的可及性限制的显著影响。这些限制阻碍了其在简单、稳健的即时检测格式中的广泛应用。本综述探讨了10-23 DNAzyme在当代生物传感和诊断系统中的整合</w:t>
      </w:r>
    </w:p>
    <w:p>
      <w:pPr>
        <w:spacing w:before="0" w:after="200" w:lineRule="auto" w:line="276"/>
      </w:pPr>
      <w:r>
        <w:rPr>
          <w:b/>
        </w:rPr>
        <w:t xml:space="preserve">Abstract (EN): </w:t>
      </w:r>
      <w:r>
        <w:t>Catalytic DNA molecules (DNAzymes) have garnered increasing attention as components of biosensing and diagnostic platforms due to their simplicity, programmability, and cost-effectiveness. Among them, the 10-23 DNAzyme remains the most widely used RNA-cleaving DNAzyme, combining high catalytic efficiency with broad adaptability across diverse sensor architectures. Despite these advantages, its performance can be significantly hindered by suboptimal reaction temperature, low Mg2+ concentrations, nuclease-rich biological matrices, and restricted accessibility to structured RNA targets. Such limitations have impeded its widespread adoption in simple, robust point-of-care formats. This review examines the integration of the 10-23 DNAzyme into contemporary biosensing and diagnostic systems-including colorimetric, fluorescent, electrochemical, electrochemiluminescent, and intracellular sensors-highlighting both direct and regulated activation strategies and the dual role of 10-23 as a molecular recognition element and signal reporter. We also discuss key challenges in catalytic performance, stability, assay workflow, and clinical validation, as well as emerging solutions such as chemical modifications, nanoparticle-based protection, and advanced sensor architectures. Together, these insights outline the current landscape and future opportunities for advancing the 10-23 DNAzyme toward next generation biosensing and diagnostic applications.</w:t>
      </w:r>
    </w:p>
    <w:p>
      <w:pPr>
        <w:spacing w:before="120" w:after="120"/>
      </w:pPr>
      <w:r>
        <w:rPr>
          <w:sz w:val="18"/>
        </w:rPr>
        <w:t>——————————————————————————————————————————————————————————————————————</w:t>
      </w:r>
    </w:p>
    <w:p>
      <w:pPr>
        <w:spacing w:before="160" w:after="40" w:line="240" w:lineRule="auto"/>
      </w:pPr>
      <w:r>
        <w:rPr>
          <w:b/>
        </w:rPr>
        <w:t xml:space="preserve">[499] </w:t>
      </w:r>
      <w:hyperlink r:id="rId1002">
        <w:r>
          <w:rPr>
            <w:color w:val="1155CC"/>
            <w:u w:val="single"/>
          </w:rPr>
          <w:t>对“通过Cu掺杂工程实现超灵敏和可视化肿瘤诊断的磁性和过氧化物酶特异性单原子纳米酶”的更正</w:t>
        </w:r>
      </w:hyperlink>
    </w:p>
    <w:p>
      <w:pPr>
        <w:spacing w:before="0" w:after="80"/>
      </w:pPr>
      <w:r>
        <w:rPr>
          <w:i/>
          <w:sz w:val="20"/>
        </w:rPr>
        <w:t>EN: Correction to “Magnetic and Peroxidase‐Specific Single‐Atom Nanozyme Through Cu‐Doping Engineering for Ultrasensitive and Visual Tumor Diagnosis”</w:t>
      </w:r>
    </w:p>
    <w:p>
      <w:pPr>
        <w:spacing w:before="0" w:after="120"/>
      </w:pPr>
      <w:r>
        <w:rPr>
          <w:b/>
        </w:rPr>
        <w:t xml:space="preserve">Source: </w:t>
      </w:r>
      <w:r>
        <w:t>Wiley: Angewandte Chemie International Edition: Table of Contents</w:t>
      </w:r>
      <w:r>
        <w:t xml:space="preserve">    </w:t>
      </w:r>
      <w:r>
        <w:rPr>
          <w:b/>
        </w:rPr>
        <w:t xml:space="preserve">Pub date: </w:t>
      </w:r>
      <w:r>
        <w:t>2026-02-28 08:34:58+00:00</w:t>
      </w:r>
      <w:r>
        <w:t xml:space="preserve">    </w:t>
      </w:r>
      <w:r>
        <w:rPr>
          <w:b/>
        </w:rPr>
        <w:t xml:space="preserve">DOI: </w:t>
      </w:r>
      <w:hyperlink r:id="rId1003">
        <w:r>
          <w:rPr>
            <w:color w:val="1155CC"/>
            <w:u w:val="single"/>
          </w:rPr>
          <w:t>10.1002/anie.6439677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[500] </w:t>
      </w:r>
      <w:hyperlink r:id="rId1004">
        <w:r>
          <w:rPr>
            <w:color w:val="1155CC"/>
            <w:u w:val="single"/>
          </w:rPr>
          <w:t>单原子La助剂打破Al2O3负载Pt催化剂在丙烷脱氢中的活性-稳定性权衡</w:t>
        </w:r>
      </w:hyperlink>
    </w:p>
    <w:p>
      <w:pPr>
        <w:spacing w:before="0" w:after="80"/>
      </w:pPr>
      <w:r>
        <w:rPr>
          <w:i/>
          <w:sz w:val="20"/>
        </w:rPr>
        <w:t>EN: Single‐Atom La Promoter Breaks the Activity–Stability Trade‐Off on Al2O3‐Supported Pt Catalysts for Propane Dehydrogenation</w:t>
      </w:r>
    </w:p>
    <w:p>
      <w:pPr>
        <w:spacing w:before="0" w:after="120"/>
      </w:pPr>
      <w:r>
        <w:rPr>
          <w:b/>
        </w:rPr>
        <w:t xml:space="preserve">Source: </w:t>
      </w:r>
      <w:r>
        <w:t>Wiley: Angewandte Chemie International Edition: Table of Contents</w:t>
      </w:r>
      <w:r>
        <w:t xml:space="preserve">    </w:t>
      </w:r>
      <w:r>
        <w:rPr>
          <w:b/>
        </w:rPr>
        <w:t xml:space="preserve">Pub date: </w:t>
      </w:r>
      <w:r>
        <w:t>2026-02-28 08:36:34+00:00</w:t>
      </w:r>
      <w:r>
        <w:t xml:space="preserve">    </w:t>
      </w:r>
      <w:r>
        <w:rPr>
          <w:b/>
        </w:rPr>
        <w:t xml:space="preserve">DOI: </w:t>
      </w:r>
      <w:hyperlink r:id="rId1005">
        <w:r>
          <w:rPr>
            <w:color w:val="1155CC"/>
            <w:u w:val="single"/>
          </w:rPr>
          <w:t>10.1002/anie.202526039</w:t>
        </w:r>
      </w:hyperlink>
    </w:p>
    <w:p>
      <w:pPr>
        <w:spacing w:before="0" w:after="120"/>
      </w:pPr>
      <w:r>
        <w:rPr>
          <w:b/>
        </w:rPr>
        <w:t xml:space="preserve">Notes: </w:t>
      </w:r>
      <w:r>
        <w:t>abstract_source=pubmed</w:t>
      </w:r>
    </w:p>
    <w:p>
      <w:pPr>
        <w:spacing w:before="0" w:after="80" w:lineRule="auto" w:line="276"/>
      </w:pPr>
      <w:r>
        <w:rPr>
          <w:b/>
        </w:rPr>
        <w:t xml:space="preserve">摘要（ZH）: </w:t>
      </w:r>
      <w:r>
        <w:t>在吸热的丙烷脱氢（PDH）反应中实现可接受的丙烷转化需要高温，这通过低丙烯选择性和加速结焦失活加剧了活性-稳定性权衡。为了解决这一问题，我们利用勒夏特列原理的本质——通过快速原位H2去除来改变反应平衡——这一策略传统上被认为在Al2O3载体上无法实现，因为氢溢流的限制。La1-SnOx助剂和Pt之间的协同位点能够将表面H物种从Pt活性中心重新分布。因此，La1-Ptn/SnOx/Al2O3催化剂在300-600°C范围内实现了接近热力学平衡转化的丙烷转化。此外，氢的调控</w:t>
      </w:r>
    </w:p>
    <w:p>
      <w:pPr>
        <w:spacing w:before="0" w:after="200" w:lineRule="auto" w:line="276"/>
      </w:pPr>
      <w:r>
        <w:rPr>
          <w:b/>
        </w:rPr>
        <w:t xml:space="preserve">Abstract (EN): </w:t>
      </w:r>
      <w:r>
        <w:t>Achieving acceptable propane conversion in the endothermic propane dehydrogenation (PDH) reaction demands high temperatures, which exacerbate the activity-stability trade-off through low propylene selectivity and accelerated coking deactivation. Addressing this, we leverage the essence of Le Chatelier's principle-shifting reaction equilibrium through rapid in situ H2 removal-a strategy conventionally deemed unattainable on Al2O3 supports due to hydrogen spillover limitations. The synergistic sites between the La1-SnOx promoter and Pt enable the redistribution of surface H species away from the Pt active centers. Consequently, the La1-Ptn/SnOx/Al2O3 catalyst achieves propane conversions approaching the thermodynamic equilibrium conversion over 300-600 °C. Moreover, modulation of hydrogen surface diffusion behavior influences unselective C-C(H) scission of propylene and modifies coke structure and secondary cracking propensity, which is associated with the substantially improved durability observed for La1-Ptn/SnOx/Al2O3 compared to the Ptn/SnOx/Al2O3 (commercial mimic) catalyst. This superior performance demonstrates that, the introduction of La1-SnOx not only overcomes the inert hydrogen-trapping nature of Al2O3, but also alleviates the conventional activity-stability trade-off in PDH catalysis, illustrating how atomically dispersed promoters can circumvent intrinsic support limitations and thereby expand the performance boundaries of Al2O3-based dehydrogenation catalysts.</w:t>
      </w:r>
    </w:p>
    <w:p>
      <w:pPr>
        <w:spacing w:before="120" w:after="120"/>
      </w:pPr>
      <w:r>
        <w:rPr>
          <w:sz w:val="18"/>
        </w:rPr>
        <w:t>——————————————————————————————————————————————————————————————————————</w:t>
      </w:r>
    </w:p>
    <w:p>
      <w:pPr>
        <w:spacing w:before="160" w:after="40" w:line="240" w:lineRule="auto"/>
      </w:pPr>
      <w:r>
        <w:rPr>
          <w:b/>
        </w:rPr>
        <w:t xml:space="preserve">[501] </w:t>
      </w:r>
      <w:hyperlink r:id="rId1006">
        <w:r>
          <w:rPr>
            <w:color w:val="1155CC"/>
            <w:u w:val="single"/>
          </w:rPr>
          <w:t>利用同步加速器X射线表征揭示纳米尺度能量存储和转换材料的工作和降解机制</w:t>
        </w:r>
      </w:hyperlink>
    </w:p>
    <w:p>
      <w:pPr>
        <w:spacing w:before="0" w:after="80"/>
      </w:pPr>
      <w:r>
        <w:rPr>
          <w:i/>
          <w:sz w:val="20"/>
        </w:rPr>
        <w:t>EN: Unraveling Working and Degradation Mechanisms of Energy Storage and Conversion Materials at the Nanoscale Using Synchrotron X‐Ray Characterizations</w:t>
      </w:r>
    </w:p>
    <w:p>
      <w:pPr>
        <w:spacing w:before="0" w:after="120"/>
      </w:pPr>
      <w:r>
        <w:rPr>
          <w:b/>
        </w:rPr>
        <w:t xml:space="preserve">Source: </w:t>
      </w:r>
      <w:r>
        <w:t>Wiley: Advanced Materials: Table of Contents</w:t>
      </w:r>
      <w:r>
        <w:t xml:space="preserve">    </w:t>
      </w:r>
      <w:r>
        <w:rPr>
          <w:b/>
        </w:rPr>
        <w:t xml:space="preserve">Pub date: </w:t>
      </w:r>
      <w:r>
        <w:t>2026-02-28 09:47:34+00:00</w:t>
      </w:r>
      <w:r>
        <w:t xml:space="preserve">    </w:t>
      </w:r>
      <w:r>
        <w:rPr>
          <w:b/>
        </w:rPr>
        <w:t xml:space="preserve">DOI: </w:t>
      </w:r>
      <w:hyperlink r:id="rId1007">
        <w:r>
          <w:rPr>
            <w:color w:val="1155CC"/>
            <w:u w:val="single"/>
          </w:rPr>
          <w:t>10.1002/adma.72655</w:t>
        </w:r>
      </w:hyperlink>
    </w:p>
    <w:p>
      <w:pPr>
        <w:spacing w:before="0" w:after="120"/>
      </w:pPr>
      <w:r>
        <w:rPr>
          <w:b/>
        </w:rPr>
        <w:t xml:space="preserve">Notes: </w:t>
      </w:r>
      <w:r>
        <w:t>abstract_source=pubmed</w:t>
      </w:r>
    </w:p>
    <w:p>
      <w:pPr>
        <w:spacing w:before="0" w:after="80" w:lineRule="auto" w:line="276"/>
      </w:pPr>
      <w:r>
        <w:rPr>
          <w:b/>
        </w:rPr>
        <w:t xml:space="preserve">摘要（ZH）: </w:t>
      </w:r>
      <w:r>
        <w:t>全面了解能源材料的工作和降解机制对于提高其性能和应对当代能源和环境挑战至关重要，特别是在从化石燃料向可再生能源过渡的过程中。基于同步辐射的纳米级X射线表征技术提供了强大的多尺度和多模式分析能力，使其成为揭示操作和失效机制的强大工具，尤其是对具有从纳米到微米特征的块状材料在真实操作条件下的研究。本文首先强调了基于同步辐射光源的X射线方法的优势，然后总结了X射线与物质的相互作用及相应的表征</w:t>
      </w:r>
    </w:p>
    <w:p>
      <w:pPr>
        <w:spacing w:before="0" w:after="200" w:lineRule="auto" w:line="276"/>
      </w:pPr>
      <w:r>
        <w:rPr>
          <w:b/>
        </w:rPr>
        <w:t xml:space="preserve">Abstract (EN): </w:t>
      </w:r>
      <w:r>
        <w:t>A comprehensive understanding of working and degradation mechanisms of energy materials is essential for enhancing their performance and tackling contemporary energy and environmental challenges, particularly in the transition from fossil fuels to renewables. Emerging nanoscale X-ray characterization techniques based on synchrotron radiation provide robust, multi-scale, and multi-modal analytical capabilities, making them a suite of powerful tools for revealing operational and failure mechanisms, especially of bulk materials with features ranging from nano to micrometers under realistic operating conditions. This Perspective initially highlights the advantages of X-ray methods based on synchrotron light sources and then summarizes X-ray-matter interactions and corresponding characterization methods. Three pivotal approaches that facilitate nanoscale X-ray imaging are subsequently summarized. Representative examples illustrate the versatility and power of these prominent techniques, including X-ray imaging, scattering/diffraction, and spectroscopy, in probing morphologies, compositions, atomic structures, and electronic properties. Integration of multi-scale and multi-modal X-ray techniques is underscored to achieve synergistic enhancements in analytical depth. It concludes with a discussion of current challenges, emerging opportunities, and future directions, providing insights into potential advancements in this field.</w:t>
      </w:r>
    </w:p>
    <w:p>
      <w:pPr>
        <w:spacing w:before="120" w:after="120"/>
      </w:pPr>
      <w:r>
        <w:rPr>
          <w:sz w:val="18"/>
        </w:rPr>
        <w:t>——————————————————————————————————————————————————————————————————————</w:t>
      </w:r>
    </w:p>
    <w:p>
      <w:pPr>
        <w:spacing w:before="160" w:after="40" w:line="240" w:lineRule="auto"/>
      </w:pPr>
      <w:r>
        <w:rPr>
          <w:b/>
        </w:rPr>
        <w:t xml:space="preserve">[502] </w:t>
      </w:r>
      <w:hyperlink r:id="rId1008">
        <w:r>
          <w:rPr>
            <w:color w:val="1155CC"/>
            <w:u w:val="single"/>
          </w:rPr>
          <w:t>通过一步PtTe2/2H-MoTe2异相形成直接生长晶圆级2D半导体晶体管</w:t>
        </w:r>
      </w:hyperlink>
    </w:p>
    <w:p>
      <w:pPr>
        <w:spacing w:before="0" w:after="80"/>
      </w:pPr>
      <w:r>
        <w:rPr>
          <w:i/>
          <w:sz w:val="20"/>
        </w:rPr>
        <w:t>EN: Direct Growth of Wafer‐Scale 2D Semiconductor Transistors via One‐Step PtTe2/2H‐MoTe2 Heterophase Formation</w:t>
      </w:r>
    </w:p>
    <w:p>
      <w:pPr>
        <w:spacing w:before="0" w:after="120"/>
      </w:pPr>
      <w:r>
        <w:rPr>
          <w:b/>
        </w:rPr>
        <w:t xml:space="preserve">Source: </w:t>
      </w:r>
      <w:r>
        <w:t>Wiley: Advanced Materials: Table of Contents</w:t>
      </w:r>
      <w:r>
        <w:t xml:space="preserve">    </w:t>
      </w:r>
      <w:r>
        <w:rPr>
          <w:b/>
        </w:rPr>
        <w:t xml:space="preserve">Pub date: </w:t>
      </w:r>
      <w:r>
        <w:t>2026-02-28 11:03:12+00:00</w:t>
      </w:r>
      <w:r>
        <w:t xml:space="preserve">    </w:t>
      </w:r>
      <w:r>
        <w:rPr>
          <w:b/>
        </w:rPr>
        <w:t xml:space="preserve">DOI: </w:t>
      </w:r>
      <w:hyperlink r:id="rId1009">
        <w:r>
          <w:rPr>
            <w:color w:val="1155CC"/>
            <w:u w:val="single"/>
          </w:rPr>
          <w:t>10.1002/adma.202522270</w:t>
        </w:r>
      </w:hyperlink>
    </w:p>
    <w:p>
      <w:pPr>
        <w:spacing w:before="0" w:after="120"/>
      </w:pPr>
      <w:r>
        <w:rPr>
          <w:b/>
        </w:rPr>
        <w:t xml:space="preserve">Notes: </w:t>
      </w:r>
      <w:r>
        <w:t>abstract_source=pubmed</w:t>
      </w:r>
    </w:p>
    <w:p>
      <w:pPr>
        <w:spacing w:before="0" w:after="80" w:lineRule="auto" w:line="276"/>
      </w:pPr>
      <w:r>
        <w:rPr>
          <w:b/>
        </w:rPr>
        <w:t xml:space="preserve">摘要（ZH）: </w:t>
      </w:r>
      <w:r>
        <w:t>二维半导体为下一代集成电路和大规模电子系统提供了一个有前景的平台。然而，由于费米能级钉扎、高接触电阻和传统逐步制造中界面定义不清，实现高性能p型晶体管仍然具有挑战性。在此，我们展示了一种单步碲化生长策略，该策略同时在2H-MoTe2通道上形成PtTe2接触，以直接实现二维半导体晶体管。这种方法在PtTe2电极界面处精确控制MoTe2相，同时提供集成的范德华金属接触，无需后期生长金属接触。使用这种方法，我们实现了晶圆级异相阵列</w:t>
      </w:r>
    </w:p>
    <w:p>
      <w:pPr>
        <w:spacing w:before="0" w:after="200" w:lineRule="auto" w:line="276"/>
      </w:pPr>
      <w:r>
        <w:rPr>
          <w:b/>
        </w:rPr>
        <w:t xml:space="preserve">Abstract (EN): </w:t>
      </w:r>
      <w:r>
        <w:t>2D semiconductors offer a promising platform for next-generation integrated circuits and large-scale electronic systems. Realizing high-performance p-type transistors, however, remains challenging due to Fermi-level pinning, high contact resistance, and poorly defined interfaces in conventional stepwise fabrication. Here, we demonstrate a single-step tellurization growth strategy that simultaneously forms PtTe2 contacts on 2H-MoTe2 channels to directly realize 2D semiconductor transistors. This approach forms PtTe2/2H-MoTe2 metal/semiconductor arrays with precise control of the MoTe2 phase at the PtTe2 electrode interface, while providing integrated van der Waals metallic contacts without the need for post-growth of metal contacts. Using this method, we achieve wafer-scale heterophase arrays characterized by uniform patterning and well-controlled 2H/1T' phase transformation dynamics. The heterojunctions display sharp and clean interfaces, as verified by TEM, STEM, and EDS mapping. Transistor arrays fabricated from these heterophase structures show Ohmic contacts with low Schottky barrier heights, delivering on/off ratios up to 5 × 104 and consistent mobility of 5-9 cm2/Vs across 100 devices, ensuring efficient carrier injection. Our results establish a scalable pathway for the direct growth of 2D semiconductor transistors, overcoming conventional multi-step device fabrication bottlenecks and providing a promising platform for large-scale, and reproducible 2D electronics.</w:t>
      </w:r>
    </w:p>
    <w:p>
      <w:pPr>
        <w:spacing w:before="120" w:after="120"/>
      </w:pPr>
      <w:r>
        <w:rPr>
          <w:sz w:val="18"/>
        </w:rPr>
        <w:t>——————————————————————————————————————————————————————————————————————</w:t>
      </w:r>
    </w:p>
    <w:p>
      <w:pPr>
        <w:spacing w:before="160" w:after="40" w:line="240" w:lineRule="auto"/>
      </w:pPr>
      <w:r>
        <w:rPr>
          <w:b/>
        </w:rPr>
        <w:t xml:space="preserve">[503] </w:t>
      </w:r>
      <w:hyperlink r:id="rId1010">
        <w:r>
          <w:rPr>
            <w:color w:val="1155CC"/>
            <w:u w:val="single"/>
          </w:rPr>
          <w:t>用于机器人体现能量的光化学燃料载体分子</w:t>
        </w:r>
      </w:hyperlink>
    </w:p>
    <w:p>
      <w:pPr>
        <w:spacing w:before="0" w:after="80"/>
      </w:pPr>
      <w:r>
        <w:rPr>
          <w:i/>
          <w:sz w:val="20"/>
        </w:rPr>
        <w:t>EN: Photochemical Fuel Carrier Molecules for Robotic Embodied Energy</w:t>
      </w:r>
    </w:p>
    <w:p>
      <w:pPr>
        <w:spacing w:before="0" w:after="120"/>
      </w:pPr>
      <w:r>
        <w:rPr>
          <w:b/>
        </w:rPr>
        <w:t xml:space="preserve">Source: </w:t>
      </w:r>
      <w:r>
        <w:t>Wiley: Advanced Materials: Table of Contents</w:t>
      </w:r>
      <w:r>
        <w:t xml:space="preserve">    </w:t>
      </w:r>
      <w:r>
        <w:rPr>
          <w:b/>
        </w:rPr>
        <w:t xml:space="preserve">Pub date: </w:t>
      </w:r>
      <w:r>
        <w:t>2026-02-28 11:15:51+00:00</w:t>
      </w:r>
      <w:r>
        <w:t xml:space="preserve">    </w:t>
      </w:r>
      <w:r>
        <w:rPr>
          <w:b/>
        </w:rPr>
        <w:t xml:space="preserve">DOI: </w:t>
      </w:r>
      <w:hyperlink r:id="rId1011">
        <w:r>
          <w:rPr>
            <w:color w:val="1155CC"/>
            <w:u w:val="single"/>
          </w:rPr>
          <w:t>10.1002/adma.202520447</w:t>
        </w:r>
      </w:hyperlink>
    </w:p>
    <w:p>
      <w:pPr>
        <w:spacing w:before="0" w:after="120"/>
      </w:pPr>
      <w:r>
        <w:rPr>
          <w:b/>
        </w:rPr>
        <w:t xml:space="preserve">Notes: </w:t>
      </w:r>
      <w:r>
        <w:t>abstract_source=pubmed</w:t>
      </w:r>
    </w:p>
    <w:p>
      <w:pPr>
        <w:spacing w:before="0" w:after="80" w:lineRule="auto" w:line="276"/>
      </w:pPr>
      <w:r>
        <w:rPr>
          <w:b/>
        </w:rPr>
        <w:t xml:space="preserve">摘要（ZH）: </w:t>
      </w:r>
      <w:r>
        <w:t>移动机器人的小型化在动力和控制方面面临障碍，因为传统的机电系统在质量和尺寸上不利于缩放。尽管功能材料最近取得了进展，但在小型机器人中实现高效的能量存储、结构集成和按需能量释放仍然是一个挑战。受动物代谢策略的启发，我们为小型游泳机器人设计了一种用于体现能量的燃料载体分子。我们将超低表面张力单元集成到光敏o-硝基苯基衍生物中，以产生一种新型光响应分子，用于燃料存储和控制释放。结合这两种特性，载体分子在紫外光下发生键断裂以释放燃料，并局部操控表面张力以产生M</w:t>
      </w:r>
    </w:p>
    <w:p>
      <w:pPr>
        <w:spacing w:before="0" w:after="200" w:lineRule="auto" w:line="276"/>
      </w:pPr>
      <w:r>
        <w:rPr>
          <w:b/>
        </w:rPr>
        <w:t xml:space="preserve">Abstract (EN): </w:t>
      </w:r>
      <w:r>
        <w:t>The downsizing of mobile robots faces obstacles in power and control as conventional electromechanical systems do not scale favorably with mass and size. Despite recent advancements in functional materials, enabling efficient energy storage, structural integration, and on-demand energy release in small-scale robots remains a challenge. Inspired by metabolic strategies in animals, we designed a fuel carrier molecule for embodied energy in small-scale swimming robots. We integrated an ultralow surface tension unit into a photolabile o-nitrobenzyl derivative to yield a novel photoresponsive molecule for fuel storage and controlled release. Combining these two properties, carrier molecules undergo bond scission under UV light to release fuel and locally manipulate surface tension to generate Marangoni flows. We incorporated this fuel carrier into an easily processable polymer composite to enable its application as a structural component with embodied energy and control. We implemented this approach in Marangoni micropump systems, surface-tension-active particle transportation, and untethered hybrid microrobots that combine photochemical on-off propulsion with magnetic control. This materials platform serves as a versatile solution to store fuel and energy in structural components and release it on demand with precision, opening new opportunities for embodied energy design in microrobots, soft devices, and active matter systems.</w:t>
      </w:r>
    </w:p>
    <w:p>
      <w:pPr>
        <w:spacing w:before="120" w:after="120"/>
      </w:pPr>
      <w:r>
        <w:rPr>
          <w:sz w:val="18"/>
        </w:rPr>
        <w:t>——————————————————————————————————————————————————————————————————————</w:t>
      </w:r>
    </w:p>
    <w:p>
      <w:pPr>
        <w:spacing w:before="160" w:after="40" w:line="240" w:lineRule="auto"/>
      </w:pPr>
      <w:r>
        <w:rPr>
          <w:b/>
        </w:rPr>
        <w:t xml:space="preserve">[504] </w:t>
      </w:r>
      <w:hyperlink r:id="rId1012">
        <w:r>
          <w:rPr>
            <w:color w:val="1155CC"/>
            <w:u w:val="single"/>
          </w:rPr>
          <w:t>通过分子内非共价相互作用增强的多重共振发射体实现高性能超窄带蓝色电致发光</w:t>
        </w:r>
      </w:hyperlink>
    </w:p>
    <w:p>
      <w:pPr>
        <w:spacing w:before="0" w:after="80"/>
      </w:pPr>
      <w:r>
        <w:rPr>
          <w:i/>
          <w:sz w:val="20"/>
        </w:rPr>
        <w:t>EN: High‐Performance Ultra‐Narrowband Blue Electroluminescence via Intramolecular Noncovalent Interaction‐Enhanced Multiple Resonance Emitters</w:t>
      </w:r>
    </w:p>
    <w:p>
      <w:pPr>
        <w:spacing w:before="0" w:after="120"/>
      </w:pPr>
      <w:r>
        <w:rPr>
          <w:b/>
        </w:rPr>
        <w:t xml:space="preserve">Source: </w:t>
      </w:r>
      <w:r>
        <w:t>Wiley: Angewandte Chemie International Edition: Table of Contents</w:t>
      </w:r>
      <w:r>
        <w:t xml:space="preserve">    </w:t>
      </w:r>
      <w:r>
        <w:rPr>
          <w:b/>
        </w:rPr>
        <w:t xml:space="preserve">Pub date: </w:t>
      </w:r>
      <w:r>
        <w:t>2026-02-28 13:04:52+00:00</w:t>
      </w:r>
      <w:r>
        <w:t xml:space="preserve">    </w:t>
      </w:r>
      <w:r>
        <w:rPr>
          <w:b/>
        </w:rPr>
        <w:t xml:space="preserve">DOI: </w:t>
      </w:r>
      <w:hyperlink r:id="rId1013">
        <w:r>
          <w:rPr>
            <w:color w:val="1155CC"/>
            <w:u w:val="single"/>
          </w:rPr>
          <w:t>10.1002/anie.3968771</w:t>
        </w:r>
      </w:hyperlink>
    </w:p>
    <w:p>
      <w:pPr>
        <w:spacing w:before="0" w:after="120"/>
      </w:pPr>
      <w:r>
        <w:rPr>
          <w:b/>
        </w:rPr>
        <w:t xml:space="preserve">Notes: </w:t>
      </w:r>
      <w:r>
        <w:t>abstract_source=pubmed</w:t>
      </w:r>
    </w:p>
    <w:p>
      <w:pPr>
        <w:spacing w:before="0" w:after="80" w:lineRule="auto" w:line="276"/>
      </w:pPr>
      <w:r>
        <w:rPr>
          <w:b/>
        </w:rPr>
        <w:t xml:space="preserve">摘要（ZH）: </w:t>
      </w:r>
      <w:r>
        <w:t>高性能蓝色有机发光二极管（OLED）的发展受到超窄多重共振热激活延迟荧光（MR-TADF）发射体分子骨架稀缺及其在固体薄膜中固有的聚集诱导展宽和淬灭倾向的阻碍。为从根本上解决这两个挑战，我们报告了一种“软约束”分子设计策略，该策略通过附加定制的供体（咔唑）或受体（三嗪）单元到MR-TADF核心，战略性地增强分子内非共价相互作用。这种结构不仅直接抑制关键的高频振动（例如C─N伸缩）以在溶液中实现令人印象深刻的19 nm全宽半高（FWHM）的窄发射</w:t>
      </w:r>
    </w:p>
    <w:p>
      <w:pPr>
        <w:spacing w:before="0" w:after="200" w:lineRule="auto" w:line="276"/>
      </w:pPr>
      <w:r>
        <w:rPr>
          <w:b/>
        </w:rPr>
        <w:t xml:space="preserve">Abstract (EN): </w:t>
      </w:r>
      <w:r>
        <w:t>The development of high-performance blue organic light-emitting diodes (OLEDs) is impeded by the scarcity of molecular scaffolds for ultranarrow multiple-resonance thermally activated delayed fluorescence (MR-TADF) emitters and their inherent tendency to suffer from aggregation-induced broadening and quenching in solid films. To intrinsically address these dual challenges, we report a "soft constraints" molecular design strategy that strategically enhances intramolecular noncovalent interactions. By appending tailored donor (carbazole) or acceptor (triazine) units to the MR-TADF core, this architecture not only directly suppresses key high-frequency vibrations (e.g., C─N stretching) to achieve an impressively narrow emission with a full width at half-maximum (FWHM) of 19 nm in solution, but also effectively inhibits detrimental π…π stacking between the emissive cores. The resulting emitters Cz‑TBN and TRZ‑TBN retain ultranarrow emission (FWHM ≈ 23 nm) and high external quantum efficiencies (up to 40.5%) in OLEDs across a broad doping range (1-10 wt%); the TRZ‑TBN device also reaches a record power efficiency (67.9 lm W-1) for blue MR-OLEDs. This work offers a generalizable strategy for the rational design of high-performance blue emitters.</w:t>
      </w:r>
    </w:p>
    <w:p>
      <w:pPr>
        <w:spacing w:before="120" w:after="120"/>
      </w:pPr>
      <w:r>
        <w:rPr>
          <w:sz w:val="18"/>
        </w:rPr>
        <w:t>——————————————————————————————————————————————————————————————————————</w:t>
      </w:r>
    </w:p>
    <w:p>
      <w:pPr>
        <w:spacing w:before="160" w:after="40" w:line="240" w:lineRule="auto"/>
      </w:pPr>
      <w:r>
        <w:rPr>
          <w:b/>
        </w:rPr>
        <w:t xml:space="preserve">[505] </w:t>
      </w:r>
      <w:hyperlink r:id="rId1014">
        <w:r>
          <w:rPr>
            <w:color w:val="1155CC"/>
            <w:u w:val="single"/>
          </w:rPr>
          <w:t>用于乳腺癌放大光动力免疫治疗的双钥匙门控核DNA靶向光发生器</w:t>
        </w:r>
      </w:hyperlink>
    </w:p>
    <w:p>
      <w:pPr>
        <w:spacing w:before="0" w:after="80"/>
      </w:pPr>
      <w:r>
        <w:rPr>
          <w:i/>
          <w:sz w:val="20"/>
        </w:rPr>
        <w:t>EN: A Dual‐Key Gated Nuclear‐DNA‐Targeted Photogenerator for Amplified Photodynamic Immunotherapy of Breast Cancer</w:t>
      </w:r>
    </w:p>
    <w:p>
      <w:pPr>
        <w:spacing w:before="0" w:after="120"/>
      </w:pPr>
      <w:r>
        <w:rPr>
          <w:b/>
        </w:rPr>
        <w:t xml:space="preserve">Source: </w:t>
      </w:r>
      <w:r>
        <w:t>Wiley: Angewandte Chemie International Edition: Table of Contents</w:t>
      </w:r>
      <w:r>
        <w:t xml:space="preserve">    </w:t>
      </w:r>
      <w:r>
        <w:rPr>
          <w:b/>
        </w:rPr>
        <w:t xml:space="preserve">Pub date: </w:t>
      </w:r>
      <w:r>
        <w:t>2026-02-28 13:35:36+00:00</w:t>
      </w:r>
      <w:r>
        <w:t xml:space="preserve">    </w:t>
      </w:r>
      <w:r>
        <w:rPr>
          <w:b/>
        </w:rPr>
        <w:t xml:space="preserve">DOI: </w:t>
      </w:r>
      <w:hyperlink r:id="rId1015">
        <w:r>
          <w:rPr>
            <w:color w:val="1155CC"/>
            <w:u w:val="single"/>
          </w:rPr>
          <w:t>10.1002/anie.202523661</w:t>
        </w:r>
      </w:hyperlink>
    </w:p>
    <w:p>
      <w:pPr>
        <w:spacing w:before="0" w:after="120"/>
      </w:pPr>
      <w:r>
        <w:rPr>
          <w:b/>
        </w:rPr>
        <w:t xml:space="preserve">Notes: </w:t>
      </w:r>
      <w:r>
        <w:t>abstract_source=pubmed</w:t>
      </w:r>
    </w:p>
    <w:p>
      <w:pPr>
        <w:spacing w:before="0" w:after="80" w:lineRule="auto" w:line="276"/>
      </w:pPr>
      <w:r>
        <w:rPr>
          <w:b/>
        </w:rPr>
        <w:t xml:space="preserve">摘要（ZH）: </w:t>
      </w:r>
      <w:r>
        <w:t>开发能够直接损伤核DNA的治疗剂对于治愈转移性乳腺癌至关重要。在此，通过双钥匙门控构建了一种酶介导的核DNA靶向光发生器（P-NO3），用于增强的光动力免疫治疗（PDIT）对抗乳腺癌，这在报道中很少见。具体而言，设计中包含了双侧吡啶酮单元，以与乳腺癌细胞内过度活化的细胞周期蛋白依赖性激酶4和6（CDK4/6）相互作用，这可以规避不可渗透的核膜的限制（第一个钥匙）。一旦进入细胞核，装备的双正吡啶基团可以进一步与DNA竞争性结合，促进P-NO3精确锚定并照亮核DNA（第二个钥匙）。</w:t>
      </w:r>
    </w:p>
    <w:p>
      <w:pPr>
        <w:spacing w:before="0" w:after="200" w:lineRule="auto" w:line="276"/>
      </w:pPr>
      <w:r>
        <w:rPr>
          <w:b/>
        </w:rPr>
        <w:t xml:space="preserve">Abstract (EN): </w:t>
      </w:r>
      <w:r>
        <w:t>Developing therapeutic agents that are capable of directly damaging nuclear DNA is critical for curing metastatic breast cancer. Herein, an enzyme-mediated nuclear DNA-targeted photogenerator (P-NO3) was constructed through dual-key gating for amplified photodynamic immunotherapy (PDIT) against breast cancer, which has rarely been reported. Specifically, bilateral pyridinone units were included in the design to interact with overactivated cyclin-dependent kinases 4 and 6 (CDK4/6) within breast cancer cells, which can circumvent the limitation of an impermeable nuclear envelope (the first key). Once inside the nucleus, the equipped dual-positive pyridine groups can further competitively bind with DNA, promoting P-NO3 to precisely anchor and illuminate nuclear DNA (the second key). Upon cascade activation, P-NO3 utilized photogenerated highly toxic hydroxyl radical (·OH) in situ to damage the nucleus even under hypoxia, causing the up-regulated expression of related genes (DDI2, KDM4D, RGCC). Concomitantly, damage-associated high-mobility group box 1 (HMGB1) and calreticulin (CRT) were released, triggering a systemic immune response to further suppress distant tumors, realizing efficient PDIT for breast cancer. This study provides new insight into designing nuclear-DNA-targeted phototherapeutic agents for complete ablation of metastatic tumors.</w:t>
      </w:r>
    </w:p>
    <w:p>
      <w:pPr>
        <w:spacing w:before="120" w:after="120"/>
      </w:pPr>
      <w:r>
        <w:rPr>
          <w:sz w:val="18"/>
        </w:rPr>
        <w:t>——————————————————————————————————————————————————————————————————————</w:t>
      </w:r>
    </w:p>
    <w:p>
      <w:pPr>
        <w:spacing w:before="160" w:after="40" w:line="240" w:lineRule="auto"/>
      </w:pPr>
      <w:r>
        <w:rPr>
          <w:b/>
        </w:rPr>
        <w:t xml:space="preserve">[506] </w:t>
      </w:r>
      <w:hyperlink r:id="rId1016">
        <w:r>
          <w:rPr>
            <w:color w:val="1155CC"/>
            <w:u w:val="single"/>
          </w:rPr>
          <w:t>用于拓扑变换的组分编程自组装：从二维网络到离散大卫之星</w:t>
        </w:r>
      </w:hyperlink>
    </w:p>
    <w:p>
      <w:pPr>
        <w:spacing w:before="0" w:after="80"/>
      </w:pPr>
      <w:r>
        <w:rPr>
          <w:i/>
          <w:sz w:val="20"/>
        </w:rPr>
        <w:t>EN: Component‐Programmed Self‐Assembly for Topological Transformation: From a 2D Network to a Discrete Star of David</w:t>
      </w:r>
    </w:p>
    <w:p>
      <w:pPr>
        <w:spacing w:before="0" w:after="120"/>
      </w:pPr>
      <w:r>
        <w:rPr>
          <w:b/>
        </w:rPr>
        <w:t xml:space="preserve">Source: </w:t>
      </w:r>
      <w:r>
        <w:t>Wiley: Angewandte Chemie International Edition: Table of Contents</w:t>
      </w:r>
      <w:r>
        <w:t xml:space="preserve">    </w:t>
      </w:r>
      <w:r>
        <w:rPr>
          <w:b/>
        </w:rPr>
        <w:t xml:space="preserve">Pub date: </w:t>
      </w:r>
      <w:r>
        <w:t>2026-02-28 13:36:19+00:00</w:t>
      </w:r>
      <w:r>
        <w:t xml:space="preserve">    </w:t>
      </w:r>
      <w:r>
        <w:rPr>
          <w:b/>
        </w:rPr>
        <w:t xml:space="preserve">DOI: </w:t>
      </w:r>
      <w:hyperlink r:id="rId1017">
        <w:r>
          <w:rPr>
            <w:color w:val="1155CC"/>
            <w:u w:val="single"/>
          </w:rPr>
          <w:t>10.1002/anie.1762884</w:t>
        </w:r>
      </w:hyperlink>
    </w:p>
    <w:p>
      <w:pPr>
        <w:spacing w:before="0" w:after="120"/>
      </w:pPr>
      <w:r>
        <w:rPr>
          <w:b/>
        </w:rPr>
        <w:t xml:space="preserve">Notes: </w:t>
      </w:r>
      <w:r>
        <w:t>abstract_source=pubmed</w:t>
      </w:r>
    </w:p>
    <w:p>
      <w:pPr>
        <w:spacing w:before="0" w:after="80" w:lineRule="auto" w:line="276"/>
      </w:pPr>
      <w:r>
        <w:rPr>
          <w:b/>
        </w:rPr>
        <w:t xml:space="preserve">摘要（ZH）: </w:t>
      </w:r>
      <w:r>
        <w:t>对超分子维度和拓扑结构的可控修饰对于调整其性质至关重要。在此，我们报告了一种稳健的成分控制的拓扑转变，始于通过金属有机配体（MOL）LA与Zn(II)自组装形成的二维（2D）层状配位网络S2。将具有外围臂的V形调节剂LB战略性地引入S2系统，触发了显著的拓扑转变，从而提供了一个离散的零维（0D）六边形框架的大卫之星S1。这种前所未有的2D到0D控制促进了其内在性质的直接比较，结构通过核磁共振（NMR）光谱、高分辨率电喷雾电离质谱明确确认。</w:t>
      </w:r>
    </w:p>
    <w:p>
      <w:pPr>
        <w:spacing w:before="0" w:after="200" w:lineRule="auto" w:line="276"/>
      </w:pPr>
      <w:r>
        <w:rPr>
          <w:b/>
        </w:rPr>
        <w:t xml:space="preserve">Abstract (EN): </w:t>
      </w:r>
      <w:r>
        <w:t>Controllable modifications on dimensionalities and topologies of supramolecules are crucial for tuning their properties. Here, we report a robust component-controlled topological transformation, initiating with a two-dimensional (2D) layered coordination network S2 formed by the self-assembly of a metallo-organic ligand (MOL) LA with Zn(II). The strategic introduction of a V-shaped modulator LB with peripheral arms into the S2 system triggered a remarkable topological transformation, thus affording a discrete zero-dimensional (0D) hexagon-framed Star of David S1. This unprecedented 2D to 0D control facilitates direct comparison of their intrinsic properties, with structures unequivocally confirmed by nuclear magnetic resonance (NMR) spectroscopy, high-resolution electrospray ionization mass spectrometry (ESI-MS), traveling-wave ion mobility mass spectrometry (TWIM-MS), and microscopy. In the aerobic sulfide oxidation, the extended 2D network S2 exhibited significantly improved photocatalytic performance over S1. This enhanced efficiency was attributed to S2's pseudo-heterogeneous nature, which maximizes active site exposure and overcomes typical limitations of heterogeneous catalysts. This work not only establishes a novel strategy for controlling supramolecular architecture but also compellingly demonstrates that for catalytic applications, ensuring active site accessibility through judicious structural design can be a more potent strategy than pursuing isolated structural complexity.</w:t>
      </w:r>
    </w:p>
    <w:p>
      <w:pPr>
        <w:spacing w:before="120" w:after="120"/>
      </w:pPr>
      <w:r>
        <w:rPr>
          <w:sz w:val="18"/>
        </w:rPr>
        <w:t>——————————————————————————————————————————————————————————————————————</w:t>
      </w:r>
    </w:p>
    <w:p>
      <w:pPr>
        <w:spacing w:before="160" w:after="40" w:line="240" w:lineRule="auto"/>
      </w:pPr>
      <w:r>
        <w:rPr>
          <w:b/>
        </w:rPr>
        <w:t xml:space="preserve">[507] </w:t>
      </w:r>
      <w:hyperlink r:id="rId1018">
        <w:r>
          <w:rPr>
            <w:color w:val="1155CC"/>
            <w:u w:val="single"/>
          </w:rPr>
          <w:t>共价有机框架的全新合成：拓扑选择和深远π电子效应的原理</w:t>
        </w:r>
      </w:hyperlink>
    </w:p>
    <w:p>
      <w:pPr>
        <w:spacing w:before="0" w:after="80"/>
      </w:pPr>
      <w:r>
        <w:rPr>
          <w:i/>
          <w:sz w:val="20"/>
        </w:rPr>
        <w:t>EN: De Novo Synthesis of Covalent Organic Frameworks: A Principle for Topology Selection and Profound π Electronic Effects</w:t>
      </w:r>
    </w:p>
    <w:p>
      <w:pPr>
        <w:spacing w:before="0" w:after="120"/>
      </w:pPr>
      <w:r>
        <w:rPr>
          <w:b/>
        </w:rPr>
        <w:t xml:space="preserve">Source: </w:t>
      </w:r>
      <w:r>
        <w:t>Wiley: Angewandte Chemie International Edition: Table of Contents</w:t>
      </w:r>
      <w:r>
        <w:t xml:space="preserve">    </w:t>
      </w:r>
      <w:r>
        <w:rPr>
          <w:b/>
        </w:rPr>
        <w:t xml:space="preserve">Pub date: </w:t>
      </w:r>
      <w:r>
        <w:t>2026-02-28 13:45:25+00:00</w:t>
      </w:r>
      <w:r>
        <w:t xml:space="preserve">    </w:t>
      </w:r>
      <w:r>
        <w:rPr>
          <w:b/>
        </w:rPr>
        <w:t xml:space="preserve">DOI: </w:t>
      </w:r>
      <w:hyperlink r:id="rId1019">
        <w:r>
          <w:rPr>
            <w:color w:val="1155CC"/>
            <w:u w:val="single"/>
          </w:rPr>
          <w:t>10.1002/anie.4157706</w:t>
        </w:r>
      </w:hyperlink>
    </w:p>
    <w:p>
      <w:pPr>
        <w:spacing w:before="0" w:after="120"/>
      </w:pPr>
      <w:r>
        <w:rPr>
          <w:b/>
        </w:rPr>
        <w:t xml:space="preserve">Notes: </w:t>
      </w:r>
      <w:r>
        <w:t>abstract_source=pubmed</w:t>
      </w:r>
    </w:p>
    <w:p>
      <w:pPr>
        <w:spacing w:before="0" w:after="80" w:lineRule="auto" w:line="276"/>
      </w:pPr>
      <w:r>
        <w:rPr>
          <w:b/>
        </w:rPr>
        <w:t xml:space="preserve">摘要（ZH）: </w:t>
      </w:r>
      <w:r>
        <w:t>共价有机框架是一类具有明确骨架和有序孔隙的结晶多孔聚合物，使其在结构设计和合成中具有吸引力。过去二十年的化学进展极大地增强了我们设计合成框架材料的能力。然而，一个关键的基础问题是反应系统如何从异构体中选择特定的拓扑结构，以及哪些结构参数决定拓扑结构的形成仍不清楚。在此，我们揭示了一种可行的设计策略，用于在框架合成中选择性形成多边形拓扑。我们专注于四边形和Kagome拓扑，因为它们是最具挑战性的拓扑异构体，难以选择性合成。我们观察到电子缺乏的单体形成Kagome</w:t>
      </w:r>
    </w:p>
    <w:p>
      <w:pPr>
        <w:spacing w:before="0" w:after="200" w:lineRule="auto" w:line="276"/>
      </w:pPr>
      <w:r>
        <w:rPr>
          <w:b/>
        </w:rPr>
        <w:t xml:space="preserve">Abstract (EN): </w:t>
      </w:r>
      <w:r>
        <w:t>Covalent organic frameworks are a class of crystalline porous polymers with well-defined skeletons and ordered pores, making them attractive for structural design and synthesis. Progress in chemistry over the past two decades has greatly enabled our capability of designed synthesis of framework materials. However, a key fundamental issue that how reaction systems select a specific topology from isomers and what structural parameters determine the formation of the topology remains unclear. Here, we unveil a feasible design strategy for the selective formation of polygonal topology in the framework synthesis. We focused on tetragonal and Kagome topologies as they are the most challenging topology isomers to be selectively synthesized. We observed that electron-deficient monomers form Kagome frameworks and electron-rich units produce tetragonal skeletons. This finding provides the structural guidance for de novo synthesis of Kagome and tetragonal frameworks selectively. Remarkably, the framework topology exerts profound electronic effects on photoconductivity and photocatalytic activity, leading to the finding of exceptional hydrogen evolution systems.</w:t>
      </w:r>
    </w:p>
    <w:p>
      <w:pPr>
        <w:spacing w:before="120" w:after="120"/>
      </w:pPr>
      <w:r>
        <w:rPr>
          <w:sz w:val="18"/>
        </w:rPr>
        <w:t>——————————————————————————————————————————————————————————————————————</w:t>
      </w:r>
    </w:p>
    <w:p>
      <w:pPr>
        <w:spacing w:before="160" w:after="40" w:line="240" w:lineRule="auto"/>
      </w:pPr>
      <w:r>
        <w:rPr>
          <w:b/>
        </w:rPr>
        <w:t xml:space="preserve">[508] </w:t>
      </w:r>
      <w:hyperlink r:id="rId1020">
        <w:r>
          <w:rPr>
            <w:color w:val="1155CC"/>
            <w:u w:val="single"/>
          </w:rPr>
          <w:t>液体传输增强的仿生异质气凝胶纤维用于柔性可穿戴和户外能量收集系统</w:t>
        </w:r>
      </w:hyperlink>
    </w:p>
    <w:p>
      <w:pPr>
        <w:spacing w:before="0" w:after="80"/>
      </w:pPr>
      <w:r>
        <w:rPr>
          <w:i/>
          <w:sz w:val="20"/>
        </w:rPr>
        <w:t>EN: Liquid Transport‐Enhanced Bioinspired Heterogeneous Aerogel Fibers for Flexible Wearable and Outdoor Energy Harvesting System</w:t>
      </w:r>
    </w:p>
    <w:p>
      <w:pPr>
        <w:spacing w:before="0" w:after="120"/>
      </w:pPr>
      <w:r>
        <w:rPr>
          <w:b/>
        </w:rPr>
        <w:t xml:space="preserve">Source: </w:t>
      </w:r>
      <w:r>
        <w:t>Wiley: Advanced Materials: Table of Contents</w:t>
      </w:r>
      <w:r>
        <w:t xml:space="preserve">    </w:t>
      </w:r>
      <w:r>
        <w:rPr>
          <w:b/>
        </w:rPr>
        <w:t xml:space="preserve">Pub date: </w:t>
      </w:r>
      <w:r>
        <w:t>2026-02-28 13:51:17+00:00</w:t>
      </w:r>
      <w:r>
        <w:t xml:space="preserve">    </w:t>
      </w:r>
      <w:r>
        <w:rPr>
          <w:b/>
        </w:rPr>
        <w:t xml:space="preserve">DOI: </w:t>
      </w:r>
      <w:hyperlink r:id="rId1021">
        <w:r>
          <w:rPr>
            <w:color w:val="1155CC"/>
            <w:u w:val="single"/>
          </w:rPr>
          <w:t>10.1002/adma.202523239</w:t>
        </w:r>
      </w:hyperlink>
    </w:p>
    <w:p>
      <w:pPr>
        <w:spacing w:before="0" w:after="120"/>
      </w:pPr>
      <w:r>
        <w:rPr>
          <w:b/>
        </w:rPr>
        <w:t xml:space="preserve">Notes: </w:t>
      </w:r>
      <w:r>
        <w:t>abstract_source=pubmed</w:t>
      </w:r>
    </w:p>
    <w:p>
      <w:pPr>
        <w:spacing w:before="0" w:after="80" w:lineRule="auto" w:line="276"/>
      </w:pPr>
      <w:r>
        <w:rPr>
          <w:b/>
        </w:rPr>
        <w:t xml:space="preserve">摘要（ZH）: </w:t>
      </w:r>
      <w:r>
        <w:t>柔性和可穿戴的能量收集系统对于实现轻便舒适的便携式电子设备具有重要意义。其中，气凝胶纤维以其超轻重量和丰富的纳米多孔结构，是构建液体导向能量收集平台的理想构件。在此，受植物维管束高效水分传输行为的启发，我们报道了一种通过微流体纺丝制备的液体传输增强型异质气凝胶纤维（HAF）。该纤维由一个扭曲的、表面电荷增强的棉芯组成，用于快速液体传输，并包覆再生纤维素/炭黑层以增强机械强度和提高水伏能量转换。优化芯部的扭曲程度提高了液体传输效率。</w:t>
      </w:r>
    </w:p>
    <w:p>
      <w:pPr>
        <w:spacing w:before="0" w:after="200" w:lineRule="auto" w:line="276"/>
      </w:pPr>
      <w:r>
        <w:rPr>
          <w:b/>
        </w:rPr>
        <w:t xml:space="preserve">Abstract (EN): </w:t>
      </w:r>
      <w:r>
        <w:t>Flexible and wearable energy harvesting systems are of great significance for achieving lightweight and comfortable portable electronics. Among them, aerogel fibers, featuring ultralight weight and abundant nanoporous structures, are ideal building blocks for constructing liquid-directed energy harvesting platforms. Herein, inspired by the efficient water transport behavior of plant vascular bundles, we report a liquid transport-enhanced heterogeneous aerogel fiber (HAF) fabricated via microfluidic spinning. The fiber consists of a twisted, surface-charge-enhanced cotton core for rapid liquid transport, sheathed with a regenerated cellulose/carbon black layer that reinforces mechanical strength and enhances hydrovoltaic energy conversion. Optimizing the core twist level increased the liquid transport rate by 1.87-fold, strengthening solid-liquid interfacial interactions and enabling a single 5 cm fiber to stably output an open-circuit voltage of 0.55 V for over 160 h. Furthermore, matrix-type series-parallel integration of multiple aerogel fiber units allows the system to harvest energy from wearable sweat or outdoor rainwater to power GPS devices, outdoor tent lighting, and carbon nanotube-based electrothermal blankets. This work establishes a bioinspired liquid transport-enhanced design strategy for flexible, lightweight, and sustainable aerogel fiber-based self-powered systems.</w:t>
      </w:r>
    </w:p>
    <w:p>
      <w:pPr>
        <w:spacing w:before="120" w:after="120"/>
      </w:pPr>
      <w:r>
        <w:rPr>
          <w:sz w:val="18"/>
        </w:rPr>
        <w:t>——————————————————————————————————————————————————————————————————————</w:t>
      </w:r>
    </w:p>
    <w:p>
      <w:pPr>
        <w:spacing w:before="160" w:after="40" w:line="240" w:lineRule="auto"/>
      </w:pPr>
      <w:r>
        <w:rPr>
          <w:b/>
        </w:rPr>
        <w:t xml:space="preserve">[509] </w:t>
      </w:r>
      <w:hyperlink r:id="rId1022">
        <w:r>
          <w:rPr>
            <w:color w:val="1155CC"/>
            <w:u w:val="single"/>
          </w:rPr>
          <w:t>[ASAP] 稳定自由基在聚集诱导发光转子-多金属氧酸盐晶体中的高效光热转换</w:t>
        </w:r>
      </w:hyperlink>
    </w:p>
    <w:p>
      <w:pPr>
        <w:spacing w:before="0" w:after="80"/>
      </w:pPr>
      <w:r>
        <w:rPr>
          <w:i/>
          <w:sz w:val="20"/>
        </w:rPr>
        <w:t>EN: [ASAP] Stabilizing Radicals in Aggregation-Induced Emission Rotor-Polyoxometalate Crystals for Efficient Photothermal 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2026-02-28 14:23:19+00:00</w:t>
      </w:r>
      <w:r>
        <w:t xml:space="preserve">    </w:t>
      </w:r>
      <w:r>
        <w:rPr>
          <w:b/>
        </w:rPr>
        <w:t xml:space="preserve">DOI: </w:t>
      </w:r>
      <w:hyperlink r:id="rId1023">
        <w:r>
          <w:rPr>
            <w:color w:val="1155CC"/>
            <w:u w:val="single"/>
          </w:rPr>
          <w:t>10.1021/jacs.6c00335</w:t>
        </w:r>
      </w:hyperlink>
    </w:p>
    <w:p>
      <w:pPr>
        <w:spacing w:before="0" w:after="120"/>
      </w:pPr>
      <w:r>
        <w:rPr>
          <w:b/>
        </w:rPr>
        <w:t xml:space="preserve">Notes: </w:t>
      </w:r>
      <w:r>
        <w:t>abstract_source=openalex</w:t>
      </w:r>
    </w:p>
    <w:p>
      <w:pPr>
        <w:spacing w:before="0" w:after="80" w:lineRule="auto" w:line="276"/>
      </w:pPr>
      <w:r>
        <w:rPr>
          <w:b/>
        </w:rPr>
        <w:t xml:space="preserve">摘要（ZH）: </w:t>
      </w:r>
      <w:r>
        <w:t>光热材料的合理设计，具有明确的分子结构和高效的太阳能转换，对于推进可再生能源技术至关重要，特别是在利用近红外区域（约占太阳光谱的54%）。尽管取得了显著进展，现有系统在追求性能时往往在结构精确性和制造控制上妥协。实现宽带吸收、高转换效率和精确晶体结构的结合仍然是一个关键挑战。在此，我们报道了一种晶体光热材料的单锅合成，即APC，通过多金属氧酸盐（POMs）簇与氨基修饰的四苯乙烯的组装在几分钟内形成，后者是一种具有聚集特性的分子转子。</w:t>
      </w:r>
    </w:p>
    <w:p>
      <w:pPr>
        <w:spacing w:before="0" w:after="200" w:lineRule="auto" w:line="276"/>
      </w:pPr>
      <w:r>
        <w:rPr>
          <w:b/>
        </w:rPr>
        <w:t xml:space="preserve">Abstract (EN): </w:t>
      </w:r>
      <w:r>
        <w:t>The rational design of photothermal materials with well-defined molecular structures and efficient solar energy conversion is crucial for advancing renewable energy technologies, particularly in harnessing the near-infrared region (∼54% of the solar spectrum). Despite significant progress, existing systems often compromise structural precision and fabrication control in pursuit of performance. Achieving the combination of broadband absorption, high conversion efficiency, and precise crystalline structure remains a critical challenge. Here, we report a one-pot synthesis of a crystalline photothermal material, namely APC, formed within minutes through the assembly of polyoxometalates (POMs) clusters with amino-modified tetraphenylethylene, a representative molecular rotor with an aggregation-induced emission (AIE) feature. This represents the first demonstration of AIE rotor-POM assemblies for photothermal conversion. Trace peroxides at ppm levels in the solvent oxidize AIE rotors during assembly, initiating rapid radical formation that is stabilized by the crystalline matrix. The resulting air-stable radicals enable broadband absorption beyond 2000 nm, while the intramolecular motion of AIE rotors efficiently converts absorbed energy into heat, achieving an exceptional photothermal conversion efficiency of 88.7% under 808 nm laser irradiation. Mechanistic studies reveal that strong intermolecular charge transfer between AIE rotors and POMs drives radical generation, stabilized by spatial confinement and partial SOMO-HOMO inversion. Under 1 sun illumination, APC achieves a high solar-to-vapor water evaporation efficiency of 97.5%, highlighting its promise for solar-driven desalination. This study introduces a rational design strategy for crystalline photothermal hybrids and establishes the mechanistic connections among molecular assembly, charge transfer, and radical stabilization.</w:t>
      </w:r>
    </w:p>
    <w:p>
      <w:pPr>
        <w:spacing w:before="120" w:after="120"/>
      </w:pPr>
      <w:r>
        <w:rPr>
          <w:sz w:val="18"/>
        </w:rPr>
        <w:t>——————————————————————————————————————————————————————————————————————</w:t>
      </w:r>
    </w:p>
    <w:p>
      <w:pPr>
        <w:spacing w:before="160" w:after="40" w:line="240" w:lineRule="auto"/>
      </w:pPr>
      <w:r>
        <w:rPr>
          <w:b/>
        </w:rPr>
        <w:t xml:space="preserve">[510] </w:t>
      </w:r>
      <w:hyperlink r:id="rId1024">
        <w:r>
          <w:rPr>
            <w:color w:val="1155CC"/>
            <w:u w:val="single"/>
          </w:rPr>
          <w:t>[ASAP] 芳香相互作用选择四重氢键DADA 1,2-氮磷杂环二聚体的同二聚体组装</w:t>
        </w:r>
      </w:hyperlink>
    </w:p>
    <w:p>
      <w:pPr>
        <w:spacing w:before="0" w:after="80"/>
      </w:pPr>
      <w:r>
        <w:rPr>
          <w:i/>
          <w:sz w:val="20"/>
        </w:rPr>
        <w:t>EN: [ASAP] Aromatic Interactions Select for Homodimeric Assembly in a Quadruply Hydrogen-Bonded DADA 1,2-Azaphosphinine Dimer</w:t>
      </w:r>
    </w:p>
    <w:p>
      <w:pPr>
        <w:spacing w:before="0" w:after="120"/>
      </w:pPr>
      <w:r>
        <w:rPr>
          <w:b/>
        </w:rPr>
        <w:t xml:space="preserve">Source: </w:t>
      </w:r>
      <w:r>
        <w:t>Journal of the American Chemical Society: Latest Articles (ACS Publications)</w:t>
      </w:r>
      <w:r>
        <w:t xml:space="preserve">    </w:t>
      </w:r>
      <w:r>
        <w:rPr>
          <w:b/>
        </w:rPr>
        <w:t xml:space="preserve">Pub date: </w:t>
      </w:r>
      <w:r>
        <w:t>2026-02-28 20:00:00+00:00</w:t>
      </w:r>
      <w:r>
        <w:t xml:space="preserve">    </w:t>
      </w:r>
      <w:r>
        <w:rPr>
          <w:b/>
        </w:rPr>
        <w:t xml:space="preserve">DOI: </w:t>
      </w:r>
      <w:hyperlink r:id="rId1025">
        <w:r>
          <w:rPr>
            <w:color w:val="1155CC"/>
            <w:u w:val="single"/>
          </w:rPr>
          <w:t>10.1021/jacs.5c20238</w:t>
        </w:r>
      </w:hyperlink>
    </w:p>
    <w:p>
      <w:pPr>
        <w:spacing w:before="0" w:after="120"/>
      </w:pPr>
      <w:r>
        <w:rPr>
          <w:b/>
        </w:rPr>
        <w:t xml:space="preserve">Notes: </w:t>
      </w:r>
      <w:r>
        <w:t>abstract_source=openalex</w:t>
      </w:r>
    </w:p>
    <w:p>
      <w:pPr>
        <w:spacing w:before="0" w:after="80" w:lineRule="auto" w:line="276"/>
      </w:pPr>
      <w:r>
        <w:rPr>
          <w:b/>
        </w:rPr>
        <w:t xml:space="preserve">摘要（ZH）: </w:t>
      </w:r>
      <w:r>
        <w:t>在一个氮杂膦杂环的核心结构上引入一个融合的吡啶环，并功能化一个&lt;i&gt;N&lt;/i&gt;-乙酰胺基团，形成一个手性、四重氢键面，能够强烈的同二聚化。制备了十一种不同的氮杂膦衍生物，具有可变的电子供体和受体功能化。与简单的DA氮杂膦二聚体相反，取代基效应的趋势显示氢键受体（A）对取代基比氢键供体（D）更敏感。当在氮杂膦骨架上附加电子供体基团时，二聚常数在10% DMSO-&lt;i&gt;d&lt;/i&gt;&lt;sub&gt;6&lt;/sub&gt;在水饱和的CDCl&lt;sub&gt;3&lt;/sub&gt;中上升至高达209 M&lt;sup&gt;-1&lt;/sup&gt;。X射线晶体学数据揭示了意外的结构特征。</w:t>
      </w:r>
    </w:p>
    <w:p>
      <w:pPr>
        <w:spacing w:before="0" w:after="200" w:lineRule="auto" w:line="276"/>
      </w:pPr>
      <w:r>
        <w:rPr>
          <w:b/>
        </w:rPr>
        <w:t xml:space="preserve">Abstract (EN): </w:t>
      </w:r>
      <w:r>
        <w:t>Inclusion of a fused pyridine ring onto the core motif of an azaphosphinine heterocycle, as well as functionalization with an &lt;i&gt;N&lt;/i&gt;-acetamide group, furnishes a chiral, quadruple hydrogen bonding face that is capable of strong homodimerization. Eleven different azaphosphinine derivatives were prepared with variable electron donor and acceptor functionalization. Contrary to simple DA azaphosphinine dimers, trends from substituent effects showed that the hydrogen bond acceptors (A) were more sensitive to the substituents than the hydrogen bond donors (D). With electron donating groups appended onto the azaphosphinine scaffold, dimerization constants rose to as high as 209 M&lt;sup&gt;-1&lt;/sup&gt; in 10% DMSO-&lt;i&gt;d&lt;/i&gt;&lt;sub&gt;6&lt;/sub&gt; in water-saturated CDCl&lt;sub&gt;3&lt;/sub&gt;. X-ray crystallographic data unexpectedly showed that the quadruply hydrogen bonding system preferred the theoretically less stable donor-acceptor-donor-acceptor (DADA) H-bond orientation despite having the capability to tautomerize to the potentially more stable DDAA structure. Computational analysis revealed that maintaining pyridine aromaticity was more stabilizing than the secondary interactions that would be created from a DDAA dimer. Additionally, these molecules associate as the first examples of &lt;i&gt;R&lt;/i&gt;,&lt;i&gt;R-&lt;/i&gt; and &lt;i&gt;S&lt;/i&gt;,&lt;i&gt;S&lt;/i&gt;-azaphosphinine homodimers, compared to the &lt;i&gt;R&lt;/i&gt;,&lt;i&gt;S-&lt;/i&gt;heterodimers typically found for simple azaphosphinines. This observation was explained by computational analysis, which found a geometric difference between the nitrogen atoms adjacent to the phosphorus chiral center of the &lt;b&gt;Homo&lt;/b&gt; and &lt;b&gt;Hetero&lt;/b&gt; dimer, leading to a stronger hydrogen bonding interaction in the &lt;b&gt;Homo&lt;/b&gt; dimer. Further understanding of this quadruply hydrogen bonding core will allow us to explore further applications that integrate this strongly hydrogen bonding system into larger and more complex supramolecular frameworks such as supramolecular polymers or capsules.</w:t>
      </w:r>
    </w:p>
    <w:p>
      <w:pPr>
        <w:spacing w:before="120" w:after="120"/>
      </w:pPr>
      <w:r>
        <w:rPr>
          <w:sz w:val="18"/>
        </w:rPr>
        <w:t>——————————————————————————————————————————————————————————————————————</w:t>
      </w:r>
    </w:p>
    <w:p>
      <w:pPr>
        <w:spacing w:before="160" w:after="40" w:line="240" w:lineRule="auto"/>
      </w:pPr>
      <w:r>
        <w:rPr>
          <w:b/>
        </w:rPr>
        <w:t xml:space="preserve">[511] </w:t>
      </w:r>
      <w:hyperlink r:id="rId1026">
        <w:r>
          <w:rPr>
            <w:color w:val="1155CC"/>
            <w:u w:val="single"/>
          </w:rPr>
          <w:t>靶向NAT10通过破坏DYRK1A的N4-乙酰化缓解结肠衰老和老年发病的结肠炎</w:t>
        </w:r>
      </w:hyperlink>
    </w:p>
    <w:p>
      <w:pPr>
        <w:spacing w:before="0" w:after="80"/>
      </w:pPr>
      <w:r>
        <w:rPr>
          <w:i/>
          <w:sz w:val="20"/>
        </w:rPr>
        <w:t>EN: Targeting NAT10 alleviates colonic senescence and elderly-onset colitis by disrupting N4-acetylation of DYRK1A</w:t>
      </w:r>
    </w:p>
    <w:p>
      <w:pPr>
        <w:spacing w:before="0" w:after="120"/>
      </w:pPr>
      <w:r>
        <w:rPr>
          <w:b/>
        </w:rPr>
        <w:t xml:space="preserve">Source: </w:t>
      </w:r>
      <w:r>
        <w:t>Nature Communications</w:t>
      </w:r>
      <w:r>
        <w:t xml:space="preserve">    </w:t>
      </w:r>
      <w:r>
        <w:rPr>
          <w:b/>
        </w:rPr>
        <w:t xml:space="preserve">Pub date: </w:t>
      </w:r>
      <w:r>
        <w:t>2026-03-01 00:00:00+00:00</w:t>
      </w:r>
      <w:r>
        <w:t xml:space="preserve">    </w:t>
      </w:r>
      <w:r>
        <w:rPr>
          <w:b/>
        </w:rPr>
        <w:t xml:space="preserve">DOI: </w:t>
      </w:r>
      <w:hyperlink r:id="rId1027">
        <w:r>
          <w:rPr>
            <w:color w:val="1155CC"/>
            <w:u w:val="single"/>
          </w:rPr>
          <w:t>10.1038/s41467-026-70220-w</w:t>
        </w:r>
      </w:hyperlink>
    </w:p>
    <w:p>
      <w:pPr>
        <w:spacing w:before="0" w:after="120"/>
      </w:pPr>
      <w:r>
        <w:rPr>
          <w:b/>
        </w:rPr>
        <w:t xml:space="preserve">Notes: </w:t>
      </w:r>
      <w:r>
        <w:t>abstract_source=nature_html</w:t>
      </w:r>
    </w:p>
    <w:p>
      <w:pPr>
        <w:spacing w:before="0" w:after="80" w:lineRule="auto" w:line="276"/>
      </w:pPr>
      <w:r>
        <w:rPr>
          <w:b/>
        </w:rPr>
        <w:t xml:space="preserve">摘要（ZH）: </w:t>
      </w:r>
      <w:r>
        <w:t>肠道老化以细胞衰老与粘膜自我更新之间的不平衡为特征，增加了老年发病的溃疡性结肠炎（UC）的易感性，而其潜在机制仍不清楚。在此，我们确定了mRNA N4-乙酰胞苷（ac4C）修饰及其特定的写入酶N-乙酰转移酶10（NAT10）作为人类结肠上皮细胞衰老的关键调节因子。NAT10的敲低显著缓解了体外人类结肠上皮细胞的衰老以及体内老年小鼠的结肠类器官和肠道老化。通过ac4C修饰的转录组测序，我们揭示了NAT10通过ac4C修饰稳定DYRK1A mRNA，从而驱动结肠上皮衰老。此外，NAT10和DYRK1A在溃疡性结肠炎组织中显著上调</w:t>
      </w:r>
    </w:p>
    <w:p>
      <w:pPr>
        <w:spacing w:before="0" w:after="200" w:lineRule="auto" w:line="276"/>
      </w:pPr>
      <w:r>
        <w:rPr>
          <w:b/>
        </w:rPr>
        <w:t xml:space="preserve">Abstract (EN): </w:t>
      </w:r>
      <w:r>
        <w:t>Intestinal aging characterized by imbalance between cell senescence and mucosal self-renewal, increases susceptibility to the elderly-onset ulcerative colitis (UC), while the underlying mechanisms remain elusive. Here, we identify mRNA N4-acetylcytidine (ac4C) modification and its specific writer, N-acetyltransferase 10 (NAT10), as critical regulators of human colonic epithelial cell senescence. Knockdown of NAT10 significantly alleviates human colonic epithelial cell senescence in vitro and colonoid and intestinal aging in vivo in aged mice. Using ac4C-modified transcriptome sequencing, we reveal that NAT10 stabilizes DYRK1A mRNA through ac4C modification, thereby driving colon epithelial senescence. Moreover, NAT10 and DYRK1A are markedly upregulated in ulcerative colitis tissues from elderly patients and positively correlate with disease severity. Knockdown of NAT10, treatment with Nat10 or Dyrk1a inhibitor, alleviates colitis in aged mice. Collectively, these findings suggest that modulating NAT10-mediated RNA ac4C modification could rejuvenate intestinal aging and provide a novel therapeutic strategy for elderly-onset colitis.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1388?dgcid=rss_sd_all" TargetMode="External"/><Relationship Id="rId10" Type="http://schemas.openxmlformats.org/officeDocument/2006/relationships/hyperlink" Target="https://www.sciencedirect.com/science/article/pii/S0306261926002187?dgcid=rss_sd_all" TargetMode="External"/><Relationship Id="rId11" Type="http://schemas.openxmlformats.org/officeDocument/2006/relationships/hyperlink" Target="https://www.nature.com/articles/s41560-026-01982-2" TargetMode="External"/><Relationship Id="rId12" Type="http://schemas.openxmlformats.org/officeDocument/2006/relationships/hyperlink" Target="https://advanced.onlinelibrary.wiley.com/doi/10.1002/adma.202522994?af=R" TargetMode="External"/><Relationship Id="rId13" Type="http://schemas.openxmlformats.org/officeDocument/2006/relationships/hyperlink" Target="https://doi.org/10.1002/adma.202522994" TargetMode="External"/><Relationship Id="rId14" Type="http://schemas.openxmlformats.org/officeDocument/2006/relationships/hyperlink" Target="http://dx.doi.org/10.1021/acsenergylett.6c00094" TargetMode="External"/><Relationship Id="rId15" Type="http://schemas.openxmlformats.org/officeDocument/2006/relationships/hyperlink" Target="https://doi.org/10.1021/acsenergylett.6c00094" TargetMode="External"/><Relationship Id="rId16" Type="http://schemas.openxmlformats.org/officeDocument/2006/relationships/hyperlink" Target="http://pubs.rsc.org/en/Content/ArticleLanding/2026/EE/D5EE03704B" TargetMode="External"/><Relationship Id="rId17" Type="http://schemas.openxmlformats.org/officeDocument/2006/relationships/hyperlink" Target="https://www.sciencedirect.com/science/article/pii/S0301421526001278?dgcid=rss_sd_all" TargetMode="External"/><Relationship Id="rId18" Type="http://schemas.openxmlformats.org/officeDocument/2006/relationships/hyperlink" Target="https://www.sciencedirect.com/science/article/pii/S0306261926002242?dgcid=rss_sd_all" TargetMode="External"/><Relationship Id="rId19" Type="http://schemas.openxmlformats.org/officeDocument/2006/relationships/hyperlink" Target="https://www.nature.com/articles/s41560-026-01993-z" TargetMode="External"/><Relationship Id="rId20" Type="http://schemas.openxmlformats.org/officeDocument/2006/relationships/hyperlink" Target="https://www.sciencedirect.com/science/article/pii/S0306261926002072?dgcid=rss_sd_all" TargetMode="External"/><Relationship Id="rId21" Type="http://schemas.openxmlformats.org/officeDocument/2006/relationships/hyperlink" Target="https://advanced.onlinelibrary.wiley.com/doi/10.1002/adma.202521697?af=R" TargetMode="External"/><Relationship Id="rId22" Type="http://schemas.openxmlformats.org/officeDocument/2006/relationships/hyperlink" Target="https://doi.org/10.1002/adma.202521697" TargetMode="External"/><Relationship Id="rId23" Type="http://schemas.openxmlformats.org/officeDocument/2006/relationships/hyperlink" Target="https://www.science.org/doi/abs/10.1126/sciadv.aea6522?af=R" TargetMode="External"/><Relationship Id="rId24" Type="http://schemas.openxmlformats.org/officeDocument/2006/relationships/hyperlink" Target="https://doi.org/10.1126/sciadv.aea6522" TargetMode="External"/><Relationship Id="rId25" Type="http://schemas.openxmlformats.org/officeDocument/2006/relationships/hyperlink" Target="http://dx.doi.org/10.1021/acsenergylett.5c03788" TargetMode="External"/><Relationship Id="rId26" Type="http://schemas.openxmlformats.org/officeDocument/2006/relationships/hyperlink" Target="https://doi.org/10.1021/acsenergylett.5c03788" TargetMode="External"/><Relationship Id="rId27" Type="http://schemas.openxmlformats.org/officeDocument/2006/relationships/hyperlink" Target="http://dx.doi.org/10.1021/acsenergylett.6c00205" TargetMode="External"/><Relationship Id="rId28" Type="http://schemas.openxmlformats.org/officeDocument/2006/relationships/hyperlink" Target="https://doi.org/10.1021/acsenergylett.6c00205" TargetMode="External"/><Relationship Id="rId29" Type="http://schemas.openxmlformats.org/officeDocument/2006/relationships/hyperlink" Target="http://pubs.rsc.org/en/Content/ArticleLanding/2026/EE/D5EE07165H" TargetMode="External"/><Relationship Id="rId30" Type="http://schemas.openxmlformats.org/officeDocument/2006/relationships/hyperlink" Target="https://advanced.onlinelibrary.wiley.com/doi/10.1002/aenm.202506610?af=R" TargetMode="External"/><Relationship Id="rId31" Type="http://schemas.openxmlformats.org/officeDocument/2006/relationships/hyperlink" Target="https://doi.org/10.1002/aenm.202506610" TargetMode="External"/><Relationship Id="rId32" Type="http://schemas.openxmlformats.org/officeDocument/2006/relationships/hyperlink" Target="https://advanced.onlinelibrary.wiley.com/doi/10.1002/adma.202523520?af=R" TargetMode="External"/><Relationship Id="rId33" Type="http://schemas.openxmlformats.org/officeDocument/2006/relationships/hyperlink" Target="https://doi.org/10.1002/adma.202523520" TargetMode="External"/><Relationship Id="rId34" Type="http://schemas.openxmlformats.org/officeDocument/2006/relationships/hyperlink" Target="http://dx.doi.org/10.1021/acsenergylett.5c04127" TargetMode="External"/><Relationship Id="rId35" Type="http://schemas.openxmlformats.org/officeDocument/2006/relationships/hyperlink" Target="https://doi.org/10.1021/acsenergylett.5c04127" TargetMode="External"/><Relationship Id="rId36" Type="http://schemas.openxmlformats.org/officeDocument/2006/relationships/hyperlink" Target="https://www.cell.com/joule/fulltext/S2542-4351(25)00486-6?rss=yes" TargetMode="External"/><Relationship Id="rId37" Type="http://schemas.openxmlformats.org/officeDocument/2006/relationships/hyperlink" Target="https://doi.org/10.1016/j.joule.2025.102305" TargetMode="External"/><Relationship Id="rId38" Type="http://schemas.openxmlformats.org/officeDocument/2006/relationships/hyperlink" Target="https://www.nature.com/articles/s41563-026-02500-1" TargetMode="External"/><Relationship Id="rId39" Type="http://schemas.openxmlformats.org/officeDocument/2006/relationships/hyperlink" Target="https://doi.org/10.1038/s41563-026-02500-1" TargetMode="External"/><Relationship Id="rId40" Type="http://schemas.openxmlformats.org/officeDocument/2006/relationships/hyperlink" Target="https://www.nature.com/articles/s41563-026-02509-6" TargetMode="External"/><Relationship Id="rId41" Type="http://schemas.openxmlformats.org/officeDocument/2006/relationships/hyperlink" Target="https://doi.org/10.1038/s41563-026-02509-6" TargetMode="External"/><Relationship Id="rId42" Type="http://schemas.openxmlformats.org/officeDocument/2006/relationships/hyperlink" Target="https://www.sciencedirect.com/science/article/pii/S0306261926001868?dgcid=rss_sd_all" TargetMode="External"/><Relationship Id="rId43" Type="http://schemas.openxmlformats.org/officeDocument/2006/relationships/hyperlink" Target="https://advanced.onlinelibrary.wiley.com/doi/10.1002/adma.202521012?af=R" TargetMode="External"/><Relationship Id="rId44" Type="http://schemas.openxmlformats.org/officeDocument/2006/relationships/hyperlink" Target="https://doi.org/10.1002/adma.202521012" TargetMode="External"/><Relationship Id="rId45" Type="http://schemas.openxmlformats.org/officeDocument/2006/relationships/hyperlink" Target="https://onlinelibrary.wiley.com/doi/10.1002/anie.202526035?af=R" TargetMode="External"/><Relationship Id="rId46" Type="http://schemas.openxmlformats.org/officeDocument/2006/relationships/hyperlink" Target="https://doi.org/10.1002/anie.202526035" TargetMode="External"/><Relationship Id="rId47" Type="http://schemas.openxmlformats.org/officeDocument/2006/relationships/hyperlink" Target="https://advanced.onlinelibrary.wiley.com/doi/10.1002/aenm.70743?af=R" TargetMode="External"/><Relationship Id="rId48" Type="http://schemas.openxmlformats.org/officeDocument/2006/relationships/hyperlink" Target="https://doi.org/10.1002/aenm.70743" TargetMode="External"/><Relationship Id="rId49" Type="http://schemas.openxmlformats.org/officeDocument/2006/relationships/hyperlink" Target="https://advanced.onlinelibrary.wiley.com/doi/10.1002/aenm.70744?af=R" TargetMode="External"/><Relationship Id="rId50" Type="http://schemas.openxmlformats.org/officeDocument/2006/relationships/hyperlink" Target="https://doi.org/10.1002/aenm.70744" TargetMode="External"/><Relationship Id="rId51" Type="http://schemas.openxmlformats.org/officeDocument/2006/relationships/hyperlink" Target="https://www.cell.com/chem/fulltext/S2451-9294(25)00502-9?rss=yes" TargetMode="External"/><Relationship Id="rId52" Type="http://schemas.openxmlformats.org/officeDocument/2006/relationships/hyperlink" Target="https://advanced.onlinelibrary.wiley.com/doi/10.1002/aenm.202506549?af=R" TargetMode="External"/><Relationship Id="rId53" Type="http://schemas.openxmlformats.org/officeDocument/2006/relationships/hyperlink" Target="https://doi.org/10.1002/aenm.202506549" TargetMode="External"/><Relationship Id="rId54" Type="http://schemas.openxmlformats.org/officeDocument/2006/relationships/hyperlink" Target="http://dx.doi.org/10.1021/jacs.5c18922" TargetMode="External"/><Relationship Id="rId55" Type="http://schemas.openxmlformats.org/officeDocument/2006/relationships/hyperlink" Target="https://doi.org/10.1021/jacs.5c18922" TargetMode="External"/><Relationship Id="rId56" Type="http://schemas.openxmlformats.org/officeDocument/2006/relationships/hyperlink" Target="https://onlinelibrary.wiley.com/doi/10.1002/anie.6795880?af=R" TargetMode="External"/><Relationship Id="rId57" Type="http://schemas.openxmlformats.org/officeDocument/2006/relationships/hyperlink" Target="https://doi.org/10.1002/anie.6795880" TargetMode="External"/><Relationship Id="rId58" Type="http://schemas.openxmlformats.org/officeDocument/2006/relationships/hyperlink" Target="https://onlinelibrary.wiley.com/doi/10.1002/anie.202522507?af=R" TargetMode="External"/><Relationship Id="rId59" Type="http://schemas.openxmlformats.org/officeDocument/2006/relationships/hyperlink" Target="https://doi.org/10.1002/anie.202522507" TargetMode="External"/><Relationship Id="rId60" Type="http://schemas.openxmlformats.org/officeDocument/2006/relationships/hyperlink" Target="https://advanced.onlinelibrary.wiley.com/doi/10.1002/adma.202522939?af=R" TargetMode="External"/><Relationship Id="rId61" Type="http://schemas.openxmlformats.org/officeDocument/2006/relationships/hyperlink" Target="https://doi.org/10.1002/adma.202522939" TargetMode="External"/><Relationship Id="rId62" Type="http://schemas.openxmlformats.org/officeDocument/2006/relationships/hyperlink" Target="http://dx.doi.org/10.1021/acsenergylett.6c00122" TargetMode="External"/><Relationship Id="rId63" Type="http://schemas.openxmlformats.org/officeDocument/2006/relationships/hyperlink" Target="https://doi.org/10.1021/acsenergylett.6c00122" TargetMode="External"/><Relationship Id="rId64" Type="http://schemas.openxmlformats.org/officeDocument/2006/relationships/hyperlink" Target="https://www.cell.com/joule/fulltext/S2542-4351(25)00483-0?rss=yes" TargetMode="External"/><Relationship Id="rId65" Type="http://schemas.openxmlformats.org/officeDocument/2006/relationships/hyperlink" Target="https://advanced.onlinelibrary.wiley.com/doi/10.1002/aenm.202506750?af=R" TargetMode="External"/><Relationship Id="rId66" Type="http://schemas.openxmlformats.org/officeDocument/2006/relationships/hyperlink" Target="https://doi.org/10.1002/aenm.202506750" TargetMode="External"/><Relationship Id="rId67" Type="http://schemas.openxmlformats.org/officeDocument/2006/relationships/hyperlink" Target="https://advanced.onlinelibrary.wiley.com/doi/10.1002/adma.72465?af=R" TargetMode="External"/><Relationship Id="rId68" Type="http://schemas.openxmlformats.org/officeDocument/2006/relationships/hyperlink" Target="https://doi.org/10.1002/adma.72465" TargetMode="External"/><Relationship Id="rId69" Type="http://schemas.openxmlformats.org/officeDocument/2006/relationships/hyperlink" Target="http://dx.doi.org/10.1021/jacs.5c21368" TargetMode="External"/><Relationship Id="rId70" Type="http://schemas.openxmlformats.org/officeDocument/2006/relationships/hyperlink" Target="https://doi.org/10.1021/jacs.5c21368" TargetMode="External"/><Relationship Id="rId71" Type="http://schemas.openxmlformats.org/officeDocument/2006/relationships/hyperlink" Target="https://advanced.onlinelibrary.wiley.com/doi/10.1002/adma.202521479?af=R" TargetMode="External"/><Relationship Id="rId72" Type="http://schemas.openxmlformats.org/officeDocument/2006/relationships/hyperlink" Target="https://doi.org/10.1002/adma.202521479" TargetMode="External"/><Relationship Id="rId73" Type="http://schemas.openxmlformats.org/officeDocument/2006/relationships/hyperlink" Target="https://advanced.onlinelibrary.wiley.com/doi/10.1002/aenm.202506765?af=R" TargetMode="External"/><Relationship Id="rId74" Type="http://schemas.openxmlformats.org/officeDocument/2006/relationships/hyperlink" Target="https://doi.org/10.1002/aenm.202506765" TargetMode="External"/><Relationship Id="rId75" Type="http://schemas.openxmlformats.org/officeDocument/2006/relationships/hyperlink" Target="https://advanced.onlinelibrary.wiley.com/doi/10.1002/aenm.70769?af=R" TargetMode="External"/><Relationship Id="rId76" Type="http://schemas.openxmlformats.org/officeDocument/2006/relationships/hyperlink" Target="https://doi.org/10.1002/aenm.70769" TargetMode="External"/><Relationship Id="rId77" Type="http://schemas.openxmlformats.org/officeDocument/2006/relationships/hyperlink" Target="https://advanced.onlinelibrary.wiley.com/doi/10.1002/aenm.202600009?af=R" TargetMode="External"/><Relationship Id="rId78" Type="http://schemas.openxmlformats.org/officeDocument/2006/relationships/hyperlink" Target="https://doi.org/10.1002/aenm.202600009" TargetMode="External"/><Relationship Id="rId79" Type="http://schemas.openxmlformats.org/officeDocument/2006/relationships/hyperlink" Target="https://advanced.onlinelibrary.wiley.com/doi/10.1002/adma.202520257?af=R" TargetMode="External"/><Relationship Id="rId80" Type="http://schemas.openxmlformats.org/officeDocument/2006/relationships/hyperlink" Target="https://doi.org/10.1002/adma.202520257" TargetMode="External"/><Relationship Id="rId81" Type="http://schemas.openxmlformats.org/officeDocument/2006/relationships/hyperlink" Target="http://dx.doi.org/10.1021/acsenergylett.5c03154" TargetMode="External"/><Relationship Id="rId82" Type="http://schemas.openxmlformats.org/officeDocument/2006/relationships/hyperlink" Target="https://doi.org/10.1021/acsenergylett.5c03154" TargetMode="External"/><Relationship Id="rId83" Type="http://schemas.openxmlformats.org/officeDocument/2006/relationships/hyperlink" Target="https://www.nature.com/articles/s41586-026-10210-6" TargetMode="External"/><Relationship Id="rId84" Type="http://schemas.openxmlformats.org/officeDocument/2006/relationships/hyperlink" Target="https://www.sciencedirect.com/science/article/pii/S0306261926002321?dgcid=rss_sd_all" TargetMode="External"/><Relationship Id="rId85" Type="http://schemas.openxmlformats.org/officeDocument/2006/relationships/hyperlink" Target="https://www.cell.com/joule/fulltext/S2542-4351(25)00457-X?rss=yes" TargetMode="External"/><Relationship Id="rId86" Type="http://schemas.openxmlformats.org/officeDocument/2006/relationships/hyperlink" Target="https://advanced.onlinelibrary.wiley.com/doi/10.1002/aenm.70792?af=R" TargetMode="External"/><Relationship Id="rId87" Type="http://schemas.openxmlformats.org/officeDocument/2006/relationships/hyperlink" Target="https://doi.org/10.1002/aenm.70792" TargetMode="External"/><Relationship Id="rId88" Type="http://schemas.openxmlformats.org/officeDocument/2006/relationships/hyperlink" Target="http://dx.doi.org/10.1021/acsenergylett.5c04001" TargetMode="External"/><Relationship Id="rId89" Type="http://schemas.openxmlformats.org/officeDocument/2006/relationships/hyperlink" Target="https://doi.org/10.1021/acsenergylett.5c04001" TargetMode="External"/><Relationship Id="rId90" Type="http://schemas.openxmlformats.org/officeDocument/2006/relationships/hyperlink" Target="http://dx.doi.org/10.1021/jacs.5c18752" TargetMode="External"/><Relationship Id="rId91" Type="http://schemas.openxmlformats.org/officeDocument/2006/relationships/hyperlink" Target="https://doi.org/10.1021/jacs.5c18752" TargetMode="External"/><Relationship Id="rId92" Type="http://schemas.openxmlformats.org/officeDocument/2006/relationships/hyperlink" Target="https://www.nature.com/articles/s41467-026-70148-1" TargetMode="External"/><Relationship Id="rId93" Type="http://schemas.openxmlformats.org/officeDocument/2006/relationships/hyperlink" Target="https://advanced.onlinelibrary.wiley.com/doi/10.1002/adma.202519996?af=R" TargetMode="External"/><Relationship Id="rId94" Type="http://schemas.openxmlformats.org/officeDocument/2006/relationships/hyperlink" Target="https://doi.org/10.1002/adma.202519996" TargetMode="External"/><Relationship Id="rId95" Type="http://schemas.openxmlformats.org/officeDocument/2006/relationships/hyperlink" Target="https://www.nature.com/articles/s41467-026-69737-x" TargetMode="External"/><Relationship Id="rId96" Type="http://schemas.openxmlformats.org/officeDocument/2006/relationships/hyperlink" Target="https://doi.org/10.1038/s41467-026-69737-x" TargetMode="External"/><Relationship Id="rId97" Type="http://schemas.openxmlformats.org/officeDocument/2006/relationships/hyperlink" Target="https://www.nature.com/articles/s41893-026-01773-3" TargetMode="External"/><Relationship Id="rId98" Type="http://schemas.openxmlformats.org/officeDocument/2006/relationships/hyperlink" Target="http://pubs.rsc.org/en/Content/ArticleLanding/2026/EE/D5EE05955K" TargetMode="External"/><Relationship Id="rId99" Type="http://schemas.openxmlformats.org/officeDocument/2006/relationships/hyperlink" Target="https://www.sciencedirect.com/science/article/pii/S0306261926002333?dgcid=rss_sd_all" TargetMode="External"/><Relationship Id="rId100" Type="http://schemas.openxmlformats.org/officeDocument/2006/relationships/hyperlink" Target="http://dx.doi.org/10.1021/acs.chemrev.5c00772" TargetMode="External"/><Relationship Id="rId101" Type="http://schemas.openxmlformats.org/officeDocument/2006/relationships/hyperlink" Target="https://doi.org/10.1021/acs.chemrev.5c00772" TargetMode="External"/><Relationship Id="rId102" Type="http://schemas.openxmlformats.org/officeDocument/2006/relationships/hyperlink" Target="https://onlinelibrary.wiley.com/doi/10.1002/anie.2788872?af=R" TargetMode="External"/><Relationship Id="rId103" Type="http://schemas.openxmlformats.org/officeDocument/2006/relationships/hyperlink" Target="https://doi.org/10.1002/anie.2788872" TargetMode="External"/><Relationship Id="rId104" Type="http://schemas.openxmlformats.org/officeDocument/2006/relationships/hyperlink" Target="https://www.sciencedirect.com/science/article/pii/S0306261926002722?dgcid=rss_sd_all" TargetMode="External"/><Relationship Id="rId105" Type="http://schemas.openxmlformats.org/officeDocument/2006/relationships/hyperlink" Target="https://www.sciencedirect.com/science/article/pii/S0306261926002175?dgcid=rss_sd_all" TargetMode="External"/><Relationship Id="rId106" Type="http://schemas.openxmlformats.org/officeDocument/2006/relationships/hyperlink" Target="https://www.sciencedirect.com/science/article/pii/S030626192600200X?dgcid=rss_sd_all" TargetMode="External"/><Relationship Id="rId107" Type="http://schemas.openxmlformats.org/officeDocument/2006/relationships/hyperlink" Target="http://pubs.rsc.org/en/Content/ArticleLanding/2026/EE/D5EE06797A" TargetMode="External"/><Relationship Id="rId108" Type="http://schemas.openxmlformats.org/officeDocument/2006/relationships/hyperlink" Target="http://pubs.rsc.org/en/Content/ArticleLanding/2026/EE/D5EE07166F" TargetMode="External"/><Relationship Id="rId109" Type="http://schemas.openxmlformats.org/officeDocument/2006/relationships/hyperlink" Target="https://www.nature.com/articles/s44359-026-00150-9" TargetMode="External"/><Relationship Id="rId110" Type="http://schemas.openxmlformats.org/officeDocument/2006/relationships/hyperlink" Target="https://onlinelibrary.wiley.com/doi/10.1002/anie.202525047?af=R" TargetMode="External"/><Relationship Id="rId111" Type="http://schemas.openxmlformats.org/officeDocument/2006/relationships/hyperlink" Target="https://doi.org/10.1002/anie.202525047" TargetMode="External"/><Relationship Id="rId112" Type="http://schemas.openxmlformats.org/officeDocument/2006/relationships/hyperlink" Target="https://advanced.onlinelibrary.wiley.com/doi/10.1002/aenm.70741?af=R" TargetMode="External"/><Relationship Id="rId113" Type="http://schemas.openxmlformats.org/officeDocument/2006/relationships/hyperlink" Target="https://doi.org/10.1002/aenm.70741" TargetMode="External"/><Relationship Id="rId114" Type="http://schemas.openxmlformats.org/officeDocument/2006/relationships/hyperlink" Target="http://pubs.rsc.org/en/Content/ArticleLanding/2026/EE/D5EE07705B" TargetMode="External"/><Relationship Id="rId115" Type="http://schemas.openxmlformats.org/officeDocument/2006/relationships/hyperlink" Target="https://www.nature.com/articles/s44286-026-00362-7" TargetMode="External"/><Relationship Id="rId116" Type="http://schemas.openxmlformats.org/officeDocument/2006/relationships/hyperlink" Target="http://pubs.rsc.org/en/Content/ArticleLanding/2026/EE/D5EE07296D" TargetMode="External"/><Relationship Id="rId117" Type="http://schemas.openxmlformats.org/officeDocument/2006/relationships/hyperlink" Target="https://www.nature.com/articles/s41467-026-70089-9" TargetMode="External"/><Relationship Id="rId118" Type="http://schemas.openxmlformats.org/officeDocument/2006/relationships/hyperlink" Target="https://doi.org/10.1038/s41467-026-70089-9" TargetMode="External"/><Relationship Id="rId119" Type="http://schemas.openxmlformats.org/officeDocument/2006/relationships/hyperlink" Target="https://www.sciencedirect.com/science/article/pii/S0306261926002370?dgcid=rss_sd_all" TargetMode="External"/><Relationship Id="rId120" Type="http://schemas.openxmlformats.org/officeDocument/2006/relationships/hyperlink" Target="https://www.nature.com/articles/s41467-026-69956-2" TargetMode="External"/><Relationship Id="rId121" Type="http://schemas.openxmlformats.org/officeDocument/2006/relationships/hyperlink" Target="https://advanced.onlinelibrary.wiley.com/doi/10.1002/adma.72466?af=R" TargetMode="External"/><Relationship Id="rId122" Type="http://schemas.openxmlformats.org/officeDocument/2006/relationships/hyperlink" Target="https://doi.org/10.1002/adma.72466" TargetMode="External"/><Relationship Id="rId123" Type="http://schemas.openxmlformats.org/officeDocument/2006/relationships/hyperlink" Target="https://onlinelibrary.wiley.com/doi/10.1002/anie.202525056?af=R" TargetMode="External"/><Relationship Id="rId124" Type="http://schemas.openxmlformats.org/officeDocument/2006/relationships/hyperlink" Target="https://doi.org/10.1002/anie.202525056" TargetMode="External"/><Relationship Id="rId125" Type="http://schemas.openxmlformats.org/officeDocument/2006/relationships/hyperlink" Target="http://dx.doi.org/10.1021/jacs.6c00040" TargetMode="External"/><Relationship Id="rId126" Type="http://schemas.openxmlformats.org/officeDocument/2006/relationships/hyperlink" Target="https://doi.org/10.1021/jacs.6c00040" TargetMode="External"/><Relationship Id="rId127" Type="http://schemas.openxmlformats.org/officeDocument/2006/relationships/hyperlink" Target="https://www.sciencedirect.com/science/article/pii/S0301421526000844?dgcid=rss_sd_all" TargetMode="External"/><Relationship Id="rId128" Type="http://schemas.openxmlformats.org/officeDocument/2006/relationships/hyperlink" Target="https://www.sciencedirect.com/science/article/pii/S0306261926001996?dgcid=rss_sd_all" TargetMode="External"/><Relationship Id="rId129" Type="http://schemas.openxmlformats.org/officeDocument/2006/relationships/hyperlink" Target="https://www.sciencedirect.com/science/article/pii/S0306261926001510?dgcid=rss_sd_all" TargetMode="External"/><Relationship Id="rId130" Type="http://schemas.openxmlformats.org/officeDocument/2006/relationships/hyperlink" Target="https://advanced.onlinelibrary.wiley.com/doi/10.1002/adma.202522703?af=R" TargetMode="External"/><Relationship Id="rId131" Type="http://schemas.openxmlformats.org/officeDocument/2006/relationships/hyperlink" Target="https://doi.org/10.1002/adma.202522703" TargetMode="External"/><Relationship Id="rId132" Type="http://schemas.openxmlformats.org/officeDocument/2006/relationships/hyperlink" Target="https://www.nature.com/articles/d41586-026-00560-6" TargetMode="External"/><Relationship Id="rId133" Type="http://schemas.openxmlformats.org/officeDocument/2006/relationships/hyperlink" Target="https://www.sciencedirect.com/science/article/pii/S0301421526001138?dgcid=rss_sd_all" TargetMode="External"/><Relationship Id="rId134" Type="http://schemas.openxmlformats.org/officeDocument/2006/relationships/hyperlink" Target="https://www.sciencedirect.com/science/article/pii/S030626192600231X?dgcid=rss_sd_all" TargetMode="External"/><Relationship Id="rId135" Type="http://schemas.openxmlformats.org/officeDocument/2006/relationships/hyperlink" Target="https://www.sciencedirect.com/science/article/pii/S0306261926002503?dgcid=rss_sd_all" TargetMode="External"/><Relationship Id="rId136" Type="http://schemas.openxmlformats.org/officeDocument/2006/relationships/hyperlink" Target="https://www.cell.com/matter/fulltext/S2590-2385(25)00666-6?rss=yes" TargetMode="External"/><Relationship Id="rId137" Type="http://schemas.openxmlformats.org/officeDocument/2006/relationships/hyperlink" Target="https://www.science.org/doi/abs/10.1126/sciadv.aea8247?af=R" TargetMode="External"/><Relationship Id="rId138" Type="http://schemas.openxmlformats.org/officeDocument/2006/relationships/hyperlink" Target="https://doi.org/10.1126/sciadv.aea8247" TargetMode="External"/><Relationship Id="rId139" Type="http://schemas.openxmlformats.org/officeDocument/2006/relationships/hyperlink" Target="https://advanced.onlinelibrary.wiley.com/doi/10.1002/adma.202521163?af=R" TargetMode="External"/><Relationship Id="rId140" Type="http://schemas.openxmlformats.org/officeDocument/2006/relationships/hyperlink" Target="https://doi.org/10.1002/adma.202521163" TargetMode="External"/><Relationship Id="rId141" Type="http://schemas.openxmlformats.org/officeDocument/2006/relationships/hyperlink" Target="https://www.cell.com/joule/fulltext/S2542-4351(25)00484-2?rss=yes" TargetMode="External"/><Relationship Id="rId142" Type="http://schemas.openxmlformats.org/officeDocument/2006/relationships/hyperlink" Target="http://dx.doi.org/10.1021/jacs.5c19791" TargetMode="External"/><Relationship Id="rId143" Type="http://schemas.openxmlformats.org/officeDocument/2006/relationships/hyperlink" Target="https://doi.org/10.1021/jacs.5c19791" TargetMode="External"/><Relationship Id="rId144" Type="http://schemas.openxmlformats.org/officeDocument/2006/relationships/hyperlink" Target="https://www.sciencedirect.com/science/article/pii/S0306261926002485?dgcid=rss_sd_all" TargetMode="External"/><Relationship Id="rId145" Type="http://schemas.openxmlformats.org/officeDocument/2006/relationships/hyperlink" Target="https://www.nature.com/articles/s41565-026-02136-x" TargetMode="External"/><Relationship Id="rId146" Type="http://schemas.openxmlformats.org/officeDocument/2006/relationships/hyperlink" Target="https://doi.org/10.1038/s41565-026-02136-x" TargetMode="External"/><Relationship Id="rId147" Type="http://schemas.openxmlformats.org/officeDocument/2006/relationships/hyperlink" Target="https://www.sciencedirect.com/science/article/pii/S0306261926002369?dgcid=rss_sd_all" TargetMode="External"/><Relationship Id="rId148" Type="http://schemas.openxmlformats.org/officeDocument/2006/relationships/hyperlink" Target="https://advanced.onlinelibrary.wiley.com/doi/10.1002/adma.72666?af=R" TargetMode="External"/><Relationship Id="rId149" Type="http://schemas.openxmlformats.org/officeDocument/2006/relationships/hyperlink" Target="https://doi.org/10.1002/adma.72666" TargetMode="External"/><Relationship Id="rId150" Type="http://schemas.openxmlformats.org/officeDocument/2006/relationships/hyperlink" Target="https://www.sciencedirect.com/science/article/pii/S0306261926002655?dgcid=rss_sd_all" TargetMode="External"/><Relationship Id="rId151" Type="http://schemas.openxmlformats.org/officeDocument/2006/relationships/hyperlink" Target="https://www.sciencedirect.com/science/article/pii/S0306261926002710?dgcid=rss_sd_all" TargetMode="External"/><Relationship Id="rId152" Type="http://schemas.openxmlformats.org/officeDocument/2006/relationships/hyperlink" Target="https://www.sciencedirect.com/science/article/pii/S0301421526001266?dgcid=rss_sd_all" TargetMode="External"/><Relationship Id="rId153" Type="http://schemas.openxmlformats.org/officeDocument/2006/relationships/hyperlink" Target="https://www.nature.com/articles/s41893-026-01786-y" TargetMode="External"/><Relationship Id="rId154" Type="http://schemas.openxmlformats.org/officeDocument/2006/relationships/hyperlink" Target="https://www.sciencedirect.com/science/article/pii/S0306261926002151?dgcid=rss_sd_all" TargetMode="External"/><Relationship Id="rId155" Type="http://schemas.openxmlformats.org/officeDocument/2006/relationships/hyperlink" Target="https://www.sciencedirect.com/science/article/pii/S0306261926002199?dgcid=rss_sd_all" TargetMode="External"/><Relationship Id="rId156" Type="http://schemas.openxmlformats.org/officeDocument/2006/relationships/hyperlink" Target="https://www.pnas.org/doi/abs/10.1073/pnas.2526802123?mi=eymic2&amp;af=R&amp;access=on&amp;content=articlesChapters&amp;publication=pnas&amp;sortBy=Earliest&amp;target=default" TargetMode="External"/><Relationship Id="rId157" Type="http://schemas.openxmlformats.org/officeDocument/2006/relationships/hyperlink" Target="https://doi.org/10.1073/pnas.2526802123" TargetMode="External"/><Relationship Id="rId158" Type="http://schemas.openxmlformats.org/officeDocument/2006/relationships/hyperlink" Target="http://pubs.rsc.org/en/Content/ArticleLanding/2026/EE/D6EE00643D" TargetMode="External"/><Relationship Id="rId159" Type="http://schemas.openxmlformats.org/officeDocument/2006/relationships/hyperlink" Target="http://pubs.rsc.org/en/Content/ArticleLanding/2026/EE/D5EE07819A" TargetMode="External"/><Relationship Id="rId160" Type="http://schemas.openxmlformats.org/officeDocument/2006/relationships/hyperlink" Target="https://academic.oup.com/nsr/advance-article/doi/10.1093/nsr/nwag116/8496058?rss=1" TargetMode="External"/><Relationship Id="rId161" Type="http://schemas.openxmlformats.org/officeDocument/2006/relationships/hyperlink" Target="https://doi.org/10.1093/nsr/nwag116/8496058" TargetMode="External"/><Relationship Id="rId162" Type="http://schemas.openxmlformats.org/officeDocument/2006/relationships/hyperlink" Target="https://www.cell.com/chem/fulltext/S2451-9294(25)00501-7?rss=yes" TargetMode="External"/><Relationship Id="rId163" Type="http://schemas.openxmlformats.org/officeDocument/2006/relationships/hyperlink" Target="https://www.nature.com/articles/s44286-026-00366-3" TargetMode="External"/><Relationship Id="rId164" Type="http://schemas.openxmlformats.org/officeDocument/2006/relationships/hyperlink" Target="https://www.sciencedirect.com/science/article/pii/S0306261926002102?dgcid=rss_sd_all" TargetMode="External"/><Relationship Id="rId165" Type="http://schemas.openxmlformats.org/officeDocument/2006/relationships/hyperlink" Target="http://dx.doi.org/10.1021/jacs.5c20976" TargetMode="External"/><Relationship Id="rId166" Type="http://schemas.openxmlformats.org/officeDocument/2006/relationships/hyperlink" Target="https://doi.org/10.1021/jacs.5c20976" TargetMode="External"/><Relationship Id="rId167" Type="http://schemas.openxmlformats.org/officeDocument/2006/relationships/hyperlink" Target="https://www.sciencedirect.com/science/article/pii/S0306261926002357?dgcid=rss_sd_all" TargetMode="External"/><Relationship Id="rId168" Type="http://schemas.openxmlformats.org/officeDocument/2006/relationships/hyperlink" Target="https://www.cell.com/chem/fulltext/S2451-9294(26)00024-0?rss=yes" TargetMode="External"/><Relationship Id="rId169" Type="http://schemas.openxmlformats.org/officeDocument/2006/relationships/hyperlink" Target="http://dx.doi.org/10.1021/jacs.5c22970" TargetMode="External"/><Relationship Id="rId170" Type="http://schemas.openxmlformats.org/officeDocument/2006/relationships/hyperlink" Target="https://doi.org/10.1021/jacs.5c22970" TargetMode="External"/><Relationship Id="rId171" Type="http://schemas.openxmlformats.org/officeDocument/2006/relationships/hyperlink" Target="https://www.nature.com/articles/s41560-026-01973-3" TargetMode="External"/><Relationship Id="rId172" Type="http://schemas.openxmlformats.org/officeDocument/2006/relationships/hyperlink" Target="https://doi.org/10.1038/s41560-026-01973-3" TargetMode="External"/><Relationship Id="rId173" Type="http://schemas.openxmlformats.org/officeDocument/2006/relationships/hyperlink" Target="https://www.cell.com/chem/fulltext/S2451-9294(25)00509-1?rss=yes" TargetMode="External"/><Relationship Id="rId174" Type="http://schemas.openxmlformats.org/officeDocument/2006/relationships/hyperlink" Target="https://doi.org/10.1016/j.chempr.2025.102918" TargetMode="External"/><Relationship Id="rId175" Type="http://schemas.openxmlformats.org/officeDocument/2006/relationships/hyperlink" Target="https://www.pnas.org/doi/abs/10.1073/pnas.2528655123?mi=eymic2&amp;af=R&amp;access=on&amp;content=articlesChapters&amp;publication=pnas&amp;sortBy=Earliest&amp;target=default" TargetMode="External"/><Relationship Id="rId176" Type="http://schemas.openxmlformats.org/officeDocument/2006/relationships/hyperlink" Target="https://doi.org/10.1073/pnas.2528655123" TargetMode="External"/><Relationship Id="rId177" Type="http://schemas.openxmlformats.org/officeDocument/2006/relationships/hyperlink" Target="https://advanced.onlinelibrary.wiley.com/doi/10.1002/adma.72644?af=R" TargetMode="External"/><Relationship Id="rId178" Type="http://schemas.openxmlformats.org/officeDocument/2006/relationships/hyperlink" Target="https://doi.org/10.1002/adma.72644" TargetMode="External"/><Relationship Id="rId179" Type="http://schemas.openxmlformats.org/officeDocument/2006/relationships/hyperlink" Target="https://advanced.onlinelibrary.wiley.com/doi/10.1002/aenm.70795?af=R" TargetMode="External"/><Relationship Id="rId180" Type="http://schemas.openxmlformats.org/officeDocument/2006/relationships/hyperlink" Target="https://doi.org/10.1002/aenm.70795" TargetMode="External"/><Relationship Id="rId181" Type="http://schemas.openxmlformats.org/officeDocument/2006/relationships/hyperlink" Target="https://www.sciencedirect.com/science/article/pii/S0306261926002308?dgcid=rss_sd_all" TargetMode="External"/><Relationship Id="rId182" Type="http://schemas.openxmlformats.org/officeDocument/2006/relationships/hyperlink" Target="http://dx.doi.org/10.1021/jacs.6c01318" TargetMode="External"/><Relationship Id="rId183" Type="http://schemas.openxmlformats.org/officeDocument/2006/relationships/hyperlink" Target="https://doi.org/10.1021/jacs.6c01318" TargetMode="External"/><Relationship Id="rId184" Type="http://schemas.openxmlformats.org/officeDocument/2006/relationships/hyperlink" Target="https://www.nature.com/articles/s41578-026-00904-8" TargetMode="External"/><Relationship Id="rId185" Type="http://schemas.openxmlformats.org/officeDocument/2006/relationships/hyperlink" Target="https://onlinelibrary.wiley.com/doi/10.1002/anie.202521577?af=R" TargetMode="External"/><Relationship Id="rId186" Type="http://schemas.openxmlformats.org/officeDocument/2006/relationships/hyperlink" Target="https://doi.org/10.1002/anie.202521577" TargetMode="External"/><Relationship Id="rId187" Type="http://schemas.openxmlformats.org/officeDocument/2006/relationships/hyperlink" Target="https://www.nature.com/articles/s41467-026-69815-0" TargetMode="External"/><Relationship Id="rId188" Type="http://schemas.openxmlformats.org/officeDocument/2006/relationships/hyperlink" Target="https://www.sciencedirect.com/science/article/pii/S0306261926001637?dgcid=rss_sd_all" TargetMode="External"/><Relationship Id="rId189" Type="http://schemas.openxmlformats.org/officeDocument/2006/relationships/hyperlink" Target="https://www.sciencedirect.com/science/article/pii/S0306261926002126?dgcid=rss_sd_all" TargetMode="External"/><Relationship Id="rId190" Type="http://schemas.openxmlformats.org/officeDocument/2006/relationships/hyperlink" Target="https://www.nature.com/articles/d41586-026-00562-4" TargetMode="External"/><Relationship Id="rId191" Type="http://schemas.openxmlformats.org/officeDocument/2006/relationships/hyperlink" Target="https://www.nature.com/articles/d41586-026-00564-2" TargetMode="External"/><Relationship Id="rId192" Type="http://schemas.openxmlformats.org/officeDocument/2006/relationships/hyperlink" Target="https://www.nature.com/articles/d41586-026-00561-5" TargetMode="External"/><Relationship Id="rId193" Type="http://schemas.openxmlformats.org/officeDocument/2006/relationships/hyperlink" Target="https://www.nature.com/articles/d41586-026-00530-y" TargetMode="External"/><Relationship Id="rId194" Type="http://schemas.openxmlformats.org/officeDocument/2006/relationships/hyperlink" Target="https://www.nature.com/articles/d41586-026-00593-x" TargetMode="External"/><Relationship Id="rId195" Type="http://schemas.openxmlformats.org/officeDocument/2006/relationships/hyperlink" Target="https://www.nature.com/articles/d41586-026-00517-9" TargetMode="External"/><Relationship Id="rId196" Type="http://schemas.openxmlformats.org/officeDocument/2006/relationships/hyperlink" Target="https://www.nature.com/articles/d41586-026-00590-0" TargetMode="External"/><Relationship Id="rId197" Type="http://schemas.openxmlformats.org/officeDocument/2006/relationships/hyperlink" Target="https://www.nature.com/articles/d41586-026-00592-y" TargetMode="External"/><Relationship Id="rId198" Type="http://schemas.openxmlformats.org/officeDocument/2006/relationships/hyperlink" Target="https://www.nature.com/articles/d41586-026-00298-1" TargetMode="External"/><Relationship Id="rId199" Type="http://schemas.openxmlformats.org/officeDocument/2006/relationships/hyperlink" Target="https://www.nature.com/articles/d41586-026-00514-y" TargetMode="External"/><Relationship Id="rId200" Type="http://schemas.openxmlformats.org/officeDocument/2006/relationships/hyperlink" Target="https://www.nature.com/articles/d41586-026-00591-z" TargetMode="External"/><Relationship Id="rId201" Type="http://schemas.openxmlformats.org/officeDocument/2006/relationships/hyperlink" Target="https://www.nature.com/articles/s41586-026-10298-w" TargetMode="External"/><Relationship Id="rId202" Type="http://schemas.openxmlformats.org/officeDocument/2006/relationships/hyperlink" Target="https://www.nature.com/articles/s41586-026-10294-0" TargetMode="External"/><Relationship Id="rId203" Type="http://schemas.openxmlformats.org/officeDocument/2006/relationships/hyperlink" Target="https://www.cell.com/chem/fulltext/S2451-9294(25)00503-0?rss=yes" TargetMode="External"/><Relationship Id="rId204" Type="http://schemas.openxmlformats.org/officeDocument/2006/relationships/hyperlink" Target="https://www.sciencedirect.com/science/article/pii/S0306261926002084?dgcid=rss_sd_all" TargetMode="External"/><Relationship Id="rId205" Type="http://schemas.openxmlformats.org/officeDocument/2006/relationships/hyperlink" Target="https://www.sciencedirect.com/science/article/pii/S0306261926001893?dgcid=rss_sd_all" TargetMode="External"/><Relationship Id="rId206" Type="http://schemas.openxmlformats.org/officeDocument/2006/relationships/hyperlink" Target="https://www.sciencedirect.com/science/article/pii/S0306261926002205?dgcid=rss_sd_all" TargetMode="External"/><Relationship Id="rId207" Type="http://schemas.openxmlformats.org/officeDocument/2006/relationships/hyperlink" Target="http://pubs.rsc.org/en/Content/ArticleLanding/2026/CS/D5CS01550B" TargetMode="External"/><Relationship Id="rId208" Type="http://schemas.openxmlformats.org/officeDocument/2006/relationships/hyperlink" Target="https://www.nature.com/articles/d41586-026-00609-6" TargetMode="External"/><Relationship Id="rId209" Type="http://schemas.openxmlformats.org/officeDocument/2006/relationships/hyperlink" Target="https://www.sciencedirect.com/science/article/pii/S0301421526001308?dgcid=rss_sd_all" TargetMode="External"/><Relationship Id="rId210" Type="http://schemas.openxmlformats.org/officeDocument/2006/relationships/hyperlink" Target="https://www.nature.com/articles/s41578-026-00897-4" TargetMode="External"/><Relationship Id="rId211" Type="http://schemas.openxmlformats.org/officeDocument/2006/relationships/hyperlink" Target="https://www.nature.com/articles/s41565-025-02065-1" TargetMode="External"/><Relationship Id="rId212" Type="http://schemas.openxmlformats.org/officeDocument/2006/relationships/hyperlink" Target="https://www.nature.com/articles/s41467-026-69975-z" TargetMode="External"/><Relationship Id="rId213" Type="http://schemas.openxmlformats.org/officeDocument/2006/relationships/hyperlink" Target="https://www.nature.com/articles/s41467-026-69973-1" TargetMode="External"/><Relationship Id="rId214" Type="http://schemas.openxmlformats.org/officeDocument/2006/relationships/hyperlink" Target="https://www.nature.com/articles/s41893-026-01788-w" TargetMode="External"/><Relationship Id="rId215" Type="http://schemas.openxmlformats.org/officeDocument/2006/relationships/hyperlink" Target="https://www.sciencedirect.com/science/article/pii/S0306261926002011?dgcid=rss_sd_all" TargetMode="External"/><Relationship Id="rId216" Type="http://schemas.openxmlformats.org/officeDocument/2006/relationships/hyperlink" Target="https://www.sciencedirect.com/science/article/pii/S0301421526000881?dgcid=rss_sd_all" TargetMode="External"/><Relationship Id="rId217" Type="http://schemas.openxmlformats.org/officeDocument/2006/relationships/hyperlink" Target="https://www.nature.com/articles/s44286-026-00358-3" TargetMode="External"/><Relationship Id="rId218" Type="http://schemas.openxmlformats.org/officeDocument/2006/relationships/hyperlink" Target="http://pubs.rsc.org/en/Content/ArticleLanding/2026/CS/D5CS00923E" TargetMode="External"/><Relationship Id="rId219" Type="http://schemas.openxmlformats.org/officeDocument/2006/relationships/hyperlink" Target="https://www.nature.com/articles/s41893-026-01777-z" TargetMode="External"/><Relationship Id="rId220" Type="http://schemas.openxmlformats.org/officeDocument/2006/relationships/hyperlink" Target="https://www.nature.com/articles/s41467-026-69791-5" TargetMode="External"/><Relationship Id="rId221" Type="http://schemas.openxmlformats.org/officeDocument/2006/relationships/hyperlink" Target="https://www.nature.com/articles/s41467-026-69996-8" TargetMode="External"/><Relationship Id="rId222" Type="http://schemas.openxmlformats.org/officeDocument/2006/relationships/hyperlink" Target="https://www.nature.com/articles/s41467-026-69784-4" TargetMode="External"/><Relationship Id="rId223" Type="http://schemas.openxmlformats.org/officeDocument/2006/relationships/hyperlink" Target="https://www.nature.com/articles/s41893-026-01774-2" TargetMode="External"/><Relationship Id="rId224" Type="http://schemas.openxmlformats.org/officeDocument/2006/relationships/hyperlink" Target="https://www.nature.com/articles/s44359-026-00155-4" TargetMode="External"/><Relationship Id="rId225" Type="http://schemas.openxmlformats.org/officeDocument/2006/relationships/hyperlink" Target="https://www.sciencedirect.com/science/article/pii/S0306261926002163?dgcid=rss_sd_all" TargetMode="External"/><Relationship Id="rId226" Type="http://schemas.openxmlformats.org/officeDocument/2006/relationships/hyperlink" Target="https://www.nature.com/articles/s41467-026-70025-x" TargetMode="External"/><Relationship Id="rId227" Type="http://schemas.openxmlformats.org/officeDocument/2006/relationships/hyperlink" Target="https://www.nature.com/articles/s41467-026-69904-0" TargetMode="External"/><Relationship Id="rId228" Type="http://schemas.openxmlformats.org/officeDocument/2006/relationships/hyperlink" Target="https://www.sciencedirect.com/science/article/pii/S0306261926002382?dgcid=rss_sd_all" TargetMode="External"/><Relationship Id="rId229" Type="http://schemas.openxmlformats.org/officeDocument/2006/relationships/hyperlink" Target="https://www.sciencedirect.com/science/article/pii/S0306261926002278?dgcid=rss_sd_all" TargetMode="External"/><Relationship Id="rId230" Type="http://schemas.openxmlformats.org/officeDocument/2006/relationships/hyperlink" Target="https://www.cell.com/matter/fulltext/S2590-2385(25)00664-2?rss=yes" TargetMode="External"/><Relationship Id="rId231" Type="http://schemas.openxmlformats.org/officeDocument/2006/relationships/hyperlink" Target="https://www.pnas.org/doi/abs/10.1073/pnas.2510334123?mi=eymic2&amp;af=R&amp;access=on&amp;content=articlesChapters&amp;publication=pnas&amp;sortBy=Earliest&amp;target=default" TargetMode="External"/><Relationship Id="rId232" Type="http://schemas.openxmlformats.org/officeDocument/2006/relationships/hyperlink" Target="https://doi.org/10.1073/pnas.2510334123" TargetMode="External"/><Relationship Id="rId233" Type="http://schemas.openxmlformats.org/officeDocument/2006/relationships/hyperlink" Target="https://www.pnas.org/doi/abs/10.1073/iti0826123?mi=eymic2&amp;af=R&amp;access=on&amp;content=articlesChapters&amp;publication=pnas&amp;sortBy=Earliest&amp;target=default" TargetMode="External"/><Relationship Id="rId234" Type="http://schemas.openxmlformats.org/officeDocument/2006/relationships/hyperlink" Target="https://doi.org/10.1073/iti0826123" TargetMode="External"/><Relationship Id="rId235" Type="http://schemas.openxmlformats.org/officeDocument/2006/relationships/hyperlink" Target="https://www.pnas.org/doi/abs/10.1073/pnas.2514343123?mi=eymic2&amp;af=R&amp;access=on&amp;content=articlesChapters&amp;publication=pnas&amp;sortBy=Earliest&amp;target=default" TargetMode="External"/><Relationship Id="rId236" Type="http://schemas.openxmlformats.org/officeDocument/2006/relationships/hyperlink" Target="https://doi.org/10.1073/pnas.2514343123" TargetMode="External"/><Relationship Id="rId237" Type="http://schemas.openxmlformats.org/officeDocument/2006/relationships/hyperlink" Target="https://www.pnas.org/doi/abs/10.1073/pnas.2522313123?mi=eymic2&amp;af=R&amp;access=on&amp;content=articlesChapters&amp;publication=pnas&amp;sortBy=Earliest&amp;target=default" TargetMode="External"/><Relationship Id="rId238" Type="http://schemas.openxmlformats.org/officeDocument/2006/relationships/hyperlink" Target="https://doi.org/10.1073/pnas.2522313123" TargetMode="External"/><Relationship Id="rId239" Type="http://schemas.openxmlformats.org/officeDocument/2006/relationships/hyperlink" Target="https://www.pnas.org/doi/abs/10.1073/pnas.2526734123?mi=eymic2&amp;af=R&amp;access=on&amp;content=articlesChapters&amp;publication=pnas&amp;sortBy=Earliest&amp;target=default" TargetMode="External"/><Relationship Id="rId240" Type="http://schemas.openxmlformats.org/officeDocument/2006/relationships/hyperlink" Target="https://doi.org/10.1073/pnas.2526734123" TargetMode="External"/><Relationship Id="rId241" Type="http://schemas.openxmlformats.org/officeDocument/2006/relationships/hyperlink" Target="https://www.pnas.org/doi/abs/10.1073/pnas.2524463123?mi=eymic2&amp;af=R&amp;access=on&amp;content=articlesChapters&amp;publication=pnas&amp;sortBy=Earliest&amp;target=default" TargetMode="External"/><Relationship Id="rId242" Type="http://schemas.openxmlformats.org/officeDocument/2006/relationships/hyperlink" Target="https://doi.org/10.1073/pnas.2524463123" TargetMode="External"/><Relationship Id="rId243" Type="http://schemas.openxmlformats.org/officeDocument/2006/relationships/hyperlink" Target="https://www.pnas.org/doi/abs/10.1073/pnas.2527567123?mi=eymic2&amp;af=R&amp;access=on&amp;content=articlesChapters&amp;publication=pnas&amp;sortBy=Earliest&amp;target=default" TargetMode="External"/><Relationship Id="rId244" Type="http://schemas.openxmlformats.org/officeDocument/2006/relationships/hyperlink" Target="https://doi.org/10.1073/pnas.2527567123" TargetMode="External"/><Relationship Id="rId245" Type="http://schemas.openxmlformats.org/officeDocument/2006/relationships/hyperlink" Target="https://www.pnas.org/doi/abs/10.1073/pnas.2532817123?mi=eymic2&amp;af=R&amp;access=on&amp;content=articlesChapters&amp;publication=pnas&amp;sortBy=Earliest&amp;target=default" TargetMode="External"/><Relationship Id="rId246" Type="http://schemas.openxmlformats.org/officeDocument/2006/relationships/hyperlink" Target="https://doi.org/10.1073/pnas.2532817123" TargetMode="External"/><Relationship Id="rId247" Type="http://schemas.openxmlformats.org/officeDocument/2006/relationships/hyperlink" Target="https://www.pnas.org/doi/abs/10.1073/pnas.2535073123?mi=eymic2&amp;af=R&amp;access=on&amp;content=articlesChapters&amp;publication=pnas&amp;sortBy=Earliest&amp;target=default" TargetMode="External"/><Relationship Id="rId248" Type="http://schemas.openxmlformats.org/officeDocument/2006/relationships/hyperlink" Target="https://doi.org/10.1073/pnas.2535073123" TargetMode="External"/><Relationship Id="rId249" Type="http://schemas.openxmlformats.org/officeDocument/2006/relationships/hyperlink" Target="https://www.pnas.org/doi/abs/10.1073/pnas.2503721123?mi=eymic2&amp;af=R&amp;access=on&amp;content=articlesChapters&amp;publication=pnas&amp;sortBy=Earliest&amp;target=default" TargetMode="External"/><Relationship Id="rId250" Type="http://schemas.openxmlformats.org/officeDocument/2006/relationships/hyperlink" Target="https://doi.org/10.1073/pnas.2503721123" TargetMode="External"/><Relationship Id="rId251" Type="http://schemas.openxmlformats.org/officeDocument/2006/relationships/hyperlink" Target="https://www.pnas.org/doi/abs/10.1073/pnas.2522764123?mi=eymic2&amp;af=R&amp;access=on&amp;content=articlesChapters&amp;publication=pnas&amp;sortBy=Earliest&amp;target=default" TargetMode="External"/><Relationship Id="rId252" Type="http://schemas.openxmlformats.org/officeDocument/2006/relationships/hyperlink" Target="https://doi.org/10.1073/pnas.2522764123" TargetMode="External"/><Relationship Id="rId253" Type="http://schemas.openxmlformats.org/officeDocument/2006/relationships/hyperlink" Target="http://dx.doi.org/10.1021/jacs.6c00769" TargetMode="External"/><Relationship Id="rId254" Type="http://schemas.openxmlformats.org/officeDocument/2006/relationships/hyperlink" Target="https://doi.org/10.1021/jacs.6c00769" TargetMode="External"/><Relationship Id="rId255" Type="http://schemas.openxmlformats.org/officeDocument/2006/relationships/hyperlink" Target="https://advanced.onlinelibrary.wiley.com/doi/10.1002/adma.202520030?af=R" TargetMode="External"/><Relationship Id="rId256" Type="http://schemas.openxmlformats.org/officeDocument/2006/relationships/hyperlink" Target="https://doi.org/10.1002/adma.202520030" TargetMode="External"/><Relationship Id="rId257" Type="http://schemas.openxmlformats.org/officeDocument/2006/relationships/hyperlink" Target="https://advanced.onlinelibrary.wiley.com/doi/10.1002/adma.202518572?af=R" TargetMode="External"/><Relationship Id="rId258" Type="http://schemas.openxmlformats.org/officeDocument/2006/relationships/hyperlink" Target="https://doi.org/10.1002/adma.202518572" TargetMode="External"/><Relationship Id="rId259" Type="http://schemas.openxmlformats.org/officeDocument/2006/relationships/hyperlink" Target="http://dx.doi.org/10.1021/jacs.5c22150" TargetMode="External"/><Relationship Id="rId260" Type="http://schemas.openxmlformats.org/officeDocument/2006/relationships/hyperlink" Target="https://doi.org/10.1021/jacs.5c22150" TargetMode="External"/><Relationship Id="rId261" Type="http://schemas.openxmlformats.org/officeDocument/2006/relationships/hyperlink" Target="http://dx.doi.org/10.1021/jacs.5c13802" TargetMode="External"/><Relationship Id="rId262" Type="http://schemas.openxmlformats.org/officeDocument/2006/relationships/hyperlink" Target="https://doi.org/10.1021/jacs.5c13802" TargetMode="External"/><Relationship Id="rId263" Type="http://schemas.openxmlformats.org/officeDocument/2006/relationships/hyperlink" Target="https://onlinelibrary.wiley.com/doi/10.1002/anie.9929509?af=R" TargetMode="External"/><Relationship Id="rId264" Type="http://schemas.openxmlformats.org/officeDocument/2006/relationships/hyperlink" Target="https://doi.org/10.1002/anie.9929509" TargetMode="External"/><Relationship Id="rId265" Type="http://schemas.openxmlformats.org/officeDocument/2006/relationships/hyperlink" Target="https://advanced.onlinelibrary.wiley.com/doi/10.1002/adma.202517594?af=R" TargetMode="External"/><Relationship Id="rId266" Type="http://schemas.openxmlformats.org/officeDocument/2006/relationships/hyperlink" Target="https://doi.org/10.1002/adma.202517594" TargetMode="External"/><Relationship Id="rId267" Type="http://schemas.openxmlformats.org/officeDocument/2006/relationships/hyperlink" Target="https://onlinelibrary.wiley.com/doi/10.1002/anie.202525558?af=R" TargetMode="External"/><Relationship Id="rId268" Type="http://schemas.openxmlformats.org/officeDocument/2006/relationships/hyperlink" Target="https://doi.org/10.1002/anie.202525558" TargetMode="External"/><Relationship Id="rId269" Type="http://schemas.openxmlformats.org/officeDocument/2006/relationships/hyperlink" Target="https://advanced.onlinelibrary.wiley.com/doi/10.1002/adma.202521475?af=R" TargetMode="External"/><Relationship Id="rId270" Type="http://schemas.openxmlformats.org/officeDocument/2006/relationships/hyperlink" Target="https://doi.org/10.1002/adma.202521475" TargetMode="External"/><Relationship Id="rId271" Type="http://schemas.openxmlformats.org/officeDocument/2006/relationships/hyperlink" Target="https://onlinelibrary.wiley.com/doi/10.1002/anie.202524232?af=R" TargetMode="External"/><Relationship Id="rId272" Type="http://schemas.openxmlformats.org/officeDocument/2006/relationships/hyperlink" Target="https://doi.org/10.1002/anie.202524232" TargetMode="External"/><Relationship Id="rId273" Type="http://schemas.openxmlformats.org/officeDocument/2006/relationships/hyperlink" Target="https://onlinelibrary.wiley.com/doi/10.1002/anie.202525769?af=R" TargetMode="External"/><Relationship Id="rId274" Type="http://schemas.openxmlformats.org/officeDocument/2006/relationships/hyperlink" Target="https://doi.org/10.1002/anie.202525769" TargetMode="External"/><Relationship Id="rId275" Type="http://schemas.openxmlformats.org/officeDocument/2006/relationships/hyperlink" Target="http://dx.doi.org/10.1021/jacs.6c01756" TargetMode="External"/><Relationship Id="rId276" Type="http://schemas.openxmlformats.org/officeDocument/2006/relationships/hyperlink" Target="https://doi.org/10.1021/jacs.6c01756" TargetMode="External"/><Relationship Id="rId277" Type="http://schemas.openxmlformats.org/officeDocument/2006/relationships/hyperlink" Target="http://dx.doi.org/10.1021/jacs.6c02114" TargetMode="External"/><Relationship Id="rId278" Type="http://schemas.openxmlformats.org/officeDocument/2006/relationships/hyperlink" Target="https://doi.org/10.1021/jacs.6c02114" TargetMode="External"/><Relationship Id="rId279" Type="http://schemas.openxmlformats.org/officeDocument/2006/relationships/hyperlink" Target="http://dx.doi.org/10.1021/jacs.5c21287" TargetMode="External"/><Relationship Id="rId280" Type="http://schemas.openxmlformats.org/officeDocument/2006/relationships/hyperlink" Target="https://doi.org/10.1021/jacs.5c21287" TargetMode="External"/><Relationship Id="rId281" Type="http://schemas.openxmlformats.org/officeDocument/2006/relationships/hyperlink" Target="http://dx.doi.org/10.1021/jacs.5c19539" TargetMode="External"/><Relationship Id="rId282" Type="http://schemas.openxmlformats.org/officeDocument/2006/relationships/hyperlink" Target="https://doi.org/10.1021/jacs.5c19539" TargetMode="External"/><Relationship Id="rId283" Type="http://schemas.openxmlformats.org/officeDocument/2006/relationships/hyperlink" Target="http://dx.doi.org/10.1021/jacs.6c01503" TargetMode="External"/><Relationship Id="rId284" Type="http://schemas.openxmlformats.org/officeDocument/2006/relationships/hyperlink" Target="https://doi.org/10.1021/jacs.6c01503" TargetMode="External"/><Relationship Id="rId285" Type="http://schemas.openxmlformats.org/officeDocument/2006/relationships/hyperlink" Target="http://dx.doi.org/10.1021/jacs.6c01708" TargetMode="External"/><Relationship Id="rId286" Type="http://schemas.openxmlformats.org/officeDocument/2006/relationships/hyperlink" Target="https://doi.org/10.1021/jacs.6c01708" TargetMode="External"/><Relationship Id="rId287" Type="http://schemas.openxmlformats.org/officeDocument/2006/relationships/hyperlink" Target="http://dx.doi.org/10.1021/acs.chemrev.6c00071" TargetMode="External"/><Relationship Id="rId288" Type="http://schemas.openxmlformats.org/officeDocument/2006/relationships/hyperlink" Target="https://doi.org/10.1021/acs.chemrev.6c00071" TargetMode="External"/><Relationship Id="rId289" Type="http://schemas.openxmlformats.org/officeDocument/2006/relationships/hyperlink" Target="http://dx.doi.org/10.1021/jacs.5c21300" TargetMode="External"/><Relationship Id="rId290" Type="http://schemas.openxmlformats.org/officeDocument/2006/relationships/hyperlink" Target="https://doi.org/10.1021/jacs.5c21300" TargetMode="External"/><Relationship Id="rId291" Type="http://schemas.openxmlformats.org/officeDocument/2006/relationships/hyperlink" Target="http://dx.doi.org/10.1021/acs.chemrev.5c00527" TargetMode="External"/><Relationship Id="rId292" Type="http://schemas.openxmlformats.org/officeDocument/2006/relationships/hyperlink" Target="https://doi.org/10.1021/acs.chemrev.5c00527" TargetMode="External"/><Relationship Id="rId293" Type="http://schemas.openxmlformats.org/officeDocument/2006/relationships/hyperlink" Target="http://dx.doi.org/10.1021/acsenergylett.6c00100" TargetMode="External"/><Relationship Id="rId294" Type="http://schemas.openxmlformats.org/officeDocument/2006/relationships/hyperlink" Target="https://doi.org/10.1021/acsenergylett.6c00100" TargetMode="External"/><Relationship Id="rId295" Type="http://schemas.openxmlformats.org/officeDocument/2006/relationships/hyperlink" Target="http://dx.doi.org/10.1021/jacs.5c20533" TargetMode="External"/><Relationship Id="rId296" Type="http://schemas.openxmlformats.org/officeDocument/2006/relationships/hyperlink" Target="https://doi.org/10.1021/jacs.5c20533" TargetMode="External"/><Relationship Id="rId297" Type="http://schemas.openxmlformats.org/officeDocument/2006/relationships/hyperlink" Target="http://dx.doi.org/10.1021/jacs.6c01667" TargetMode="External"/><Relationship Id="rId298" Type="http://schemas.openxmlformats.org/officeDocument/2006/relationships/hyperlink" Target="https://doi.org/10.1021/jacs.6c01667" TargetMode="External"/><Relationship Id="rId299" Type="http://schemas.openxmlformats.org/officeDocument/2006/relationships/hyperlink" Target="http://dx.doi.org/10.1021/jacs.6c01709" TargetMode="External"/><Relationship Id="rId300" Type="http://schemas.openxmlformats.org/officeDocument/2006/relationships/hyperlink" Target="https://doi.org/10.1021/jacs.6c01709" TargetMode="External"/><Relationship Id="rId301" Type="http://schemas.openxmlformats.org/officeDocument/2006/relationships/hyperlink" Target="http://dx.doi.org/10.1021/jacs.5c19650" TargetMode="External"/><Relationship Id="rId302" Type="http://schemas.openxmlformats.org/officeDocument/2006/relationships/hyperlink" Target="https://doi.org/10.1021/jacs.5c19650" TargetMode="External"/><Relationship Id="rId303" Type="http://schemas.openxmlformats.org/officeDocument/2006/relationships/hyperlink" Target="http://dx.doi.org/10.1021/jacs.6c00523" TargetMode="External"/><Relationship Id="rId304" Type="http://schemas.openxmlformats.org/officeDocument/2006/relationships/hyperlink" Target="https://doi.org/10.1021/jacs.6c00523" TargetMode="External"/><Relationship Id="rId305" Type="http://schemas.openxmlformats.org/officeDocument/2006/relationships/hyperlink" Target="http://dx.doi.org/10.1021/acsenergylett.5c03797" TargetMode="External"/><Relationship Id="rId306" Type="http://schemas.openxmlformats.org/officeDocument/2006/relationships/hyperlink" Target="https://doi.org/10.1021/acsenergylett.5c03797" TargetMode="External"/><Relationship Id="rId307" Type="http://schemas.openxmlformats.org/officeDocument/2006/relationships/hyperlink" Target="https://www.nature.com/articles/d41586-026-00554-4" TargetMode="External"/><Relationship Id="rId308" Type="http://schemas.openxmlformats.org/officeDocument/2006/relationships/hyperlink" Target="https://www.nature.com/articles/s41586-025-10062-6" TargetMode="External"/><Relationship Id="rId309" Type="http://schemas.openxmlformats.org/officeDocument/2006/relationships/hyperlink" Target="https://www.nature.com/articles/d41586-025-04161-7" TargetMode="External"/><Relationship Id="rId310" Type="http://schemas.openxmlformats.org/officeDocument/2006/relationships/hyperlink" Target="https://www.nature.com/articles/s41586-026-10163-w" TargetMode="External"/><Relationship Id="rId311" Type="http://schemas.openxmlformats.org/officeDocument/2006/relationships/hyperlink" Target="https://www.nature.com/articles/s41586-026-10149-8" TargetMode="External"/><Relationship Id="rId312" Type="http://schemas.openxmlformats.org/officeDocument/2006/relationships/hyperlink" Target="https://www.nature.com/articles/s41586-026-10187-2" TargetMode="External"/><Relationship Id="rId313" Type="http://schemas.openxmlformats.org/officeDocument/2006/relationships/hyperlink" Target="https://www.nature.com/articles/s41586-026-10142-1" TargetMode="External"/><Relationship Id="rId314" Type="http://schemas.openxmlformats.org/officeDocument/2006/relationships/hyperlink" Target="https://www.nature.com/articles/s41586-026-10175-6" TargetMode="External"/><Relationship Id="rId315" Type="http://schemas.openxmlformats.org/officeDocument/2006/relationships/hyperlink" Target="https://www.nature.com/articles/s41586-026-10194-3" TargetMode="External"/><Relationship Id="rId316" Type="http://schemas.openxmlformats.org/officeDocument/2006/relationships/hyperlink" Target="https://www.nature.com/articles/s41586-026-10159-6" TargetMode="External"/><Relationship Id="rId317" Type="http://schemas.openxmlformats.org/officeDocument/2006/relationships/hyperlink" Target="https://www.nature.com/articles/d41586-026-00573-1" TargetMode="External"/><Relationship Id="rId318" Type="http://schemas.openxmlformats.org/officeDocument/2006/relationships/hyperlink" Target="https://www.nature.com/articles/s41467-026-70001-5" TargetMode="External"/><Relationship Id="rId319" Type="http://schemas.openxmlformats.org/officeDocument/2006/relationships/hyperlink" Target="https://www.nature.com/articles/s41586-025-10064-4" TargetMode="External"/><Relationship Id="rId320" Type="http://schemas.openxmlformats.org/officeDocument/2006/relationships/hyperlink" Target="https://www.nature.com/articles/s41586-026-10121-6" TargetMode="External"/><Relationship Id="rId321" Type="http://schemas.openxmlformats.org/officeDocument/2006/relationships/hyperlink" Target="https://www.nature.com/articles/s41586-026-10169-4" TargetMode="External"/><Relationship Id="rId322" Type="http://schemas.openxmlformats.org/officeDocument/2006/relationships/hyperlink" Target="https://www.nature.com/articles/s41586-026-10171-w" TargetMode="External"/><Relationship Id="rId323" Type="http://schemas.openxmlformats.org/officeDocument/2006/relationships/hyperlink" Target="https://www.nature.com/articles/d41586-026-00584-y" TargetMode="External"/><Relationship Id="rId324" Type="http://schemas.openxmlformats.org/officeDocument/2006/relationships/hyperlink" Target="https://www.nature.com/articles/d41586-026-00544-6" TargetMode="External"/><Relationship Id="rId325" Type="http://schemas.openxmlformats.org/officeDocument/2006/relationships/hyperlink" Target="https://www.nature.com/articles/d41586-026-00563-3" TargetMode="External"/><Relationship Id="rId326" Type="http://schemas.openxmlformats.org/officeDocument/2006/relationships/hyperlink" Target="https://www.nature.com/articles/d41586-026-00570-4" TargetMode="External"/><Relationship Id="rId327" Type="http://schemas.openxmlformats.org/officeDocument/2006/relationships/hyperlink" Target="https://www.nature.com/articles/d41586-026-00292-7" TargetMode="External"/><Relationship Id="rId328" Type="http://schemas.openxmlformats.org/officeDocument/2006/relationships/hyperlink" Target="https://www.nature.com/articles/d41586-026-00599-5" TargetMode="External"/><Relationship Id="rId329" Type="http://schemas.openxmlformats.org/officeDocument/2006/relationships/hyperlink" Target="https://www.nature.com/articles/d41586-026-00040-x" TargetMode="External"/><Relationship Id="rId330" Type="http://schemas.openxmlformats.org/officeDocument/2006/relationships/hyperlink" Target="https://www.nature.com/articles/s41586-026-10161-y" TargetMode="External"/><Relationship Id="rId331" Type="http://schemas.openxmlformats.org/officeDocument/2006/relationships/hyperlink" Target="https://www.nature.com/articles/d41586-026-00293-6" TargetMode="External"/><Relationship Id="rId332" Type="http://schemas.openxmlformats.org/officeDocument/2006/relationships/hyperlink" Target="https://www.nature.com/articles/s41557-026-02079-9" TargetMode="External"/><Relationship Id="rId333" Type="http://schemas.openxmlformats.org/officeDocument/2006/relationships/hyperlink" Target="https://www.nature.com/articles/s41560-026-02002-z" TargetMode="External"/><Relationship Id="rId334" Type="http://schemas.openxmlformats.org/officeDocument/2006/relationships/hyperlink" Target="https://www.nature.com/articles/d41586-026-00295-4" TargetMode="External"/><Relationship Id="rId335" Type="http://schemas.openxmlformats.org/officeDocument/2006/relationships/hyperlink" Target="https://www.nature.com/articles/s41928-026-01577-5" TargetMode="External"/><Relationship Id="rId336" Type="http://schemas.openxmlformats.org/officeDocument/2006/relationships/hyperlink" Target="https://www.nature.com/articles/d41586-026-00623-8" TargetMode="External"/><Relationship Id="rId337" Type="http://schemas.openxmlformats.org/officeDocument/2006/relationships/hyperlink" Target="https://www.nature.com/articles/d41586-026-00296-3" TargetMode="External"/><Relationship Id="rId338" Type="http://schemas.openxmlformats.org/officeDocument/2006/relationships/hyperlink" Target="https://www.nature.com/articles/d41586-026-00374-6" TargetMode="External"/><Relationship Id="rId339" Type="http://schemas.openxmlformats.org/officeDocument/2006/relationships/hyperlink" Target="https://www.nature.com/articles/d41586-026-00294-5" TargetMode="External"/><Relationship Id="rId340" Type="http://schemas.openxmlformats.org/officeDocument/2006/relationships/hyperlink" Target="https://www.nature.com/articles/s41586-026-10132-3" TargetMode="External"/><Relationship Id="rId341" Type="http://schemas.openxmlformats.org/officeDocument/2006/relationships/hyperlink" Target="https://www.nature.com/articles/s41557-026-02072-2" TargetMode="External"/><Relationship Id="rId342" Type="http://schemas.openxmlformats.org/officeDocument/2006/relationships/hyperlink" Target="https://www.nature.com/articles/s41586-026-10158-7" TargetMode="External"/><Relationship Id="rId343" Type="http://schemas.openxmlformats.org/officeDocument/2006/relationships/hyperlink" Target="https://www.nature.com/articles/s41578-026-00898-3" TargetMode="External"/><Relationship Id="rId344" Type="http://schemas.openxmlformats.org/officeDocument/2006/relationships/hyperlink" Target="https://www.nature.com/articles/s41586-026-10162-x" TargetMode="External"/><Relationship Id="rId345" Type="http://schemas.openxmlformats.org/officeDocument/2006/relationships/hyperlink" Target="https://academic.oup.com/nsr/advance-article/doi/10.1093/nsr/nwag115/8497412?rss=1" TargetMode="External"/><Relationship Id="rId346" Type="http://schemas.openxmlformats.org/officeDocument/2006/relationships/hyperlink" Target="https://doi.org/10.1093/nsr/nwag115/8497412" TargetMode="External"/><Relationship Id="rId347" Type="http://schemas.openxmlformats.org/officeDocument/2006/relationships/hyperlink" Target="https://www.nature.com/articles/s41560-026-02000-1" TargetMode="External"/><Relationship Id="rId348" Type="http://schemas.openxmlformats.org/officeDocument/2006/relationships/hyperlink" Target="https://academic.oup.com/nsr/advance-article/doi/10.1093/nsr/nwag117/8497410?rss=1" TargetMode="External"/><Relationship Id="rId349" Type="http://schemas.openxmlformats.org/officeDocument/2006/relationships/hyperlink" Target="https://doi.org/10.1093/nsr/nwag117/8497410" TargetMode="External"/><Relationship Id="rId350" Type="http://schemas.openxmlformats.org/officeDocument/2006/relationships/hyperlink" Target="https://www.nature.com/articles/s41557-026-02074-0" TargetMode="External"/><Relationship Id="rId351" Type="http://schemas.openxmlformats.org/officeDocument/2006/relationships/hyperlink" Target="https://www.nature.com/articles/d41586-026-00569-x" TargetMode="External"/><Relationship Id="rId352" Type="http://schemas.openxmlformats.org/officeDocument/2006/relationships/hyperlink" Target="http://pubs.rsc.org/en/Content/ArticleLanding/2026/EE/D5EE06226H" TargetMode="External"/><Relationship Id="rId353" Type="http://schemas.openxmlformats.org/officeDocument/2006/relationships/hyperlink" Target="https://www.nature.com/articles/s41586-026-10207-1" TargetMode="External"/><Relationship Id="rId354" Type="http://schemas.openxmlformats.org/officeDocument/2006/relationships/hyperlink" Target="https://www.nature.com/articles/s41586-026-10164-9" TargetMode="External"/><Relationship Id="rId355" Type="http://schemas.openxmlformats.org/officeDocument/2006/relationships/hyperlink" Target="https://www.nature.com/articles/s41565-026-02127-y" TargetMode="External"/><Relationship Id="rId356" Type="http://schemas.openxmlformats.org/officeDocument/2006/relationships/hyperlink" Target="https://www.nature.com/articles/s41586-026-10150-1" TargetMode="External"/><Relationship Id="rId357" Type="http://schemas.openxmlformats.org/officeDocument/2006/relationships/hyperlink" Target="https://www.nature.com/articles/s41560-026-02003-y" TargetMode="External"/><Relationship Id="rId358" Type="http://schemas.openxmlformats.org/officeDocument/2006/relationships/hyperlink" Target="https://www.nature.com/articles/s41560-026-02001-0" TargetMode="External"/><Relationship Id="rId359" Type="http://schemas.openxmlformats.org/officeDocument/2006/relationships/hyperlink" Target="https://www.nature.com/articles/s41586-026-10190-7" TargetMode="External"/><Relationship Id="rId360" Type="http://schemas.openxmlformats.org/officeDocument/2006/relationships/hyperlink" Target="https://www.nature.com/articles/d41586-026-00132-8" TargetMode="External"/><Relationship Id="rId361" Type="http://schemas.openxmlformats.org/officeDocument/2006/relationships/hyperlink" Target="https://www.sciencedirect.com/science/article/pii/S0306261926002229?dgcid=rss_sd_all" TargetMode="External"/><Relationship Id="rId362" Type="http://schemas.openxmlformats.org/officeDocument/2006/relationships/hyperlink" Target="https://www.nature.com/articles/d41586-026-00580-2" TargetMode="External"/><Relationship Id="rId363" Type="http://schemas.openxmlformats.org/officeDocument/2006/relationships/hyperlink" Target="http://pubs.rsc.org/en/Content/ArticleLanding/2026/CS/D5CS01522G" TargetMode="External"/><Relationship Id="rId364" Type="http://schemas.openxmlformats.org/officeDocument/2006/relationships/hyperlink" Target="https://www.nature.com/articles/d41586-026-00515-x" TargetMode="External"/><Relationship Id="rId365" Type="http://schemas.openxmlformats.org/officeDocument/2006/relationships/hyperlink" Target="https://www.nature.com/articles/d41586-026-00620-x" TargetMode="External"/><Relationship Id="rId366" Type="http://schemas.openxmlformats.org/officeDocument/2006/relationships/hyperlink" Target="https://www.nature.com/articles/s41586-026-10127-0" TargetMode="External"/><Relationship Id="rId367" Type="http://schemas.openxmlformats.org/officeDocument/2006/relationships/hyperlink" Target="https://www.cell.com/chem/fulltext/S2451-9294(25)00467-X?rss=yes" TargetMode="External"/><Relationship Id="rId368" Type="http://schemas.openxmlformats.org/officeDocument/2006/relationships/hyperlink" Target="https://www.cell.com/chem/fulltext/S2451-9294(25)00505-4?rss=yes" TargetMode="External"/><Relationship Id="rId369" Type="http://schemas.openxmlformats.org/officeDocument/2006/relationships/hyperlink" Target="https://www.cell.com/chem/fulltext/S2451-9294(25)00508-X?rss=yes" TargetMode="External"/><Relationship Id="rId370" Type="http://schemas.openxmlformats.org/officeDocument/2006/relationships/hyperlink" Target="https://www.cell.com/chem/fulltext/S2451-9294(25)00513-3?rss=yes" TargetMode="External"/><Relationship Id="rId371" Type="http://schemas.openxmlformats.org/officeDocument/2006/relationships/hyperlink" Target="https://www.cell.com/chem/fulltext/S2451-9294(26)00060-4?rss=yes" TargetMode="External"/><Relationship Id="rId372" Type="http://schemas.openxmlformats.org/officeDocument/2006/relationships/hyperlink" Target="https://www.sciencedirect.com/science/article/pii/S030626192600214X?dgcid=rss_sd_all" TargetMode="External"/><Relationship Id="rId373" Type="http://schemas.openxmlformats.org/officeDocument/2006/relationships/hyperlink" Target="https://www.nature.com/articles/s41560-026-01998-8" TargetMode="External"/><Relationship Id="rId374" Type="http://schemas.openxmlformats.org/officeDocument/2006/relationships/hyperlink" Target="https://www.nature.com/articles/s41586-026-10137-y" TargetMode="External"/><Relationship Id="rId375" Type="http://schemas.openxmlformats.org/officeDocument/2006/relationships/hyperlink" Target="https://www.nature.com/articles/s41563-026-02513-w" TargetMode="External"/><Relationship Id="rId376" Type="http://schemas.openxmlformats.org/officeDocument/2006/relationships/hyperlink" Target="https://www.sciencedirect.com/science/article/pii/S0301421526001291?dgcid=rss_sd_all" TargetMode="External"/><Relationship Id="rId377" Type="http://schemas.openxmlformats.org/officeDocument/2006/relationships/hyperlink" Target="https://www.sciencedirect.com/science/article/pii/S0306261926001662?dgcid=rss_sd_all" TargetMode="External"/><Relationship Id="rId378" Type="http://schemas.openxmlformats.org/officeDocument/2006/relationships/hyperlink" Target="https://www.sciencedirect.com/science/article/pii/S0301421526001357?dgcid=rss_sd_all" TargetMode="External"/><Relationship Id="rId379" Type="http://schemas.openxmlformats.org/officeDocument/2006/relationships/hyperlink" Target="https://www.sciencedirect.com/science/article/pii/S0301421525005300?dgcid=rss_sd_all" TargetMode="External"/><Relationship Id="rId380" Type="http://schemas.openxmlformats.org/officeDocument/2006/relationships/hyperlink" Target="https://www.nature.com/articles/s41586-026-10217-z" TargetMode="External"/><Relationship Id="rId381" Type="http://schemas.openxmlformats.org/officeDocument/2006/relationships/hyperlink" Target="https://www.nature.com/articles/d41586-026-00578-w" TargetMode="External"/><Relationship Id="rId382" Type="http://schemas.openxmlformats.org/officeDocument/2006/relationships/hyperlink" Target="https://www.sciencedirect.com/science/article/pii/S030142152600131X?dgcid=rss_sd_all" TargetMode="External"/><Relationship Id="rId383" Type="http://schemas.openxmlformats.org/officeDocument/2006/relationships/hyperlink" Target="https://www.nature.com/articles/s41563-026-02493-x" TargetMode="External"/><Relationship Id="rId384" Type="http://schemas.openxmlformats.org/officeDocument/2006/relationships/hyperlink" Target="https://www.nature.com/articles/s41560-026-02005-w" TargetMode="External"/><Relationship Id="rId385" Type="http://schemas.openxmlformats.org/officeDocument/2006/relationships/hyperlink" Target="https://www.nature.com/articles/s41467-026-69916-w" TargetMode="External"/><Relationship Id="rId386" Type="http://schemas.openxmlformats.org/officeDocument/2006/relationships/hyperlink" Target="https://www.nature.com/articles/d41586-026-00619-4" TargetMode="External"/><Relationship Id="rId387" Type="http://schemas.openxmlformats.org/officeDocument/2006/relationships/hyperlink" Target="https://www.nature.com/articles/s41586-026-10126-1" TargetMode="External"/><Relationship Id="rId388" Type="http://schemas.openxmlformats.org/officeDocument/2006/relationships/hyperlink" Target="https://www.sciencedirect.com/science/article/pii/S0306261926002345?dgcid=rss_sd_all" TargetMode="External"/><Relationship Id="rId389" Type="http://schemas.openxmlformats.org/officeDocument/2006/relationships/hyperlink" Target="https://www.sciencedirect.com/science/article/pii/S0306261926001819?dgcid=rss_sd_all" TargetMode="External"/><Relationship Id="rId390" Type="http://schemas.openxmlformats.org/officeDocument/2006/relationships/hyperlink" Target="https://www.nature.com/articles/s41467-026-70053-7" TargetMode="External"/><Relationship Id="rId391" Type="http://schemas.openxmlformats.org/officeDocument/2006/relationships/hyperlink" Target="https://www.sciencedirect.com/science/article/pii/S0306261926001613?dgcid=rss_sd_all" TargetMode="External"/><Relationship Id="rId392" Type="http://schemas.openxmlformats.org/officeDocument/2006/relationships/hyperlink" Target="https://www.nature.com/articles/d41586-026-00446-7" TargetMode="External"/><Relationship Id="rId393" Type="http://schemas.openxmlformats.org/officeDocument/2006/relationships/hyperlink" Target="https://www.cell.com/matter/fulltext/S2590-2385(25)00667-8?rss=yes" TargetMode="External"/><Relationship Id="rId394" Type="http://schemas.openxmlformats.org/officeDocument/2006/relationships/hyperlink" Target="https://www.cell.com/matter/fulltext/S2590-2385(25)00669-1?rss=yes" TargetMode="External"/><Relationship Id="rId395" Type="http://schemas.openxmlformats.org/officeDocument/2006/relationships/hyperlink" Target="https://www.cell.com/matter/fulltext/S2590-2385(25)00671-X?rss=yes" TargetMode="External"/><Relationship Id="rId396" Type="http://schemas.openxmlformats.org/officeDocument/2006/relationships/hyperlink" Target="https://www.nature.com/articles/s41560-026-01987-x" TargetMode="External"/><Relationship Id="rId397" Type="http://schemas.openxmlformats.org/officeDocument/2006/relationships/hyperlink" Target="https://www.nature.com/articles/s41467-026-68511-3" TargetMode="External"/><Relationship Id="rId398" Type="http://schemas.openxmlformats.org/officeDocument/2006/relationships/hyperlink" Target="https://www.nature.com/articles/s41467-026-70024-y" TargetMode="External"/><Relationship Id="rId399" Type="http://schemas.openxmlformats.org/officeDocument/2006/relationships/hyperlink" Target="https://www.nature.com/articles/s41563-026-02490-0" TargetMode="External"/><Relationship Id="rId400" Type="http://schemas.openxmlformats.org/officeDocument/2006/relationships/hyperlink" Target="https://www.nature.com/articles/s41467-026-69963-3" TargetMode="External"/><Relationship Id="rId401" Type="http://schemas.openxmlformats.org/officeDocument/2006/relationships/hyperlink" Target="https://advanced.onlinelibrary.wiley.com/doi/10.1002/adma.202515400?af=R" TargetMode="External"/><Relationship Id="rId402" Type="http://schemas.openxmlformats.org/officeDocument/2006/relationships/hyperlink" Target="https://doi.org/10.1002/adma.202515400" TargetMode="External"/><Relationship Id="rId403" Type="http://schemas.openxmlformats.org/officeDocument/2006/relationships/hyperlink" Target="https://advanced.onlinelibrary.wiley.com/doi/10.1002/adma.202519568?af=R" TargetMode="External"/><Relationship Id="rId404" Type="http://schemas.openxmlformats.org/officeDocument/2006/relationships/hyperlink" Target="https://doi.org/10.1002/adma.202519568" TargetMode="External"/><Relationship Id="rId405" Type="http://schemas.openxmlformats.org/officeDocument/2006/relationships/hyperlink" Target="https://advanced.onlinelibrary.wiley.com/doi/10.1002/adma.202521736?af=R" TargetMode="External"/><Relationship Id="rId406" Type="http://schemas.openxmlformats.org/officeDocument/2006/relationships/hyperlink" Target="https://doi.org/10.1002/adma.202521736" TargetMode="External"/><Relationship Id="rId407" Type="http://schemas.openxmlformats.org/officeDocument/2006/relationships/hyperlink" Target="https://onlinelibrary.wiley.com/doi/10.1002/anie.202525355?af=R" TargetMode="External"/><Relationship Id="rId408" Type="http://schemas.openxmlformats.org/officeDocument/2006/relationships/hyperlink" Target="https://doi.org/10.1002/anie.202525355" TargetMode="External"/><Relationship Id="rId409" Type="http://schemas.openxmlformats.org/officeDocument/2006/relationships/hyperlink" Target="https://advanced.onlinelibrary.wiley.com/doi/10.1002/aenm.202505903?af=R" TargetMode="External"/><Relationship Id="rId410" Type="http://schemas.openxmlformats.org/officeDocument/2006/relationships/hyperlink" Target="https://doi.org/10.1002/aenm.202505903" TargetMode="External"/><Relationship Id="rId411" Type="http://schemas.openxmlformats.org/officeDocument/2006/relationships/hyperlink" Target="https://advanced.onlinelibrary.wiley.com/doi/10.1002/adma.72467?af=R" TargetMode="External"/><Relationship Id="rId412" Type="http://schemas.openxmlformats.org/officeDocument/2006/relationships/hyperlink" Target="https://doi.org/10.1002/adma.72467" TargetMode="External"/><Relationship Id="rId413" Type="http://schemas.openxmlformats.org/officeDocument/2006/relationships/hyperlink" Target="https://advanced.onlinelibrary.wiley.com/doi/10.1002/adma.72464?af=R" TargetMode="External"/><Relationship Id="rId414" Type="http://schemas.openxmlformats.org/officeDocument/2006/relationships/hyperlink" Target="https://doi.org/10.1002/adma.72464" TargetMode="External"/><Relationship Id="rId415" Type="http://schemas.openxmlformats.org/officeDocument/2006/relationships/hyperlink" Target="https://www.science.org/doi/abs/10.1126/sciadv.aea8560?af=R" TargetMode="External"/><Relationship Id="rId416" Type="http://schemas.openxmlformats.org/officeDocument/2006/relationships/hyperlink" Target="https://doi.org/10.1126/sciadv.aea8560" TargetMode="External"/><Relationship Id="rId417" Type="http://schemas.openxmlformats.org/officeDocument/2006/relationships/hyperlink" Target="https://www.science.org/doi/abs/10.1126/sciadv.aeb5612?af=R" TargetMode="External"/><Relationship Id="rId418" Type="http://schemas.openxmlformats.org/officeDocument/2006/relationships/hyperlink" Target="https://doi.org/10.1126/sciadv.aeb5612" TargetMode="External"/><Relationship Id="rId419" Type="http://schemas.openxmlformats.org/officeDocument/2006/relationships/hyperlink" Target="https://www.science.org/doi/abs/10.1126/sciadv.aeb3338?af=R" TargetMode="External"/><Relationship Id="rId420" Type="http://schemas.openxmlformats.org/officeDocument/2006/relationships/hyperlink" Target="https://doi.org/10.1126/sciadv.aeb3338" TargetMode="External"/><Relationship Id="rId421" Type="http://schemas.openxmlformats.org/officeDocument/2006/relationships/hyperlink" Target="https://www.science.org/doi/abs/10.1126/sciadv.aeb0049?af=R" TargetMode="External"/><Relationship Id="rId422" Type="http://schemas.openxmlformats.org/officeDocument/2006/relationships/hyperlink" Target="https://doi.org/10.1126/sciadv.aeb0049" TargetMode="External"/><Relationship Id="rId423" Type="http://schemas.openxmlformats.org/officeDocument/2006/relationships/hyperlink" Target="https://www.science.org/doi/abs/10.1126/sciadv.aec3641?af=R" TargetMode="External"/><Relationship Id="rId424" Type="http://schemas.openxmlformats.org/officeDocument/2006/relationships/hyperlink" Target="https://doi.org/10.1126/sciadv.aec3641" TargetMode="External"/><Relationship Id="rId425" Type="http://schemas.openxmlformats.org/officeDocument/2006/relationships/hyperlink" Target="https://www.science.org/doi/abs/10.1126/sciadv.aec7443?af=R" TargetMode="External"/><Relationship Id="rId426" Type="http://schemas.openxmlformats.org/officeDocument/2006/relationships/hyperlink" Target="https://doi.org/10.1126/sciadv.aec7443" TargetMode="External"/><Relationship Id="rId427" Type="http://schemas.openxmlformats.org/officeDocument/2006/relationships/hyperlink" Target="https://www.pnas.org/doi/abs/10.1073/pnas.2513642123?mi=eymic2&amp;af=R&amp;access=on&amp;content=articlesChapters&amp;publication=pnas&amp;sortBy=Earliest&amp;target=default" TargetMode="External"/><Relationship Id="rId428" Type="http://schemas.openxmlformats.org/officeDocument/2006/relationships/hyperlink" Target="https://doi.org/10.1073/pnas.2513642123" TargetMode="External"/><Relationship Id="rId429" Type="http://schemas.openxmlformats.org/officeDocument/2006/relationships/hyperlink" Target="https://www.pnas.org/doi/abs/10.1073/pnas.2520991123?mi=eymic2&amp;af=R&amp;access=on&amp;content=articlesChapters&amp;publication=pnas&amp;sortBy=Earliest&amp;target=default" TargetMode="External"/><Relationship Id="rId430" Type="http://schemas.openxmlformats.org/officeDocument/2006/relationships/hyperlink" Target="https://doi.org/10.1073/pnas.2520991123" TargetMode="External"/><Relationship Id="rId431" Type="http://schemas.openxmlformats.org/officeDocument/2006/relationships/hyperlink" Target="https://www.pnas.org/doi/abs/10.1073/pnas.2532868123?mi=eymic2&amp;af=R&amp;access=on&amp;content=articlesChapters&amp;publication=pnas&amp;sortBy=Earliest&amp;target=default" TargetMode="External"/><Relationship Id="rId432" Type="http://schemas.openxmlformats.org/officeDocument/2006/relationships/hyperlink" Target="https://doi.org/10.1073/pnas.2532868123" TargetMode="External"/><Relationship Id="rId433" Type="http://schemas.openxmlformats.org/officeDocument/2006/relationships/hyperlink" Target="https://www.pnas.org/doi/abs/10.1073/pnas.2531477123?mi=eymic2&amp;af=R&amp;access=on&amp;content=articlesChapters&amp;publication=pnas&amp;sortBy=Earliest&amp;target=default" TargetMode="External"/><Relationship Id="rId434" Type="http://schemas.openxmlformats.org/officeDocument/2006/relationships/hyperlink" Target="https://doi.org/10.1073/pnas.2531477123" TargetMode="External"/><Relationship Id="rId435" Type="http://schemas.openxmlformats.org/officeDocument/2006/relationships/hyperlink" Target="https://www.pnas.org/doi/abs/10.1073/pnas.2535298123?mi=eymic2&amp;af=R&amp;access=on&amp;content=articlesChapters&amp;publication=pnas&amp;sortBy=Earliest&amp;target=default" TargetMode="External"/><Relationship Id="rId436" Type="http://schemas.openxmlformats.org/officeDocument/2006/relationships/hyperlink" Target="https://doi.org/10.1073/pnas.2535298123" TargetMode="External"/><Relationship Id="rId437" Type="http://schemas.openxmlformats.org/officeDocument/2006/relationships/hyperlink" Target="https://www.pnas.org/doi/abs/10.1073/pnas.2513242123?mi=eymic2&amp;af=R&amp;access=on&amp;content=articlesChapters&amp;publication=pnas&amp;sortBy=Earliest&amp;target=default" TargetMode="External"/><Relationship Id="rId438" Type="http://schemas.openxmlformats.org/officeDocument/2006/relationships/hyperlink" Target="https://doi.org/10.1073/pnas.2513242123" TargetMode="External"/><Relationship Id="rId439" Type="http://schemas.openxmlformats.org/officeDocument/2006/relationships/hyperlink" Target="https://www.pnas.org/doi/abs/10.1073/pnas.2420493123?mi=eymic2&amp;af=R&amp;access=on&amp;content=articlesChapters&amp;publication=pnas&amp;sortBy=Earliest&amp;target=default" TargetMode="External"/><Relationship Id="rId440" Type="http://schemas.openxmlformats.org/officeDocument/2006/relationships/hyperlink" Target="https://doi.org/10.1073/pnas.2420493123" TargetMode="External"/><Relationship Id="rId441" Type="http://schemas.openxmlformats.org/officeDocument/2006/relationships/hyperlink" Target="https://www.pnas.org/doi/abs/10.1073/pnas.2535701123?mi=eymic2&amp;af=R&amp;access=on&amp;content=articlesChapters&amp;publication=pnas&amp;sortBy=Earliest&amp;target=default" TargetMode="External"/><Relationship Id="rId442" Type="http://schemas.openxmlformats.org/officeDocument/2006/relationships/hyperlink" Target="https://doi.org/10.1073/pnas.2535701123" TargetMode="External"/><Relationship Id="rId443" Type="http://schemas.openxmlformats.org/officeDocument/2006/relationships/hyperlink" Target="https://www.pnas.org/doi/abs/10.1073/pnas.2518816123?mi=eymic2&amp;af=R&amp;access=on&amp;content=articlesChapters&amp;publication=pnas&amp;sortBy=Earliest&amp;target=default" TargetMode="External"/><Relationship Id="rId444" Type="http://schemas.openxmlformats.org/officeDocument/2006/relationships/hyperlink" Target="https://doi.org/10.1073/pnas.2518816123" TargetMode="External"/><Relationship Id="rId445" Type="http://schemas.openxmlformats.org/officeDocument/2006/relationships/hyperlink" Target="https://www.pnas.org/doi/abs/10.1073/pnas.2515503123?mi=eymic2&amp;af=R&amp;access=on&amp;content=articlesChapters&amp;publication=pnas&amp;sortBy=Earliest&amp;target=default" TargetMode="External"/><Relationship Id="rId446" Type="http://schemas.openxmlformats.org/officeDocument/2006/relationships/hyperlink" Target="https://doi.org/10.1073/pnas.2515503123" TargetMode="External"/><Relationship Id="rId447" Type="http://schemas.openxmlformats.org/officeDocument/2006/relationships/hyperlink" Target="https://www.pnas.org/doi/abs/10.1073/pnas.2521210123?mi=eymic2&amp;af=R&amp;access=on&amp;content=articlesChapters&amp;publication=pnas&amp;sortBy=Earliest&amp;target=default" TargetMode="External"/><Relationship Id="rId448" Type="http://schemas.openxmlformats.org/officeDocument/2006/relationships/hyperlink" Target="https://doi.org/10.1073/pnas.2521210123" TargetMode="External"/><Relationship Id="rId449" Type="http://schemas.openxmlformats.org/officeDocument/2006/relationships/hyperlink" Target="https://www.pnas.org/doi/abs/10.1073/pnas.2527981123?mi=eymic2&amp;af=R&amp;access=on&amp;content=articlesChapters&amp;publication=pnas&amp;sortBy=Earliest&amp;target=default" TargetMode="External"/><Relationship Id="rId450" Type="http://schemas.openxmlformats.org/officeDocument/2006/relationships/hyperlink" Target="https://doi.org/10.1073/pnas.2527981123" TargetMode="External"/><Relationship Id="rId451" Type="http://schemas.openxmlformats.org/officeDocument/2006/relationships/hyperlink" Target="https://www.science.org/doi/abs/10.1126/sciadv.aea3355?af=R" TargetMode="External"/><Relationship Id="rId452" Type="http://schemas.openxmlformats.org/officeDocument/2006/relationships/hyperlink" Target="https://doi.org/10.1126/sciadv.aea3355" TargetMode="External"/><Relationship Id="rId453" Type="http://schemas.openxmlformats.org/officeDocument/2006/relationships/hyperlink" Target="https://www.science.org/doi/abs/10.1126/sciadv.adz0425?af=R" TargetMode="External"/><Relationship Id="rId454" Type="http://schemas.openxmlformats.org/officeDocument/2006/relationships/hyperlink" Target="https://doi.org/10.1126/sciadv.adz0425" TargetMode="External"/><Relationship Id="rId455" Type="http://schemas.openxmlformats.org/officeDocument/2006/relationships/hyperlink" Target="https://www.science.org/doi/abs/10.1126/sciadv.adz4967?af=R" TargetMode="External"/><Relationship Id="rId456" Type="http://schemas.openxmlformats.org/officeDocument/2006/relationships/hyperlink" Target="https://doi.org/10.1126/sciadv.adz4967" TargetMode="External"/><Relationship Id="rId457" Type="http://schemas.openxmlformats.org/officeDocument/2006/relationships/hyperlink" Target="https://www.science.org/doi/abs/10.1126/sciadv.ady0883?af=R" TargetMode="External"/><Relationship Id="rId458" Type="http://schemas.openxmlformats.org/officeDocument/2006/relationships/hyperlink" Target="https://doi.org/10.1126/sciadv.ady0883" TargetMode="External"/><Relationship Id="rId459" Type="http://schemas.openxmlformats.org/officeDocument/2006/relationships/hyperlink" Target="https://www.science.org/doi/abs/10.1126/sciadv.aed1319?af=R" TargetMode="External"/><Relationship Id="rId460" Type="http://schemas.openxmlformats.org/officeDocument/2006/relationships/hyperlink" Target="https://doi.org/10.1126/sciadv.aed1319" TargetMode="External"/><Relationship Id="rId461" Type="http://schemas.openxmlformats.org/officeDocument/2006/relationships/hyperlink" Target="https://www.science.org/doi/abs/10.1126/sciadv.aec2376?af=R" TargetMode="External"/><Relationship Id="rId462" Type="http://schemas.openxmlformats.org/officeDocument/2006/relationships/hyperlink" Target="https://doi.org/10.1126/sciadv.aec2376" TargetMode="External"/><Relationship Id="rId463" Type="http://schemas.openxmlformats.org/officeDocument/2006/relationships/hyperlink" Target="https://www.science.org/doi/abs/10.1126/sciadv.adz6964?af=R" TargetMode="External"/><Relationship Id="rId464" Type="http://schemas.openxmlformats.org/officeDocument/2006/relationships/hyperlink" Target="https://doi.org/10.1126/sciadv.adz6964" TargetMode="External"/><Relationship Id="rId465" Type="http://schemas.openxmlformats.org/officeDocument/2006/relationships/hyperlink" Target="https://www.science.org/doi/abs/10.1126/sciadv.aec1018?af=R" TargetMode="External"/><Relationship Id="rId466" Type="http://schemas.openxmlformats.org/officeDocument/2006/relationships/hyperlink" Target="https://doi.org/10.1126/sciadv.aec1018" TargetMode="External"/><Relationship Id="rId467" Type="http://schemas.openxmlformats.org/officeDocument/2006/relationships/hyperlink" Target="https://www.science.org/doi/abs/10.1126/sciadv.aea8116?af=R" TargetMode="External"/><Relationship Id="rId468" Type="http://schemas.openxmlformats.org/officeDocument/2006/relationships/hyperlink" Target="https://doi.org/10.1126/sciadv.aea8116" TargetMode="External"/><Relationship Id="rId469" Type="http://schemas.openxmlformats.org/officeDocument/2006/relationships/hyperlink" Target="https://www.science.org/doi/abs/10.1126/sciadv.aeb3756?af=R" TargetMode="External"/><Relationship Id="rId470" Type="http://schemas.openxmlformats.org/officeDocument/2006/relationships/hyperlink" Target="https://doi.org/10.1126/sciadv.aeb3756" TargetMode="External"/><Relationship Id="rId471" Type="http://schemas.openxmlformats.org/officeDocument/2006/relationships/hyperlink" Target="https://www.science.org/doi/abs/10.1126/sciadv.adw9320?af=R" TargetMode="External"/><Relationship Id="rId472" Type="http://schemas.openxmlformats.org/officeDocument/2006/relationships/hyperlink" Target="https://doi.org/10.1126/sciadv.adw9320" TargetMode="External"/><Relationship Id="rId473" Type="http://schemas.openxmlformats.org/officeDocument/2006/relationships/hyperlink" Target="https://www.science.org/doi/abs/10.1126/sciadv.ady0441?af=R" TargetMode="External"/><Relationship Id="rId474" Type="http://schemas.openxmlformats.org/officeDocument/2006/relationships/hyperlink" Target="https://doi.org/10.1126/sciadv.ady0441" TargetMode="External"/><Relationship Id="rId475" Type="http://schemas.openxmlformats.org/officeDocument/2006/relationships/hyperlink" Target="https://www.science.org/doi/abs/10.1126/sciadv.ady8018?af=R" TargetMode="External"/><Relationship Id="rId476" Type="http://schemas.openxmlformats.org/officeDocument/2006/relationships/hyperlink" Target="https://doi.org/10.1126/sciadv.ady8018" TargetMode="External"/><Relationship Id="rId477" Type="http://schemas.openxmlformats.org/officeDocument/2006/relationships/hyperlink" Target="https://www.science.org/doi/abs/10.1126/sciadv.adw1599?af=R" TargetMode="External"/><Relationship Id="rId478" Type="http://schemas.openxmlformats.org/officeDocument/2006/relationships/hyperlink" Target="https://doi.org/10.1126/sciadv.adw1599" TargetMode="External"/><Relationship Id="rId479" Type="http://schemas.openxmlformats.org/officeDocument/2006/relationships/hyperlink" Target="https://www.science.org/doi/abs/10.1126/sciadv.ady9407?af=R" TargetMode="External"/><Relationship Id="rId480" Type="http://schemas.openxmlformats.org/officeDocument/2006/relationships/hyperlink" Target="https://doi.org/10.1126/sciadv.ady9407" TargetMode="External"/><Relationship Id="rId481" Type="http://schemas.openxmlformats.org/officeDocument/2006/relationships/hyperlink" Target="https://www.science.org/doi/abs/10.1126/sciadv.aee6950?af=R" TargetMode="External"/><Relationship Id="rId482" Type="http://schemas.openxmlformats.org/officeDocument/2006/relationships/hyperlink" Target="https://doi.org/10.1126/sciadv.aee6950" TargetMode="External"/><Relationship Id="rId483" Type="http://schemas.openxmlformats.org/officeDocument/2006/relationships/hyperlink" Target="https://www.science.org/doi/abs/10.1126/sciadv.aea9947?af=R" TargetMode="External"/><Relationship Id="rId484" Type="http://schemas.openxmlformats.org/officeDocument/2006/relationships/hyperlink" Target="https://doi.org/10.1126/sciadv.aea9947" TargetMode="External"/><Relationship Id="rId485" Type="http://schemas.openxmlformats.org/officeDocument/2006/relationships/hyperlink" Target="https://www.science.org/doi/abs/10.1126/sciadv.aea0326?af=R" TargetMode="External"/><Relationship Id="rId486" Type="http://schemas.openxmlformats.org/officeDocument/2006/relationships/hyperlink" Target="https://doi.org/10.1126/sciadv.aea0326" TargetMode="External"/><Relationship Id="rId487" Type="http://schemas.openxmlformats.org/officeDocument/2006/relationships/hyperlink" Target="https://www.science.org/doi/abs/10.1126/sciadv.aec9991?af=R" TargetMode="External"/><Relationship Id="rId488" Type="http://schemas.openxmlformats.org/officeDocument/2006/relationships/hyperlink" Target="https://doi.org/10.1126/sciadv.aec9991" TargetMode="External"/><Relationship Id="rId489" Type="http://schemas.openxmlformats.org/officeDocument/2006/relationships/hyperlink" Target="https://www.science.org/doi/abs/10.1126/sciadv.aea0109?af=R" TargetMode="External"/><Relationship Id="rId490" Type="http://schemas.openxmlformats.org/officeDocument/2006/relationships/hyperlink" Target="https://doi.org/10.1126/sciadv.aea0109" TargetMode="External"/><Relationship Id="rId491" Type="http://schemas.openxmlformats.org/officeDocument/2006/relationships/hyperlink" Target="https://www.science.org/doi/abs/10.1126/sciadv.aea9091?af=R" TargetMode="External"/><Relationship Id="rId492" Type="http://schemas.openxmlformats.org/officeDocument/2006/relationships/hyperlink" Target="https://doi.org/10.1126/sciadv.aea9091" TargetMode="External"/><Relationship Id="rId493" Type="http://schemas.openxmlformats.org/officeDocument/2006/relationships/hyperlink" Target="https://onlinelibrary.wiley.com/doi/10.1002/anie.7602426?af=R" TargetMode="External"/><Relationship Id="rId494" Type="http://schemas.openxmlformats.org/officeDocument/2006/relationships/hyperlink" Target="https://doi.org/10.1002/anie.7602426" TargetMode="External"/><Relationship Id="rId495" Type="http://schemas.openxmlformats.org/officeDocument/2006/relationships/hyperlink" Target="https://onlinelibrary.wiley.com/doi/10.1002/anie.9692519?af=R" TargetMode="External"/><Relationship Id="rId496" Type="http://schemas.openxmlformats.org/officeDocument/2006/relationships/hyperlink" Target="https://doi.org/10.1002/anie.9692519" TargetMode="External"/><Relationship Id="rId497" Type="http://schemas.openxmlformats.org/officeDocument/2006/relationships/hyperlink" Target="https://onlinelibrary.wiley.com/doi/10.1002/anie.202525892?af=R" TargetMode="External"/><Relationship Id="rId498" Type="http://schemas.openxmlformats.org/officeDocument/2006/relationships/hyperlink" Target="https://doi.org/10.1002/anie.202525892" TargetMode="External"/><Relationship Id="rId499" Type="http://schemas.openxmlformats.org/officeDocument/2006/relationships/hyperlink" Target="https://onlinelibrary.wiley.com/doi/10.1002/anie.8742316?af=R" TargetMode="External"/><Relationship Id="rId500" Type="http://schemas.openxmlformats.org/officeDocument/2006/relationships/hyperlink" Target="https://doi.org/10.1002/anie.8742316" TargetMode="External"/><Relationship Id="rId501" Type="http://schemas.openxmlformats.org/officeDocument/2006/relationships/hyperlink" Target="https://onlinelibrary.wiley.com/doi/10.1002/anie.5033273?af=R" TargetMode="External"/><Relationship Id="rId502" Type="http://schemas.openxmlformats.org/officeDocument/2006/relationships/hyperlink" Target="https://doi.org/10.1002/anie.5033273" TargetMode="External"/><Relationship Id="rId503" Type="http://schemas.openxmlformats.org/officeDocument/2006/relationships/hyperlink" Target="https://onlinelibrary.wiley.com/doi/10.1002/anie.202524246?af=R" TargetMode="External"/><Relationship Id="rId504" Type="http://schemas.openxmlformats.org/officeDocument/2006/relationships/hyperlink" Target="https://doi.org/10.1002/anie.202524246" TargetMode="External"/><Relationship Id="rId505" Type="http://schemas.openxmlformats.org/officeDocument/2006/relationships/hyperlink" Target="https://onlinelibrary.wiley.com/doi/10.1002/anie.5390746?af=R" TargetMode="External"/><Relationship Id="rId506" Type="http://schemas.openxmlformats.org/officeDocument/2006/relationships/hyperlink" Target="https://doi.org/10.1002/anie.5390746" TargetMode="External"/><Relationship Id="rId507" Type="http://schemas.openxmlformats.org/officeDocument/2006/relationships/hyperlink" Target="http://dx.doi.org/10.1021/jacs.6c00478" TargetMode="External"/><Relationship Id="rId508" Type="http://schemas.openxmlformats.org/officeDocument/2006/relationships/hyperlink" Target="https://doi.org/10.1021/jacs.6c00478" TargetMode="External"/><Relationship Id="rId509" Type="http://schemas.openxmlformats.org/officeDocument/2006/relationships/hyperlink" Target="https://onlinelibrary.wiley.com/doi/10.1002/anie.202525282?af=R" TargetMode="External"/><Relationship Id="rId510" Type="http://schemas.openxmlformats.org/officeDocument/2006/relationships/hyperlink" Target="https://doi.org/10.1002/anie.202525282" TargetMode="External"/><Relationship Id="rId511" Type="http://schemas.openxmlformats.org/officeDocument/2006/relationships/hyperlink" Target="http://dx.doi.org/10.1021/acsenergylett.6c00073" TargetMode="External"/><Relationship Id="rId512" Type="http://schemas.openxmlformats.org/officeDocument/2006/relationships/hyperlink" Target="https://doi.org/10.1021/acsenergylett.6c00073" TargetMode="External"/><Relationship Id="rId513" Type="http://schemas.openxmlformats.org/officeDocument/2006/relationships/hyperlink" Target="http://dx.doi.org/10.1021/jacs.6c00844" TargetMode="External"/><Relationship Id="rId514" Type="http://schemas.openxmlformats.org/officeDocument/2006/relationships/hyperlink" Target="https://doi.org/10.1021/jacs.6c00844" TargetMode="External"/><Relationship Id="rId515" Type="http://schemas.openxmlformats.org/officeDocument/2006/relationships/hyperlink" Target="http://dx.doi.org/10.1021/jacs.5c20339" TargetMode="External"/><Relationship Id="rId516" Type="http://schemas.openxmlformats.org/officeDocument/2006/relationships/hyperlink" Target="https://doi.org/10.1021/jacs.5c20339" TargetMode="External"/><Relationship Id="rId517" Type="http://schemas.openxmlformats.org/officeDocument/2006/relationships/hyperlink" Target="https://onlinelibrary.wiley.com/doi/10.1002/anie.202525900?af=R" TargetMode="External"/><Relationship Id="rId518" Type="http://schemas.openxmlformats.org/officeDocument/2006/relationships/hyperlink" Target="https://doi.org/10.1002/anie.202525900" TargetMode="External"/><Relationship Id="rId519" Type="http://schemas.openxmlformats.org/officeDocument/2006/relationships/hyperlink" Target="https://onlinelibrary.wiley.com/doi/10.1002/anie.4054670?af=R" TargetMode="External"/><Relationship Id="rId520" Type="http://schemas.openxmlformats.org/officeDocument/2006/relationships/hyperlink" Target="https://doi.org/10.1002/anie.4054670" TargetMode="External"/><Relationship Id="rId521" Type="http://schemas.openxmlformats.org/officeDocument/2006/relationships/hyperlink" Target="https://onlinelibrary.wiley.com/doi/10.1002/anie.202524255?af=R" TargetMode="External"/><Relationship Id="rId522" Type="http://schemas.openxmlformats.org/officeDocument/2006/relationships/hyperlink" Target="https://doi.org/10.1002/anie.202524255" TargetMode="External"/><Relationship Id="rId523" Type="http://schemas.openxmlformats.org/officeDocument/2006/relationships/hyperlink" Target="https://advanced.onlinelibrary.wiley.com/doi/10.1002/adma.202520519?af=R" TargetMode="External"/><Relationship Id="rId524" Type="http://schemas.openxmlformats.org/officeDocument/2006/relationships/hyperlink" Target="https://doi.org/10.1002/adma.202520519" TargetMode="External"/><Relationship Id="rId525" Type="http://schemas.openxmlformats.org/officeDocument/2006/relationships/hyperlink" Target="https://advanced.onlinelibrary.wiley.com/doi/10.1002/adma.202520184?af=R" TargetMode="External"/><Relationship Id="rId526" Type="http://schemas.openxmlformats.org/officeDocument/2006/relationships/hyperlink" Target="https://doi.org/10.1002/adma.202520184" TargetMode="External"/><Relationship Id="rId527" Type="http://schemas.openxmlformats.org/officeDocument/2006/relationships/hyperlink" Target="http://dx.doi.org/10.1021/jacs.5c22620" TargetMode="External"/><Relationship Id="rId528" Type="http://schemas.openxmlformats.org/officeDocument/2006/relationships/hyperlink" Target="https://doi.org/10.1021/jacs.5c22620" TargetMode="External"/><Relationship Id="rId529" Type="http://schemas.openxmlformats.org/officeDocument/2006/relationships/hyperlink" Target="http://dx.doi.org/10.1021/jacs.6c01168" TargetMode="External"/><Relationship Id="rId530" Type="http://schemas.openxmlformats.org/officeDocument/2006/relationships/hyperlink" Target="https://doi.org/10.1021/jacs.6c01168" TargetMode="External"/><Relationship Id="rId531" Type="http://schemas.openxmlformats.org/officeDocument/2006/relationships/hyperlink" Target="https://onlinelibrary.wiley.com/doi/10.1002/anie.3278432?af=R" TargetMode="External"/><Relationship Id="rId532" Type="http://schemas.openxmlformats.org/officeDocument/2006/relationships/hyperlink" Target="https://doi.org/10.1002/anie.3278432" TargetMode="External"/><Relationship Id="rId533" Type="http://schemas.openxmlformats.org/officeDocument/2006/relationships/hyperlink" Target="https://advanced.onlinelibrary.wiley.com/doi/10.1002/adma.202522938?af=R" TargetMode="External"/><Relationship Id="rId534" Type="http://schemas.openxmlformats.org/officeDocument/2006/relationships/hyperlink" Target="https://doi.org/10.1002/adma.202522938" TargetMode="External"/><Relationship Id="rId535" Type="http://schemas.openxmlformats.org/officeDocument/2006/relationships/hyperlink" Target="https://advanced.onlinelibrary.wiley.com/doi/10.1002/adma.202513458?af=R" TargetMode="External"/><Relationship Id="rId536" Type="http://schemas.openxmlformats.org/officeDocument/2006/relationships/hyperlink" Target="https://doi.org/10.1002/adma.202513458" TargetMode="External"/><Relationship Id="rId537" Type="http://schemas.openxmlformats.org/officeDocument/2006/relationships/hyperlink" Target="https://advanced.onlinelibrary.wiley.com/doi/10.1002/adma.202521003?af=R" TargetMode="External"/><Relationship Id="rId538" Type="http://schemas.openxmlformats.org/officeDocument/2006/relationships/hyperlink" Target="https://doi.org/10.1002/adma.202521003" TargetMode="External"/><Relationship Id="rId539" Type="http://schemas.openxmlformats.org/officeDocument/2006/relationships/hyperlink" Target="https://onlinelibrary.wiley.com/doi/10.1002/anie.2935372?af=R" TargetMode="External"/><Relationship Id="rId540" Type="http://schemas.openxmlformats.org/officeDocument/2006/relationships/hyperlink" Target="https://doi.org/10.1002/anie.2935372" TargetMode="External"/><Relationship Id="rId541" Type="http://schemas.openxmlformats.org/officeDocument/2006/relationships/hyperlink" Target="https://advanced.onlinelibrary.wiley.com/doi/10.1002/adma.202522776?af=R" TargetMode="External"/><Relationship Id="rId542" Type="http://schemas.openxmlformats.org/officeDocument/2006/relationships/hyperlink" Target="https://doi.org/10.1002/adma.202522776" TargetMode="External"/><Relationship Id="rId543" Type="http://schemas.openxmlformats.org/officeDocument/2006/relationships/hyperlink" Target="http://dx.doi.org/10.1021/jacs.5c19318" TargetMode="External"/><Relationship Id="rId544" Type="http://schemas.openxmlformats.org/officeDocument/2006/relationships/hyperlink" Target="https://doi.org/10.1021/jacs.5c19318" TargetMode="External"/><Relationship Id="rId545" Type="http://schemas.openxmlformats.org/officeDocument/2006/relationships/hyperlink" Target="https://advanced.onlinelibrary.wiley.com/doi/10.1002/adma.72638?af=R" TargetMode="External"/><Relationship Id="rId546" Type="http://schemas.openxmlformats.org/officeDocument/2006/relationships/hyperlink" Target="https://doi.org/10.1002/adma.72638" TargetMode="External"/><Relationship Id="rId547" Type="http://schemas.openxmlformats.org/officeDocument/2006/relationships/hyperlink" Target="https://advanced.onlinelibrary.wiley.com/doi/10.1002/aenm.70742?af=R" TargetMode="External"/><Relationship Id="rId548" Type="http://schemas.openxmlformats.org/officeDocument/2006/relationships/hyperlink" Target="https://doi.org/10.1002/aenm.70742" TargetMode="External"/><Relationship Id="rId549" Type="http://schemas.openxmlformats.org/officeDocument/2006/relationships/hyperlink" Target="http://dx.doi.org/10.1021/jacs.6c01078" TargetMode="External"/><Relationship Id="rId550" Type="http://schemas.openxmlformats.org/officeDocument/2006/relationships/hyperlink" Target="https://doi.org/10.1021/jacs.6c01078" TargetMode="External"/><Relationship Id="rId551" Type="http://schemas.openxmlformats.org/officeDocument/2006/relationships/hyperlink" Target="http://dx.doi.org/10.1021/jacs.5c22161" TargetMode="External"/><Relationship Id="rId552" Type="http://schemas.openxmlformats.org/officeDocument/2006/relationships/hyperlink" Target="https://doi.org/10.1021/jacs.5c22161" TargetMode="External"/><Relationship Id="rId553" Type="http://schemas.openxmlformats.org/officeDocument/2006/relationships/hyperlink" Target="http://dx.doi.org/10.1021/jacs.6c01162" TargetMode="External"/><Relationship Id="rId554" Type="http://schemas.openxmlformats.org/officeDocument/2006/relationships/hyperlink" Target="https://doi.org/10.1021/jacs.6c01162" TargetMode="External"/><Relationship Id="rId555" Type="http://schemas.openxmlformats.org/officeDocument/2006/relationships/hyperlink" Target="http://dx.doi.org/10.1021/jacs.5c19141" TargetMode="External"/><Relationship Id="rId556" Type="http://schemas.openxmlformats.org/officeDocument/2006/relationships/hyperlink" Target="https://doi.org/10.1021/jacs.5c19141" TargetMode="External"/><Relationship Id="rId557" Type="http://schemas.openxmlformats.org/officeDocument/2006/relationships/hyperlink" Target="http://dx.doi.org/10.1021/jacs.5c19355" TargetMode="External"/><Relationship Id="rId558" Type="http://schemas.openxmlformats.org/officeDocument/2006/relationships/hyperlink" Target="https://doi.org/10.1021/jacs.5c19355" TargetMode="External"/><Relationship Id="rId559" Type="http://schemas.openxmlformats.org/officeDocument/2006/relationships/hyperlink" Target="http://dx.doi.org/10.1021/jacs.5c22210" TargetMode="External"/><Relationship Id="rId560" Type="http://schemas.openxmlformats.org/officeDocument/2006/relationships/hyperlink" Target="https://doi.org/10.1021/jacs.5c22210" TargetMode="External"/><Relationship Id="rId561" Type="http://schemas.openxmlformats.org/officeDocument/2006/relationships/hyperlink" Target="http://dx.doi.org/10.1021/jacs.5c22441" TargetMode="External"/><Relationship Id="rId562" Type="http://schemas.openxmlformats.org/officeDocument/2006/relationships/hyperlink" Target="https://doi.org/10.1021/jacs.5c22441" TargetMode="External"/><Relationship Id="rId563" Type="http://schemas.openxmlformats.org/officeDocument/2006/relationships/hyperlink" Target="http://dx.doi.org/10.1021/jacs.5c21100" TargetMode="External"/><Relationship Id="rId564" Type="http://schemas.openxmlformats.org/officeDocument/2006/relationships/hyperlink" Target="https://doi.org/10.1021/jacs.5c21100" TargetMode="External"/><Relationship Id="rId565" Type="http://schemas.openxmlformats.org/officeDocument/2006/relationships/hyperlink" Target="http://dx.doi.org/10.1021/acs.chemrev.5c00581" TargetMode="External"/><Relationship Id="rId566" Type="http://schemas.openxmlformats.org/officeDocument/2006/relationships/hyperlink" Target="https://doi.org/10.1021/acs.chemrev.5c00581" TargetMode="External"/><Relationship Id="rId567" Type="http://schemas.openxmlformats.org/officeDocument/2006/relationships/hyperlink" Target="http://dx.doi.org/10.1021/jacs.5c13087" TargetMode="External"/><Relationship Id="rId568" Type="http://schemas.openxmlformats.org/officeDocument/2006/relationships/hyperlink" Target="https://doi.org/10.1021/jacs.5c13087" TargetMode="External"/><Relationship Id="rId569" Type="http://schemas.openxmlformats.org/officeDocument/2006/relationships/hyperlink" Target="https://www.nature.com/articles/d41586-026-00602-z" TargetMode="External"/><Relationship Id="rId570" Type="http://schemas.openxmlformats.org/officeDocument/2006/relationships/hyperlink" Target="https://www.cell.com/chem/fulltext/S2451-9294(26)00062-8?rss=yes" TargetMode="External"/><Relationship Id="rId571" Type="http://schemas.openxmlformats.org/officeDocument/2006/relationships/hyperlink" Target="https://www.nature.com/articles/s41578-026-00902-w" TargetMode="External"/><Relationship Id="rId572" Type="http://schemas.openxmlformats.org/officeDocument/2006/relationships/hyperlink" Target="https://www.nature.com/articles/d41586-026-00603-y" TargetMode="External"/><Relationship Id="rId573" Type="http://schemas.openxmlformats.org/officeDocument/2006/relationships/hyperlink" Target="https://www.nature.com/articles/d41586-026-00555-3" TargetMode="External"/><Relationship Id="rId574" Type="http://schemas.openxmlformats.org/officeDocument/2006/relationships/hyperlink" Target="https://www.nature.com/articles/d41586-026-00622-9" TargetMode="External"/><Relationship Id="rId575" Type="http://schemas.openxmlformats.org/officeDocument/2006/relationships/hyperlink" Target="https://www.nature.com/articles/d41586-026-00542-8" TargetMode="External"/><Relationship Id="rId576" Type="http://schemas.openxmlformats.org/officeDocument/2006/relationships/hyperlink" Target="https://www.nature.com/articles/s41578-026-00905-7" TargetMode="External"/><Relationship Id="rId577" Type="http://schemas.openxmlformats.org/officeDocument/2006/relationships/hyperlink" Target="https://www.nature.com/articles/d41586-026-00583-z" TargetMode="External"/><Relationship Id="rId578" Type="http://schemas.openxmlformats.org/officeDocument/2006/relationships/hyperlink" Target="https://www.nature.com/articles/s41586-026-10283-3" TargetMode="External"/><Relationship Id="rId579" Type="http://schemas.openxmlformats.org/officeDocument/2006/relationships/hyperlink" Target="https://www.sciencedirect.com/science/article/pii/S0306261926002515?dgcid=rss_sd_all" TargetMode="External"/><Relationship Id="rId580" Type="http://schemas.openxmlformats.org/officeDocument/2006/relationships/hyperlink" Target="https://www.nature.com/articles/d41586-026-00672-z" TargetMode="External"/><Relationship Id="rId581" Type="http://schemas.openxmlformats.org/officeDocument/2006/relationships/hyperlink" Target="http://pubs.rsc.org/en/Content/ArticleLanding/2026/CS/D5CS00647C" TargetMode="External"/><Relationship Id="rId582" Type="http://schemas.openxmlformats.org/officeDocument/2006/relationships/hyperlink" Target="https://www.nature.com/articles/d41586-026-00158-y" TargetMode="External"/><Relationship Id="rId583" Type="http://schemas.openxmlformats.org/officeDocument/2006/relationships/hyperlink" Target="https://www.nature.com/articles/s41563-026-02514-9" TargetMode="External"/><Relationship Id="rId584" Type="http://schemas.openxmlformats.org/officeDocument/2006/relationships/hyperlink" Target="https://www.cell.com/joule/fulltext/S2542-4351(25)00485-4?rss=yes" TargetMode="External"/><Relationship Id="rId585" Type="http://schemas.openxmlformats.org/officeDocument/2006/relationships/hyperlink" Target="https://www.nature.com/articles/s41467-026-69638-z" TargetMode="External"/><Relationship Id="rId586" Type="http://schemas.openxmlformats.org/officeDocument/2006/relationships/hyperlink" Target="https://www.nature.com/articles/s41467-026-69913-z" TargetMode="External"/><Relationship Id="rId587" Type="http://schemas.openxmlformats.org/officeDocument/2006/relationships/hyperlink" Target="https://www.nature.com/articles/s41928-026-01567-7" TargetMode="External"/><Relationship Id="rId588" Type="http://schemas.openxmlformats.org/officeDocument/2006/relationships/hyperlink" Target="https://www.sciencedirect.com/science/article/pii/S0306261926002023?dgcid=rss_sd_all" TargetMode="External"/><Relationship Id="rId589" Type="http://schemas.openxmlformats.org/officeDocument/2006/relationships/hyperlink" Target="https://www.nature.com/articles/s41467-026-69925-9" TargetMode="External"/><Relationship Id="rId590" Type="http://schemas.openxmlformats.org/officeDocument/2006/relationships/hyperlink" Target="https://www.sciencedirect.com/science/article/pii/S030626192600187X?dgcid=rss_sd_all" TargetMode="External"/><Relationship Id="rId591" Type="http://schemas.openxmlformats.org/officeDocument/2006/relationships/hyperlink" Target="https://www.nature.com/articles/s41467-026-70096-w" TargetMode="External"/><Relationship Id="rId592" Type="http://schemas.openxmlformats.org/officeDocument/2006/relationships/hyperlink" Target="https://www.sciencedirect.com/science/article/pii/S0306261926002631?dgcid=rss_sd_all" TargetMode="External"/><Relationship Id="rId593" Type="http://schemas.openxmlformats.org/officeDocument/2006/relationships/hyperlink" Target="https://www.nature.com/articles/s41560-026-01996-w" TargetMode="External"/><Relationship Id="rId594" Type="http://schemas.openxmlformats.org/officeDocument/2006/relationships/hyperlink" Target="https://www.nature.com/articles/s41467-026-69932-w" TargetMode="External"/><Relationship Id="rId595" Type="http://schemas.openxmlformats.org/officeDocument/2006/relationships/hyperlink" Target="https://www.nature.com/articles/s41928-026-01573-9" TargetMode="External"/><Relationship Id="rId596" Type="http://schemas.openxmlformats.org/officeDocument/2006/relationships/hyperlink" Target="https://www.nature.com/articles/s41467-026-70009-x" TargetMode="External"/><Relationship Id="rId597" Type="http://schemas.openxmlformats.org/officeDocument/2006/relationships/hyperlink" Target="https://www.nature.com/articles/s41565-025-02116-7" TargetMode="External"/><Relationship Id="rId598" Type="http://schemas.openxmlformats.org/officeDocument/2006/relationships/hyperlink" Target="https://www.nature.com/articles/s41578-026-00903-9" TargetMode="External"/><Relationship Id="rId599" Type="http://schemas.openxmlformats.org/officeDocument/2006/relationships/hyperlink" Target="https://www.nature.com/articles/s41467-026-70049-3" TargetMode="External"/><Relationship Id="rId600" Type="http://schemas.openxmlformats.org/officeDocument/2006/relationships/hyperlink" Target="https://www.sciencedirect.com/science/article/pii/S0306261926002643?dgcid=rss_sd_all" TargetMode="External"/><Relationship Id="rId601" Type="http://schemas.openxmlformats.org/officeDocument/2006/relationships/hyperlink" Target="https://advanced.onlinelibrary.wiley.com/doi/10.1002/adma.202521410?af=R" TargetMode="External"/><Relationship Id="rId602" Type="http://schemas.openxmlformats.org/officeDocument/2006/relationships/hyperlink" Target="https://doi.org/10.1002/adma.202521410" TargetMode="External"/><Relationship Id="rId603" Type="http://schemas.openxmlformats.org/officeDocument/2006/relationships/hyperlink" Target="https://onlinelibrary.wiley.com/doi/10.1002/anie.4039681?af=R" TargetMode="External"/><Relationship Id="rId604" Type="http://schemas.openxmlformats.org/officeDocument/2006/relationships/hyperlink" Target="https://doi.org/10.1002/anie.4039681" TargetMode="External"/><Relationship Id="rId605" Type="http://schemas.openxmlformats.org/officeDocument/2006/relationships/hyperlink" Target="https://onlinelibrary.wiley.com/doi/10.1002/anie.202523307?af=R" TargetMode="External"/><Relationship Id="rId606" Type="http://schemas.openxmlformats.org/officeDocument/2006/relationships/hyperlink" Target="https://doi.org/10.1002/anie.202523307" TargetMode="External"/><Relationship Id="rId607" Type="http://schemas.openxmlformats.org/officeDocument/2006/relationships/hyperlink" Target="https://onlinelibrary.wiley.com/doi/10.1002/anie.202522726?af=R" TargetMode="External"/><Relationship Id="rId608" Type="http://schemas.openxmlformats.org/officeDocument/2006/relationships/hyperlink" Target="https://doi.org/10.1002/anie.202522726" TargetMode="External"/><Relationship Id="rId609" Type="http://schemas.openxmlformats.org/officeDocument/2006/relationships/hyperlink" Target="https://onlinelibrary.wiley.com/doi/10.1002/anie.7328455?af=R" TargetMode="External"/><Relationship Id="rId610" Type="http://schemas.openxmlformats.org/officeDocument/2006/relationships/hyperlink" Target="https://doi.org/10.1002/anie.7328455" TargetMode="External"/><Relationship Id="rId611" Type="http://schemas.openxmlformats.org/officeDocument/2006/relationships/hyperlink" Target="https://onlinelibrary.wiley.com/doi/10.1002/anie.3633333?af=R" TargetMode="External"/><Relationship Id="rId612" Type="http://schemas.openxmlformats.org/officeDocument/2006/relationships/hyperlink" Target="https://doi.org/10.1002/anie.3633333" TargetMode="External"/><Relationship Id="rId613" Type="http://schemas.openxmlformats.org/officeDocument/2006/relationships/hyperlink" Target="https://www.science.org/doi/abs/10.1126/science.aeg7168?af=R" TargetMode="External"/><Relationship Id="rId614" Type="http://schemas.openxmlformats.org/officeDocument/2006/relationships/hyperlink" Target="https://doi.org/10.1126/science.aeg7168" TargetMode="External"/><Relationship Id="rId615" Type="http://schemas.openxmlformats.org/officeDocument/2006/relationships/hyperlink" Target="https://www.science.org/doi/abs/10.1126/science.aeg6836?af=R" TargetMode="External"/><Relationship Id="rId616" Type="http://schemas.openxmlformats.org/officeDocument/2006/relationships/hyperlink" Target="https://doi.org/10.1126/science.aeg6836" TargetMode="External"/><Relationship Id="rId617" Type="http://schemas.openxmlformats.org/officeDocument/2006/relationships/hyperlink" Target="https://www.science.org/doi/abs/10.1126/science.aeg7162?af=R" TargetMode="External"/><Relationship Id="rId618" Type="http://schemas.openxmlformats.org/officeDocument/2006/relationships/hyperlink" Target="https://doi.org/10.1126/science.aeg7162" TargetMode="External"/><Relationship Id="rId619" Type="http://schemas.openxmlformats.org/officeDocument/2006/relationships/hyperlink" Target="https://www.science.org/doi/abs/10.1126/science.adv7378?af=R" TargetMode="External"/><Relationship Id="rId620" Type="http://schemas.openxmlformats.org/officeDocument/2006/relationships/hyperlink" Target="https://doi.org/10.1126/science.adv7378" TargetMode="External"/><Relationship Id="rId621" Type="http://schemas.openxmlformats.org/officeDocument/2006/relationships/hyperlink" Target="https://www.science.org/doi/abs/10.1126/science.aeg6834?af=R" TargetMode="External"/><Relationship Id="rId622" Type="http://schemas.openxmlformats.org/officeDocument/2006/relationships/hyperlink" Target="https://doi.org/10.1126/science.aeg6834" TargetMode="External"/><Relationship Id="rId623" Type="http://schemas.openxmlformats.org/officeDocument/2006/relationships/hyperlink" Target="https://www.science.org/doi/abs/10.1126/science.aeg6310?af=R" TargetMode="External"/><Relationship Id="rId624" Type="http://schemas.openxmlformats.org/officeDocument/2006/relationships/hyperlink" Target="https://doi.org/10.1126/science.aeg6310" TargetMode="External"/><Relationship Id="rId625" Type="http://schemas.openxmlformats.org/officeDocument/2006/relationships/hyperlink" Target="https://www.science.org/doi/abs/10.1126/science.aee7957?af=R" TargetMode="External"/><Relationship Id="rId626" Type="http://schemas.openxmlformats.org/officeDocument/2006/relationships/hyperlink" Target="https://doi.org/10.1126/science.aee7957" TargetMode="External"/><Relationship Id="rId627" Type="http://schemas.openxmlformats.org/officeDocument/2006/relationships/hyperlink" Target="https://www.science.org/doi/abs/10.1126/science.aee2317?af=R" TargetMode="External"/><Relationship Id="rId628" Type="http://schemas.openxmlformats.org/officeDocument/2006/relationships/hyperlink" Target="https://doi.org/10.1126/science.aee2317" TargetMode="External"/><Relationship Id="rId629" Type="http://schemas.openxmlformats.org/officeDocument/2006/relationships/hyperlink" Target="https://www.science.org/doi/abs/10.1126/science.aef5647?af=R" TargetMode="External"/><Relationship Id="rId630" Type="http://schemas.openxmlformats.org/officeDocument/2006/relationships/hyperlink" Target="https://doi.org/10.1126/science.aef5647" TargetMode="External"/><Relationship Id="rId631" Type="http://schemas.openxmlformats.org/officeDocument/2006/relationships/hyperlink" Target="https://www.science.org/doi/abs/10.1126/science.aeg7163?af=R" TargetMode="External"/><Relationship Id="rId632" Type="http://schemas.openxmlformats.org/officeDocument/2006/relationships/hyperlink" Target="https://doi.org/10.1126/science.aeg7163" TargetMode="External"/><Relationship Id="rId633" Type="http://schemas.openxmlformats.org/officeDocument/2006/relationships/hyperlink" Target="https://www.science.org/doi/abs/10.1126/science.aeg7166?af=R" TargetMode="External"/><Relationship Id="rId634" Type="http://schemas.openxmlformats.org/officeDocument/2006/relationships/hyperlink" Target="https://doi.org/10.1126/science.aeg7166" TargetMode="External"/><Relationship Id="rId635" Type="http://schemas.openxmlformats.org/officeDocument/2006/relationships/hyperlink" Target="https://www.science.org/doi/abs/10.1126/science.aef5650?af=R" TargetMode="External"/><Relationship Id="rId636" Type="http://schemas.openxmlformats.org/officeDocument/2006/relationships/hyperlink" Target="https://doi.org/10.1126/science.aef5650" TargetMode="External"/><Relationship Id="rId637" Type="http://schemas.openxmlformats.org/officeDocument/2006/relationships/hyperlink" Target="https://www.science.org/doi/abs/10.1126/science.aeg7164?af=R" TargetMode="External"/><Relationship Id="rId638" Type="http://schemas.openxmlformats.org/officeDocument/2006/relationships/hyperlink" Target="https://doi.org/10.1126/science.aeg7164" TargetMode="External"/><Relationship Id="rId639" Type="http://schemas.openxmlformats.org/officeDocument/2006/relationships/hyperlink" Target="https://www.science.org/doi/abs/10.1126/science.aeg6835?af=R" TargetMode="External"/><Relationship Id="rId640" Type="http://schemas.openxmlformats.org/officeDocument/2006/relationships/hyperlink" Target="https://doi.org/10.1126/science.aeg6835" TargetMode="External"/><Relationship Id="rId641" Type="http://schemas.openxmlformats.org/officeDocument/2006/relationships/hyperlink" Target="https://www.science.org/doi/abs/10.1126/science.aef9576?af=R" TargetMode="External"/><Relationship Id="rId642" Type="http://schemas.openxmlformats.org/officeDocument/2006/relationships/hyperlink" Target="https://doi.org/10.1126/science.aef9576" TargetMode="External"/><Relationship Id="rId643" Type="http://schemas.openxmlformats.org/officeDocument/2006/relationships/hyperlink" Target="https://www.science.org/doi/abs/10.1126/science.aef2220?af=R" TargetMode="External"/><Relationship Id="rId644" Type="http://schemas.openxmlformats.org/officeDocument/2006/relationships/hyperlink" Target="https://doi.org/10.1126/science.aef2220" TargetMode="External"/><Relationship Id="rId645" Type="http://schemas.openxmlformats.org/officeDocument/2006/relationships/hyperlink" Target="https://www.science.org/doi/abs/10.1126/science.aec8992?af=R" TargetMode="External"/><Relationship Id="rId646" Type="http://schemas.openxmlformats.org/officeDocument/2006/relationships/hyperlink" Target="https://doi.org/10.1126/science.aec8992" TargetMode="External"/><Relationship Id="rId647" Type="http://schemas.openxmlformats.org/officeDocument/2006/relationships/hyperlink" Target="https://www.science.org/doi/abs/10.1126/science.aeb8384?af=R" TargetMode="External"/><Relationship Id="rId648" Type="http://schemas.openxmlformats.org/officeDocument/2006/relationships/hyperlink" Target="https://doi.org/10.1126/science.aeb8384" TargetMode="External"/><Relationship Id="rId649" Type="http://schemas.openxmlformats.org/officeDocument/2006/relationships/hyperlink" Target="https://www.science.org/doi/abs/10.1126/science.aef2227?af=R" TargetMode="External"/><Relationship Id="rId650" Type="http://schemas.openxmlformats.org/officeDocument/2006/relationships/hyperlink" Target="https://doi.org/10.1126/science.aef2227" TargetMode="External"/><Relationship Id="rId651" Type="http://schemas.openxmlformats.org/officeDocument/2006/relationships/hyperlink" Target="https://www.science.org/doi/abs/10.1126/science.aee2603?af=R" TargetMode="External"/><Relationship Id="rId652" Type="http://schemas.openxmlformats.org/officeDocument/2006/relationships/hyperlink" Target="https://doi.org/10.1126/science.aee2603" TargetMode="External"/><Relationship Id="rId653" Type="http://schemas.openxmlformats.org/officeDocument/2006/relationships/hyperlink" Target="https://www.science.org/doi/abs/10.1126/science.aea3339?af=R" TargetMode="External"/><Relationship Id="rId654" Type="http://schemas.openxmlformats.org/officeDocument/2006/relationships/hyperlink" Target="https://doi.org/10.1126/science.aea3339" TargetMode="External"/><Relationship Id="rId655" Type="http://schemas.openxmlformats.org/officeDocument/2006/relationships/hyperlink" Target="https://www.science.org/doi/abs/10.1126/science.ady1729?af=R" TargetMode="External"/><Relationship Id="rId656" Type="http://schemas.openxmlformats.org/officeDocument/2006/relationships/hyperlink" Target="https://doi.org/10.1126/science.ady1729" TargetMode="External"/><Relationship Id="rId657" Type="http://schemas.openxmlformats.org/officeDocument/2006/relationships/hyperlink" Target="https://www.science.org/doi/abs/10.1126/science.aee7241?af=R" TargetMode="External"/><Relationship Id="rId658" Type="http://schemas.openxmlformats.org/officeDocument/2006/relationships/hyperlink" Target="https://doi.org/10.1126/science.aee7241" TargetMode="External"/><Relationship Id="rId659" Type="http://schemas.openxmlformats.org/officeDocument/2006/relationships/hyperlink" Target="https://www.science.org/doi/abs/10.1126/science.aea6774?af=R" TargetMode="External"/><Relationship Id="rId660" Type="http://schemas.openxmlformats.org/officeDocument/2006/relationships/hyperlink" Target="https://doi.org/10.1126/science.aea6774" TargetMode="External"/><Relationship Id="rId661" Type="http://schemas.openxmlformats.org/officeDocument/2006/relationships/hyperlink" Target="https://www.science.org/doi/abs/10.1126/science.aeg6833?af=R" TargetMode="External"/><Relationship Id="rId662" Type="http://schemas.openxmlformats.org/officeDocument/2006/relationships/hyperlink" Target="https://doi.org/10.1126/science.aeg6833" TargetMode="External"/><Relationship Id="rId663" Type="http://schemas.openxmlformats.org/officeDocument/2006/relationships/hyperlink" Target="https://www.science.org/doi/abs/10.1126/science.aeb4867?af=R" TargetMode="External"/><Relationship Id="rId664" Type="http://schemas.openxmlformats.org/officeDocument/2006/relationships/hyperlink" Target="https://doi.org/10.1126/science.aeb4867" TargetMode="External"/><Relationship Id="rId665" Type="http://schemas.openxmlformats.org/officeDocument/2006/relationships/hyperlink" Target="https://www.science.org/doi/abs/10.1126/science.aef5612?af=R" TargetMode="External"/><Relationship Id="rId666" Type="http://schemas.openxmlformats.org/officeDocument/2006/relationships/hyperlink" Target="https://doi.org/10.1126/science.aef5612" TargetMode="External"/><Relationship Id="rId667" Type="http://schemas.openxmlformats.org/officeDocument/2006/relationships/hyperlink" Target="https://www.science.org/doi/abs/10.1126/science.ads0871?af=R" TargetMode="External"/><Relationship Id="rId668" Type="http://schemas.openxmlformats.org/officeDocument/2006/relationships/hyperlink" Target="https://doi.org/10.1126/science.ads0871" TargetMode="External"/><Relationship Id="rId669" Type="http://schemas.openxmlformats.org/officeDocument/2006/relationships/hyperlink" Target="https://www.science.org/doi/abs/10.1126/science.aef2236?af=R" TargetMode="External"/><Relationship Id="rId670" Type="http://schemas.openxmlformats.org/officeDocument/2006/relationships/hyperlink" Target="https://doi.org/10.1126/science.aef2236" TargetMode="External"/><Relationship Id="rId671" Type="http://schemas.openxmlformats.org/officeDocument/2006/relationships/hyperlink" Target="https://onlinelibrary.wiley.com/doi/10.1002/anie.202518530?af=R" TargetMode="External"/><Relationship Id="rId672" Type="http://schemas.openxmlformats.org/officeDocument/2006/relationships/hyperlink" Target="https://doi.org/10.1002/anie.202518530" TargetMode="External"/><Relationship Id="rId673" Type="http://schemas.openxmlformats.org/officeDocument/2006/relationships/hyperlink" Target="https://onlinelibrary.wiley.com/doi/10.1002/anie.2644336?af=R" TargetMode="External"/><Relationship Id="rId674" Type="http://schemas.openxmlformats.org/officeDocument/2006/relationships/hyperlink" Target="https://doi.org/10.1002/anie.2644336" TargetMode="External"/><Relationship Id="rId675" Type="http://schemas.openxmlformats.org/officeDocument/2006/relationships/hyperlink" Target="https://onlinelibrary.wiley.com/doi/10.1002/anie.4703576?af=R" TargetMode="External"/><Relationship Id="rId676" Type="http://schemas.openxmlformats.org/officeDocument/2006/relationships/hyperlink" Target="https://doi.org/10.1002/anie.4703576" TargetMode="External"/><Relationship Id="rId677" Type="http://schemas.openxmlformats.org/officeDocument/2006/relationships/hyperlink" Target="https://onlinelibrary.wiley.com/doi/10.1002/anie.7982319?af=R" TargetMode="External"/><Relationship Id="rId678" Type="http://schemas.openxmlformats.org/officeDocument/2006/relationships/hyperlink" Target="https://doi.org/10.1002/anie.7982319" TargetMode="External"/><Relationship Id="rId679" Type="http://schemas.openxmlformats.org/officeDocument/2006/relationships/hyperlink" Target="https://www.science.org/doi/abs/10.1126/science.adw6273?af=R" TargetMode="External"/><Relationship Id="rId680" Type="http://schemas.openxmlformats.org/officeDocument/2006/relationships/hyperlink" Target="https://doi.org/10.1126/science.adw6273" TargetMode="External"/><Relationship Id="rId681" Type="http://schemas.openxmlformats.org/officeDocument/2006/relationships/hyperlink" Target="https://www.science.org/doi/abs/10.1126/science.aea1546?af=R" TargetMode="External"/><Relationship Id="rId682" Type="http://schemas.openxmlformats.org/officeDocument/2006/relationships/hyperlink" Target="https://doi.org/10.1126/science.aea1546" TargetMode="External"/><Relationship Id="rId683" Type="http://schemas.openxmlformats.org/officeDocument/2006/relationships/hyperlink" Target="https://www.science.org/doi/abs/10.1126/science.aeg5565?af=R" TargetMode="External"/><Relationship Id="rId684" Type="http://schemas.openxmlformats.org/officeDocument/2006/relationships/hyperlink" Target="https://doi.org/10.1126/science.aeg5565" TargetMode="External"/><Relationship Id="rId685" Type="http://schemas.openxmlformats.org/officeDocument/2006/relationships/hyperlink" Target="https://www.pnas.org/doi/abs/10.1073/pnas.2519498123?mi=eymic2&amp;af=R&amp;access=on&amp;content=articlesChapters&amp;publication=pnas&amp;sortBy=Earliest&amp;target=default" TargetMode="External"/><Relationship Id="rId686" Type="http://schemas.openxmlformats.org/officeDocument/2006/relationships/hyperlink" Target="https://doi.org/10.1073/pnas.2519498123" TargetMode="External"/><Relationship Id="rId687" Type="http://schemas.openxmlformats.org/officeDocument/2006/relationships/hyperlink" Target="https://www.science.org/doi/abs/10.1126/science.adt1522?af=R" TargetMode="External"/><Relationship Id="rId688" Type="http://schemas.openxmlformats.org/officeDocument/2006/relationships/hyperlink" Target="https://doi.org/10.1126/science.adt1522" TargetMode="External"/><Relationship Id="rId689" Type="http://schemas.openxmlformats.org/officeDocument/2006/relationships/hyperlink" Target="https://www.science.org/doi/abs/10.1126/science.adz3121?af=R" TargetMode="External"/><Relationship Id="rId690" Type="http://schemas.openxmlformats.org/officeDocument/2006/relationships/hyperlink" Target="https://doi.org/10.1126/science.adz3121" TargetMode="External"/><Relationship Id="rId691" Type="http://schemas.openxmlformats.org/officeDocument/2006/relationships/hyperlink" Target="https://www.science.org/doi/abs/10.1126/science.aef2849?af=R" TargetMode="External"/><Relationship Id="rId692" Type="http://schemas.openxmlformats.org/officeDocument/2006/relationships/hyperlink" Target="https://doi.org/10.1126/science.aef2849" TargetMode="External"/><Relationship Id="rId693" Type="http://schemas.openxmlformats.org/officeDocument/2006/relationships/hyperlink" Target="https://www.science.org/doi/abs/10.1126/science.ady2822?af=R" TargetMode="External"/><Relationship Id="rId694" Type="http://schemas.openxmlformats.org/officeDocument/2006/relationships/hyperlink" Target="https://doi.org/10.1126/science.ady2822" TargetMode="External"/><Relationship Id="rId695" Type="http://schemas.openxmlformats.org/officeDocument/2006/relationships/hyperlink" Target="https://www.pnas.org/doi/abs/10.1073/pnas.2524765123?mi=eymic2&amp;af=R&amp;access=on&amp;content=articlesChapters&amp;publication=pnas&amp;sortBy=Earliest&amp;target=default" TargetMode="External"/><Relationship Id="rId696" Type="http://schemas.openxmlformats.org/officeDocument/2006/relationships/hyperlink" Target="https://doi.org/10.1073/pnas.2524765123" TargetMode="External"/><Relationship Id="rId697" Type="http://schemas.openxmlformats.org/officeDocument/2006/relationships/hyperlink" Target="https://www.pnas.org/doi/abs/10.1073/pnas.2529249123?mi=eymic2&amp;af=R&amp;access=on&amp;content=articlesChapters&amp;publication=pnas&amp;sortBy=Earliest&amp;target=default" TargetMode="External"/><Relationship Id="rId698" Type="http://schemas.openxmlformats.org/officeDocument/2006/relationships/hyperlink" Target="https://doi.org/10.1073/pnas.2529249123" TargetMode="External"/><Relationship Id="rId699" Type="http://schemas.openxmlformats.org/officeDocument/2006/relationships/hyperlink" Target="https://www.science.org/doi/abs/10.1126/sciadv.adz0269?af=R" TargetMode="External"/><Relationship Id="rId700" Type="http://schemas.openxmlformats.org/officeDocument/2006/relationships/hyperlink" Target="https://doi.org/10.1126/sciadv.adz0269" TargetMode="External"/><Relationship Id="rId701" Type="http://schemas.openxmlformats.org/officeDocument/2006/relationships/hyperlink" Target="https://www.pnas.org/doi/abs/10.1073/pnas.2534387123?mi=eymic2&amp;af=R&amp;access=on&amp;content=articlesChapters&amp;publication=pnas&amp;sortBy=Earliest&amp;target=default" TargetMode="External"/><Relationship Id="rId702" Type="http://schemas.openxmlformats.org/officeDocument/2006/relationships/hyperlink" Target="https://doi.org/10.1073/pnas.2534387123" TargetMode="External"/><Relationship Id="rId703" Type="http://schemas.openxmlformats.org/officeDocument/2006/relationships/hyperlink" Target="https://www.pnas.org/doi/abs/10.1073/pnas.2533803123?mi=eymic2&amp;af=R&amp;access=on&amp;content=articlesChapters&amp;publication=pnas&amp;sortBy=Earliest&amp;target=default" TargetMode="External"/><Relationship Id="rId704" Type="http://schemas.openxmlformats.org/officeDocument/2006/relationships/hyperlink" Target="https://doi.org/10.1073/pnas.2533803123" TargetMode="External"/><Relationship Id="rId705" Type="http://schemas.openxmlformats.org/officeDocument/2006/relationships/hyperlink" Target="https://www.pnas.org/doi/abs/10.1073/pnas.2533726123?mi=eymic2&amp;af=R&amp;access=on&amp;content=articlesChapters&amp;publication=pnas&amp;sortBy=Earliest&amp;target=default" TargetMode="External"/><Relationship Id="rId706" Type="http://schemas.openxmlformats.org/officeDocument/2006/relationships/hyperlink" Target="https://doi.org/10.1073/pnas.2533726123" TargetMode="External"/><Relationship Id="rId707" Type="http://schemas.openxmlformats.org/officeDocument/2006/relationships/hyperlink" Target="https://www.pnas.org/doi/abs/10.1073/pnas.2531049123?mi=eymic2&amp;af=R&amp;access=on&amp;content=articlesChapters&amp;publication=pnas&amp;sortBy=Earliest&amp;target=default" TargetMode="External"/><Relationship Id="rId708" Type="http://schemas.openxmlformats.org/officeDocument/2006/relationships/hyperlink" Target="https://doi.org/10.1073/pnas.2531049123" TargetMode="External"/><Relationship Id="rId709" Type="http://schemas.openxmlformats.org/officeDocument/2006/relationships/hyperlink" Target="https://www.pnas.org/doi/abs/10.1073/pnas.2534547123?mi=eymic2&amp;af=R&amp;access=on&amp;content=articlesChapters&amp;publication=pnas&amp;sortBy=Earliest&amp;target=default" TargetMode="External"/><Relationship Id="rId710" Type="http://schemas.openxmlformats.org/officeDocument/2006/relationships/hyperlink" Target="https://doi.org/10.1073/pnas.2534547123" TargetMode="External"/><Relationship Id="rId711" Type="http://schemas.openxmlformats.org/officeDocument/2006/relationships/hyperlink" Target="https://www.science.org/doi/abs/10.1126/science.aea0296?af=R" TargetMode="External"/><Relationship Id="rId712" Type="http://schemas.openxmlformats.org/officeDocument/2006/relationships/hyperlink" Target="https://doi.org/10.1126/science.aea0296" TargetMode="External"/><Relationship Id="rId713" Type="http://schemas.openxmlformats.org/officeDocument/2006/relationships/hyperlink" Target="https://www.science.org/doi/abs/10.1126/science.ads4405?af=R" TargetMode="External"/><Relationship Id="rId714" Type="http://schemas.openxmlformats.org/officeDocument/2006/relationships/hyperlink" Target="https://doi.org/10.1126/science.ads4405" TargetMode="External"/><Relationship Id="rId715" Type="http://schemas.openxmlformats.org/officeDocument/2006/relationships/hyperlink" Target="https://www.pnas.org/doi/abs/10.1073/pnas.2533591123?mi=eymic2&amp;af=R&amp;access=on&amp;content=articlesChapters&amp;publication=pnas&amp;sortBy=Earliest&amp;target=default" TargetMode="External"/><Relationship Id="rId716" Type="http://schemas.openxmlformats.org/officeDocument/2006/relationships/hyperlink" Target="https://doi.org/10.1073/pnas.2533591123" TargetMode="External"/><Relationship Id="rId717" Type="http://schemas.openxmlformats.org/officeDocument/2006/relationships/hyperlink" Target="http://dx.doi.org/10.1021/jacs.5c20407" TargetMode="External"/><Relationship Id="rId718" Type="http://schemas.openxmlformats.org/officeDocument/2006/relationships/hyperlink" Target="https://doi.org/10.1021/jacs.5c20407" TargetMode="External"/><Relationship Id="rId719" Type="http://schemas.openxmlformats.org/officeDocument/2006/relationships/hyperlink" Target="https://advanced.onlinelibrary.wiley.com/doi/10.1002/adma.202520344?af=R" TargetMode="External"/><Relationship Id="rId720" Type="http://schemas.openxmlformats.org/officeDocument/2006/relationships/hyperlink" Target="https://doi.org/10.1002/adma.202520344" TargetMode="External"/><Relationship Id="rId721" Type="http://schemas.openxmlformats.org/officeDocument/2006/relationships/hyperlink" Target="http://dx.doi.org/10.1021/jacs.5c16910" TargetMode="External"/><Relationship Id="rId722" Type="http://schemas.openxmlformats.org/officeDocument/2006/relationships/hyperlink" Target="https://doi.org/10.1021/jacs.5c16910" TargetMode="External"/><Relationship Id="rId723" Type="http://schemas.openxmlformats.org/officeDocument/2006/relationships/hyperlink" Target="http://dx.doi.org/10.1021/jacs.5c20639" TargetMode="External"/><Relationship Id="rId724" Type="http://schemas.openxmlformats.org/officeDocument/2006/relationships/hyperlink" Target="https://doi.org/10.1021/jacs.5c20639" TargetMode="External"/><Relationship Id="rId725" Type="http://schemas.openxmlformats.org/officeDocument/2006/relationships/hyperlink" Target="https://onlinelibrary.wiley.com/doi/10.1002/anie.4904466?af=R" TargetMode="External"/><Relationship Id="rId726" Type="http://schemas.openxmlformats.org/officeDocument/2006/relationships/hyperlink" Target="https://doi.org/10.1002/anie.4904466" TargetMode="External"/><Relationship Id="rId727" Type="http://schemas.openxmlformats.org/officeDocument/2006/relationships/hyperlink" Target="https://onlinelibrary.wiley.com/doi/10.1002/anie.3631400?af=R" TargetMode="External"/><Relationship Id="rId728" Type="http://schemas.openxmlformats.org/officeDocument/2006/relationships/hyperlink" Target="https://doi.org/10.1002/anie.3631400" TargetMode="External"/><Relationship Id="rId729" Type="http://schemas.openxmlformats.org/officeDocument/2006/relationships/hyperlink" Target="https://advanced.onlinelibrary.wiley.com/doi/10.1002/adma.202519807?af=R" TargetMode="External"/><Relationship Id="rId730" Type="http://schemas.openxmlformats.org/officeDocument/2006/relationships/hyperlink" Target="https://doi.org/10.1002/adma.202519807" TargetMode="External"/><Relationship Id="rId731" Type="http://schemas.openxmlformats.org/officeDocument/2006/relationships/hyperlink" Target="https://onlinelibrary.wiley.com/doi/10.1002/anie.202524614?af=R" TargetMode="External"/><Relationship Id="rId732" Type="http://schemas.openxmlformats.org/officeDocument/2006/relationships/hyperlink" Target="https://doi.org/10.1002/anie.202524614" TargetMode="External"/><Relationship Id="rId733" Type="http://schemas.openxmlformats.org/officeDocument/2006/relationships/hyperlink" Target="http://dx.doi.org/10.1021/acs.chemrev.5c00326" TargetMode="External"/><Relationship Id="rId734" Type="http://schemas.openxmlformats.org/officeDocument/2006/relationships/hyperlink" Target="https://doi.org/10.1021/acs.chemrev.5c00326" TargetMode="External"/><Relationship Id="rId735" Type="http://schemas.openxmlformats.org/officeDocument/2006/relationships/hyperlink" Target="https://advanced.onlinelibrary.wiley.com/doi/10.1002/adma.202523620?af=R" TargetMode="External"/><Relationship Id="rId736" Type="http://schemas.openxmlformats.org/officeDocument/2006/relationships/hyperlink" Target="https://doi.org/10.1002/adma.202523620" TargetMode="External"/><Relationship Id="rId737" Type="http://schemas.openxmlformats.org/officeDocument/2006/relationships/hyperlink" Target="https://advanced.onlinelibrary.wiley.com/doi/10.1002/adma.72643?af=R" TargetMode="External"/><Relationship Id="rId738" Type="http://schemas.openxmlformats.org/officeDocument/2006/relationships/hyperlink" Target="https://doi.org/10.1002/adma.72643" TargetMode="External"/><Relationship Id="rId739" Type="http://schemas.openxmlformats.org/officeDocument/2006/relationships/hyperlink" Target="https://advanced.onlinelibrary.wiley.com/doi/10.1002/adma.202520928?af=R" TargetMode="External"/><Relationship Id="rId740" Type="http://schemas.openxmlformats.org/officeDocument/2006/relationships/hyperlink" Target="https://doi.org/10.1002/adma.202520928" TargetMode="External"/><Relationship Id="rId741" Type="http://schemas.openxmlformats.org/officeDocument/2006/relationships/hyperlink" Target="https://advanced.onlinelibrary.wiley.com/doi/10.1002/adma.202518212?af=R" TargetMode="External"/><Relationship Id="rId742" Type="http://schemas.openxmlformats.org/officeDocument/2006/relationships/hyperlink" Target="https://doi.org/10.1002/adma.202518212" TargetMode="External"/><Relationship Id="rId743" Type="http://schemas.openxmlformats.org/officeDocument/2006/relationships/hyperlink" Target="http://dx.doi.org/10.1021/jacs.6c01169" TargetMode="External"/><Relationship Id="rId744" Type="http://schemas.openxmlformats.org/officeDocument/2006/relationships/hyperlink" Target="https://doi.org/10.1021/jacs.6c01169" TargetMode="External"/><Relationship Id="rId745" Type="http://schemas.openxmlformats.org/officeDocument/2006/relationships/hyperlink" Target="http://dx.doi.org/10.1021/jacs.5c22605" TargetMode="External"/><Relationship Id="rId746" Type="http://schemas.openxmlformats.org/officeDocument/2006/relationships/hyperlink" Target="https://doi.org/10.1021/jacs.5c22605" TargetMode="External"/><Relationship Id="rId747" Type="http://schemas.openxmlformats.org/officeDocument/2006/relationships/hyperlink" Target="http://dx.doi.org/10.1021/jacs.5c18688" TargetMode="External"/><Relationship Id="rId748" Type="http://schemas.openxmlformats.org/officeDocument/2006/relationships/hyperlink" Target="https://doi.org/10.1021/jacs.5c18688" TargetMode="External"/><Relationship Id="rId749" Type="http://schemas.openxmlformats.org/officeDocument/2006/relationships/hyperlink" Target="http://dx.doi.org/10.1021/jacs.5c20548" TargetMode="External"/><Relationship Id="rId750" Type="http://schemas.openxmlformats.org/officeDocument/2006/relationships/hyperlink" Target="https://doi.org/10.1021/jacs.5c20548" TargetMode="External"/><Relationship Id="rId751" Type="http://schemas.openxmlformats.org/officeDocument/2006/relationships/hyperlink" Target="http://dx.doi.org/10.1021/acsenergylett.5c04073" TargetMode="External"/><Relationship Id="rId752" Type="http://schemas.openxmlformats.org/officeDocument/2006/relationships/hyperlink" Target="https://doi.org/10.1021/acsenergylett.5c04073" TargetMode="External"/><Relationship Id="rId753" Type="http://schemas.openxmlformats.org/officeDocument/2006/relationships/hyperlink" Target="http://dx.doi.org/10.1021/jacs.5c20735" TargetMode="External"/><Relationship Id="rId754" Type="http://schemas.openxmlformats.org/officeDocument/2006/relationships/hyperlink" Target="https://doi.org/10.1021/jacs.5c20735" TargetMode="External"/><Relationship Id="rId755" Type="http://schemas.openxmlformats.org/officeDocument/2006/relationships/hyperlink" Target="http://dx.doi.org/10.1021/jacs.5c21449" TargetMode="External"/><Relationship Id="rId756" Type="http://schemas.openxmlformats.org/officeDocument/2006/relationships/hyperlink" Target="https://doi.org/10.1021/jacs.5c21449" TargetMode="External"/><Relationship Id="rId757" Type="http://schemas.openxmlformats.org/officeDocument/2006/relationships/hyperlink" Target="http://dx.doi.org/10.1021/jacs.5c21927" TargetMode="External"/><Relationship Id="rId758" Type="http://schemas.openxmlformats.org/officeDocument/2006/relationships/hyperlink" Target="https://doi.org/10.1021/jacs.5c21927" TargetMode="External"/><Relationship Id="rId759" Type="http://schemas.openxmlformats.org/officeDocument/2006/relationships/hyperlink" Target="http://dx.doi.org/10.1021/jacs.5c21032" TargetMode="External"/><Relationship Id="rId760" Type="http://schemas.openxmlformats.org/officeDocument/2006/relationships/hyperlink" Target="https://doi.org/10.1021/jacs.5c21032" TargetMode="External"/><Relationship Id="rId761" Type="http://schemas.openxmlformats.org/officeDocument/2006/relationships/hyperlink" Target="http://dx.doi.org/10.1021/jacs.5c22300" TargetMode="External"/><Relationship Id="rId762" Type="http://schemas.openxmlformats.org/officeDocument/2006/relationships/hyperlink" Target="https://doi.org/10.1021/jacs.5c22300" TargetMode="External"/><Relationship Id="rId763" Type="http://schemas.openxmlformats.org/officeDocument/2006/relationships/hyperlink" Target="http://dx.doi.org/10.1021/jacs.5c19399" TargetMode="External"/><Relationship Id="rId764" Type="http://schemas.openxmlformats.org/officeDocument/2006/relationships/hyperlink" Target="https://doi.org/10.1021/jacs.5c19399" TargetMode="External"/><Relationship Id="rId765" Type="http://schemas.openxmlformats.org/officeDocument/2006/relationships/hyperlink" Target="http://dx.doi.org/10.1021/jacs.5c22536" TargetMode="External"/><Relationship Id="rId766" Type="http://schemas.openxmlformats.org/officeDocument/2006/relationships/hyperlink" Target="https://doi.org/10.1021/jacs.5c22536" TargetMode="External"/><Relationship Id="rId767" Type="http://schemas.openxmlformats.org/officeDocument/2006/relationships/hyperlink" Target="https://www.nature.com/articles/s41467-026-70100-3" TargetMode="External"/><Relationship Id="rId768" Type="http://schemas.openxmlformats.org/officeDocument/2006/relationships/hyperlink" Target="https://www.nature.com/articles/s41467-026-70041-x" TargetMode="External"/><Relationship Id="rId769" Type="http://schemas.openxmlformats.org/officeDocument/2006/relationships/hyperlink" Target="https://www.nature.com/articles/s41467-026-70013-1" TargetMode="External"/><Relationship Id="rId770" Type="http://schemas.openxmlformats.org/officeDocument/2006/relationships/hyperlink" Target="https://academic.oup.com/nsr/advance-article/doi/10.1093/nsr/nwag118/8501036?rss=1" TargetMode="External"/><Relationship Id="rId771" Type="http://schemas.openxmlformats.org/officeDocument/2006/relationships/hyperlink" Target="https://doi.org/10.1093/nsr/nwag118/8501036" TargetMode="External"/><Relationship Id="rId772" Type="http://schemas.openxmlformats.org/officeDocument/2006/relationships/hyperlink" Target="https://academic.oup.com/nsr/advance-article/doi/10.1093/nsr/nwag119/8501035?rss=1" TargetMode="External"/><Relationship Id="rId773" Type="http://schemas.openxmlformats.org/officeDocument/2006/relationships/hyperlink" Target="https://doi.org/10.1093/nsr/nwag119/8501035" TargetMode="External"/><Relationship Id="rId774" Type="http://schemas.openxmlformats.org/officeDocument/2006/relationships/hyperlink" Target="https://academic.oup.com/nsr/advance-article/doi/10.1093/nsr/nwag120/8501029?rss=1" TargetMode="External"/><Relationship Id="rId775" Type="http://schemas.openxmlformats.org/officeDocument/2006/relationships/hyperlink" Target="https://doi.org/10.1093/nsr/nwag120/8501029" TargetMode="External"/><Relationship Id="rId776" Type="http://schemas.openxmlformats.org/officeDocument/2006/relationships/hyperlink" Target="https://www.nature.com/articles/s41557-026-02083-z" TargetMode="External"/><Relationship Id="rId777" Type="http://schemas.openxmlformats.org/officeDocument/2006/relationships/hyperlink" Target="https://doi.org/10.1038/s41557-026-02083-z" TargetMode="External"/><Relationship Id="rId778" Type="http://schemas.openxmlformats.org/officeDocument/2006/relationships/hyperlink" Target="https://www.nature.com/articles/d41586-026-00441-y" TargetMode="External"/><Relationship Id="rId779" Type="http://schemas.openxmlformats.org/officeDocument/2006/relationships/hyperlink" Target="https://doi.org/10.1038/d41586-026-00441-y" TargetMode="External"/><Relationship Id="rId780" Type="http://schemas.openxmlformats.org/officeDocument/2006/relationships/hyperlink" Target="https://www.nature.com/articles/d41586-026-00538-4" TargetMode="External"/><Relationship Id="rId781" Type="http://schemas.openxmlformats.org/officeDocument/2006/relationships/hyperlink" Target="https://doi.org/10.1038/d41586-026-00538-4" TargetMode="External"/><Relationship Id="rId782" Type="http://schemas.openxmlformats.org/officeDocument/2006/relationships/hyperlink" Target="https://www.sciencedirect.com/science/article/pii/S0306261926002047?dgcid=rss_sd_all" TargetMode="External"/><Relationship Id="rId783" Type="http://schemas.openxmlformats.org/officeDocument/2006/relationships/hyperlink" Target="https://www.sciencedirect.com/science/article/pii/S0306261926002576?dgcid=rss_sd_all" TargetMode="External"/><Relationship Id="rId784" Type="http://schemas.openxmlformats.org/officeDocument/2006/relationships/hyperlink" Target="https://www.nature.com/articles/s41893-026-01783-1" TargetMode="External"/><Relationship Id="rId785" Type="http://schemas.openxmlformats.org/officeDocument/2006/relationships/hyperlink" Target="https://doi.org/10.1038/s41893-026-01783-1" TargetMode="External"/><Relationship Id="rId786" Type="http://schemas.openxmlformats.org/officeDocument/2006/relationships/hyperlink" Target="https://www.nature.com/articles/d41586-026-00505-z" TargetMode="External"/><Relationship Id="rId787" Type="http://schemas.openxmlformats.org/officeDocument/2006/relationships/hyperlink" Target="https://doi.org/10.1038/d41586-026-00505-z" TargetMode="External"/><Relationship Id="rId788" Type="http://schemas.openxmlformats.org/officeDocument/2006/relationships/hyperlink" Target="https://www.nature.com/articles/s41563-026-02528-3" TargetMode="External"/><Relationship Id="rId789" Type="http://schemas.openxmlformats.org/officeDocument/2006/relationships/hyperlink" Target="https://doi.org/10.1038/s41563-026-02528-3" TargetMode="External"/><Relationship Id="rId790" Type="http://schemas.openxmlformats.org/officeDocument/2006/relationships/hyperlink" Target="http://pubs.rsc.org/en/Content/ArticleLanding/2026/CS/D5CS00747J" TargetMode="External"/><Relationship Id="rId791" Type="http://schemas.openxmlformats.org/officeDocument/2006/relationships/hyperlink" Target="https://www.nature.com/articles/d41586-026-00674-x" TargetMode="External"/><Relationship Id="rId792" Type="http://schemas.openxmlformats.org/officeDocument/2006/relationships/hyperlink" Target="https://doi.org/10.1038/d41586-026-00674-x" TargetMode="External"/><Relationship Id="rId793" Type="http://schemas.openxmlformats.org/officeDocument/2006/relationships/hyperlink" Target="https://www.nature.com/articles/d41586-026-00621-w" TargetMode="External"/><Relationship Id="rId794" Type="http://schemas.openxmlformats.org/officeDocument/2006/relationships/hyperlink" Target="https://doi.org/10.1038/d41586-026-00621-w" TargetMode="External"/><Relationship Id="rId795" Type="http://schemas.openxmlformats.org/officeDocument/2006/relationships/hyperlink" Target="https://www.nature.com/articles/s41928-026-01580-w" TargetMode="External"/><Relationship Id="rId796" Type="http://schemas.openxmlformats.org/officeDocument/2006/relationships/hyperlink" Target="https://doi.org/10.1038/s41928-026-01580-w" TargetMode="External"/><Relationship Id="rId797" Type="http://schemas.openxmlformats.org/officeDocument/2006/relationships/hyperlink" Target="https://www.nature.com/articles/s41563-026-02483-z" TargetMode="External"/><Relationship Id="rId798" Type="http://schemas.openxmlformats.org/officeDocument/2006/relationships/hyperlink" Target="https://doi.org/10.1038/s41563-026-02483-z" TargetMode="External"/><Relationship Id="rId799" Type="http://schemas.openxmlformats.org/officeDocument/2006/relationships/hyperlink" Target="https://www.sciencedirect.com/science/article/pii/S0306261926002552?dgcid=rss_sd_all" TargetMode="External"/><Relationship Id="rId800" Type="http://schemas.openxmlformats.org/officeDocument/2006/relationships/hyperlink" Target="https://www.sciencedirect.com/science/article/pii/S0306261926002473?dgcid=rss_sd_all" TargetMode="External"/><Relationship Id="rId801" Type="http://schemas.openxmlformats.org/officeDocument/2006/relationships/hyperlink" Target="http://pubs.rsc.org/en/Content/ArticleLanding/2026/CS/D5CS01268F" TargetMode="External"/><Relationship Id="rId802" Type="http://schemas.openxmlformats.org/officeDocument/2006/relationships/hyperlink" Target="https://www.nature.com/articles/s41928-026-01574-8" TargetMode="External"/><Relationship Id="rId803" Type="http://schemas.openxmlformats.org/officeDocument/2006/relationships/hyperlink" Target="https://doi.org/10.1038/s41928-026-01574-8" TargetMode="External"/><Relationship Id="rId804" Type="http://schemas.openxmlformats.org/officeDocument/2006/relationships/hyperlink" Target="https://www.nature.com/articles/s41467-026-69796-0" TargetMode="External"/><Relationship Id="rId805" Type="http://schemas.openxmlformats.org/officeDocument/2006/relationships/hyperlink" Target="https://www.cell.com/chem/fulltext/S2451-9294(26)00061-6?rss=yes" TargetMode="External"/><Relationship Id="rId806" Type="http://schemas.openxmlformats.org/officeDocument/2006/relationships/hyperlink" Target="https://doi.org/10.1016/j.chempr.2026.102995" TargetMode="External"/><Relationship Id="rId807" Type="http://schemas.openxmlformats.org/officeDocument/2006/relationships/hyperlink" Target="https://www.nature.com/articles/s41928-026-01587-3" TargetMode="External"/><Relationship Id="rId808" Type="http://schemas.openxmlformats.org/officeDocument/2006/relationships/hyperlink" Target="https://doi.org/10.1038/s41928-026-01587-3" TargetMode="External"/><Relationship Id="rId809" Type="http://schemas.openxmlformats.org/officeDocument/2006/relationships/hyperlink" Target="https://www.nature.com/articles/s41928-026-01575-7" TargetMode="External"/><Relationship Id="rId810" Type="http://schemas.openxmlformats.org/officeDocument/2006/relationships/hyperlink" Target="https://doi.org/10.1038/s41928-026-01575-7" TargetMode="External"/><Relationship Id="rId811" Type="http://schemas.openxmlformats.org/officeDocument/2006/relationships/hyperlink" Target="https://www.nature.com/articles/s41928-026-01581-9" TargetMode="External"/><Relationship Id="rId812" Type="http://schemas.openxmlformats.org/officeDocument/2006/relationships/hyperlink" Target="https://doi.org/10.1038/s41928-026-01581-9" TargetMode="External"/><Relationship Id="rId813" Type="http://schemas.openxmlformats.org/officeDocument/2006/relationships/hyperlink" Target="https://www.nature.com/articles/d41586-026-00601-0" TargetMode="External"/><Relationship Id="rId814" Type="http://schemas.openxmlformats.org/officeDocument/2006/relationships/hyperlink" Target="https://doi.org/10.1038/d41586-026-00601-0" TargetMode="External"/><Relationship Id="rId815" Type="http://schemas.openxmlformats.org/officeDocument/2006/relationships/hyperlink" Target="https://advanced.onlinelibrary.wiley.com/doi/10.1002/adma.202517182?af=R" TargetMode="External"/><Relationship Id="rId816" Type="http://schemas.openxmlformats.org/officeDocument/2006/relationships/hyperlink" Target="https://doi.org/10.1002/adma.202517182" TargetMode="External"/><Relationship Id="rId817" Type="http://schemas.openxmlformats.org/officeDocument/2006/relationships/hyperlink" Target="https://www.science.org/doi/abs/10.1126/sciadv.aeb0828?af=R" TargetMode="External"/><Relationship Id="rId818" Type="http://schemas.openxmlformats.org/officeDocument/2006/relationships/hyperlink" Target="https://doi.org/10.1126/sciadv.aeb0828" TargetMode="External"/><Relationship Id="rId819" Type="http://schemas.openxmlformats.org/officeDocument/2006/relationships/hyperlink" Target="https://www.science.org/doi/abs/10.1126/sciadv.aea7188?af=R" TargetMode="External"/><Relationship Id="rId820" Type="http://schemas.openxmlformats.org/officeDocument/2006/relationships/hyperlink" Target="https://doi.org/10.1126/sciadv.aea7188" TargetMode="External"/><Relationship Id="rId821" Type="http://schemas.openxmlformats.org/officeDocument/2006/relationships/hyperlink" Target="https://www.science.org/doi/abs/10.1126/sciadv.adz7400?af=R" TargetMode="External"/><Relationship Id="rId822" Type="http://schemas.openxmlformats.org/officeDocument/2006/relationships/hyperlink" Target="https://doi.org/10.1126/sciadv.adz7400" TargetMode="External"/><Relationship Id="rId823" Type="http://schemas.openxmlformats.org/officeDocument/2006/relationships/hyperlink" Target="https://www.science.org/doi/abs/10.1126/sciadv.adz7908?af=R" TargetMode="External"/><Relationship Id="rId824" Type="http://schemas.openxmlformats.org/officeDocument/2006/relationships/hyperlink" Target="https://doi.org/10.1126/sciadv.adz7908" TargetMode="External"/><Relationship Id="rId825" Type="http://schemas.openxmlformats.org/officeDocument/2006/relationships/hyperlink" Target="https://www.science.org/doi/abs/10.1126/sciadv.adw3701?af=R" TargetMode="External"/><Relationship Id="rId826" Type="http://schemas.openxmlformats.org/officeDocument/2006/relationships/hyperlink" Target="https://doi.org/10.1126/sciadv.adw3701" TargetMode="External"/><Relationship Id="rId827" Type="http://schemas.openxmlformats.org/officeDocument/2006/relationships/hyperlink" Target="https://www.pnas.org/doi/abs/10.1073/pnas.2525288123?mi=eymic2&amp;af=R&amp;access=on&amp;content=articlesChapters&amp;publication=pnas&amp;sortBy=Earliest&amp;target=default" TargetMode="External"/><Relationship Id="rId828" Type="http://schemas.openxmlformats.org/officeDocument/2006/relationships/hyperlink" Target="https://doi.org/10.1073/pnas.2525288123" TargetMode="External"/><Relationship Id="rId829" Type="http://schemas.openxmlformats.org/officeDocument/2006/relationships/hyperlink" Target="https://www.science.org/doi/abs/10.1126/sciadv.aea9278?af=R" TargetMode="External"/><Relationship Id="rId830" Type="http://schemas.openxmlformats.org/officeDocument/2006/relationships/hyperlink" Target="https://doi.org/10.1126/sciadv.aea9278" TargetMode="External"/><Relationship Id="rId831" Type="http://schemas.openxmlformats.org/officeDocument/2006/relationships/hyperlink" Target="https://www.pnas.org/doi/abs/10.1073/pnas.2513547123?mi=eymic2&amp;af=R&amp;access=on&amp;content=articlesChapters&amp;publication=pnas&amp;sortBy=Earliest&amp;target=default" TargetMode="External"/><Relationship Id="rId832" Type="http://schemas.openxmlformats.org/officeDocument/2006/relationships/hyperlink" Target="https://doi.org/10.1073/pnas.2513547123" TargetMode="External"/><Relationship Id="rId833" Type="http://schemas.openxmlformats.org/officeDocument/2006/relationships/hyperlink" Target="https://www.pnas.org/doi/abs/10.1073/pnas.2533459123?mi=eymic2&amp;af=R&amp;access=on&amp;content=articlesChapters&amp;publication=pnas&amp;sortBy=Earliest&amp;target=default" TargetMode="External"/><Relationship Id="rId834" Type="http://schemas.openxmlformats.org/officeDocument/2006/relationships/hyperlink" Target="https://doi.org/10.1073/pnas.2533459123" TargetMode="External"/><Relationship Id="rId835" Type="http://schemas.openxmlformats.org/officeDocument/2006/relationships/hyperlink" Target="https://www.pnas.org/doi/abs/10.1073/pnas.2536882123?mi=eymic2&amp;af=R&amp;access=on&amp;content=articlesChapters&amp;publication=pnas&amp;sortBy=Earliest&amp;target=default" TargetMode="External"/><Relationship Id="rId836" Type="http://schemas.openxmlformats.org/officeDocument/2006/relationships/hyperlink" Target="https://doi.org/10.1073/pnas.2536882123" TargetMode="External"/><Relationship Id="rId837" Type="http://schemas.openxmlformats.org/officeDocument/2006/relationships/hyperlink" Target="https://www.pnas.org/doi/abs/10.1073/pnas.2527016123?mi=eymic2&amp;af=R&amp;access=on&amp;content=articlesChapters&amp;publication=pnas&amp;sortBy=Earliest&amp;target=default" TargetMode="External"/><Relationship Id="rId838" Type="http://schemas.openxmlformats.org/officeDocument/2006/relationships/hyperlink" Target="https://doi.org/10.1073/pnas.2527016123" TargetMode="External"/><Relationship Id="rId839" Type="http://schemas.openxmlformats.org/officeDocument/2006/relationships/hyperlink" Target="https://www.pnas.org/doi/abs/10.1073/pnas.2521769123?mi=eymic2&amp;af=R&amp;access=on&amp;content=articlesChapters&amp;publication=pnas&amp;sortBy=Earliest&amp;target=default" TargetMode="External"/><Relationship Id="rId840" Type="http://schemas.openxmlformats.org/officeDocument/2006/relationships/hyperlink" Target="https://doi.org/10.1073/pnas.2521769123" TargetMode="External"/><Relationship Id="rId841" Type="http://schemas.openxmlformats.org/officeDocument/2006/relationships/hyperlink" Target="https://www.pnas.org/doi/abs/10.1073/pnas.2519332123?mi=eymic2&amp;af=R&amp;access=on&amp;content=articlesChapters&amp;publication=pnas&amp;sortBy=Earliest&amp;target=default" TargetMode="External"/><Relationship Id="rId842" Type="http://schemas.openxmlformats.org/officeDocument/2006/relationships/hyperlink" Target="https://doi.org/10.1073/pnas.2519332123" TargetMode="External"/><Relationship Id="rId843" Type="http://schemas.openxmlformats.org/officeDocument/2006/relationships/hyperlink" Target="https://www.pnas.org/doi/abs/10.1073/pnas.2518893123?mi=eymic2&amp;af=R&amp;access=on&amp;content=articlesChapters&amp;publication=pnas&amp;sortBy=Earliest&amp;target=default" TargetMode="External"/><Relationship Id="rId844" Type="http://schemas.openxmlformats.org/officeDocument/2006/relationships/hyperlink" Target="https://doi.org/10.1073/pnas.2518893123" TargetMode="External"/><Relationship Id="rId845" Type="http://schemas.openxmlformats.org/officeDocument/2006/relationships/hyperlink" Target="https://www.science.org/doi/abs/10.1126/sciadv.aeb4898?af=R" TargetMode="External"/><Relationship Id="rId846" Type="http://schemas.openxmlformats.org/officeDocument/2006/relationships/hyperlink" Target="https://doi.org/10.1126/sciadv.aeb4898" TargetMode="External"/><Relationship Id="rId847" Type="http://schemas.openxmlformats.org/officeDocument/2006/relationships/hyperlink" Target="https://www.pnas.org/doi/abs/10.1073/pnas.2422539123?mi=eymic2&amp;af=R&amp;access=on&amp;content=articlesChapters&amp;publication=pnas&amp;sortBy=Earliest&amp;target=default" TargetMode="External"/><Relationship Id="rId848" Type="http://schemas.openxmlformats.org/officeDocument/2006/relationships/hyperlink" Target="https://doi.org/10.1073/pnas.2422539123" TargetMode="External"/><Relationship Id="rId849" Type="http://schemas.openxmlformats.org/officeDocument/2006/relationships/hyperlink" Target="https://www.pnas.org/doi/abs/10.1073/pnas.2532235123?mi=eymic2&amp;af=R&amp;access=on&amp;content=articlesChapters&amp;publication=pnas&amp;sortBy=Earliest&amp;target=default" TargetMode="External"/><Relationship Id="rId850" Type="http://schemas.openxmlformats.org/officeDocument/2006/relationships/hyperlink" Target="https://doi.org/10.1073/pnas.2532235123" TargetMode="External"/><Relationship Id="rId851" Type="http://schemas.openxmlformats.org/officeDocument/2006/relationships/hyperlink" Target="https://www.science.org/doi/abs/10.1126/sciadv.aec2190?af=R" TargetMode="External"/><Relationship Id="rId852" Type="http://schemas.openxmlformats.org/officeDocument/2006/relationships/hyperlink" Target="https://doi.org/10.1126/sciadv.aec2190" TargetMode="External"/><Relationship Id="rId853" Type="http://schemas.openxmlformats.org/officeDocument/2006/relationships/hyperlink" Target="https://www.science.org/doi/abs/10.1126/sciadv.adw5226?af=R" TargetMode="External"/><Relationship Id="rId854" Type="http://schemas.openxmlformats.org/officeDocument/2006/relationships/hyperlink" Target="https://doi.org/10.1126/sciadv.adw5226" TargetMode="External"/><Relationship Id="rId855" Type="http://schemas.openxmlformats.org/officeDocument/2006/relationships/hyperlink" Target="https://www.science.org/doi/abs/10.1126/sciadv.aeb4391?af=R" TargetMode="External"/><Relationship Id="rId856" Type="http://schemas.openxmlformats.org/officeDocument/2006/relationships/hyperlink" Target="https://doi.org/10.1126/sciadv.aeb4391" TargetMode="External"/><Relationship Id="rId857" Type="http://schemas.openxmlformats.org/officeDocument/2006/relationships/hyperlink" Target="https://www.science.org/doi/abs/10.1126/sciadv.aea0375?af=R" TargetMode="External"/><Relationship Id="rId858" Type="http://schemas.openxmlformats.org/officeDocument/2006/relationships/hyperlink" Target="https://doi.org/10.1126/sciadv.aea0375" TargetMode="External"/><Relationship Id="rId859" Type="http://schemas.openxmlformats.org/officeDocument/2006/relationships/hyperlink" Target="https://www.science.org/doi/abs/10.1126/sciadv.aea3591?af=R" TargetMode="External"/><Relationship Id="rId860" Type="http://schemas.openxmlformats.org/officeDocument/2006/relationships/hyperlink" Target="https://doi.org/10.1126/sciadv.aea3591" TargetMode="External"/><Relationship Id="rId861" Type="http://schemas.openxmlformats.org/officeDocument/2006/relationships/hyperlink" Target="https://www.science.org/doi/abs/10.1126/sciadv.aeg3111?af=R" TargetMode="External"/><Relationship Id="rId862" Type="http://schemas.openxmlformats.org/officeDocument/2006/relationships/hyperlink" Target="https://doi.org/10.1126/sciadv.aeg3111" TargetMode="External"/><Relationship Id="rId863" Type="http://schemas.openxmlformats.org/officeDocument/2006/relationships/hyperlink" Target="https://www.science.org/doi/abs/10.1126/sciadv.aea6453?af=R" TargetMode="External"/><Relationship Id="rId864" Type="http://schemas.openxmlformats.org/officeDocument/2006/relationships/hyperlink" Target="https://doi.org/10.1126/sciadv.aea6453" TargetMode="External"/><Relationship Id="rId865" Type="http://schemas.openxmlformats.org/officeDocument/2006/relationships/hyperlink" Target="https://www.science.org/doi/abs/10.1126/sciadv.ady4767?af=R" TargetMode="External"/><Relationship Id="rId866" Type="http://schemas.openxmlformats.org/officeDocument/2006/relationships/hyperlink" Target="https://doi.org/10.1126/sciadv.ady4767" TargetMode="External"/><Relationship Id="rId867" Type="http://schemas.openxmlformats.org/officeDocument/2006/relationships/hyperlink" Target="https://www.science.org/doi/abs/10.1126/sciadv.ady7317?af=R" TargetMode="External"/><Relationship Id="rId868" Type="http://schemas.openxmlformats.org/officeDocument/2006/relationships/hyperlink" Target="https://doi.org/10.1126/sciadv.ady7317" TargetMode="External"/><Relationship Id="rId869" Type="http://schemas.openxmlformats.org/officeDocument/2006/relationships/hyperlink" Target="https://www.science.org/doi/abs/10.1126/sciadv.aeb7018?af=R" TargetMode="External"/><Relationship Id="rId870" Type="http://schemas.openxmlformats.org/officeDocument/2006/relationships/hyperlink" Target="https://doi.org/10.1126/sciadv.aeb7018" TargetMode="External"/><Relationship Id="rId871" Type="http://schemas.openxmlformats.org/officeDocument/2006/relationships/hyperlink" Target="https://www.science.org/doi/abs/10.1126/sciadv.ady3909?af=R" TargetMode="External"/><Relationship Id="rId872" Type="http://schemas.openxmlformats.org/officeDocument/2006/relationships/hyperlink" Target="https://doi.org/10.1126/sciadv.ady3909" TargetMode="External"/><Relationship Id="rId873" Type="http://schemas.openxmlformats.org/officeDocument/2006/relationships/hyperlink" Target="https://www.science.org/doi/abs/10.1126/sciadv.adx2953?af=R" TargetMode="External"/><Relationship Id="rId874" Type="http://schemas.openxmlformats.org/officeDocument/2006/relationships/hyperlink" Target="https://doi.org/10.1126/sciadv.adx2953" TargetMode="External"/><Relationship Id="rId875" Type="http://schemas.openxmlformats.org/officeDocument/2006/relationships/hyperlink" Target="https://www.science.org/doi/abs/10.1126/sciadv.aeb6753?af=R" TargetMode="External"/><Relationship Id="rId876" Type="http://schemas.openxmlformats.org/officeDocument/2006/relationships/hyperlink" Target="https://doi.org/10.1126/sciadv.aeb6753" TargetMode="External"/><Relationship Id="rId877" Type="http://schemas.openxmlformats.org/officeDocument/2006/relationships/hyperlink" Target="https://www.science.org/doi/abs/10.1126/sciadv.aef9964?af=R" TargetMode="External"/><Relationship Id="rId878" Type="http://schemas.openxmlformats.org/officeDocument/2006/relationships/hyperlink" Target="https://doi.org/10.1126/sciadv.aef9964" TargetMode="External"/><Relationship Id="rId879" Type="http://schemas.openxmlformats.org/officeDocument/2006/relationships/hyperlink" Target="https://www.science.org/doi/abs/10.1126/sciadv.ado7448?af=R" TargetMode="External"/><Relationship Id="rId880" Type="http://schemas.openxmlformats.org/officeDocument/2006/relationships/hyperlink" Target="https://doi.org/10.1126/sciadv.ado7448" TargetMode="External"/><Relationship Id="rId881" Type="http://schemas.openxmlformats.org/officeDocument/2006/relationships/hyperlink" Target="https://www.science.org/doi/abs/10.1126/sciadv.aeg3112?af=R" TargetMode="External"/><Relationship Id="rId882" Type="http://schemas.openxmlformats.org/officeDocument/2006/relationships/hyperlink" Target="https://doi.org/10.1126/sciadv.aeg3112" TargetMode="External"/><Relationship Id="rId883" Type="http://schemas.openxmlformats.org/officeDocument/2006/relationships/hyperlink" Target="https://www.science.org/doi/abs/10.1126/sciadv.aea3684?af=R" TargetMode="External"/><Relationship Id="rId884" Type="http://schemas.openxmlformats.org/officeDocument/2006/relationships/hyperlink" Target="https://doi.org/10.1126/sciadv.aea3684" TargetMode="External"/><Relationship Id="rId885" Type="http://schemas.openxmlformats.org/officeDocument/2006/relationships/hyperlink" Target="https://advanced.onlinelibrary.wiley.com/doi/10.1002/adma.202523019?af=R" TargetMode="External"/><Relationship Id="rId886" Type="http://schemas.openxmlformats.org/officeDocument/2006/relationships/hyperlink" Target="https://doi.org/10.1002/adma.202523019" TargetMode="External"/><Relationship Id="rId887" Type="http://schemas.openxmlformats.org/officeDocument/2006/relationships/hyperlink" Target="https://www.science.org/doi/abs/10.1126/sciadv.ady7568?af=R" TargetMode="External"/><Relationship Id="rId888" Type="http://schemas.openxmlformats.org/officeDocument/2006/relationships/hyperlink" Target="https://doi.org/10.1126/sciadv.ady7568" TargetMode="External"/><Relationship Id="rId889" Type="http://schemas.openxmlformats.org/officeDocument/2006/relationships/hyperlink" Target="https://www.science.org/doi/abs/10.1126/sciadv.aec4416?af=R" TargetMode="External"/><Relationship Id="rId890" Type="http://schemas.openxmlformats.org/officeDocument/2006/relationships/hyperlink" Target="https://doi.org/10.1126/sciadv.aec4416" TargetMode="External"/><Relationship Id="rId891" Type="http://schemas.openxmlformats.org/officeDocument/2006/relationships/hyperlink" Target="https://www.science.org/doi/abs/10.1126/sciadv.ady6378?af=R" TargetMode="External"/><Relationship Id="rId892" Type="http://schemas.openxmlformats.org/officeDocument/2006/relationships/hyperlink" Target="https://doi.org/10.1126/sciadv.ady6378" TargetMode="External"/><Relationship Id="rId893" Type="http://schemas.openxmlformats.org/officeDocument/2006/relationships/hyperlink" Target="https://www.science.org/doi/abs/10.1126/sciadv.adz9361?af=R" TargetMode="External"/><Relationship Id="rId894" Type="http://schemas.openxmlformats.org/officeDocument/2006/relationships/hyperlink" Target="https://doi.org/10.1126/sciadv.adz9361" TargetMode="External"/><Relationship Id="rId895" Type="http://schemas.openxmlformats.org/officeDocument/2006/relationships/hyperlink" Target="https://www.science.org/doi/abs/10.1126/sciadv.aeb5192?af=R" TargetMode="External"/><Relationship Id="rId896" Type="http://schemas.openxmlformats.org/officeDocument/2006/relationships/hyperlink" Target="https://doi.org/10.1126/sciadv.aeb5192" TargetMode="External"/><Relationship Id="rId897" Type="http://schemas.openxmlformats.org/officeDocument/2006/relationships/hyperlink" Target="http://dx.doi.org/10.1021/jacs.5c23218" TargetMode="External"/><Relationship Id="rId898" Type="http://schemas.openxmlformats.org/officeDocument/2006/relationships/hyperlink" Target="https://doi.org/10.1021/jacs.5c23218" TargetMode="External"/><Relationship Id="rId899" Type="http://schemas.openxmlformats.org/officeDocument/2006/relationships/hyperlink" Target="http://dx.doi.org/10.1021/acsenergylett.5c04320" TargetMode="External"/><Relationship Id="rId900" Type="http://schemas.openxmlformats.org/officeDocument/2006/relationships/hyperlink" Target="https://doi.org/10.1021/acsenergylett.5c04320" TargetMode="External"/><Relationship Id="rId901" Type="http://schemas.openxmlformats.org/officeDocument/2006/relationships/hyperlink" Target="http://dx.doi.org/10.1021/jacs.5c22504" TargetMode="External"/><Relationship Id="rId902" Type="http://schemas.openxmlformats.org/officeDocument/2006/relationships/hyperlink" Target="https://doi.org/10.1021/jacs.5c22504" TargetMode="External"/><Relationship Id="rId903" Type="http://schemas.openxmlformats.org/officeDocument/2006/relationships/hyperlink" Target="http://dx.doi.org/10.1021/jacs.5c21829" TargetMode="External"/><Relationship Id="rId904" Type="http://schemas.openxmlformats.org/officeDocument/2006/relationships/hyperlink" Target="https://doi.org/10.1021/jacs.5c21829" TargetMode="External"/><Relationship Id="rId905" Type="http://schemas.openxmlformats.org/officeDocument/2006/relationships/hyperlink" Target="http://dx.doi.org/10.1021/jacs.5c14173" TargetMode="External"/><Relationship Id="rId906" Type="http://schemas.openxmlformats.org/officeDocument/2006/relationships/hyperlink" Target="https://doi.org/10.1021/jacs.5c14173" TargetMode="External"/><Relationship Id="rId907" Type="http://schemas.openxmlformats.org/officeDocument/2006/relationships/hyperlink" Target="https://advanced.onlinelibrary.wiley.com/doi/10.1002/adma.202521237?af=R" TargetMode="External"/><Relationship Id="rId908" Type="http://schemas.openxmlformats.org/officeDocument/2006/relationships/hyperlink" Target="https://doi.org/10.1002/adma.202521237" TargetMode="External"/><Relationship Id="rId909" Type="http://schemas.openxmlformats.org/officeDocument/2006/relationships/hyperlink" Target="http://dx.doi.org/10.1021/jacs.5c20519" TargetMode="External"/><Relationship Id="rId910" Type="http://schemas.openxmlformats.org/officeDocument/2006/relationships/hyperlink" Target="https://doi.org/10.1021/jacs.5c20519" TargetMode="External"/><Relationship Id="rId911" Type="http://schemas.openxmlformats.org/officeDocument/2006/relationships/hyperlink" Target="https://advanced.onlinelibrary.wiley.com/doi/10.1002/adma.202515677?af=R" TargetMode="External"/><Relationship Id="rId912" Type="http://schemas.openxmlformats.org/officeDocument/2006/relationships/hyperlink" Target="https://doi.org/10.1002/adma.202515677" TargetMode="External"/><Relationship Id="rId913" Type="http://schemas.openxmlformats.org/officeDocument/2006/relationships/hyperlink" Target="http://dx.doi.org/10.1021/jacs.6c02210" TargetMode="External"/><Relationship Id="rId914" Type="http://schemas.openxmlformats.org/officeDocument/2006/relationships/hyperlink" Target="https://doi.org/10.1021/jacs.6c02210" TargetMode="External"/><Relationship Id="rId915" Type="http://schemas.openxmlformats.org/officeDocument/2006/relationships/hyperlink" Target="https://onlinelibrary.wiley.com/doi/10.1002/anie.202524603?af=R" TargetMode="External"/><Relationship Id="rId916" Type="http://schemas.openxmlformats.org/officeDocument/2006/relationships/hyperlink" Target="https://doi.org/10.1002/anie.202524603" TargetMode="External"/><Relationship Id="rId917" Type="http://schemas.openxmlformats.org/officeDocument/2006/relationships/hyperlink" Target="https://onlinelibrary.wiley.com/doi/10.1002/anie.202525181?af=R" TargetMode="External"/><Relationship Id="rId918" Type="http://schemas.openxmlformats.org/officeDocument/2006/relationships/hyperlink" Target="https://doi.org/10.1002/anie.202525181" TargetMode="External"/><Relationship Id="rId919" Type="http://schemas.openxmlformats.org/officeDocument/2006/relationships/hyperlink" Target="https://onlinelibrary.wiley.com/doi/10.1002/anie.1490993?af=R" TargetMode="External"/><Relationship Id="rId920" Type="http://schemas.openxmlformats.org/officeDocument/2006/relationships/hyperlink" Target="https://doi.org/10.1002/anie.1490993" TargetMode="External"/><Relationship Id="rId921" Type="http://schemas.openxmlformats.org/officeDocument/2006/relationships/hyperlink" Target="https://onlinelibrary.wiley.com/doi/10.1002/anie.202522703?af=R" TargetMode="External"/><Relationship Id="rId922" Type="http://schemas.openxmlformats.org/officeDocument/2006/relationships/hyperlink" Target="https://doi.org/10.1002/anie.202522703" TargetMode="External"/><Relationship Id="rId923" Type="http://schemas.openxmlformats.org/officeDocument/2006/relationships/hyperlink" Target="https://onlinelibrary.wiley.com/doi/10.1002/anie.5110668?af=R" TargetMode="External"/><Relationship Id="rId924" Type="http://schemas.openxmlformats.org/officeDocument/2006/relationships/hyperlink" Target="https://doi.org/10.1002/anie.5110668" TargetMode="External"/><Relationship Id="rId925" Type="http://schemas.openxmlformats.org/officeDocument/2006/relationships/hyperlink" Target="https://onlinelibrary.wiley.com/doi/10.1002/anie.202526149?af=R" TargetMode="External"/><Relationship Id="rId926" Type="http://schemas.openxmlformats.org/officeDocument/2006/relationships/hyperlink" Target="https://doi.org/10.1002/anie.202526149" TargetMode="External"/><Relationship Id="rId927" Type="http://schemas.openxmlformats.org/officeDocument/2006/relationships/hyperlink" Target="https://onlinelibrary.wiley.com/doi/10.1002/anie.202525538?af=R" TargetMode="External"/><Relationship Id="rId928" Type="http://schemas.openxmlformats.org/officeDocument/2006/relationships/hyperlink" Target="https://doi.org/10.1002/anie.202525538" TargetMode="External"/><Relationship Id="rId929" Type="http://schemas.openxmlformats.org/officeDocument/2006/relationships/hyperlink" Target="https://onlinelibrary.wiley.com/doi/10.1002/anie.7337664?af=R" TargetMode="External"/><Relationship Id="rId930" Type="http://schemas.openxmlformats.org/officeDocument/2006/relationships/hyperlink" Target="https://doi.org/10.1002/anie.7337664" TargetMode="External"/><Relationship Id="rId931" Type="http://schemas.openxmlformats.org/officeDocument/2006/relationships/hyperlink" Target="https://onlinelibrary.wiley.com/doi/10.1002/anie.7786614?af=R" TargetMode="External"/><Relationship Id="rId932" Type="http://schemas.openxmlformats.org/officeDocument/2006/relationships/hyperlink" Target="https://doi.org/10.1002/anie.7786614" TargetMode="External"/><Relationship Id="rId933" Type="http://schemas.openxmlformats.org/officeDocument/2006/relationships/hyperlink" Target="https://onlinelibrary.wiley.com/doi/10.1002/anie.4720702?af=R" TargetMode="External"/><Relationship Id="rId934" Type="http://schemas.openxmlformats.org/officeDocument/2006/relationships/hyperlink" Target="https://doi.org/10.1002/anie.4720702" TargetMode="External"/><Relationship Id="rId935" Type="http://schemas.openxmlformats.org/officeDocument/2006/relationships/hyperlink" Target="https://advanced.onlinelibrary.wiley.com/doi/10.1002/adma.202519805?af=R" TargetMode="External"/><Relationship Id="rId936" Type="http://schemas.openxmlformats.org/officeDocument/2006/relationships/hyperlink" Target="https://doi.org/10.1002/adma.202519805" TargetMode="External"/><Relationship Id="rId937" Type="http://schemas.openxmlformats.org/officeDocument/2006/relationships/hyperlink" Target="http://dx.doi.org/10.1021/jacs.6c00571" TargetMode="External"/><Relationship Id="rId938" Type="http://schemas.openxmlformats.org/officeDocument/2006/relationships/hyperlink" Target="https://doi.org/10.1021/jacs.6c00571" TargetMode="External"/><Relationship Id="rId939" Type="http://schemas.openxmlformats.org/officeDocument/2006/relationships/hyperlink" Target="https://onlinelibrary.wiley.com/doi/10.1002/anie.6906738?af=R" TargetMode="External"/><Relationship Id="rId940" Type="http://schemas.openxmlformats.org/officeDocument/2006/relationships/hyperlink" Target="https://doi.org/10.1002/anie.6906738" TargetMode="External"/><Relationship Id="rId941" Type="http://schemas.openxmlformats.org/officeDocument/2006/relationships/hyperlink" Target="http://dx.doi.org/10.1021/jacs.5c18595" TargetMode="External"/><Relationship Id="rId942" Type="http://schemas.openxmlformats.org/officeDocument/2006/relationships/hyperlink" Target="https://doi.org/10.1021/jacs.5c18595" TargetMode="External"/><Relationship Id="rId943" Type="http://schemas.openxmlformats.org/officeDocument/2006/relationships/hyperlink" Target="http://dx.doi.org/10.1021/jacs.5c18603" TargetMode="External"/><Relationship Id="rId944" Type="http://schemas.openxmlformats.org/officeDocument/2006/relationships/hyperlink" Target="https://doi.org/10.1021/jacs.5c18603" TargetMode="External"/><Relationship Id="rId945" Type="http://schemas.openxmlformats.org/officeDocument/2006/relationships/hyperlink" Target="http://dx.doi.org/10.1021/jacs.6c00213" TargetMode="External"/><Relationship Id="rId946" Type="http://schemas.openxmlformats.org/officeDocument/2006/relationships/hyperlink" Target="https://doi.org/10.1021/jacs.6c00213" TargetMode="External"/><Relationship Id="rId947" Type="http://schemas.openxmlformats.org/officeDocument/2006/relationships/hyperlink" Target="https://advanced.onlinelibrary.wiley.com/doi/10.1002/aenm.202505267?af=R" TargetMode="External"/><Relationship Id="rId948" Type="http://schemas.openxmlformats.org/officeDocument/2006/relationships/hyperlink" Target="https://doi.org/10.1002/aenm.202505267" TargetMode="External"/><Relationship Id="rId949" Type="http://schemas.openxmlformats.org/officeDocument/2006/relationships/hyperlink" Target="http://dx.doi.org/10.1021/jacs.5c21433" TargetMode="External"/><Relationship Id="rId950" Type="http://schemas.openxmlformats.org/officeDocument/2006/relationships/hyperlink" Target="https://doi.org/10.1021/jacs.5c21433" TargetMode="External"/><Relationship Id="rId951" Type="http://schemas.openxmlformats.org/officeDocument/2006/relationships/hyperlink" Target="http://dx.doi.org/10.1021/jacs.5c18593" TargetMode="External"/><Relationship Id="rId952" Type="http://schemas.openxmlformats.org/officeDocument/2006/relationships/hyperlink" Target="https://doi.org/10.1021/jacs.5c18593" TargetMode="External"/><Relationship Id="rId953" Type="http://schemas.openxmlformats.org/officeDocument/2006/relationships/hyperlink" Target="http://dx.doi.org/10.1021/jacs.5c23027" TargetMode="External"/><Relationship Id="rId954" Type="http://schemas.openxmlformats.org/officeDocument/2006/relationships/hyperlink" Target="https://doi.org/10.1021/jacs.5c23027" TargetMode="External"/><Relationship Id="rId955" Type="http://schemas.openxmlformats.org/officeDocument/2006/relationships/hyperlink" Target="http://dx.doi.org/10.1021/acsenergylett.6c00404" TargetMode="External"/><Relationship Id="rId956" Type="http://schemas.openxmlformats.org/officeDocument/2006/relationships/hyperlink" Target="https://doi.org/10.1021/acsenergylett.6c00404" TargetMode="External"/><Relationship Id="rId957" Type="http://schemas.openxmlformats.org/officeDocument/2006/relationships/hyperlink" Target="http://dx.doi.org/10.1021/jacs.5c22065" TargetMode="External"/><Relationship Id="rId958" Type="http://schemas.openxmlformats.org/officeDocument/2006/relationships/hyperlink" Target="https://doi.org/10.1021/jacs.5c22065" TargetMode="External"/><Relationship Id="rId959" Type="http://schemas.openxmlformats.org/officeDocument/2006/relationships/hyperlink" Target="http://dx.doi.org/10.1021/jacs.6c00331" TargetMode="External"/><Relationship Id="rId960" Type="http://schemas.openxmlformats.org/officeDocument/2006/relationships/hyperlink" Target="https://doi.org/10.1021/jacs.6c00331" TargetMode="External"/><Relationship Id="rId961" Type="http://schemas.openxmlformats.org/officeDocument/2006/relationships/hyperlink" Target="http://dx.doi.org/10.1021/jacs.5c20647" TargetMode="External"/><Relationship Id="rId962" Type="http://schemas.openxmlformats.org/officeDocument/2006/relationships/hyperlink" Target="https://doi.org/10.1021/jacs.5c20647" TargetMode="External"/><Relationship Id="rId963" Type="http://schemas.openxmlformats.org/officeDocument/2006/relationships/hyperlink" Target="http://dx.doi.org/10.1021/jacs.5c17688" TargetMode="External"/><Relationship Id="rId964" Type="http://schemas.openxmlformats.org/officeDocument/2006/relationships/hyperlink" Target="https://doi.org/10.1021/jacs.5c17688" TargetMode="External"/><Relationship Id="rId965" Type="http://schemas.openxmlformats.org/officeDocument/2006/relationships/hyperlink" Target="http://dx.doi.org/10.1021/jacs.5c21878" TargetMode="External"/><Relationship Id="rId966" Type="http://schemas.openxmlformats.org/officeDocument/2006/relationships/hyperlink" Target="https://doi.org/10.1021/jacs.5c21878" TargetMode="External"/><Relationship Id="rId967" Type="http://schemas.openxmlformats.org/officeDocument/2006/relationships/hyperlink" Target="http://dx.doi.org/10.1021/jacs.5c21530" TargetMode="External"/><Relationship Id="rId968" Type="http://schemas.openxmlformats.org/officeDocument/2006/relationships/hyperlink" Target="https://doi.org/10.1021/jacs.5c21530" TargetMode="External"/><Relationship Id="rId969" Type="http://schemas.openxmlformats.org/officeDocument/2006/relationships/hyperlink" Target="http://dx.doi.org/10.1021/jacs.5c21376" TargetMode="External"/><Relationship Id="rId970" Type="http://schemas.openxmlformats.org/officeDocument/2006/relationships/hyperlink" Target="https://doi.org/10.1021/jacs.5c21376" TargetMode="External"/><Relationship Id="rId971" Type="http://schemas.openxmlformats.org/officeDocument/2006/relationships/hyperlink" Target="http://dx.doi.org/10.1021/jacs.5c19692" TargetMode="External"/><Relationship Id="rId972" Type="http://schemas.openxmlformats.org/officeDocument/2006/relationships/hyperlink" Target="https://doi.org/10.1021/jacs.5c19692" TargetMode="External"/><Relationship Id="rId973" Type="http://schemas.openxmlformats.org/officeDocument/2006/relationships/hyperlink" Target="https://www.nature.com/articles/s41467-026-69127-3" TargetMode="External"/><Relationship Id="rId974" Type="http://schemas.openxmlformats.org/officeDocument/2006/relationships/hyperlink" Target="https://doi.org/10.1038/s41467-026-69127-3" TargetMode="External"/><Relationship Id="rId975" Type="http://schemas.openxmlformats.org/officeDocument/2006/relationships/hyperlink" Target="https://www.sciencedirect.com/science/article/pii/S0306261926002606?dgcid=rss_sd_all" TargetMode="External"/><Relationship Id="rId976" Type="http://schemas.openxmlformats.org/officeDocument/2006/relationships/hyperlink" Target="https://www.sciencedirect.com/science/article/pii/S0301421526001485?dgcid=rss_sd_all" TargetMode="External"/><Relationship Id="rId977" Type="http://schemas.openxmlformats.org/officeDocument/2006/relationships/hyperlink" Target="https://www.nature.com/articles/s41467-026-70171-2" TargetMode="External"/><Relationship Id="rId978" Type="http://schemas.openxmlformats.org/officeDocument/2006/relationships/hyperlink" Target="https://doi.org/10.1038/s41467-026-70171-2" TargetMode="External"/><Relationship Id="rId979" Type="http://schemas.openxmlformats.org/officeDocument/2006/relationships/hyperlink" Target="https://www.sciencedirect.com/science/article/pii/S0306261926002138?dgcid=rss_sd_all" TargetMode="External"/><Relationship Id="rId980" Type="http://schemas.openxmlformats.org/officeDocument/2006/relationships/hyperlink" Target="https://www.nature.com/articles/s41467-026-69845-8" TargetMode="External"/><Relationship Id="rId981" Type="http://schemas.openxmlformats.org/officeDocument/2006/relationships/hyperlink" Target="https://doi.org/10.1038/s41467-026-69845-8" TargetMode="External"/><Relationship Id="rId982" Type="http://schemas.openxmlformats.org/officeDocument/2006/relationships/hyperlink" Target="https://www.sciencedirect.com/science/article/pii/S0306261926002114?dgcid=rss_sd_all" TargetMode="External"/><Relationship Id="rId983" Type="http://schemas.openxmlformats.org/officeDocument/2006/relationships/hyperlink" Target="https://www.nature.com/articles/s41467-026-70129-4" TargetMode="External"/><Relationship Id="rId984" Type="http://schemas.openxmlformats.org/officeDocument/2006/relationships/hyperlink" Target="https://doi.org/10.1038/s41467-026-70129-4" TargetMode="External"/><Relationship Id="rId985" Type="http://schemas.openxmlformats.org/officeDocument/2006/relationships/hyperlink" Target="https://www.nature.com/articles/s41467-026-69954-4" TargetMode="External"/><Relationship Id="rId986" Type="http://schemas.openxmlformats.org/officeDocument/2006/relationships/hyperlink" Target="https://doi.org/10.1038/s41467-026-69954-4" TargetMode="External"/><Relationship Id="rId987" Type="http://schemas.openxmlformats.org/officeDocument/2006/relationships/hyperlink" Target="https://www.sciencedirect.com/science/article/pii/S0306261926002758?dgcid=rss_sd_all" TargetMode="External"/><Relationship Id="rId988" Type="http://schemas.openxmlformats.org/officeDocument/2006/relationships/hyperlink" Target="https://advanced.onlinelibrary.wiley.com/doi/10.1002/adma.202522942?af=R" TargetMode="External"/><Relationship Id="rId989" Type="http://schemas.openxmlformats.org/officeDocument/2006/relationships/hyperlink" Target="https://doi.org/10.1002/adma.202522942" TargetMode="External"/><Relationship Id="rId990" Type="http://schemas.openxmlformats.org/officeDocument/2006/relationships/hyperlink" Target="https://advanced.onlinelibrary.wiley.com/doi/10.1002/adma.202518268?af=R" TargetMode="External"/><Relationship Id="rId991" Type="http://schemas.openxmlformats.org/officeDocument/2006/relationships/hyperlink" Target="https://doi.org/10.1002/adma.202518268" TargetMode="External"/><Relationship Id="rId992" Type="http://schemas.openxmlformats.org/officeDocument/2006/relationships/hyperlink" Target="https://advanced.onlinelibrary.wiley.com/doi/10.1002/adma.72684?af=R" TargetMode="External"/><Relationship Id="rId993" Type="http://schemas.openxmlformats.org/officeDocument/2006/relationships/hyperlink" Target="https://doi.org/10.1002/adma.72684" TargetMode="External"/><Relationship Id="rId994" Type="http://schemas.openxmlformats.org/officeDocument/2006/relationships/hyperlink" Target="https://onlinelibrary.wiley.com/doi/10.1002/anie.202524329?af=R" TargetMode="External"/><Relationship Id="rId995" Type="http://schemas.openxmlformats.org/officeDocument/2006/relationships/hyperlink" Target="https://doi.org/10.1002/anie.202524329" TargetMode="External"/><Relationship Id="rId996" Type="http://schemas.openxmlformats.org/officeDocument/2006/relationships/hyperlink" Target="https://onlinelibrary.wiley.com/doi/10.1002/anie.202523751?af=R" TargetMode="External"/><Relationship Id="rId997" Type="http://schemas.openxmlformats.org/officeDocument/2006/relationships/hyperlink" Target="https://doi.org/10.1002/anie.202523751" TargetMode="External"/><Relationship Id="rId998" Type="http://schemas.openxmlformats.org/officeDocument/2006/relationships/hyperlink" Target="https://onlinelibrary.wiley.com/doi/10.1002/anie.3751232?af=R" TargetMode="External"/><Relationship Id="rId999" Type="http://schemas.openxmlformats.org/officeDocument/2006/relationships/hyperlink" Target="https://doi.org/10.1002/anie.3751232" TargetMode="External"/><Relationship Id="rId1000" Type="http://schemas.openxmlformats.org/officeDocument/2006/relationships/hyperlink" Target="https://onlinelibrary.wiley.com/doi/10.1002/anie.7876181?af=R" TargetMode="External"/><Relationship Id="rId1001" Type="http://schemas.openxmlformats.org/officeDocument/2006/relationships/hyperlink" Target="https://doi.org/10.1002/anie.7876181" TargetMode="External"/><Relationship Id="rId1002" Type="http://schemas.openxmlformats.org/officeDocument/2006/relationships/hyperlink" Target="https://onlinelibrary.wiley.com/doi/10.1002/anie.6439677?af=R" TargetMode="External"/><Relationship Id="rId1003" Type="http://schemas.openxmlformats.org/officeDocument/2006/relationships/hyperlink" Target="https://doi.org/10.1002/anie.6439677" TargetMode="External"/><Relationship Id="rId1004" Type="http://schemas.openxmlformats.org/officeDocument/2006/relationships/hyperlink" Target="https://onlinelibrary.wiley.com/doi/10.1002/anie.202526039?af=R" TargetMode="External"/><Relationship Id="rId1005" Type="http://schemas.openxmlformats.org/officeDocument/2006/relationships/hyperlink" Target="https://doi.org/10.1002/anie.202526039" TargetMode="External"/><Relationship Id="rId1006" Type="http://schemas.openxmlformats.org/officeDocument/2006/relationships/hyperlink" Target="https://advanced.onlinelibrary.wiley.com/doi/10.1002/adma.72655?af=R" TargetMode="External"/><Relationship Id="rId1007" Type="http://schemas.openxmlformats.org/officeDocument/2006/relationships/hyperlink" Target="https://doi.org/10.1002/adma.72655" TargetMode="External"/><Relationship Id="rId1008" Type="http://schemas.openxmlformats.org/officeDocument/2006/relationships/hyperlink" Target="https://advanced.onlinelibrary.wiley.com/doi/10.1002/adma.202522270?af=R" TargetMode="External"/><Relationship Id="rId1009" Type="http://schemas.openxmlformats.org/officeDocument/2006/relationships/hyperlink" Target="https://doi.org/10.1002/adma.202522270" TargetMode="External"/><Relationship Id="rId1010" Type="http://schemas.openxmlformats.org/officeDocument/2006/relationships/hyperlink" Target="https://advanced.onlinelibrary.wiley.com/doi/10.1002/adma.202520447?af=R" TargetMode="External"/><Relationship Id="rId1011" Type="http://schemas.openxmlformats.org/officeDocument/2006/relationships/hyperlink" Target="https://doi.org/10.1002/adma.202520447" TargetMode="External"/><Relationship Id="rId1012" Type="http://schemas.openxmlformats.org/officeDocument/2006/relationships/hyperlink" Target="https://onlinelibrary.wiley.com/doi/10.1002/anie.3968771?af=R" TargetMode="External"/><Relationship Id="rId1013" Type="http://schemas.openxmlformats.org/officeDocument/2006/relationships/hyperlink" Target="https://doi.org/10.1002/anie.3968771" TargetMode="External"/><Relationship Id="rId1014" Type="http://schemas.openxmlformats.org/officeDocument/2006/relationships/hyperlink" Target="https://onlinelibrary.wiley.com/doi/10.1002/anie.202523661?af=R" TargetMode="External"/><Relationship Id="rId1015" Type="http://schemas.openxmlformats.org/officeDocument/2006/relationships/hyperlink" Target="https://doi.org/10.1002/anie.202523661" TargetMode="External"/><Relationship Id="rId1016" Type="http://schemas.openxmlformats.org/officeDocument/2006/relationships/hyperlink" Target="https://onlinelibrary.wiley.com/doi/10.1002/anie.1762884?af=R" TargetMode="External"/><Relationship Id="rId1017" Type="http://schemas.openxmlformats.org/officeDocument/2006/relationships/hyperlink" Target="https://doi.org/10.1002/anie.1762884" TargetMode="External"/><Relationship Id="rId1018" Type="http://schemas.openxmlformats.org/officeDocument/2006/relationships/hyperlink" Target="https://onlinelibrary.wiley.com/doi/10.1002/anie.4157706?af=R" TargetMode="External"/><Relationship Id="rId1019" Type="http://schemas.openxmlformats.org/officeDocument/2006/relationships/hyperlink" Target="https://doi.org/10.1002/anie.4157706" TargetMode="External"/><Relationship Id="rId1020" Type="http://schemas.openxmlformats.org/officeDocument/2006/relationships/hyperlink" Target="https://advanced.onlinelibrary.wiley.com/doi/10.1002/adma.202523239?af=R" TargetMode="External"/><Relationship Id="rId1021" Type="http://schemas.openxmlformats.org/officeDocument/2006/relationships/hyperlink" Target="https://doi.org/10.1002/adma.202523239" TargetMode="External"/><Relationship Id="rId1022" Type="http://schemas.openxmlformats.org/officeDocument/2006/relationships/hyperlink" Target="http://dx.doi.org/10.1021/jacs.6c00335" TargetMode="External"/><Relationship Id="rId1023" Type="http://schemas.openxmlformats.org/officeDocument/2006/relationships/hyperlink" Target="https://doi.org/10.1021/jacs.6c00335" TargetMode="External"/><Relationship Id="rId1024" Type="http://schemas.openxmlformats.org/officeDocument/2006/relationships/hyperlink" Target="http://dx.doi.org/10.1021/jacs.5c20238" TargetMode="External"/><Relationship Id="rId1025" Type="http://schemas.openxmlformats.org/officeDocument/2006/relationships/hyperlink" Target="https://doi.org/10.1021/jacs.5c20238" TargetMode="External"/><Relationship Id="rId1026" Type="http://schemas.openxmlformats.org/officeDocument/2006/relationships/hyperlink" Target="https://www.nature.com/articles/s41467-026-70220-w" TargetMode="External"/><Relationship Id="rId1027" Type="http://schemas.openxmlformats.org/officeDocument/2006/relationships/hyperlink" Target="https://doi.org/10.1038/s41467-026-7022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