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 (Classify-Only Test)</w:t>
      </w:r>
    </w:p>
    <w:p>
      <w:pPr>
        <w:spacing w:after="280"/>
        <w:jc w:val="center"/>
      </w:pPr>
      <w:r>
        <w:rPr>
          <w:i/>
        </w:rPr>
        <w:t>2026-03-03</w:t>
      </w:r>
    </w:p>
    <w:p>
      <w:pPr>
        <w:spacing w:before="160" w:after="120"/>
      </w:pPr>
      <w:r>
        <w:rPr>
          <w:b/>
          <w:sz w:val="28"/>
        </w:rPr>
        <w:t>【光伏】</w:t>
      </w:r>
    </w:p>
    <w:p>
      <w:pPr>
        <w:spacing w:before="160" w:after="40" w:line="240" w:lineRule="auto"/>
      </w:pPr>
      <w:r>
        <w:rPr>
          <w:b/>
        </w:rPr>
        <w:t xml:space="preserve">[1] </w:t>
      </w:r>
      <w:hyperlink r:id="rId9">
        <w:r>
          <w:rPr>
            <w:color w:val="1155CC"/>
            <w:u w:val="single"/>
          </w:rPr>
          <w:t>Hybrid offshore solar-wind farms: the potential of integrating floating photovoltaics with offshore wind</w:t>
        </w:r>
      </w:hyperlink>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Reliability evaluation of solar pavements-integrated power system considering seasonal meteorological factors and traffic road congestion</w:t>
        </w:r>
      </w:hyperlink>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Intermediate temperature proton exchange membrane fuel cells: a systematic review of recently electrochemically evaluated materials</w:t>
        </w:r>
      </w:hyperlink>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Dual-side electrical refinement enables efficient industrial tunnel oxide passivating contact silicon solar cells</w:t>
        </w:r>
      </w:hyperlink>
    </w:p>
    <w:p>
      <w:pPr>
        <w:spacing w:before="0" w:after="120"/>
      </w:pPr>
      <w:r>
        <w:rPr>
          <w:b/>
        </w:rPr>
        <w:t xml:space="preserve">Source: </w:t>
      </w:r>
      <w:r>
        <w:t>Nature Energy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Crystalline silicon solar cells continue to dominate the photovoltaic industry, with tunnel oxide passivating contact (TOPCon) technology emerging as a prominent candidate. However, the efficiency of industrial-scale TOPCon solar cells remains limited by their suboptimal electrical performance, falling short of the Auger limit. Here we propose a dual-sided synergistic strategy that achieves a certified efficiency of 26.66% for industrial-scale TOPCon cells on M10-size wafers. The implementation of a front-side high-sheet-resistance boron emitter improves the passivation quality, and an optimized grid design reduces carrier transport losses. A rear-side double-layer tunnel oxide silicon/polysilicon structure suppresses silver-induced degradation by preventing silver diffusion from the electrodes into the silicon substrate, thereby maintaining excellent interfacial passivation. Moreover, the high crystallinity of the inner polysilicon layer, along with a lower concentration of inactive phosphorus dopants in the silicon substrate, leads to superior passivation performance. Rear-side localized thinning of the polysilicon layer also improves the bifaciality to 88.3%.</w:t>
      </w:r>
    </w:p>
    <w:p>
      <w:pPr>
        <w:spacing w:before="120" w:after="120"/>
      </w:pPr>
      <w:r>
        <w:rPr>
          <w:sz w:val="18"/>
        </w:rPr>
        <w:t>——————————————————————————————————————————————————————————————————————</w:t>
      </w:r>
    </w:p>
    <w:p>
      <w:pPr>
        <w:spacing w:before="160" w:after="40" w:line="240" w:lineRule="auto"/>
      </w:pPr>
      <w:r>
        <w:rPr>
          <w:b/>
        </w:rPr>
        <w:t xml:space="preserve">[5] </w:t>
      </w:r>
      <w:hyperlink r:id="rId13">
        <w:r>
          <w:rPr>
            <w:color w:val="1155CC"/>
            <w:u w:val="single"/>
          </w:rPr>
          <w:t>Multi‐functional Phase‐Changeable Salt for Inverted Perovskite Solar Cells</w:t>
        </w:r>
      </w:hyperlink>
    </w:p>
    <w:p>
      <w:pPr>
        <w:spacing w:before="0" w:after="120"/>
      </w:pPr>
      <w:r>
        <w:rPr>
          <w:b/>
        </w:rPr>
        <w:t xml:space="preserve">Source: </w:t>
      </w:r>
      <w:r>
        <w:t>Wiley: Advanced Materials: Table of Contents</w:t>
      </w:r>
      <w:r>
        <w:t xml:space="preserve"> </w:t>
      </w:r>
      <w:r>
        <w:rPr>
          <w:b/>
        </w:rPr>
        <w:t xml:space="preserve">Pub date: </w:t>
      </w:r>
      <w:r>
        <w:t>2026-02-24 09:58:05+00:00</w:t>
      </w:r>
      <w:r>
        <w:t xml:space="preserve"> </w:t>
      </w:r>
      <w:r>
        <w:rPr>
          <w:b/>
        </w:rPr>
        <w:t xml:space="preserve">DOI: </w:t>
      </w:r>
      <w:hyperlink r:id="rId14">
        <w:r>
          <w:rPr>
            <w:color w:val="1155CC"/>
            <w:u w:val="single"/>
          </w:rPr>
          <w:t>10.1002/adma.202520030</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Non-radiative recombination and uncontrolled crystallization at the buried perovskite interface remain key barriers to achieving highly efficient and stable perovskite solar cells (PSCs). Herein, we introduce a multi-functional phase-changeable salt, 2-(diphenylphosphino)ethanaminium tetrafluoroborate (DPPEABF4), as a functional interfacial modulator. DPPEA+ interacts with perovskite precursors (FAI and PbI2) through coordination and hydrogen bonding, suppressing excessive nucleation and reducing nucleation density. During annealing, DPPEABF4 undergoes a reversible solid-to-liquid phase transition that buffers heat transfer, ensuring more uniform heating and slower, more controlled crystallization across the substrate. These effects collectively yield perovskite films with enlarged grains, reduced defect densities, and improved crystallinity. Concurrently, π-π stacking between DPPEA+ and Me-4PACz establishes an interfacial dipole that increases the work function and tunes the energy-level alignment at the buried interface, facilitating efficient hole transport. As a result, the optimized devices achieve a champion power conversion efficiency of 26.52% (certified 26.46%) and retain over 90% of their initial efficiency after more than 2000 h of storage under 30-40% relative humidity. This work provides a new paradigm for designing dynamic interfacial materials for high-performance optoelectronic devices.</w:t>
      </w:r>
    </w:p>
    <w:p>
      <w:pPr>
        <w:spacing w:before="120" w:after="120"/>
      </w:pPr>
      <w:r>
        <w:rPr>
          <w:sz w:val="18"/>
        </w:rPr>
        <w:t>——————————————————————————————————————————————————————————————————————</w:t>
      </w:r>
    </w:p>
    <w:p>
      <w:pPr>
        <w:spacing w:before="160" w:after="40" w:line="240" w:lineRule="auto"/>
      </w:pPr>
      <w:r>
        <w:rPr>
          <w:b/>
        </w:rPr>
        <w:t xml:space="preserve">[6] </w:t>
      </w:r>
      <w:hyperlink r:id="rId15">
        <w:r>
          <w:rPr>
            <w:color w:val="1155CC"/>
            <w:u w:val="single"/>
          </w:rPr>
          <w:t>Interface‐Enriched Fluorinated Covalent Organic Framework Enables Stable, High‐Performance n‐i‐p Perovskite Solar Cells</w:t>
        </w:r>
      </w:hyperlink>
    </w:p>
    <w:p>
      <w:pPr>
        <w:spacing w:before="0" w:after="120"/>
      </w:pPr>
      <w:r>
        <w:rPr>
          <w:b/>
        </w:rPr>
        <w:t xml:space="preserve">Source: </w:t>
      </w:r>
      <w:r>
        <w:t>Wiley: Advanced Materials: Table of Contents</w:t>
      </w:r>
      <w:r>
        <w:t xml:space="preserve"> </w:t>
      </w:r>
      <w:r>
        <w:rPr>
          <w:b/>
        </w:rPr>
        <w:t xml:space="preserve">Pub date: </w:t>
      </w:r>
      <w:r>
        <w:t>2026-02-24 11:37:59+00:00</w:t>
      </w:r>
      <w:r>
        <w:t xml:space="preserve"> </w:t>
      </w:r>
      <w:r>
        <w:rPr>
          <w:b/>
        </w:rPr>
        <w:t xml:space="preserve">DOI: </w:t>
      </w:r>
      <w:hyperlink r:id="rId16">
        <w:r>
          <w:rPr>
            <w:color w:val="1155CC"/>
            <w:u w:val="single"/>
          </w:rPr>
          <w:t>10.1002/adma.202522994</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Buried interfacial integrity remains a major bottleneck limiting both the efficiency and long-term stability of perovskite solar cells (PSCs). Existing surface-modification strategies often introduce additional interfacial discontinuities, thereby exacerbating rather than alleviating buried-interface vulnerabilities. Here, we report an in situ buried-interface modification strategy that reinforces the SnO2/perovskite interface using a fully conjugated covalent organic framework (COF) grafted with polyfluoroalkyl side chains. During perovskite crystallization, strong dipolar interactions between the polyfluoroalkyl chains and the SnO2 drive the COF toward the buried SnO2/perovskite interface. The COF anchors at the SnO2/perovskite interface and forms a robust and functionally active interlayer. This dynamic interfacial assembly simultaneously 1) establishes a continuous, graded energy landscape that enhances electronic coupling and accelerates charge extraction; 2) induces facet-selective SnO2-COF-perovskite interactions that guide the oriented growth of perovskite grains; and 3) suppresses interfacial defects and halide migration, thereby stabilizing carrier transport. Consequently, n-i-p PSCs achieve a power conversion efficiency of 26.24% with a fill factor of 85.4%, and retain 86% of their initial efficiency after 2000 h of continuous operation. By transforming spontaneous molecular self-assembly into a processing advantage, this work establishes a new materials paradigm for achieving high-efficiency, stable, and scalable perovskite photovoltaics.</w:t>
      </w:r>
    </w:p>
    <w:p>
      <w:pPr>
        <w:spacing w:before="120" w:after="120"/>
      </w:pPr>
      <w:r>
        <w:rPr>
          <w:sz w:val="18"/>
        </w:rPr>
        <w:t>——————————————————————————————————————————————————————————————————————</w:t>
      </w:r>
    </w:p>
    <w:p>
      <w:pPr>
        <w:spacing w:before="160" w:after="40" w:line="240" w:lineRule="auto"/>
      </w:pPr>
      <w:r>
        <w:rPr>
          <w:b/>
        </w:rPr>
        <w:t xml:space="preserve">[7] </w:t>
      </w:r>
      <w:hyperlink r:id="rId17">
        <w:r>
          <w:rPr>
            <w:color w:val="1155CC"/>
            <w:u w:val="single"/>
          </w:rPr>
          <w:t>[ASAP] Halide Segregation in Wide-Bandgap Quasi-2D Perovskites under Rapid Thermal Cycling</w:t>
        </w:r>
      </w:hyperlink>
    </w:p>
    <w:p>
      <w:pPr>
        <w:spacing w:before="0" w:after="120"/>
      </w:pPr>
      <w:r>
        <w:rPr>
          <w:b/>
        </w:rPr>
        <w:t xml:space="preserve">Source: </w:t>
      </w:r>
      <w:r>
        <w:t>ACS Energy Letters: Latest Articles (ACS Publications)</w:t>
      </w:r>
      <w:r>
        <w:t xml:space="preserve"> </w:t>
      </w:r>
      <w:r>
        <w:rPr>
          <w:b/>
        </w:rPr>
        <w:t xml:space="preserve">Pub date: </w:t>
      </w:r>
      <w:r>
        <w:t>2026-02-24 16:05:08+00:00</w:t>
      </w:r>
      <w:r>
        <w:t xml:space="preserve"> </w:t>
      </w:r>
      <w:r>
        <w:rPr>
          <w:b/>
        </w:rPr>
        <w:t xml:space="preserve">DOI: </w:t>
      </w:r>
      <w:hyperlink r:id="rId18">
        <w:r>
          <w:rPr>
            <w:color w:val="1155CC"/>
            <w:u w:val="single"/>
          </w:rPr>
          <w:t>10.1021/acsenergylett.6c00094</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Wide-bandgap (WBG) perovskites are susceptible to ion migration and phase separation under external stressors. Reduced-dimensional perovskites (RDPs) have emerged as alternatives to 3D perovskites for improving stability. However, the influence of spacer cations on the thermal cycling stability of WBG RDPs remains poorly understood. Here, we investigate the effect of two representative organic spacers, butylammonium (BA) and 1,4-phenylenedimethylammonium (PDMA), on the stability of WBG RDPs (n = 4, ∼1.75 eV) under light illumination and thermal cycling using in situ grazing-incidence X-ray wide-angle scattering (GIWAXS) and photoluminescence (PL). In situ GIWAXS and PL reveal that RDPs with BA+ undergo phase separation and pronounced structural degradation under combined stress, particularly along the in-plane direction, whereas RDPs with PDMA2+ demonstrate better stability. These results indicate that bulky organic cations influence the thermal and structural stabilities of WBG RDPs, providing design guidelines for stable perovskite absorbers in tandem solar cells.</w:t>
      </w:r>
    </w:p>
    <w:p>
      <w:pPr>
        <w:spacing w:before="120" w:after="120"/>
      </w:pPr>
      <w:r>
        <w:rPr>
          <w:sz w:val="18"/>
        </w:rPr>
        <w:t>——————————————————————————————————————————————————————————————————————</w:t>
      </w:r>
    </w:p>
    <w:p>
      <w:pPr>
        <w:spacing w:before="160" w:after="40" w:line="240" w:lineRule="auto"/>
      </w:pPr>
      <w:r>
        <w:rPr>
          <w:b/>
        </w:rPr>
        <w:t xml:space="preserve">[8] </w:t>
      </w:r>
      <w:hyperlink r:id="rId19">
        <w:r>
          <w:rPr>
            <w:color w:val="1155CC"/>
            <w:u w:val="single"/>
          </w:rPr>
          <w:t>[ASAP] Local Symmetry Breaking in 3D Hybrid Perovskites with 3-Hydroxyazetidinium</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2026-02-24 16:44:49+00:00</w:t>
      </w:r>
      <w:r>
        <w:t xml:space="preserve"> </w:t>
      </w:r>
      <w:r>
        <w:rPr>
          <w:b/>
        </w:rPr>
        <w:t xml:space="preserve">DOI: </w:t>
      </w:r>
      <w:hyperlink r:id="rId20">
        <w:r>
          <w:rPr>
            <w:color w:val="1155CC"/>
            <w:u w:val="single"/>
          </w:rPr>
          <w:t>10.1021/jacs.5c21300</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Two-dimensional (2D) hybrid perovskite semiconductors with nonprimary ammonium cations (NPACs) have recently attracted interest for spin-optoelectronics owing to the symmetry-breaking distortions in their crystal structures. However, implementing this design strategy in three-dimensional (3D) analogs remains largely unexplored, primarily due to stricter restrictions on cation size. Here, we introduce a family of 3D hybrid perovskites (3DHPs), ASnX3, where A = 3-hydroxyazetidinium (AzOH; +NH2(CH2)2CHOH) and X = Cl, Br, and I. The choice of a bulky NPAC, coupled with the incorporation of a polar group (−OH), targets broken symmetry within the 3D frameworks. While single-crystal X-ray diffraction analysis reveals spatially averaged centrosymmetric cubic (i.e., Pm-3m space group) unit cells, with the largest lattice parameters among existing ASnX3 analogs, first-principles molecular dynamics and electronic structure calculations indicate that the relatively fixed dipoles of AzOH within the SnX6-derived framework introduce local inversion asymmetry and spin polarization. By incorporating a polar cation with limited mobility into the 3D perovskite framework, (AzOH)SnX3 unlocks potential for spin-optoelectronics, photovoltaics, ferroelectrics, and nonlinear optics.</w:t>
      </w:r>
    </w:p>
    <w:p>
      <w:pPr>
        <w:spacing w:before="120" w:after="120"/>
      </w:pPr>
      <w:r>
        <w:rPr>
          <w:sz w:val="18"/>
        </w:rPr>
        <w:t>——————————————————————————————————————————————————————————————————————</w:t>
      </w:r>
    </w:p>
    <w:p>
      <w:pPr>
        <w:spacing w:before="160" w:after="40" w:line="240" w:lineRule="auto"/>
      </w:pPr>
      <w:r>
        <w:rPr>
          <w:b/>
        </w:rPr>
        <w:t xml:space="preserve">[9] </w:t>
      </w:r>
      <w:hyperlink r:id="rId21">
        <w:r>
          <w:rPr>
            <w:color w:val="1155CC"/>
            <w:u w:val="single"/>
          </w:rPr>
          <w:t>[ASAP] Polar Hybrid Perovskite Obtained by Induction of Lone Pair Electrons toward Efficient and Stable Self-Powered X-ray Detection</w:t>
        </w:r>
      </w:hyperlink>
    </w:p>
    <w:p>
      <w:pPr>
        <w:spacing w:before="0" w:after="120"/>
      </w:pPr>
      <w:r>
        <w:rPr>
          <w:b/>
        </w:rPr>
        <w:t xml:space="preserve">Source: </w:t>
      </w:r>
      <w:r>
        <w:t>ACS Energy Letters: Latest Articles (ACS Publications)</w:t>
      </w:r>
      <w:r>
        <w:t xml:space="preserve"> </w:t>
      </w:r>
      <w:r>
        <w:rPr>
          <w:b/>
        </w:rPr>
        <w:t xml:space="preserve">Pub date: </w:t>
      </w:r>
      <w:r>
        <w:t>2026-02-24 20:56:38+00:00</w:t>
      </w:r>
      <w:r>
        <w:t xml:space="preserve"> </w:t>
      </w:r>
      <w:r>
        <w:rPr>
          <w:b/>
        </w:rPr>
        <w:t xml:space="preserve">DOI: </w:t>
      </w:r>
      <w:hyperlink r:id="rId22">
        <w:r>
          <w:rPr>
            <w:color w:val="1155CC"/>
            <w:u w:val="single"/>
          </w:rPr>
          <w:t>10.1021/acsenergylett.5c03797</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Polar hybrid perovskites (HPs) can achieve steady-state self-powered X-ray detection via the bulk photovoltaic effect (BPVE), but effective strategies to induce BPVE remain scarce. Herein, using one-dimensional nonpolar HP (4-MeP)4Pb3Br10 (1, 4-MeP = 4-methylaniline) as a template, we successfully synthesized an unprecedented two-dimensional (2D) polar HP (4-SP)4Pb3Br10·2H2O (2, 4-SP = 4-aminothiophenol) by replacing the C atom in the 4-MeP ligand with an S atom possessing lone pair electrons. Specifically, lone pair electrons on S cause structural distortion and ultimately induce BPVE in 2. Therefore, 2 achieves efficient self-powered X-ray detection with a high sensitivity of 271.8 μC Gy–1 cm–2 under 22 keV average X-ray energy. Meanwhile, it also exhibits a record-breaking sensitivity of 1.1 × 104 μC Gy–1 cm–2 under 31.8 V mm–1 in all 2D single-layer HPs. Importantly, 2 possesses strong ion-migration inhibition, high radiation resistance, and excellent storage stability. Our work provides a strategy for the development and application of HPs with BPVE.</w:t>
      </w:r>
    </w:p>
    <w:p>
      <w:pPr>
        <w:spacing w:before="120" w:after="120"/>
      </w:pPr>
      <w:r>
        <w:rPr>
          <w:sz w:val="18"/>
        </w:rPr>
        <w:t>——————————————————————————————————————————————————————————————————————</w:t>
      </w:r>
    </w:p>
    <w:p>
      <w:pPr>
        <w:spacing w:before="160" w:after="40" w:line="240" w:lineRule="auto"/>
      </w:pPr>
      <w:r>
        <w:rPr>
          <w:b/>
        </w:rPr>
        <w:t xml:space="preserve">[10] </w:t>
      </w:r>
      <w:hyperlink r:id="rId23">
        <w:r>
          <w:rPr>
            <w:color w:val="1155CC"/>
            <w:u w:val="single"/>
          </w:rPr>
          <w:t>The 2e- vs. 4e- Pathways for ORR in Rechargeable Zinc-Air Batteries</w:t>
        </w:r>
      </w:hyperlink>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Zinc-air batteries (ZABs) represent one of the most promising technologies for sustainable energy storage, boasting a high theoretical energy density of 1086 Wh kg-1 that far exceeds that of conventional lithium-ion systems. However, their widespread commercialization has been critically impeded by the inherent inefficiencies of the traditional four-electron (4e-) oxygen reduction reaction (ORR), which suffers from sluggish kinetics and detrimental parasitic side reactions. This comprehensive review urgently addresses these challenges by delineating a paradigm shift toward the emerging two-electron (2e-) ORR pathway—a transformative strategy that not only circumvents long-standing limitations but also unlocks new opportunities for high-performance metal-air batteries. By elucidating fundamental mechanistic distinctions between 2e- and 4e- ORR processes and providing actionable design principles for advanced electrolytes, catalysts, and electrode architectures, this work lays a foundational roadmap for next-generation ZABs. Furthermore, we highlight compelling research directions—including atomic-scale catalyst engineering, tailored electrode nanoarchitectures, and scalable manufacturing routes—that are essential to accelerating the development of efficient and durable zinc-air battery (ZAB) systems. Given the rapid advancements in materials science and increasing global demand for economical energy storage, this review arrives at a pivotal moment, offering critical insights that may catalyze explosive growth in this emerging field.</w:t>
      </w:r>
    </w:p>
    <w:p>
      <w:pPr>
        <w:spacing w:before="120" w:after="120"/>
      </w:pPr>
      <w:r>
        <w:rPr>
          <w:sz w:val="18"/>
        </w:rPr>
        <w:t>——————————————————————————————————————————————————————————————————————</w:t>
      </w:r>
    </w:p>
    <w:p>
      <w:pPr>
        <w:spacing w:before="160" w:after="40" w:line="240" w:lineRule="auto"/>
      </w:pPr>
      <w:r>
        <w:rPr>
          <w:b/>
        </w:rPr>
        <w:t xml:space="preserve">[11] </w:t>
      </w:r>
      <w:hyperlink r:id="rId24">
        <w:r>
          <w:rPr>
            <w:color w:val="1155CC"/>
            <w:u w:val="single"/>
          </w:rPr>
          <w:t>Dual-molecule Reciprocal Doping Strategy for Cathode Interfacial Materials Enabling Over 20.7% Efficiency in Organic Solar Cells</w:t>
        </w:r>
      </w:hyperlink>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Solution-processabled cathode interfacial materials (CIMs) in organic solar cells (OSCs) inherently suffer from limited conductivity and charge transfer capabilities, which in turn restrict device efficiency. In this study, we report a double-doped CIMs, PDINN-CNT2N, which combines organic PDINN with aminated carbon nanotubes through reciprocal doping strategy. This strategy leverages intramolecular self-doping and intermolecular reciprocal doping between the two components to markedly enhance the electron density and charge transport properties of CIMs. Simultaneously, the intermolecular interactions effectively optimize molecular assembly, thereby reinforcing the electron mobility within the films. OSCs utilizing PDINN-CNT2N CIM demonstrate improved conductivity and electron mobility, while also reducing the charge recombination. Consequently, OSCs based on binary D18:L8-BO achieve an efficiency of 20.05% with superior stability. The widespread applicability of this strategy is further confirmed across additional CNT2N-based CIMs and various active layer systems, significantly enhancing the efficiency to 20.72% (certified as 20.33%) in the ternary system. The study provides essential insights into molecular synergistic doping and presents a universal approach for designing high-performance CIMs that are suitable for scalable solution processing.</w:t>
      </w:r>
    </w:p>
    <w:p>
      <w:pPr>
        <w:spacing w:before="120" w:after="120"/>
      </w:pPr>
      <w:r>
        <w:rPr>
          <w:sz w:val="18"/>
        </w:rPr>
        <w:t>——————————————————————————————————————————————————————————————————————</w:t>
      </w:r>
    </w:p>
    <w:p>
      <w:pPr>
        <w:spacing w:before="160" w:after="40" w:line="240" w:lineRule="auto"/>
      </w:pPr>
      <w:r>
        <w:rPr>
          <w:b/>
        </w:rPr>
        <w:t xml:space="preserve">[12] </w:t>
      </w:r>
      <w:hyperlink r:id="rId25">
        <w:r>
          <w:rPr>
            <w:color w:val="1155CC"/>
            <w:u w:val="single"/>
          </w:rPr>
          <w:t>Towards space compatible perovskite solar cells: guidelines for thermal shock resilience and near space balloon testing</w:t>
        </w:r>
      </w:hyperlink>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Perovskite solar cells (PSCs) are promising candidates for space applications due to their high efficiency, radiation tolerance, and high power-to-mass ratio. However, the harsh space environment introduces stressors such as thermal shock (TS) from rapid temperature transitions in orbit, a degradation mode that remains underexplored. This study investigated the real operating temperature profiles experienced by solar cells orbiting in low Earth orbit, revealing rapid and extreme temperature transitions. Based on these findings, we developed an accelerated TS testing protocol, cycling PSC devices between −80 °C and +80 °C at a rapid ramp rate of 16 °C min−1 for 100 cycles, designed to replicate and amplify the stresses induced by actual orbital thermal cycles. Using FAPbI3 as a model system, we explored the impact of varying concentrations of MAPbBr3 (0–7%) on the perovskite film's structural stability under this accelerated TS. Our results indicate that an intermediate MAPbBr3 incorporation level (specifically 5%) most effectively suppresses microstrain and the formation of the detrimental δ-phase after TS exposure. To validate our laboratory findings under near-space conditions, we conducted a comparative high-altitude balloon test at 35 km. These findings establish TS as a critical testing framework for evaluating PSC stability in space applications and highlight the necessity of refining material compositions for space applications.</w:t>
      </w:r>
    </w:p>
    <w:p>
      <w:pPr>
        <w:spacing w:before="120" w:after="120"/>
      </w:pPr>
      <w:r>
        <w:rPr>
          <w:sz w:val="18"/>
        </w:rPr>
        <w:t>——————————————————————————————————————————————————————————————————————</w:t>
      </w:r>
    </w:p>
    <w:p>
      <w:pPr>
        <w:spacing w:before="160" w:after="40" w:line="240" w:lineRule="auto"/>
      </w:pPr>
      <w:r>
        <w:rPr>
          <w:b/>
        </w:rPr>
        <w:t xml:space="preserve">[13] </w:t>
      </w:r>
      <w:hyperlink r:id="rId26">
        <w:r>
          <w:rPr>
            <w:color w:val="1155CC"/>
            <w:u w:val="single"/>
          </w:rPr>
          <w:t>What determines the uptake of solar PV? – A survey of early, potential and unlikely adopters of residential PV systems and participants of community PV projects</w:t>
        </w:r>
      </w:hyperlink>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7">
        <w:r>
          <w:rPr>
            <w:color w:val="1155CC"/>
            <w:u w:val="single"/>
          </w:rPr>
          <w:t>Cross-array fault diagnosis of photovoltaic arrays with different configurations based on endpoint-dense gram feature encoding and mixup-enhanced domain adversarial network</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8">
        <w:r>
          <w:rPr>
            <w:color w:val="1155CC"/>
            <w:u w:val="single"/>
          </w:rPr>
          <w:t>Photoswitchable isomers to improve grain boundary resilience and perovskite solar cells stability under light cycling</w:t>
        </w:r>
      </w:hyperlink>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Realizing stable and scalable perovskite solar cells (PSCs) under real-world outdoor conditions remains a challenge for deployment. Here we report a strategy to improve the resilience of the grain boundary, achieving simultaneous improvement in the power conversion efficiency and long-term operational durability under realistic light cycling and ultraviolet exposure of PSCs. By integrating photoswitchable isomers at grain boundaries, we suppress lattice bond rupture and defect accumulation during repeated light cycling through light-triggered dynamic damage release. This approach stabilizes the triple-cation lead-based perovskite lattice against photoinduced distortions and degradation pathways. As a result, the PSCs retain over 95% of their initial performance after 2,000 h of ultraviolet-containing light cycling at 65 °C and 500 thermal cycles between –40 °C and 85 °C, and deliver a power conversion efficiency of 27.2% (certified as 26.9%). Our strategy improves the operational stability and commercial viability of triple-cation perovskite photovoltaics.</w:t>
      </w:r>
    </w:p>
    <w:p>
      <w:pPr>
        <w:spacing w:before="120" w:after="120"/>
      </w:pPr>
      <w:r>
        <w:rPr>
          <w:sz w:val="18"/>
        </w:rPr>
        <w:t>——————————————————————————————————————————————————————————————————————</w:t>
      </w:r>
    </w:p>
    <w:p>
      <w:pPr>
        <w:spacing w:before="160" w:after="40" w:line="240" w:lineRule="auto"/>
      </w:pPr>
      <w:r>
        <w:rPr>
          <w:b/>
        </w:rPr>
        <w:t xml:space="preserve">[16] </w:t>
      </w:r>
      <w:hyperlink r:id="rId29">
        <w:r>
          <w:rPr>
            <w:color w:val="1155CC"/>
            <w:u w:val="single"/>
          </w:rPr>
          <w:t>Climate drivers of photovoltaic degradation: Regional variability and material pathways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0">
        <w:r>
          <w:rPr>
            <w:color w:val="1155CC"/>
            <w:u w:val="single"/>
          </w:rPr>
          <w:t>Regulating grain growth via Li2SnS3 interphase in kesterite solar cells with certified efficiencies exceeding 15%</w:t>
        </w:r>
      </w:hyperlink>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The selenization reaction process is the key step in determining the quality of Cu2ZnSn(S,Se)4 thin films. Imbalanced migration kinetics of metal ions during selenization led to high concentrations of deep-level defects, resulting in dramatic open-circuit voltage loss. In this work, we reported a Li2SnS3 interphase strategy to modify cation migration paths and balance Zn2+/Sn4+ migration differences. The Li2SnS3 interphase selectively encapsulates the Cu2Sn(S,Se)3 intermediate grains, serving as the rate-determining layer for ion migration. The Zn2+/Sn4+ migration barrier difference in the interphase decreases from 0.41 eV in Cu2Sn(S,Se)3 to 0.21 eV in Li2SnS3, which promotes the formation of larger, uniform, high-crystallinity grains. As a result, device efficiency improves from 13.86% to 15.45% (certified at 15.04%), and open-circuit voltage reaches 602 mV at a bandgap of 1.10 eV.</w:t>
      </w:r>
    </w:p>
    <w:p>
      <w:pPr>
        <w:spacing w:before="120" w:after="120"/>
      </w:pPr>
      <w:r>
        <w:rPr>
          <w:sz w:val="18"/>
        </w:rPr>
        <w:t>——————————————————————————————————————————————————————————————————————</w:t>
      </w:r>
    </w:p>
    <w:p>
      <w:pPr>
        <w:spacing w:before="160" w:after="40" w:line="240" w:lineRule="auto"/>
      </w:pPr>
      <w:r>
        <w:rPr>
          <w:b/>
        </w:rPr>
        <w:t xml:space="preserve">[18] </w:t>
      </w:r>
      <w:hyperlink r:id="rId31">
        <w:r>
          <w:rPr>
            <w:color w:val="1155CC"/>
            <w:u w:val="single"/>
          </w:rPr>
          <w:t>Stabilizing Ni3+‐Rich NiOx/Perovskite Interface via Dual Coordination for Efficient and Durable Perovskite Photovoltaics</w:t>
        </w:r>
      </w:hyperlink>
    </w:p>
    <w:p>
      <w:pPr>
        <w:spacing w:before="0" w:after="120"/>
      </w:pPr>
      <w:r>
        <w:rPr>
          <w:b/>
        </w:rPr>
        <w:t xml:space="preserve">Source: </w:t>
      </w:r>
      <w:r>
        <w:t>Wiley: Advanced Materials: Table of Contents</w:t>
      </w:r>
      <w:r>
        <w:t xml:space="preserve"> </w:t>
      </w:r>
      <w:r>
        <w:rPr>
          <w:b/>
        </w:rPr>
        <w:t xml:space="preserve">Pub date: </w:t>
      </w:r>
      <w:r>
        <w:t>2026-02-25 04:05:07+00:00</w:t>
      </w:r>
      <w:r>
        <w:t xml:space="preserve"> </w:t>
      </w:r>
      <w:r>
        <w:rPr>
          <w:b/>
        </w:rPr>
        <w:t xml:space="preserve">DOI: </w:t>
      </w:r>
      <w:hyperlink r:id="rId32">
        <w:r>
          <w:rPr>
            <w:color w:val="1155CC"/>
            <w:u w:val="single"/>
          </w:rPr>
          <w:t>10.1002/adma.202521697</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While nickel oxide (NiOx) is widely employed as an efficient hole-transport material, the surface Ni3+ species required for effective transport are unstable and can drive unfavorable interfacial reactions with the perovskite layer. Herein, we introduce a tetraoxopyridine-functionalized porphyrin molecule to stabilize a Ni3+-rich NiOx/perovskite interface through dual coordination. Two oxopyridines in porphyrin act as hard Lewis bases that coordinate with hard-acidic Ni3+ sites on NiOx, while the other two interact with Pb2+ in the perovskite lattice. Such a situation reduces interface defect formation, slows degradation, and helps maintain film integrity, while the conjugated porphyrin macrocycle promotes efficient hole extraction. Devices with the modified NiOx reach the champion efficiency of 27.05% (0.062 cm2) and 21.8% (21.54 cm2 aperture area), retaining &gt;95% of the initial efficiency after 2000 h of continuous 1-sun operation at the maximum power point. This work establishes a robust molecular-engineering route to stabilize surface Ni3+ in NiOx and support high-efficiency, long-lived perovskite solar cells.</w:t>
      </w:r>
    </w:p>
    <w:p>
      <w:pPr>
        <w:spacing w:before="120" w:after="120"/>
      </w:pPr>
      <w:r>
        <w:rPr>
          <w:sz w:val="18"/>
        </w:rPr>
        <w:t>——————————————————————————————————————————————————————————————————————</w:t>
      </w:r>
    </w:p>
    <w:p>
      <w:pPr>
        <w:spacing w:before="160" w:after="40" w:line="240" w:lineRule="auto"/>
      </w:pPr>
      <w:r>
        <w:rPr>
          <w:b/>
        </w:rPr>
        <w:t xml:space="preserve">[19] </w:t>
      </w:r>
      <w:hyperlink r:id="rId33">
        <w:r>
          <w:rPr>
            <w:color w:val="1155CC"/>
            <w:u w:val="single"/>
          </w:rPr>
          <w:t>Bioinspired Swelling‐Deswelling Strategy Unlocks Synergistic Molecular Solar Thermal‐Fabric Systems for Personal Thermal Management (Adv. Mater. 12/2026)</w:t>
        </w:r>
      </w:hyperlink>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34">
        <w:r>
          <w:rPr>
            <w:color w:val="1155CC"/>
            <w:u w:val="single"/>
          </w:rPr>
          <w:t>10.1002/adma.72466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5">
        <w:r>
          <w:rPr>
            <w:color w:val="1155CC"/>
            <w:u w:val="single"/>
          </w:rPr>
          <w:t>Ink-state preaggregation control enables scalable and automated fabrication of highly efficient and stable organic photovoltaics</w:t>
        </w:r>
      </w:hyperlink>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36">
        <w:r>
          <w:rPr>
            <w:color w:val="1155CC"/>
            <w:u w:val="single"/>
          </w:rPr>
          <w:t>10.1126/sciadv.aea6522</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Scalability and automation are critical for advancing organic solar cells (OSCs) toward high-throughput production, yet both remain notable challenges. Here, we report a simple yet effective strategy using Tz6T as a multifunctional additive to regulate ink-state preaggregation to address both concerns. Tz6T interacts with both donor and acceptor molecules in ink, enabling improved and more ordered preaggregation. This facilitates uniform film formation and significantly reduces bimolecular recombination, enables 16.4% efficiency large-area green solvent–processed OSC modules (19.3 cm</w:t>
      </w:r>
      <w:r>
        <w:rPr>
          <w:vertAlign w:val="subscript"/>
        </w:rPr>
        <w:t>2</w:t>
      </w:r>
      <w:r>
        <w:t>), ranking it among the best reported values to date. Furthermore, the preagggregated ink mitigates the morphology drift caused by time delays in preprogrammed robotic fabrication, yielding device efficiency exceeding 16%, highlighting strong potential for high-throughput production. Beyond efficiency, Tz6T also enhances long-term stability and exhibits compatibility across diverse material systems, underscoring its broad applicability. This work offers a promising pathway for accelerating the translation toward sustainable, scalable, and automated fabricable high-performance and stable OSCs, paving the way for their industrialization.</w:t>
      </w:r>
    </w:p>
    <w:p>
      <w:pPr>
        <w:spacing w:before="120" w:after="120"/>
      </w:pPr>
      <w:r>
        <w:rPr>
          <w:sz w:val="18"/>
        </w:rPr>
        <w:t>——————————————————————————————————————————————————————————————————————</w:t>
      </w:r>
    </w:p>
    <w:p>
      <w:pPr>
        <w:spacing w:before="160" w:after="40" w:line="240" w:lineRule="auto"/>
      </w:pPr>
      <w:r>
        <w:rPr>
          <w:b/>
        </w:rPr>
        <w:t xml:space="preserve">[21] </w:t>
      </w:r>
      <w:hyperlink r:id="rId37">
        <w:r>
          <w:rPr>
            <w:color w:val="1155CC"/>
            <w:u w:val="single"/>
          </w:rPr>
          <w:t>Highly Polarizable Embedded Interfaces Toward Superior Organic Heterojunction Photocatalysts</w:t>
        </w:r>
      </w:hyperlink>
    </w:p>
    <w:p>
      <w:pPr>
        <w:spacing w:before="0" w:after="120"/>
      </w:pPr>
      <w:r>
        <w:rPr>
          <w:b/>
        </w:rPr>
        <w:t xml:space="preserve">Source: </w:t>
      </w:r>
      <w:r>
        <w:t>Wiley: Angewandte Chemie International Edition: Table of Contents</w:t>
      </w:r>
      <w:r>
        <w:t xml:space="preserve"> </w:t>
      </w:r>
      <w:r>
        <w:rPr>
          <w:b/>
        </w:rPr>
        <w:t xml:space="preserve">Pub date: </w:t>
      </w:r>
      <w:r>
        <w:t>2026-02-25 12:23:35+00:00</w:t>
      </w:r>
      <w:r>
        <w:t xml:space="preserve"> </w:t>
      </w:r>
      <w:r>
        <w:rPr>
          <w:b/>
        </w:rPr>
        <w:t xml:space="preserve">DOI: </w:t>
      </w:r>
      <w:hyperlink r:id="rId38">
        <w:r>
          <w:rPr>
            <w:color w:val="1155CC"/>
            <w:u w:val="single"/>
          </w:rPr>
          <w:t>10.1002/anie.3278432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Organic photovoltaic catalysts (OPCs) hold great potential for energy conversion and environmental purification yet often suffer from inefficient exciton dissociation and rapid charge recombination, particularly at disordered donor/acceptor (D/A) interfaces, limiting their photocatalytic performance. Herein, we propose an embedded interface strategy that involves a highly polarizable molecule named Y6CO-S at the D/A interface within OPC bulk heterojunction (BHJ) to amplify the local electric field and enhance molecular ordering, improving hole transfer efficiency and prolonging hole polaron lifetime, and thereby boosting photocatalytic activity. Specifically, the optimized PM6:PYF-T-o:Y6CO-S nanoparticles (NPs) achieve remarkable photocatalytic sacrificial average mass-united/area-united hydrogen evolution rates of 263.8-1974.7 mmol h- 1 g- 1 and 42.7-182.4 mmol h-1 m-2 at varied NP concentrations under simulated sunlight (AM 1.5G, 100 mW cm-2) for 10 h along with high external quantum efficiencies of &gt;10% across the visible to near-infrared region, 36%-47% exceeding those of the binary PM6:PYF-T-o system without Y6CO-S embedded interface and representing one of the highest performances reported to date for photocatalysts. This work demonstrates the significant potential of embedded interface strategy in developing high‑performance heterojunction OPCs as well as other optoelectronic applications.</w:t>
      </w:r>
    </w:p>
    <w:p>
      <w:pPr>
        <w:spacing w:before="120" w:after="120"/>
      </w:pPr>
      <w:r>
        <w:rPr>
          <w:sz w:val="18"/>
        </w:rPr>
        <w:t>——————————————————————————————————————————————————————————————————————</w:t>
      </w:r>
    </w:p>
    <w:p>
      <w:pPr>
        <w:spacing w:before="160" w:after="40" w:line="240" w:lineRule="auto"/>
      </w:pPr>
      <w:r>
        <w:rPr>
          <w:b/>
        </w:rPr>
        <w:t xml:space="preserve">[22] </w:t>
      </w:r>
      <w:hyperlink r:id="rId39">
        <w:r>
          <w:rPr>
            <w:color w:val="1155CC"/>
            <w:u w:val="single"/>
          </w:rPr>
          <w:t>Photovoltage‐Driven Two‐Transistor–One‐Diode Perovskite Pixels for In‐Cell Optical Sensing Displays</w:t>
        </w:r>
      </w:hyperlink>
    </w:p>
    <w:p>
      <w:pPr>
        <w:spacing w:before="0" w:after="120"/>
      </w:pPr>
      <w:r>
        <w:rPr>
          <w:b/>
        </w:rPr>
        <w:t xml:space="preserve">Source: </w:t>
      </w:r>
      <w:r>
        <w:t>Wiley: Advanced Materials: Table of Contents</w:t>
      </w:r>
      <w:r>
        <w:t xml:space="preserve"> </w:t>
      </w:r>
      <w:r>
        <w:rPr>
          <w:b/>
        </w:rPr>
        <w:t xml:space="preserve">Pub date: </w:t>
      </w:r>
      <w:r>
        <w:t>2026-02-25 13:30:28+00:00</w:t>
      </w:r>
      <w:r>
        <w:t xml:space="preserve"> </w:t>
      </w:r>
      <w:r>
        <w:rPr>
          <w:b/>
        </w:rPr>
        <w:t xml:space="preserve">DOI: </w:t>
      </w:r>
      <w:hyperlink r:id="rId40">
        <w:r>
          <w:rPr>
            <w:color w:val="1155CC"/>
            <w:u w:val="single"/>
          </w:rPr>
          <w:t>10.1002/adma.202522776</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In-cell optical sensing displays are essential for next-generation interactive electronics, yet conventional architectures rely on separate light-emitting diodes (LEDs) and photodetectors (PDs), limiting pixel density and efficiency. Achieving both functions within a single diode is intrinsically difficult because electroluminescence requires strong excitonic recombination, whereas photodetection benefits from efficient carrier separation. Here, we realize stable dual-mode operation by stabilizing intermediate-n quasi-2D phases and suppressing non-radiative losses with a fluorinated acid passivator, and by engineering high-mobility transport layers with a dissociative (type-II) perovskite/electron transport layer heterojunction to assist exciton dissociation under photovoltaic operation. The resulting bifunctional diode enables an opto-dynamic random-access memory (opto-DRAM) pixel, a two-transistor-one-diode (2T1D) architecture conceptually analogous to a two-transistor-one-capacitor (2T1C) DRAM gain-cell, where photovoltage-driven rather than photocurrent-driven detection enables self-amplified sensing when coupled to thin-film transistors. The sky-blue PeLED achieves an external quantum efficiency of 20.4% at 100 cd m-2 and a record power efficiency of 41.8 lm W-1, while as the coupled sensing pixel it exhibits a maximum responsivity of 4.17 × 104 A W-1 and a specific detectivity of 6.46 × 1013 Jones. Monolithic integration yields an active-matrix display capable of switchable emission and imaging functions offering a scalable platform for compact, energy-efficient, and multifunctional optoelectronics.</w:t>
      </w:r>
    </w:p>
    <w:p>
      <w:pPr>
        <w:spacing w:before="120" w:after="120"/>
      </w:pPr>
      <w:r>
        <w:rPr>
          <w:sz w:val="18"/>
        </w:rPr>
        <w:t>——————————————————————————————————————————————————————————————————————</w:t>
      </w:r>
    </w:p>
    <w:p>
      <w:pPr>
        <w:spacing w:before="160" w:after="40" w:line="240" w:lineRule="auto"/>
      </w:pPr>
      <w:r>
        <w:rPr>
          <w:b/>
        </w:rPr>
        <w:t xml:space="preserve">[23] </w:t>
      </w:r>
      <w:hyperlink r:id="rId41">
        <w:r>
          <w:rPr>
            <w:color w:val="1155CC"/>
            <w:u w:val="single"/>
          </w:rPr>
          <w:t>[ASAP] Linking Double Inductance in Impedance Spectroscopy to Ionic Losses in Perovskite Photovoltaics</w:t>
        </w:r>
      </w:hyperlink>
    </w:p>
    <w:p>
      <w:pPr>
        <w:spacing w:before="0" w:after="120"/>
      </w:pPr>
      <w:r>
        <w:rPr>
          <w:b/>
        </w:rPr>
        <w:t xml:space="preserve">Source: </w:t>
      </w:r>
      <w:r>
        <w:t>ACS Energy Letters: Latest Articles (ACS Publications)</w:t>
      </w:r>
      <w:r>
        <w:t xml:space="preserve"> </w:t>
      </w:r>
      <w:r>
        <w:rPr>
          <w:b/>
        </w:rPr>
        <w:t xml:space="preserve">Pub date: </w:t>
      </w:r>
      <w:r>
        <w:t>2026-02-25 13:44:12+00:00</w:t>
      </w:r>
      <w:r>
        <w:t xml:space="preserve"> </w:t>
      </w:r>
      <w:r>
        <w:rPr>
          <w:b/>
        </w:rPr>
        <w:t xml:space="preserve">DOI: </w:t>
      </w:r>
      <w:hyperlink r:id="rId42">
        <w:r>
          <w:rPr>
            <w:color w:val="1155CC"/>
            <w:u w:val="single"/>
          </w:rPr>
          <w:t>10.1021/acsenergylett.5c03788</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Beyond recombination processes, a major contributor to ion-induced efficiency losses in perovskite solar cells is charge collection failures, associated with a pronounced reduction in short-circuit current density, the appearance of current–voltage hysteresis with steep slope around 0 V, and negative capacitance effects in impedance measurements. This work presents a physical model that differentiates degradation pathways induced by mobile ions, enabling a unified interpretation of electrical responses. A central feature in the multifaceted low-frequency impedance region is the double inductor response, serving as a fingerprint of ion-driven degradation with combined action in recombination and charge collection. Extracted time constants reveal how their interplay reshapes impedance responses and current–voltage curves during aging, which serve as unequivocal markers of the dominant factors affecting operational stability. Our results establish the double-inductor behavior as a key spectroscopic signature of device degradation, adding a new feature to the catalogue of anomalous phenomena in perovskite devices.</w:t>
      </w:r>
    </w:p>
    <w:p>
      <w:pPr>
        <w:spacing w:before="120" w:after="120"/>
      </w:pPr>
      <w:r>
        <w:rPr>
          <w:sz w:val="18"/>
        </w:rPr>
        <w:t>——————————————————————————————————————————————————————————————————————</w:t>
      </w:r>
    </w:p>
    <w:p>
      <w:pPr>
        <w:spacing w:before="160" w:after="40" w:line="240" w:lineRule="auto"/>
      </w:pPr>
      <w:r>
        <w:rPr>
          <w:b/>
        </w:rPr>
        <w:t xml:space="preserve">[24] </w:t>
      </w:r>
      <w:hyperlink r:id="rId43">
        <w:r>
          <w:rPr>
            <w:color w:val="1155CC"/>
            <w:u w:val="single"/>
          </w:rPr>
          <w:t>[ASAP] Entering the 27% Era: Practical Design Rules for Single-Junction Perovskite Solar Cells</w:t>
        </w:r>
      </w:hyperlink>
    </w:p>
    <w:p>
      <w:pPr>
        <w:spacing w:before="0" w:after="120"/>
      </w:pPr>
      <w:r>
        <w:rPr>
          <w:b/>
        </w:rPr>
        <w:t xml:space="preserve">Source: </w:t>
      </w:r>
      <w:r>
        <w:t>ACS Energy Letters: Latest Articles (ACS Publications)</w:t>
      </w:r>
      <w:r>
        <w:t xml:space="preserve"> </w:t>
      </w:r>
      <w:r>
        <w:rPr>
          <w:b/>
        </w:rPr>
        <w:t xml:space="preserve">Pub date: </w:t>
      </w:r>
      <w:r>
        <w:t>2026-02-25 14:16:05+00:00</w:t>
      </w:r>
      <w:r>
        <w:t xml:space="preserve"> </w:t>
      </w:r>
      <w:r>
        <w:rPr>
          <w:b/>
        </w:rPr>
        <w:t xml:space="preserve">DOI: </w:t>
      </w:r>
      <w:hyperlink r:id="rId44">
        <w:r>
          <w:rPr>
            <w:color w:val="1155CC"/>
            <w:u w:val="single"/>
          </w:rPr>
          <w:t>10.1021/acsenergylett.6c00205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45">
        <w:r>
          <w:rPr>
            <w:color w:val="1155CC"/>
            <w:u w:val="single"/>
          </w:rPr>
          <w:t>Robust Adsorption of Self‐Assembled Monolayer on NiOx via Multiple Hydrogen Bonds for Stable Inverted Perovskite Solar Cells</w:t>
        </w:r>
      </w:hyperlink>
    </w:p>
    <w:p>
      <w:pPr>
        <w:spacing w:before="0" w:after="120"/>
      </w:pPr>
      <w:r>
        <w:rPr>
          <w:b/>
        </w:rPr>
        <w:t xml:space="preserve">Source: </w:t>
      </w:r>
      <w:r>
        <w:t>Wiley: Advanced Materials: Table of Contents</w:t>
      </w:r>
      <w:r>
        <w:t xml:space="preserve"> </w:t>
      </w:r>
      <w:r>
        <w:rPr>
          <w:b/>
        </w:rPr>
        <w:t xml:space="preserve">Pub date: </w:t>
      </w:r>
      <w:r>
        <w:t>2026-02-25 14:25:23+00:00</w:t>
      </w:r>
      <w:r>
        <w:t xml:space="preserve"> </w:t>
      </w:r>
      <w:r>
        <w:rPr>
          <w:b/>
        </w:rPr>
        <w:t xml:space="preserve">DOI: </w:t>
      </w:r>
      <w:hyperlink r:id="rId46">
        <w:r>
          <w:rPr>
            <w:color w:val="1155CC"/>
            <w:u w:val="single"/>
          </w:rPr>
          <w:t>10.1002/adma.72638</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In inverted perovskite solar cells, self-assembled molecules (SAMs) employed as hole-transport layers can significantly improve device performance, with power conversion efficiencies currently exceeding 27%. However, the non-uniform and weak adsorption of SAMs on metal oxide substrates leads to severe non-radiative recombination at the buried interface, which remains a critical bottleneck for long-term operational and thermal stability. In this study, heptafluorobutyramide (HA) or heptafluorobutylimidamide (HM) is introduced into MeO‑4PACz to tailor its adsorption on the NiOx surface. Leveraging multiple hydrogen‑bonding interactions between HM and MeO‑4PACz, the resulting SAMs adopt an inclined orientation of approximately 60° relative to the NiOx surface. This configuration increases the proportion of Ni3 + on the substrate and raises the surface coverage from 0.912 to 1.236. It also effectively passivates undercoordinated Pb defects at the buried interface, enhances interfacial uniformity, and suppresses non‑radiative recombination. Using a vacuum‑flash processing method, HM‑optimized devices achieve a champion efficiency of 26.99% (certified steady‑state efficiency 26.62%) and reach 20.36% on a large‑area module with an active area of 809.69 cm2. Moreover, small-area devices retained 92% and 87% of their initial efficiency after 1500 h of maximum power point tracking at 25°C and 60°C, respectively.</w:t>
      </w:r>
    </w:p>
    <w:p>
      <w:pPr>
        <w:spacing w:before="120" w:after="120"/>
      </w:pPr>
      <w:r>
        <w:rPr>
          <w:sz w:val="18"/>
        </w:rPr>
        <w:t>——————————————————————————————————————————————————————————————————————</w:t>
      </w:r>
    </w:p>
    <w:p>
      <w:pPr>
        <w:spacing w:before="160" w:after="40" w:line="240" w:lineRule="auto"/>
      </w:pPr>
      <w:r>
        <w:rPr>
          <w:b/>
        </w:rPr>
        <w:t xml:space="preserve">[26] </w:t>
      </w:r>
      <w:hyperlink r:id="rId47">
        <w:r>
          <w:rPr>
            <w:color w:val="1155CC"/>
            <w:u w:val="single"/>
          </w:rPr>
          <w:t>Ordered scalable solar-driven dry reforming of methane via synergy of plasmonic catalysts with biomimetic reactors</w:t>
        </w:r>
      </w:hyperlink>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Solar-driven dry reforming of methane holds promise for addressing global energy and environmental challenges simultaneously. This work proposes a novel strategy that synergizes plasmonic meta-nanoalloy catalysts with biomimetic butterfly wing-inspired foam reactors to achieve ordered, scalable solar-driven dry reforming of methane.</w:t>
      </w:r>
    </w:p>
    <w:p>
      <w:pPr>
        <w:spacing w:before="120" w:after="120"/>
      </w:pPr>
      <w:r>
        <w:rPr>
          <w:sz w:val="18"/>
        </w:rPr>
        <w:t>——————————————————————————————————————————————————————————————————————</w:t>
      </w:r>
    </w:p>
    <w:p>
      <w:pPr>
        <w:spacing w:before="160" w:after="40" w:line="240" w:lineRule="auto"/>
      </w:pPr>
      <w:r>
        <w:rPr>
          <w:b/>
        </w:rPr>
        <w:t xml:space="preserve">[27] </w:t>
      </w:r>
      <w:hyperlink r:id="rId48">
        <w:r>
          <w:rPr>
            <w:color w:val="1155CC"/>
            <w:u w:val="single"/>
          </w:rPr>
          <w:t>Cr–O–In Interlocking for Window Layer Delamination Resistance in Operationally Stable Perovskite/Silicon Tandem Solar Cells</w:t>
        </w:r>
      </w:hyperlink>
    </w:p>
    <w:p>
      <w:pPr>
        <w:spacing w:before="0" w:after="120"/>
      </w:pPr>
      <w:r>
        <w:rPr>
          <w:b/>
        </w:rPr>
        <w:t xml:space="preserve">Source: </w:t>
      </w:r>
      <w:r>
        <w:t>RSC - Energy Environ. Sci.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Perovskite/silicon tandem solar cells have achieved remarkable efficiencies but remain limited by poor operational stability, primarily due to the instability of fullerene/atomic-layer-deposited (ALD) SnOX interfaces in the top window layer–an issue that is often negligible in single-junction devices but becomes critically important in tandems. This instability originates from poor adhesion, incomplete precursor reactions during low-temperature ALD process, and oxidative exposure of the fullerene layer. Here, we introduce a Cr–O–In interlocking interface formed via chromium (Cr) diffusion into the transparent electrode and fullerene layer, which effectively mitigates window layer delamination and establishes robust interfacial contact. Notably, Cr does not diffuse across fullerene layer due to its strong reaction with C60 layer, which effectively immobilizes the metal atoms shortly after deposition and impedes deep diffusion. In addition, this interlocking interface integrates optical transparency, favorable band alignment, and resistance to sputtering, while enabling n-type doping of fullerene layer to enhance electron mobility and suppress across-interface nonradiative recombination. As a result, single-junction 1.67 eV perovskite solar cells achieve a PCE of 23.27% (average PCE of 22.85%), and perovskite/silicon tandems reach 32.77%, with a certified stabilized efficiency of 32.51%, among the highest reported for monolithic perovskite/TOPCon tandems. Moreover, the Cr–O–In ionic interlocking interface enhances long-term operational stability, paving the way toward scalable, industrially applicable tandem photovoltaics.</w:t>
      </w:r>
    </w:p>
    <w:p>
      <w:pPr>
        <w:spacing w:before="120" w:after="120"/>
      </w:pPr>
      <w:r>
        <w:rPr>
          <w:sz w:val="18"/>
        </w:rPr>
        <w:t>——————————————————————————————————————————————————————————————————————</w:t>
      </w:r>
    </w:p>
    <w:p>
      <w:pPr>
        <w:spacing w:before="160" w:after="40" w:line="240" w:lineRule="auto"/>
      </w:pPr>
      <w:r>
        <w:rPr>
          <w:b/>
        </w:rPr>
        <w:t xml:space="preserve">[28] </w:t>
      </w:r>
      <w:hyperlink r:id="rId49">
        <w:r>
          <w:rPr>
            <w:color w:val="1155CC"/>
            <w:u w:val="single"/>
          </w:rPr>
          <w:t>Interfacial Passivation Toward Photostable Wide‐Bandgap Perovskites for Efficient Semitransparent Solar Cells</w:t>
        </w:r>
      </w:hyperlink>
    </w:p>
    <w:p>
      <w:pPr>
        <w:spacing w:before="0" w:after="120"/>
      </w:pPr>
      <w:r>
        <w:rPr>
          <w:b/>
        </w:rPr>
        <w:t xml:space="preserve">Source: </w:t>
      </w:r>
      <w:r>
        <w:t>Wiley: Advanced Energy Materials: Table of Contents</w:t>
      </w:r>
      <w:r>
        <w:t xml:space="preserve"> </w:t>
      </w:r>
      <w:r>
        <w:rPr>
          <w:b/>
        </w:rPr>
        <w:t xml:space="preserve">Pub date: </w:t>
      </w:r>
      <w:r>
        <w:t>2026-02-26 06:14:49+00:00</w:t>
      </w:r>
      <w:r>
        <w:t xml:space="preserve"> </w:t>
      </w:r>
      <w:r>
        <w:rPr>
          <w:b/>
        </w:rPr>
        <w:t xml:space="preserve">DOI: </w:t>
      </w:r>
      <w:hyperlink r:id="rId50">
        <w:r>
          <w:rPr>
            <w:color w:val="1155CC"/>
            <w:u w:val="single"/>
          </w:rPr>
          <w:t>10.1002/aenm.202506610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51">
        <w:r>
          <w:rPr>
            <w:color w:val="1155CC"/>
            <w:u w:val="single"/>
          </w:rPr>
          <w:t>Hafnium oxide interface stabilization for efficient, photothermally stable perovskite solar cells</w:t>
        </w:r>
      </w:hyperlink>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52">
        <w:r>
          <w:rPr>
            <w:color w:val="1155CC"/>
            <w:u w:val="single"/>
          </w:rPr>
          <w:t>10.1126/science.aea3339</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Organic molecular layers at both hole- and electron-selective interfaces are essential for achieving high-efficiency perovskite solar cells, yet their limited photothermal stability hinders long-term device operation. We used atomic layer deposition to deposit hafnium oxide (HfO</w:t>
      </w:r>
      <w:r>
        <w:t xml:space="preserve"> </w:t>
      </w:r>
      <w:r>
        <w:t>x</w:t>
      </w:r>
      <w:r>
        <w:t xml:space="preserve"> </w:t>
      </w:r>
      <w:r>
        <w:t>) interlayers to stabilize these molecular interfaces under operational stress. At the NiO</w:t>
      </w:r>
      <w:r>
        <w:t xml:space="preserve"> </w:t>
      </w:r>
      <w:r>
        <w:t>x</w:t>
      </w:r>
      <w:r>
        <w:t xml:space="preserve"> </w:t>
      </w:r>
      <w:r>
        <w:t>/self-assembled monolayer (SAM) interface, a hydroxyl-rich, Lewis-acidic n-HfO</w:t>
      </w:r>
      <w:r>
        <w:t xml:space="preserve"> </w:t>
      </w:r>
      <w:r>
        <w:t>x</w:t>
      </w:r>
      <w:r>
        <w:t xml:space="preserve"> </w:t>
      </w:r>
      <w:r>
        <w:t>layer (n denotes negative fixed-charge polarity) promoted tridentate phosphonic acid coordination and enhanced SAM retention and thermal durability. At the perovskite/C</w:t>
      </w:r>
      <w:r>
        <w:rPr>
          <w:vertAlign w:val="subscript"/>
        </w:rPr>
        <w:t>60</w:t>
      </w:r>
      <w:r>
        <w:t>interface, the p-HfO</w:t>
      </w:r>
      <w:r>
        <w:t xml:space="preserve"> </w:t>
      </w:r>
      <w:r>
        <w:t>x</w:t>
      </w:r>
      <w:r>
        <w:t xml:space="preserve"> </w:t>
      </w:r>
      <w:r>
        <w:t>layer (p denotes positive fixed-charge polarity) anchored 3-fluorophenylethylammonium iodide (3F-PEAI) through Hf⋯F interactions that also acted as a diffusion barrier against halide- and silver-ion migration. Devices achieved a power conversion efficiency of 27.1% (26.6% certified) and retained more than 90% of their initial efficiency for ~5000 hours under 1-sun equivalent illumination at 85°C in ambient air.</w:t>
      </w:r>
    </w:p>
    <w:p>
      <w:pPr>
        <w:spacing w:before="120" w:after="120"/>
      </w:pPr>
      <w:r>
        <w:rPr>
          <w:sz w:val="18"/>
        </w:rPr>
        <w:t>——————————————————————————————————————————————————————————————————————</w:t>
      </w:r>
    </w:p>
    <w:p>
      <w:pPr>
        <w:spacing w:before="160" w:after="40" w:line="240" w:lineRule="auto"/>
      </w:pPr>
      <w:r>
        <w:rPr>
          <w:b/>
        </w:rPr>
        <w:t xml:space="preserve">[30] </w:t>
      </w:r>
      <w:hyperlink r:id="rId53">
        <w:r>
          <w:rPr>
            <w:color w:val="1155CC"/>
            <w:u w:val="single"/>
          </w:rPr>
          <w:t>A Multifunctional Interfacial Dipolar Molecule: Universal Applicability in Efficient Rigid, Flexible, and Large‐Area Perovskite Solar Cells</w:t>
        </w:r>
      </w:hyperlink>
    </w:p>
    <w:p>
      <w:pPr>
        <w:spacing w:before="0" w:after="120"/>
      </w:pPr>
      <w:r>
        <w:rPr>
          <w:b/>
        </w:rPr>
        <w:t xml:space="preserve">Source: </w:t>
      </w:r>
      <w:r>
        <w:t>Wiley: Advanced Materials: Table of Contents</w:t>
      </w:r>
      <w:r>
        <w:t xml:space="preserve"> </w:t>
      </w:r>
      <w:r>
        <w:rPr>
          <w:b/>
        </w:rPr>
        <w:t xml:space="preserve">Pub date: </w:t>
      </w:r>
      <w:r>
        <w:t>2026-02-26 11:49:36+00:00</w:t>
      </w:r>
      <w:r>
        <w:t xml:space="preserve"> </w:t>
      </w:r>
      <w:r>
        <w:rPr>
          <w:b/>
        </w:rPr>
        <w:t xml:space="preserve">DOI: </w:t>
      </w:r>
      <w:hyperlink r:id="rId54">
        <w:r>
          <w:rPr>
            <w:color w:val="1155CC"/>
            <w:u w:val="single"/>
          </w:rPr>
          <w:t>10.1002/adma.202523520</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A critical performance gap persists between lab-scale perovskite solar cells (PSCs) and their theoretical efficiency limit, primarily driven by non-radiative recombination at the electron transport layer/perovskite buried interface. Molecular engineering of this interface is a proven mitigation strategy; however, a major limitation of current modifiers is the lack of multifunctional structural design to achieve bifacial passivation, energy level alignment, and interfacial compatibility simultaneously, which typically restricts further improvements in device efficiency and the expansion of applications to large-scale and flexible substrates. To address this challenge, we design a multifunctional dipolar molecule, 2-cyanoethyl phosphate, with three features: a phosphate anchoring group for strong covalent bonding to SnO2, a terminal cyano group for effective perovskite defect passivation, and a large intrinsic dipole moment of 5.38 Debye to optimize interfacial energy-level alignment for superior charge dynamics. This integrated strategy delivers a champion power conversion efficiency of 26.45% (certified at 26.31%) for small-area rigid PSCs, 23.51% for mini-modules (30 cm2), and 25.09% for flexible PSCs. Our work establishes a general molecular design principle for universal interfacial modifiers, accelerating the commercialization of PSCs that combine high efficiency, scalability, and flexibility.</w:t>
      </w:r>
    </w:p>
    <w:p>
      <w:pPr>
        <w:spacing w:before="120" w:after="120"/>
      </w:pPr>
      <w:r>
        <w:rPr>
          <w:sz w:val="18"/>
        </w:rPr>
        <w:t>——————————————————————————————————————————————————————————————————————</w:t>
      </w:r>
    </w:p>
    <w:p>
      <w:pPr>
        <w:spacing w:before="160" w:after="40" w:line="240" w:lineRule="auto"/>
      </w:pPr>
      <w:r>
        <w:rPr>
          <w:b/>
        </w:rPr>
        <w:t xml:space="preserve">[31] </w:t>
      </w:r>
      <w:hyperlink r:id="rId55">
        <w:r>
          <w:rPr>
            <w:color w:val="1155CC"/>
            <w:u w:val="single"/>
          </w:rPr>
          <w:t>[ASAP] Polar Opposites: Ligand-Mediated Polarity Inversion for Perovskite Quantum Dots with Sub-Nanometer Ligand Shells</w:t>
        </w:r>
      </w:hyperlink>
    </w:p>
    <w:p>
      <w:pPr>
        <w:spacing w:before="0" w:after="120"/>
      </w:pPr>
      <w:r>
        <w:rPr>
          <w:b/>
        </w:rPr>
        <w:t xml:space="preserve">Source: </w:t>
      </w:r>
      <w:r>
        <w:t>ACS Energy Letters: Latest Articles (ACS Publications)</w:t>
      </w:r>
      <w:r>
        <w:t xml:space="preserve"> </w:t>
      </w:r>
      <w:r>
        <w:rPr>
          <w:b/>
        </w:rPr>
        <w:t xml:space="preserve">Pub date: </w:t>
      </w:r>
      <w:r>
        <w:t>2026-02-26 15:49:35+00:00</w:t>
      </w:r>
      <w:r>
        <w:t xml:space="preserve"> </w:t>
      </w:r>
      <w:r>
        <w:rPr>
          <w:b/>
        </w:rPr>
        <w:t xml:space="preserve">DOI: </w:t>
      </w:r>
      <w:hyperlink r:id="rId56">
        <w:r>
          <w:rPr>
            <w:color w:val="1155CC"/>
            <w:u w:val="single"/>
          </w:rPr>
          <w:t>10.1021/acsenergylett.5c04073</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Perovskite quantum dots are promising classical and quantum light emitters but have limited chemical and colloidal stability in polar solvents due to their highly ionic lattices. In this work we demonstrate that perovskite quantum dots capped with strongly binding Gemini ligands with thin 0.7 nm hydroxyl-terminated ligands can be colloidally dispersed in polar solvents like ethanol.</w:t>
      </w:r>
    </w:p>
    <w:p>
      <w:pPr>
        <w:spacing w:before="120" w:after="120"/>
      </w:pPr>
      <w:r>
        <w:rPr>
          <w:sz w:val="18"/>
        </w:rPr>
        <w:t>——————————————————————————————————————————————————————————————————————</w:t>
      </w:r>
    </w:p>
    <w:p>
      <w:pPr>
        <w:spacing w:before="160" w:after="40" w:line="240" w:lineRule="auto"/>
      </w:pPr>
      <w:r>
        <w:rPr>
          <w:b/>
        </w:rPr>
        <w:t xml:space="preserve">[32] </w:t>
      </w:r>
      <w:hyperlink r:id="rId57">
        <w:r>
          <w:rPr>
            <w:color w:val="1155CC"/>
            <w:u w:val="single"/>
          </w:rPr>
          <w:t>[ASAP] In Situ Engineered Gradient Ruddlesden–Popper 2D/3D Heterostructures at the Buried Interface Enable Current-Matched Perovskite/Silicon Tandems</w:t>
        </w:r>
      </w:hyperlink>
    </w:p>
    <w:p>
      <w:pPr>
        <w:spacing w:before="0" w:after="120"/>
      </w:pPr>
      <w:r>
        <w:rPr>
          <w:b/>
        </w:rPr>
        <w:t xml:space="preserve">Source: </w:t>
      </w:r>
      <w:r>
        <w:t>ACS Energy Letters: Latest Articles (ACS Publications)</w:t>
      </w:r>
      <w:r>
        <w:t xml:space="preserve"> </w:t>
      </w:r>
      <w:r>
        <w:rPr>
          <w:b/>
        </w:rPr>
        <w:t xml:space="preserve">Pub date: </w:t>
      </w:r>
      <w:r>
        <w:t>2026-02-26 19:29:32+00:00</w:t>
      </w:r>
      <w:r>
        <w:t xml:space="preserve"> </w:t>
      </w:r>
      <w:r>
        <w:rPr>
          <w:b/>
        </w:rPr>
        <w:t xml:space="preserve">DOI: </w:t>
      </w:r>
      <w:hyperlink r:id="rId58">
        <w:r>
          <w:rPr>
            <w:color w:val="1155CC"/>
            <w:u w:val="single"/>
          </w:rPr>
          <w:t>10.1021/acsenergylett.5c04127</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In situ interface passivation serves as a crucial strategy for improving both the efficiency and stability of wide-band gap (WBG) perovskite solar cells and their associated tandem architectures. Here, we present a one-step in situ buried-interface passivation approach designed to reduce interface defects in three-dimensional (3D) WBG perovskite films. This is achieved by constructing self-assembly of a gradient Ruddlesden–Popper (RP) two-dimensional (2D) perovskite layer at the buried interface of the 3D WBG perovskite, leading to the formation of a gradient RP-2D/3D perovskite heterostructure. Such heterostructures facilitate the oriented growth of 3D perovskite crystals along the (100) plane, enhance charge carrier extraction, and effectively passivate trap states within the WBG perovskites. The in situ formation of RP-2D/3D perovskite heterostructures significantly enhances the light, thermal, and moisture stabilities of the WBG 3D perovskites. The resulting perovskite/silicon tandem solar cells exhibit improved current matching (mismatch 0.1% vs 5.5% for 3D), deliver improved efficiency of 32.73% (certified 32.46%), and demonstrate an operational lifetime T90 exceeding 1508 h.</w:t>
      </w:r>
    </w:p>
    <w:p>
      <w:pPr>
        <w:spacing w:before="120" w:after="120"/>
      </w:pPr>
      <w:r>
        <w:rPr>
          <w:sz w:val="18"/>
        </w:rPr>
        <w:t>——————————————————————————————————————————————————————————————————————</w:t>
      </w:r>
    </w:p>
    <w:p>
      <w:pPr>
        <w:spacing w:before="160" w:after="40" w:line="240" w:lineRule="auto"/>
      </w:pPr>
      <w:r>
        <w:rPr>
          <w:b/>
        </w:rPr>
        <w:t xml:space="preserve">[33] </w:t>
      </w:r>
      <w:hyperlink r:id="rId59">
        <w:r>
          <w:rPr>
            <w:color w:val="1155CC"/>
            <w:u w:val="single"/>
          </w:rPr>
          <w:t>In situ detection and accurate repair of defects in printed flexible perovskite photovoltaics</w:t>
        </w:r>
      </w:hyperlink>
    </w:p>
    <w:p>
      <w:pPr>
        <w:spacing w:before="0" w:after="120"/>
      </w:pPr>
      <w:r>
        <w:rPr>
          <w:b/>
        </w:rPr>
        <w:t xml:space="preserve">Source: </w:t>
      </w:r>
      <w:r>
        <w:t>Joule</w:t>
      </w:r>
      <w:r>
        <w:t xml:space="preserve"> </w:t>
      </w:r>
      <w:r>
        <w:rPr>
          <w:b/>
        </w:rPr>
        <w:t xml:space="preserve">Pub date: </w:t>
      </w:r>
      <w:r>
        <w:t>2026-02-27 00:00:00+00:00</w:t>
      </w:r>
      <w:r>
        <w:t xml:space="preserve"> </w:t>
      </w:r>
      <w:r>
        <w:rPr>
          <w:b/>
        </w:rPr>
        <w:t xml:space="preserve">DOI: </w:t>
      </w:r>
      <w:hyperlink r:id="rId60">
        <w:r>
          <w:rPr>
            <w:color w:val="1155CC"/>
            <w:u w:val="single"/>
          </w:rPr>
          <w:t>10.1016/j.joule.2025.102305</w:t>
        </w:r>
      </w:hyperlink>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This work proposes a strategy that enhances the reproducibility of large-area perovskite solar cells through in situ defect detection and laser repair, achieving power conversion efficiencies of 25.21% on a 1.01 cm² flexible perovskite solar cell and 17.36% on the corresponding flexible module. It provides both technical and theoretical reference for the commercialization of flexible perovskite photovoltaic devices.</w:t>
      </w:r>
    </w:p>
    <w:p>
      <w:pPr>
        <w:spacing w:before="120" w:after="120"/>
      </w:pPr>
      <w:r>
        <w:rPr>
          <w:sz w:val="18"/>
        </w:rPr>
        <w:t>——————————————————————————————————————————————————————————————————————</w:t>
      </w:r>
    </w:p>
    <w:p>
      <w:pPr>
        <w:spacing w:before="160" w:after="40" w:line="240" w:lineRule="auto"/>
      </w:pPr>
      <w:r>
        <w:rPr>
          <w:b/>
        </w:rPr>
        <w:t xml:space="preserve">[34] </w:t>
      </w:r>
      <w:hyperlink r:id="rId61">
        <w:r>
          <w:rPr>
            <w:color w:val="1155CC"/>
            <w:u w:val="single"/>
          </w:rPr>
          <w:t>Deeper insights into charge photogeneration in organic solar cells</w:t>
        </w:r>
      </w:hyperlink>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62">
        <w:r>
          <w:rPr>
            <w:color w:val="1155CC"/>
            <w:u w:val="single"/>
          </w:rPr>
          <w:t>10.1038/s41563-026-02500-1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63">
        <w:r>
          <w:rPr>
            <w:color w:val="1155CC"/>
            <w:u w:val="single"/>
          </w:rPr>
          <w:t>Molecular factors controlling charge pair generation in organic photovoltaic materials</w:t>
        </w:r>
      </w:hyperlink>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64">
        <w:r>
          <w:rPr>
            <w:color w:val="1155CC"/>
            <w:u w:val="single"/>
          </w:rPr>
          <w:t>10.1038/s41563-026-02509-6</w:t>
        </w:r>
      </w:hyperlink>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Through remarkable advances in materials design, the efficiency of photovoltaic energy conversion in molecular materials has risen from 1% to over 20% within 2 decades. Some recent reports argue that charge photogeneration can occur directly in neat films of the best-performing molecular materials, and that this process may assist current generation in heterojunction devices. Here we address this assertion by combining experimental measurements of charge generation in single-component and heterojunction devices with a computational model of the generation and evolution of delocalized excited states in such systems. We identify key molecular parameters that are likely to assist charge generation in high-performance materials, including the exciton binding energy, reorganization energy, energetic disorder, electronic coupling and the molecular packing motif. We show that including state delocalization is critical to the results. While we find that charge generation in single domains is unlikely to drive photocurrent generation in low-offset heterojunctions, the same molecular parameters favour charge generation in both device architectures.</w:t>
      </w:r>
    </w:p>
    <w:p>
      <w:pPr>
        <w:spacing w:before="120" w:after="120"/>
      </w:pPr>
      <w:r>
        <w:rPr>
          <w:sz w:val="18"/>
        </w:rPr>
        <w:t>——————————————————————————————————————————————————————————————————————</w:t>
      </w:r>
    </w:p>
    <w:p>
      <w:pPr>
        <w:spacing w:before="160" w:after="40" w:line="240" w:lineRule="auto"/>
      </w:pPr>
      <w:r>
        <w:rPr>
          <w:b/>
        </w:rPr>
        <w:t xml:space="preserve">[36] </w:t>
      </w:r>
      <w:hyperlink r:id="rId65">
        <w:r>
          <w:rPr>
            <w:color w:val="1155CC"/>
            <w:u w:val="single"/>
          </w:rPr>
          <w:t>[ASAP] Strong Exciton Confinement Enabling Near-Unity Photoluminescence Quantum Efficiency in Hybrid Bimetallic Halides</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2026-02-27 09:00:01+00:00</w:t>
      </w:r>
      <w:r>
        <w:t xml:space="preserve"> </w:t>
      </w:r>
      <w:r>
        <w:rPr>
          <w:b/>
        </w:rPr>
        <w:t xml:space="preserve">DOI: </w:t>
      </w:r>
      <w:hyperlink r:id="rId66">
        <w:r>
          <w:rPr>
            <w:color w:val="1155CC"/>
            <w:u w:val="single"/>
          </w:rPr>
          <w:t>10.1021/jacs.5c23218</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Development of efficient and structurally stable zero-dimensional (0D) hybrid antimony halide materials still encounters huge challenges due to the limited and time-consuming trial-and-error design principle. Here, a host-guest chemistry strategy is employed at the A-site to design a series of hybrid antimony-based bimetallic halides (HABHs) with a general formula of [A(L)6][BCln] (A = lanthanide and alkaline earth metals; B = Sb, In, and Bi; and L = urea ligands with different substituents). Controllable structural regulation is achieved by adjusting the steric effect of large [A(L)6]2+/3+ clusters, realizing a wide photoluminescence (PL) spectral modulation and high photoluminescence quantum efficiency (PLQY) over 98%. Some photophysical properties could be well correlated with specific structural changes. The PL spectral profile and emission energy are mainly dependent on the distortion of the SbCln polyhedra. In particular, a quantitatively exponential relationship between PLQY and structural parameters (bond distortion, angle deviation, and the defined effective Cl number describing the integrity of the hydrogen bonding network) related to the [SbCln](n-3)- sublattice has been reasonably established. As supported by theoretical calculations and photophysical analysis, strong exciton localization with negligible nonradiative recombination has been demonstrated for high PLQY, which results from a highly symmetrical rigid structure and the "shielding effect" of a complete hydrogen bonding network. Environmental stability and unique temperature-dependent PL behaviors enable multiapplications. This work proposes a quantitative "structure-property" correlation insight for new hybrid antimony halides, providing a direction for advancing the design of efficient hybrid metal halide materials.</w:t>
      </w:r>
    </w:p>
    <w:p>
      <w:pPr>
        <w:spacing w:before="120" w:after="120"/>
      </w:pPr>
      <w:r>
        <w:rPr>
          <w:sz w:val="18"/>
        </w:rPr>
        <w:t>——————————————————————————————————————————————————————————————————————</w:t>
      </w:r>
    </w:p>
    <w:p>
      <w:pPr>
        <w:spacing w:before="160" w:after="40" w:line="240" w:lineRule="auto"/>
      </w:pPr>
      <w:r>
        <w:rPr>
          <w:b/>
        </w:rPr>
        <w:t xml:space="preserve">[37] </w:t>
      </w:r>
      <w:hyperlink r:id="rId67">
        <w:r>
          <w:rPr>
            <w:color w:val="1155CC"/>
            <w:u w:val="single"/>
          </w:rPr>
          <w:t>TinyML powered UAV inspection for solar panel monitoring with optimized path planning</w:t>
        </w:r>
      </w:hyperlink>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68">
        <w:r>
          <w:rPr>
            <w:color w:val="1155CC"/>
            <w:u w:val="single"/>
          </w:rPr>
          <w:t>Redox Cascade‐Driven Structural Degradation Under Reverse Bias in All‐Perovskite Tandem Solar Cells</w:t>
        </w:r>
      </w:hyperlink>
    </w:p>
    <w:p>
      <w:pPr>
        <w:spacing w:before="0" w:after="120"/>
      </w:pPr>
      <w:r>
        <w:rPr>
          <w:b/>
        </w:rPr>
        <w:t xml:space="preserve">Source: </w:t>
      </w:r>
      <w:r>
        <w:t>Wiley: Advanced Materials: Table of Contents</w:t>
      </w:r>
      <w:r>
        <w:t xml:space="preserve"> </w:t>
      </w:r>
      <w:r>
        <w:rPr>
          <w:b/>
        </w:rPr>
        <w:t xml:space="preserve">Pub date: </w:t>
      </w:r>
      <w:r>
        <w:t>2026-02-28 06:55:24+00:00</w:t>
      </w:r>
      <w:r>
        <w:t xml:space="preserve"> </w:t>
      </w:r>
      <w:r>
        <w:rPr>
          <w:b/>
        </w:rPr>
        <w:t xml:space="preserve">DOI: </w:t>
      </w:r>
      <w:hyperlink r:id="rId69">
        <w:r>
          <w:rPr>
            <w:color w:val="1155CC"/>
            <w:u w:val="single"/>
          </w:rPr>
          <w:t>10.1002/adma.202522942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Reverse bias, originating from current mismatch or shading, has emerged as a hidden yet fatal instability in all-perovskite tandem solar cells. Here we reveal that sustained reverse bias triggers a redox-coupled lattice collapse within the narrow-bandgap subcells. Under electrical stress, hole injection oxidizes iodide ions into neutral iodine species, which subsequently oxidize tin cations and drive field-directed ion migration. This redox cascade propagates vertically through the lattice, coupling ionic transport with structural reconstruction and interfacial corrosion, ultimately leading to irreversible performance loss. These findings expose all-perovskite tandems as chemomechanical systems in which electrical stress is converted into internal electrochemical damage. To suppress this feedback loop, we introduce a "multideck-fence" interfacial design that integrates a nanometric oxide diffusion barrier with a chemically stable dual-metal electrode. This strategy halts the redox-driven degradation, yielding a power conversion efficiency of 29.03% and more than 30-fold enhancement in reverse-bias endurance. Our results redefine reverse bias as a chemomechanically driven failure mode and establish a mechanistic framework for bias-resilient perovskite architectures.</w:t>
      </w:r>
    </w:p>
    <w:p>
      <w:pPr>
        <w:spacing w:before="120" w:after="120"/>
      </w:pPr>
      <w:r>
        <w:rPr>
          <w:sz w:val="18"/>
        </w:rPr>
        <w:t>——————————————————————————————————————————————————————————————————————</w:t>
      </w:r>
    </w:p>
    <w:p>
      <w:pPr>
        <w:spacing w:before="160" w:after="40" w:line="240" w:lineRule="auto"/>
      </w:pPr>
      <w:r>
        <w:rPr>
          <w:b/>
        </w:rPr>
        <w:t xml:space="preserve">[39] </w:t>
      </w:r>
      <w:hyperlink r:id="rId70">
        <w:r>
          <w:rPr>
            <w:color w:val="1155CC"/>
            <w:u w:val="single"/>
          </w:rPr>
          <w:t>[ASAP] Stabilizing Radicals in Aggregation-Induced Emission Rotor-Polyoxometalate Crystals for Efficient Photothermal Conversion</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2026-02-28 14:23:19+00:00</w:t>
      </w:r>
      <w:r>
        <w:t xml:space="preserve"> </w:t>
      </w:r>
      <w:r>
        <w:rPr>
          <w:b/>
        </w:rPr>
        <w:t xml:space="preserve">DOI: </w:t>
      </w:r>
      <w:hyperlink r:id="rId71">
        <w:r>
          <w:rPr>
            <w:color w:val="1155CC"/>
            <w:u w:val="single"/>
          </w:rPr>
          <w:t>10.1021/jacs.6c00335</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The rational design of photothermal materials with well-defined molecular structures and efficient solar energy conversion is crucial for advancing renewable energy technologies, particularly in harnessing the near-infrared region (∼54% of the solar spectrum). Despite significant progress, existing systems often compromise structural precision and fabrication control in pursuit of performance. Achieving the combination of broadband absorption, high conversion efficiency, and precise crystalline structure remains a critical challenge. Here, we report a one-pot synthesis of a crystalline photothermal material, namely APC, formed within minutes through the assembly of polyoxometalates (POMs) clusters with amino-modified tetraphenylethylene, a representative molecular rotor with an aggregation-induced emission (AIE) feature. This represents the first demonstration of AIE rotor-POM assemblies for photothermal conversion. Trace peroxides at ppm levels in the solvent oxidize AIE rotors during assembly, initiating rapid radical formation that is stabilized by the crystalline matrix. The resulting air-stable radicals enable broadband absorption beyond 2000 nm, while the intramolecular motion of AIE rotors efficiently converts absorbed energy into heat, achieving an exceptional photothermal conversion efficiency of 88.7% under 808 nm laser irradiation. Mechanistic studies reveal that strong intermolecular charge transfer between AIE rotors and POMs drives radical generation, stabilized by spatial confinement and partial SOMO-HOMO inversion. Under 1 sun illumination, APC achieves a high solar-to-vapor water evaporation efficiency of 97.5%, highlighting its promise for solar-driven desalination. This study introduces a rational design strategy for crystalline photothermal hybrids and establishes the mechanistic connections among molecular assembly, charge transfer, and radical stabilization.</w:t>
      </w:r>
    </w:p>
    <w:p>
      <w:pPr>
        <w:spacing w:before="120" w:after="120"/>
      </w:pPr>
      <w:r>
        <w:rPr>
          <w:sz w:val="18"/>
        </w:rPr>
        <w:t>——————————————————————————————————————————————————————————————————————</w:t>
      </w:r>
    </w:p>
    <w:p>
      <w:pPr>
        <w:spacing w:before="160" w:after="40" w:line="240" w:lineRule="auto"/>
      </w:pPr>
      <w:r>
        <w:rPr>
          <w:b/>
        </w:rPr>
        <w:t xml:space="preserve">[40] </w:t>
      </w:r>
      <w:hyperlink r:id="rId72">
        <w:r>
          <w:rPr>
            <w:color w:val="1155CC"/>
            <w:u w:val="single"/>
          </w:rPr>
          <w:t>Degradation-aware scheduling and thermal management of solar–battery-powered alkaline water electrolysis systems</w:t>
        </w:r>
      </w:hyperlink>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73">
        <w:r>
          <w:rPr>
            <w:color w:val="1155CC"/>
            <w:u w:val="single"/>
          </w:rPr>
          <w:t>A water-soluble binder for recyclable lithium-ion batteries</w:t>
        </w:r>
      </w:hyperlink>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The substantial growth in the market for lithium-ion batteries has created a huge challenge for their end-of-life management and demands sustainable solutions. Direct recycling is a promising choice due to its superior energy efficiency and environmental benefits, particularly the advantage in preserving the original chemistry and structure of the target materials. However, binders hold the active electrode materials and the current collectors tightly together, and their separation usually involves energy-intensive thermal treatment and environmentally hazardous chemicals. Here we present a water-soluble binder by crosslinking natural sericin protein with sulfuric acid through supramolecular interactions. The as-fabricated binder demonstrates comparable electrochemical performance with the most common polyvinylidene fluoride formulation, when applied to a typical LiNi1/3Co1/3Mn1/3O2 (NCM111) cathode. A 1.3-Ah pouch cell retained 85.0% of its initial capacity after 500 cycles. Equally importantly, after being soaked in water at 50 °C for less than 1 min, the NCM111 and graphite can be completely detached from the current collectors for recycling. By integrating the circular economy into the battery design, this work paves the way for the development of next-generation battery chemistries with enhanced sustainability.</w:t>
      </w:r>
    </w:p>
    <w:p>
      <w:pPr>
        <w:spacing w:before="120" w:after="120"/>
      </w:pPr>
      <w:r>
        <w:rPr>
          <w:sz w:val="18"/>
        </w:rPr>
        <w:t>——————————————————————————————————————————————————————————————————————</w:t>
      </w:r>
    </w:p>
    <w:p>
      <w:pPr>
        <w:spacing w:before="160" w:after="40" w:line="240" w:lineRule="auto"/>
      </w:pPr>
      <w:r>
        <w:rPr>
          <w:b/>
        </w:rPr>
        <w:t xml:space="preserve">[2] </w:t>
      </w:r>
      <w:hyperlink r:id="rId74">
        <w:r>
          <w:rPr>
            <w:color w:val="1155CC"/>
            <w:u w:val="single"/>
          </w:rPr>
          <w:t>Efficient Direct Recycling Strategy of Spent LiFePO4 Cathodes by Structural Defect Repair and Interface Construction</w:t>
        </w:r>
      </w:hyperlink>
    </w:p>
    <w:p>
      <w:pPr>
        <w:spacing w:before="0" w:after="120"/>
      </w:pPr>
      <w:r>
        <w:rPr>
          <w:b/>
        </w:rPr>
        <w:t xml:space="preserve">Source: </w:t>
      </w:r>
      <w:r>
        <w:t>Wiley: Advanced Materials: Table of Contents</w:t>
      </w:r>
      <w:r>
        <w:t xml:space="preserve"> </w:t>
      </w:r>
      <w:r>
        <w:rPr>
          <w:b/>
        </w:rPr>
        <w:t xml:space="preserve">Pub date: </w:t>
      </w:r>
      <w:r>
        <w:t>2026-02-24 12:45:48+00:00</w:t>
      </w:r>
      <w:r>
        <w:t xml:space="preserve"> </w:t>
      </w:r>
      <w:r>
        <w:rPr>
          <w:b/>
        </w:rPr>
        <w:t xml:space="preserve">DOI: </w:t>
      </w:r>
      <w:hyperlink r:id="rId75">
        <w:r>
          <w:rPr>
            <w:color w:val="1155CC"/>
            <w:u w:val="single"/>
          </w:rPr>
          <w:t>10.1002/adma.202521012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The increasing number of retired LiFePO4 batteries urgently requires efficient and environmentally friendly recycling methods. The primary causes of LiFePO4 battery failure can be attributed to lithium loss and the formation of Fe(III) phases. Therefore, the synergistic interaction between the green reagent citric acid (CA) and urea (UR) achieves low-temperature spontaneous defect repair and the construction of an N-doped carbon layer. Specifically, CA creates a reductive atmosphere that reduces Fe(III) to the Fe(II) phase, thereby eliminating Li-Fe anti-site defects. Meanwhile, the amino group (─NH2) in UR acts as a nitrogen source, enabling N-doping modification of the carbon layer on the surface of LiFePO4 particles. The formed N-doped carbon layer effectively improves the electronic conductivity and lithium-ion migration dynamics of regenerated LiFePO4 (R-LFP). Moreover, the strengthening of Fe-O and P─O bonds further increases the overall structural stability of R-LFP, resulting in its remarkable electrochemical performance. The R-LFP electrode material delivers 163 mAh/g specific capacity during the first discharge cycle at 0.1C and retains 93.5% of its initial capacity after 500 cycles at 1C. This economical and environmentally friendly recycling strategy provides a greatly promising solution for the sustainable recovery of lithium-ion batteries (LIBs).</w:t>
      </w:r>
    </w:p>
    <w:p>
      <w:pPr>
        <w:spacing w:before="120" w:after="120"/>
      </w:pPr>
      <w:r>
        <w:rPr>
          <w:sz w:val="18"/>
        </w:rPr>
        <w:t>——————————————————————————————————————————————————————————————————————</w:t>
      </w:r>
    </w:p>
    <w:p>
      <w:pPr>
        <w:spacing w:before="160" w:after="40" w:line="240" w:lineRule="auto"/>
      </w:pPr>
      <w:r>
        <w:rPr>
          <w:b/>
        </w:rPr>
        <w:t xml:space="preserve">[3] </w:t>
      </w:r>
      <w:hyperlink r:id="rId76">
        <w:r>
          <w:rPr>
            <w:color w:val="1155CC"/>
            <w:u w:val="single"/>
          </w:rPr>
          <w:t>Coupled Electronic‐Catalytic Regulation in All‐in‐One VN/B2O3 Ceramic Enables Fast Polysulfides Conversion in Li‐S Batteries</w:t>
        </w:r>
      </w:hyperlink>
    </w:p>
    <w:p>
      <w:pPr>
        <w:spacing w:before="0" w:after="120"/>
      </w:pPr>
      <w:r>
        <w:rPr>
          <w:b/>
        </w:rPr>
        <w:t xml:space="preserve">Source: </w:t>
      </w:r>
      <w:r>
        <w:t>Wiley: Angewandte Chemie International Edition: Table of Contents</w:t>
      </w:r>
      <w:r>
        <w:t xml:space="preserve"> </w:t>
      </w:r>
      <w:r>
        <w:rPr>
          <w:b/>
        </w:rPr>
        <w:t xml:space="preserve">Pub date: </w:t>
      </w:r>
      <w:r>
        <w:t>2026-02-25 04:19:19+00:00</w:t>
      </w:r>
      <w:r>
        <w:t xml:space="preserve"> </w:t>
      </w:r>
      <w:r>
        <w:rPr>
          <w:b/>
        </w:rPr>
        <w:t xml:space="preserve">DOI: </w:t>
      </w:r>
      <w:hyperlink r:id="rId77">
        <w:r>
          <w:rPr>
            <w:color w:val="1155CC"/>
            <w:u w:val="single"/>
          </w:rPr>
          <w:t>10.1002/anie.202526035</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Lithium-sulfur (Li-S) batteries hold great promise for next-generation high-energy storage but are challenged by sluggish lithium polysulfides (LiPSs) conversion, low sulfur utilization, and limited practical loading. Herein, we report an all-in-one ant-nest-like porous VN/B2O3 (VNBO) ceramic, constructed through a bottom-up sintering-diffusion process of VN nanoparticles coupled with the phase transition of B2O3. This integrated porous ceramic provides a continuous conductive framework with minimized interfacial resistance. The VN nano-units serve as highly active catalytic centers to accelerate LiPSs redox kinetics, while B2O3 component promotes the formation of the hierarchical ant-nest-like network and modulates the electronic structure of the VN/B2O3 heterointerface. This coupled electronic-catalytic regulation effectively suppresses LiPSs shuttling and enables fast, reversible LiPSs conversion. Benefiting from this synergistic architecture, the 2-VNBO@S cathode delivers outstanding electrochemical performances, achieving 1187.2 mAh g-1 at 0.5 C after 200 cycles and retaining 944.3 mAh g-1 over 300 cycles at 3 C with a capacity decay of only 0.054% per cycle. Even under a high sulfur loading of 4 mg cm-2, it maintains 557.9 mAh g-1 after 150 cycles. This work establishes a robust design strategy for high-energy and catalytically active sulfur cathodes.</w:t>
      </w:r>
    </w:p>
    <w:p>
      <w:pPr>
        <w:spacing w:before="120" w:after="120"/>
      </w:pPr>
      <w:r>
        <w:rPr>
          <w:sz w:val="18"/>
        </w:rPr>
        <w:t>——————————————————————————————————————————————————————————————————————</w:t>
      </w:r>
    </w:p>
    <w:p>
      <w:pPr>
        <w:spacing w:before="160" w:after="40" w:line="240" w:lineRule="auto"/>
      </w:pPr>
      <w:r>
        <w:rPr>
          <w:b/>
        </w:rPr>
        <w:t xml:space="preserve">[4] </w:t>
      </w:r>
      <w:hyperlink r:id="rId78">
        <w:r>
          <w:rPr>
            <w:color w:val="1155CC"/>
            <w:u w:val="single"/>
          </w:rPr>
          <w:t>Current Status and Future Prospects of Solid‐State Lithium–Sulfur Batteries: A Focus on Reaction and Interface Engineering (Adv. Energy Mater. 8/2026)</w:t>
        </w:r>
      </w:hyperlink>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79">
        <w:r>
          <w:rPr>
            <w:color w:val="1155CC"/>
            <w:u w:val="single"/>
          </w:rPr>
          <w:t>10.1002/aenm.70743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80">
        <w:r>
          <w:rPr>
            <w:color w:val="1155CC"/>
            <w:u w:val="single"/>
          </w:rPr>
          <w:t>Trifunctional P‐Doping of FeS1‐x for Greatly Enhanced Electrochemical Kinetics and Highly Resilient Li‐S Batteries (Adv. Energy Mater. 8/2026)</w:t>
        </w:r>
      </w:hyperlink>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81">
        <w:r>
          <w:rPr>
            <w:color w:val="1155CC"/>
            <w:u w:val="single"/>
          </w:rPr>
          <w:t>10.1002/aenm.70744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82">
        <w:r>
          <w:rPr>
            <w:color w:val="1155CC"/>
            <w:u w:val="single"/>
          </w:rPr>
          <w:t>In Situ Constructed “Poly‐Ionic Bridges” Promoting Performances of All‐Solid‐State Lithium‐Sulfur Batteries</w:t>
        </w:r>
      </w:hyperlink>
    </w:p>
    <w:p>
      <w:pPr>
        <w:spacing w:before="0" w:after="120"/>
      </w:pPr>
      <w:r>
        <w:rPr>
          <w:b/>
        </w:rPr>
        <w:t xml:space="preserve">Source: </w:t>
      </w:r>
      <w:r>
        <w:t>Wiley: Advanced Energy Materials: Table of Contents</w:t>
      </w:r>
      <w:r>
        <w:t xml:space="preserve"> </w:t>
      </w:r>
      <w:r>
        <w:rPr>
          <w:b/>
        </w:rPr>
        <w:t xml:space="preserve">Pub date: </w:t>
      </w:r>
      <w:r>
        <w:t>2026-02-26 06:16:55+00:00</w:t>
      </w:r>
      <w:r>
        <w:t xml:space="preserve"> </w:t>
      </w:r>
      <w:r>
        <w:rPr>
          <w:b/>
        </w:rPr>
        <w:t xml:space="preserve">DOI: </w:t>
      </w:r>
      <w:hyperlink r:id="rId83">
        <w:r>
          <w:rPr>
            <w:color w:val="1155CC"/>
            <w:u w:val="single"/>
          </w:rPr>
          <w:t>10.1002/aenm.70792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84">
        <w:r>
          <w:rPr>
            <w:color w:val="1155CC"/>
            <w:u w:val="single"/>
          </w:rPr>
          <w:t>Synergistic Interface Engineering of Heterojunction and Oxygen Vacancies in Multiphase Cobalt Oxide/Graphene Composite Host for High‐Performance Lithium–Sulfur Batteries</w:t>
        </w:r>
      </w:hyperlink>
    </w:p>
    <w:p>
      <w:pPr>
        <w:spacing w:before="0" w:after="120"/>
      </w:pPr>
      <w:r>
        <w:rPr>
          <w:b/>
        </w:rPr>
        <w:t xml:space="preserve">Source: </w:t>
      </w:r>
      <w:r>
        <w:t>Wiley: Advanced Energy Materials: Table of Contents</w:t>
      </w:r>
      <w:r>
        <w:t xml:space="preserve"> </w:t>
      </w:r>
      <w:r>
        <w:rPr>
          <w:b/>
        </w:rPr>
        <w:t xml:space="preserve">Pub date: </w:t>
      </w:r>
      <w:r>
        <w:t>2026-02-26 06:21:11+00:00</w:t>
      </w:r>
      <w:r>
        <w:t xml:space="preserve"> </w:t>
      </w:r>
      <w:r>
        <w:rPr>
          <w:b/>
        </w:rPr>
        <w:t xml:space="preserve">DOI: </w:t>
      </w:r>
      <w:hyperlink r:id="rId85">
        <w:r>
          <w:rPr>
            <w:color w:val="1155CC"/>
            <w:u w:val="single"/>
          </w:rPr>
          <w:t>10.1002/aenm.202506549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86">
        <w:r>
          <w:rPr>
            <w:color w:val="1155CC"/>
            <w:u w:val="single"/>
          </w:rPr>
          <w:t>[ASAP] Understanding the Performance Gap between Polycrystalline and Single-Crystal Nickel-Rich Layered Oxide Cathodes</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2026-02-27 09:38:44+00:00</w:t>
      </w:r>
      <w:r>
        <w:t xml:space="preserve"> </w:t>
      </w:r>
      <w:r>
        <w:rPr>
          <w:b/>
        </w:rPr>
        <w:t xml:space="preserve">DOI: </w:t>
      </w:r>
      <w:hyperlink r:id="rId87">
        <w:r>
          <w:rPr>
            <w:color w:val="1155CC"/>
            <w:u w:val="single"/>
          </w:rPr>
          <w:t>10.1021/jacs.5c18922</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Singe-crystal (SC) nickel-rich layered oxide cathodes, composed of boundary-free particles with high tap density, offer significant advantages in volumetric energy density and mechanical strength compared with polycrystalline (PC) cathode materials. However, as the nickel content increases (≥80%), SC Ni-rich cathodes often suffer from faster performance degradation than PC cathodes of the same composition, and the underlying causes of this discrepancy remain poorly understood. Herein, we reveal the distinct Ni redox behaviors that govern the electrochemical performance of SC and PC Ni-rich cathodes using multiscale and operando characterization techniques. Our results indicate that the increasingly heterogeneous Ni oxidation process in SC cathodes leads to the additional irreversible oxygen redox activity that deteriorates both the mechanical and chemical structures. In contrast, PC cathodes, despite with more pronounced surface reconstruction, exhibit greater chemomechanical stability due to homogeneous redox reactions during charging. Consequently, we find that bulk degradation, more than surface reactions, ultimately leads to fast capacity decay of SC Ni-rich cathodes during cycling. This work offers a comprehensive view on the impact of Ni redox evolutions on the chemomechanical stability in Ni-rich layered oxide cathodes, providing new insights into the longstanding performance gap between SC and PC cathodes, and guiding the rational design of Ni-rich cathode architectures.</w:t>
      </w:r>
    </w:p>
    <w:p>
      <w:pPr>
        <w:spacing w:before="120" w:after="120"/>
      </w:pPr>
      <w:r>
        <w:rPr>
          <w:sz w:val="18"/>
        </w:rPr>
        <w:t>——————————————————————————————————————————————————————————————————————</w:t>
      </w:r>
    </w:p>
    <w:p>
      <w:pPr>
        <w:spacing w:before="160" w:after="40" w:line="240" w:lineRule="auto"/>
      </w:pPr>
      <w:r>
        <w:rPr>
          <w:b/>
        </w:rPr>
        <w:t xml:space="preserve">[9] </w:t>
      </w:r>
      <w:hyperlink r:id="rId88">
        <w:r>
          <w:rPr>
            <w:color w:val="1155CC"/>
            <w:u w:val="single"/>
          </w:rPr>
          <w:t>Built‐In Electric Field Modulates Phase Transition and Suppresses Voltage Hysteresis in Mn‐Based Phosphates Cathode for Sodium–Ion Batteries</w:t>
        </w:r>
      </w:hyperlink>
    </w:p>
    <w:p>
      <w:pPr>
        <w:spacing w:before="0" w:after="120"/>
      </w:pPr>
      <w:r>
        <w:rPr>
          <w:b/>
        </w:rPr>
        <w:t xml:space="preserve">Source: </w:t>
      </w:r>
      <w:r>
        <w:t>Wiley: Angewandte Chemie International Edition: Table of Contents</w:t>
      </w:r>
      <w:r>
        <w:t xml:space="preserve"> </w:t>
      </w:r>
      <w:r>
        <w:rPr>
          <w:b/>
        </w:rPr>
        <w:t xml:space="preserve">Pub date: </w:t>
      </w:r>
      <w:r>
        <w:t>2026-02-28 08:07:59+00:00</w:t>
      </w:r>
      <w:r>
        <w:t xml:space="preserve"> </w:t>
      </w:r>
      <w:r>
        <w:rPr>
          <w:b/>
        </w:rPr>
        <w:t xml:space="preserve">DOI: </w:t>
      </w:r>
      <w:hyperlink r:id="rId89">
        <w:r>
          <w:rPr>
            <w:color w:val="1155CC"/>
            <w:u w:val="single"/>
          </w:rPr>
          <w:t>10.1002/anie.202522507</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The voltage hysteresis and sluggish kinetics of Mn-based mixed phosphate cathode significantly hinder their development and application. Herein, this work fabricates a heterogeneous composite cathode (NFMVP (9-1)-rGO) with a built-in electric field and accelerated electronic pathway. As the key kinetic driving force, the built-in electric field, can selectively promote the diffusion of Na+ in the Na3MnFe(PO4)P2O7 phase while simultaneously suppress the structural degradation of the Na4MnV(PO4)3 phase caused by the "avalanche extraction" of Na+ under high-voltage. The introduction of the dual-carbon layer further establishes a robust conductive framework throughout the electrode. Crucially, in situ electrochemical impedance spectra based on distribution relaxation time reveal that the built-in electric field modulates the phase transition mechanism from a two-phase reaction to a solid-solution behavior in the high-voltage region, significantly accelerating the reaction kinetics and greatly suppressing voltage hysteresis. As a result, NFMVP (9-1)-rGO exhibits excellent capacity delivery (120.2 mAh g-1), high practical energy density (378.3 Wh kg-1), and outstanding long-term cycling stability. Our findings enlighten a new paradigm in the kinetic driving force from built-in electric field and the phase transition regulation mechanism in heterogeneous structures toward high-energy Mn-based sodium-ion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90">
        <w:r>
          <w:rPr>
            <w:color w:val="1155CC"/>
            <w:u w:val="single"/>
          </w:rPr>
          <w:t>A novel MIC-BOA-TiDE fusion framework with kernel density estimation for point and probabilistic remaining useful life prediction of lithium-ion batteries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1">
        <w:r>
          <w:rPr>
            <w:color w:val="1155CC"/>
            <w:u w:val="single"/>
          </w:rPr>
          <w:t>Spatiotemporally coupled lithiotropic framework enables highly reversible and long-life 1,200 Wh L−1 Li-metal pouch cell</w:t>
        </w:r>
      </w:hyperlink>
    </w:p>
    <w:p>
      <w:pPr>
        <w:spacing w:before="0" w:after="120"/>
      </w:pPr>
      <w:r>
        <w:rPr>
          <w:b/>
        </w:rPr>
        <w:t xml:space="preserve">Source: </w:t>
      </w:r>
      <w:r>
        <w:t>Joule</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Spatiotemporally coupled lithiotropic frameworks are proposed by simultaneously constructing a static epitaxial lithiotropic interface, dynamic lithiotropic embedded seeds, and SEIs. This optimizes Li adsorption, migration, and diffusion at plated substrate, bulk phase, and SEI, controlling multi-scale dense Li nucleation and growth tropism and optimizing the reversibility of ultrathin anodes. Such structures effectively improve the rate performance and cycle life of Li-metal batteries, enabling the practical application of &gt;1,200 Wh L−1 miniature high-energy pouch cells in micro-UAVs.</w:t>
      </w:r>
    </w:p>
    <w:p>
      <w:pPr>
        <w:spacing w:before="120" w:after="120"/>
      </w:pPr>
      <w:r>
        <w:rPr>
          <w:sz w:val="18"/>
        </w:rPr>
        <w:t>——————————————————————————————————————————————————————————————————————</w:t>
      </w:r>
    </w:p>
    <w:p>
      <w:pPr>
        <w:spacing w:before="160" w:after="40" w:line="240" w:lineRule="auto"/>
      </w:pPr>
      <w:r>
        <w:rPr>
          <w:b/>
        </w:rPr>
        <w:t xml:space="preserve">[3] </w:t>
      </w:r>
      <w:hyperlink r:id="rId92">
        <w:r>
          <w:rPr>
            <w:color w:val="1155CC"/>
            <w:u w:val="single"/>
          </w:rPr>
          <w:t>Online identification of characteristic change points in capacity degradation trajectories of lithium-ion batteries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93">
        <w:r>
          <w:rPr>
            <w:color w:val="1155CC"/>
            <w:u w:val="single"/>
          </w:rPr>
          <w:t>Defect engineering for high-performance lithium/sodium-ion capacitor electrodes: mechanisms, advances, and future perspectives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4">
        <w:r>
          <w:rPr>
            <w:color w:val="1155CC"/>
            <w:u w:val="single"/>
          </w:rPr>
          <w:t>Degradation Pathways of Silicon‐Based Anodes in Lithium‐Ion Batteries</w:t>
        </w:r>
      </w:hyperlink>
    </w:p>
    <w:p>
      <w:pPr>
        <w:spacing w:before="0" w:after="120"/>
      </w:pPr>
      <w:r>
        <w:rPr>
          <w:b/>
        </w:rPr>
        <w:t xml:space="preserve">Source: </w:t>
      </w:r>
      <w:r>
        <w:t>Wiley: Advanced Energy Materials: Table of Contents</w:t>
      </w:r>
      <w:r>
        <w:t xml:space="preserve"> </w:t>
      </w:r>
      <w:r>
        <w:rPr>
          <w:b/>
        </w:rPr>
        <w:t xml:space="preserve">Pub date: </w:t>
      </w:r>
      <w:r>
        <w:t>2026-02-25 04:20:47+00:00</w:t>
      </w:r>
      <w:r>
        <w:t xml:space="preserve"> </w:t>
      </w:r>
      <w:r>
        <w:rPr>
          <w:b/>
        </w:rPr>
        <w:t xml:space="preserve">DOI: </w:t>
      </w:r>
      <w:hyperlink r:id="rId95">
        <w:r>
          <w:rPr>
            <w:color w:val="1155CC"/>
            <w:u w:val="single"/>
          </w:rPr>
          <w:t>10.1002/aenm.202506750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96">
        <w:r>
          <w:rPr>
            <w:color w:val="1155CC"/>
            <w:u w:val="single"/>
          </w:rPr>
          <w:t>Review of Thin Lithium Metal Battery Anode Fabrication – Microstructure – Electrochemistry Relations (Adv. Mater. 12/2026)</w:t>
        </w:r>
      </w:hyperlink>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97">
        <w:r>
          <w:rPr>
            <w:color w:val="1155CC"/>
            <w:u w:val="single"/>
          </w:rPr>
          <w:t>10.1002/adma.72465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98">
        <w:r>
          <w:rPr>
            <w:color w:val="1155CC"/>
            <w:u w:val="single"/>
          </w:rPr>
          <w:t>Atomic Layer Deposition‐Modified Bifunctional Electrocatalysts for Rechargeable Zinc‐Air Batteries: Boosting Activity and Cycle Life (Adv. Energy Mater. 8/2026)</w:t>
        </w:r>
      </w:hyperlink>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99">
        <w:r>
          <w:rPr>
            <w:color w:val="1155CC"/>
            <w:u w:val="single"/>
          </w:rPr>
          <w:t>10.1002/aenm.70741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00">
        <w:r>
          <w:rPr>
            <w:color w:val="1155CC"/>
            <w:u w:val="single"/>
          </w:rPr>
          <w:t>p-p orbital hybridization enables durable aqueous zinc-iodine batteries</w:t>
        </w:r>
      </w:hyperlink>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Orbital engineering of p-p hybridization in iodine host materials is demonstrated to enable efficient and durable AZIBs. By incorporating a rationally designed p-block element of Bi SACs with strong interaction between the 6p orbital of Bi and the 5p orbital of iodine, the target Bi-NC catalysts favor rapid redox kinetics and a suppressed polyiodide shuttle effect, delivering exceptional durability with negligible capacity decay at an ultra-high current density of 16 A g−1 over 100,000 cycles.</w:t>
      </w:r>
    </w:p>
    <w:p>
      <w:pPr>
        <w:spacing w:before="120" w:after="120"/>
      </w:pPr>
      <w:r>
        <w:rPr>
          <w:sz w:val="18"/>
        </w:rPr>
        <w:t>——————————————————————————————————————————————————————————————————————</w:t>
      </w:r>
    </w:p>
    <w:p>
      <w:pPr>
        <w:spacing w:before="160" w:after="40" w:line="240" w:lineRule="auto"/>
      </w:pPr>
      <w:r>
        <w:rPr>
          <w:b/>
        </w:rPr>
        <w:t xml:space="preserve">[9] </w:t>
      </w:r>
      <w:hyperlink r:id="rId101">
        <w:r>
          <w:rPr>
            <w:color w:val="1155CC"/>
            <w:u w:val="single"/>
          </w:rPr>
          <w:t>[ASAP] Heterogeneous Cations Enable Crystallographic Regulation of Na Deposition toward Dendrite-Free Sodium Metal Batteries</w:t>
        </w:r>
      </w:hyperlink>
    </w:p>
    <w:p>
      <w:pPr>
        <w:spacing w:before="0" w:after="120"/>
      </w:pPr>
      <w:r>
        <w:rPr>
          <w:b/>
        </w:rPr>
        <w:t xml:space="preserve">Source: </w:t>
      </w:r>
      <w:r>
        <w:t>ACS Energy Letters: Latest Articles (ACS Publications)</w:t>
      </w:r>
      <w:r>
        <w:t xml:space="preserve"> </w:t>
      </w:r>
      <w:r>
        <w:rPr>
          <w:b/>
        </w:rPr>
        <w:t xml:space="preserve">Pub date: </w:t>
      </w:r>
      <w:r>
        <w:t>2026-02-26 10:07:22+00:00</w:t>
      </w:r>
      <w:r>
        <w:t xml:space="preserve"> </w:t>
      </w:r>
      <w:r>
        <w:rPr>
          <w:b/>
        </w:rPr>
        <w:t xml:space="preserve">DOI: </w:t>
      </w:r>
      <w:hyperlink r:id="rId102">
        <w:r>
          <w:rPr>
            <w:color w:val="1155CC"/>
            <w:u w:val="single"/>
          </w:rPr>
          <w:t>10.1021/acsenergylett.5c04001</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Sodium metal batteries have great promise for next-generation energy storage but face fundamental challenges of dendritic growth and interfacial instability. Herein, a gel polymer electrolyte incorporating multifunctional rubidium carbonate (Rb2CO3) additive is proposed (GPE+R) to stabilize the electrolyte–electrode interface and induce uniform Na deposition. Through optimal geometric matching and surface energy anisotropy, Rb+ cations preferentially adsorb onto the Na(200) plane, creating an electrostatic shielding effect that redirects planar Na deposition toward the closest-packed (110) plane. Simultaneously, Rb+ can also participate in competitive solvation with Na+, modifying the solvation structure and reducing the Na+ desolvation barrier. Consequently, the modified electrolyte enables dendrite-free Na deposition and 96.2% capacity retention after 4000 cycles in Na3V2(PO4)3||GPE+R||Na cells. The practical viability and mechanical flexibility are further verified by the operation of NaNi1/3Fe1/3Mn1/3O2||Na pouch cells. This work provides a clue for crystallographic regulation for dendrite-free Na anodes and paves a pathway toward high-energy-density Na metal batteries.</w:t>
      </w:r>
    </w:p>
    <w:p>
      <w:pPr>
        <w:spacing w:before="120" w:after="120"/>
      </w:pPr>
      <w:r>
        <w:rPr>
          <w:sz w:val="18"/>
        </w:rPr>
        <w:t>——————————————————————————————————————————————————————————————————————</w:t>
      </w:r>
    </w:p>
    <w:p>
      <w:pPr>
        <w:spacing w:before="160" w:after="40" w:line="240" w:lineRule="auto"/>
      </w:pPr>
      <w:r>
        <w:rPr>
          <w:b/>
        </w:rPr>
        <w:t xml:space="preserve">[10] </w:t>
      </w:r>
      <w:hyperlink r:id="rId103">
        <w:r>
          <w:rPr>
            <w:color w:val="1155CC"/>
            <w:u w:val="single"/>
          </w:rPr>
          <w:t>Assessing Mesoscale Heterogeneities in Hard Carbon Electrodes Through Deep Learning‐Assisted FIB‐SEM Characterization, Manufacturing and Electrochemical Modeling</w:t>
        </w:r>
      </w:hyperlink>
    </w:p>
    <w:p>
      <w:pPr>
        <w:spacing w:before="0" w:after="120"/>
      </w:pPr>
      <w:r>
        <w:rPr>
          <w:b/>
        </w:rPr>
        <w:t xml:space="preserve">Source: </w:t>
      </w:r>
      <w:r>
        <w:t>Wiley: Advanced Energy Materials: Table of Contents</w:t>
      </w:r>
      <w:r>
        <w:t xml:space="preserve"> </w:t>
      </w:r>
      <w:r>
        <w:rPr>
          <w:b/>
        </w:rPr>
        <w:t xml:space="preserve">Pub date: </w:t>
      </w:r>
      <w:r>
        <w:t>2026-02-27 11:26:21+00:00</w:t>
      </w:r>
      <w:r>
        <w:t xml:space="preserve"> </w:t>
      </w:r>
      <w:r>
        <w:rPr>
          <w:b/>
        </w:rPr>
        <w:t xml:space="preserve">DOI: </w:t>
      </w:r>
      <w:hyperlink r:id="rId104">
        <w:r>
          <w:rPr>
            <w:color w:val="1155CC"/>
            <w:u w:val="single"/>
          </w:rPr>
          <w:t>10.1002/aenm.202506765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05">
        <w:r>
          <w:rPr>
            <w:color w:val="1155CC"/>
            <w:u w:val="single"/>
          </w:rPr>
          <w:t>Recent Progress on Non‑Biomass Carbon‑Based Anodes for Sodium‑Ion Batteries</w:t>
        </w:r>
      </w:hyperlink>
    </w:p>
    <w:p>
      <w:pPr>
        <w:spacing w:before="0" w:after="120"/>
      </w:pPr>
      <w:r>
        <w:rPr>
          <w:b/>
        </w:rPr>
        <w:t xml:space="preserve">Source: </w:t>
      </w:r>
      <w:r>
        <w:t>Wiley: Advanced Energy Materials: Table of Contents</w:t>
      </w:r>
      <w:r>
        <w:t xml:space="preserve"> </w:t>
      </w:r>
      <w:r>
        <w:rPr>
          <w:b/>
        </w:rPr>
        <w:t xml:space="preserve">Pub date: </w:t>
      </w:r>
      <w:r>
        <w:t>2026-02-27 11:49:26+00:00</w:t>
      </w:r>
      <w:r>
        <w:t xml:space="preserve"> </w:t>
      </w:r>
      <w:r>
        <w:rPr>
          <w:b/>
        </w:rPr>
        <w:t xml:space="preserve">DOI: </w:t>
      </w:r>
      <w:hyperlink r:id="rId106">
        <w:r>
          <w:rPr>
            <w:color w:val="1155CC"/>
            <w:u w:val="single"/>
          </w:rPr>
          <w:t>10.1002/aenm.70769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07">
        <w:r>
          <w:rPr>
            <w:color w:val="1155CC"/>
            <w:u w:val="single"/>
          </w:rPr>
          <w:t>Addressing Bottlenecks to Achieve High‐Energy Sodium‐Ion Cells Using Tin Anodes</w:t>
        </w:r>
      </w:hyperlink>
    </w:p>
    <w:p>
      <w:pPr>
        <w:spacing w:before="0" w:after="120"/>
      </w:pPr>
      <w:r>
        <w:rPr>
          <w:b/>
        </w:rPr>
        <w:t xml:space="preserve">Source: </w:t>
      </w:r>
      <w:r>
        <w:t>Wiley: Advanced Energy Materials: Table of Contents</w:t>
      </w:r>
      <w:r>
        <w:t xml:space="preserve"> </w:t>
      </w:r>
      <w:r>
        <w:rPr>
          <w:b/>
        </w:rPr>
        <w:t xml:space="preserve">Pub date: </w:t>
      </w:r>
      <w:r>
        <w:t>2026-02-27 12:06:54+00:00</w:t>
      </w:r>
      <w:r>
        <w:t xml:space="preserve"> </w:t>
      </w:r>
      <w:r>
        <w:rPr>
          <w:b/>
        </w:rPr>
        <w:t xml:space="preserve">DOI: </w:t>
      </w:r>
      <w:hyperlink r:id="rId108">
        <w:r>
          <w:rPr>
            <w:color w:val="1155CC"/>
            <w:u w:val="single"/>
          </w:rPr>
          <w:t>10.1002/aenm.202600009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09">
        <w:r>
          <w:rPr>
            <w:color w:val="1155CC"/>
            <w:u w:val="single"/>
          </w:rPr>
          <w:t>Seconds‐Integrated Monolithic System of Zn‐Ion Micro‐Battery and Multi‐Functional Sensors for Robotic Autonomous Tactile Sensing</w:t>
        </w:r>
      </w:hyperlink>
    </w:p>
    <w:p>
      <w:pPr>
        <w:spacing w:before="0" w:after="120"/>
      </w:pPr>
      <w:r>
        <w:rPr>
          <w:b/>
        </w:rPr>
        <w:t xml:space="preserve">Source: </w:t>
      </w:r>
      <w:r>
        <w:t>Wiley: Advanced Materials: Table of Contents</w:t>
      </w:r>
      <w:r>
        <w:t xml:space="preserve"> </w:t>
      </w:r>
      <w:r>
        <w:rPr>
          <w:b/>
        </w:rPr>
        <w:t xml:space="preserve">Pub date: </w:t>
      </w:r>
      <w:r>
        <w:t>2026-02-28 10:03:16+00:00</w:t>
      </w:r>
      <w:r>
        <w:t xml:space="preserve"> </w:t>
      </w:r>
      <w:r>
        <w:rPr>
          <w:b/>
        </w:rPr>
        <w:t xml:space="preserve">DOI: </w:t>
      </w:r>
      <w:hyperlink r:id="rId110">
        <w:r>
          <w:rPr>
            <w:color w:val="1155CC"/>
            <w:u w:val="single"/>
          </w:rPr>
          <w:t>10.1002/adma.202520257</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Highly integrated devices that combine energy storage with multi-functional sensing capabilities are pivotal for advancing the practical implementation of intelligent microsystems. However, their development is often hindered by inefficient manufacturing, reliability degradation stemming from interfacial mismatches, and challenges in achieving high-performance, interference-free operation. Herein, we demonstrate an ultrafast and efficient strategy to construct a monolithic multifunctional sensing and energy storage system via the Joule heating effect. This strategy enables seamless integration of all components within 8 s, intrinsically mitigating interfacial incompatibility and signal interference. Through the instantaneous thermal activation, the energy storage unit of anode-free Zn-ion micro-battery delivers a capacity of 850 µAh cm-2 and energy density of 1060 µWh cm-2, superior to most reported aqueous Zn-based micro-batteries. With a rapid charging time of 150 s, it powers the integrated device for over 6 h, achieving an impressive 24-h standby under low-current conditions after full charge. Furthermore, this flexible monolithic system can be directly integrated into unmanned systems such as robotic arms, enabling autonomous environmental perception and adaptive decision-making via machine learning, with object identification and classification accuracy exceeding 99%. This work paves the way for next-generation autonomous microrobots, smart healthcare, and human-machine interfaces.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11">
        <w:r>
          <w:rPr>
            <w:color w:val="1155CC"/>
            <w:u w:val="single"/>
          </w:rPr>
          <w:t>[ASAP] Thermal Stability Landscape of Solid-State Batteries</w:t>
        </w:r>
      </w:hyperlink>
    </w:p>
    <w:p>
      <w:pPr>
        <w:spacing w:before="0" w:after="120"/>
      </w:pPr>
      <w:r>
        <w:rPr>
          <w:b/>
        </w:rPr>
        <w:t xml:space="preserve">Source: </w:t>
      </w:r>
      <w:r>
        <w:t>ACS Energy Letters: Latest Articles (ACS Publications)</w:t>
      </w:r>
      <w:r>
        <w:t xml:space="preserve"> </w:t>
      </w:r>
      <w:r>
        <w:rPr>
          <w:b/>
        </w:rPr>
        <w:t xml:space="preserve">Pub date: </w:t>
      </w:r>
      <w:r>
        <w:t>2026-02-24 16:21:22+00:00</w:t>
      </w:r>
      <w:r>
        <w:t xml:space="preserve"> </w:t>
      </w:r>
      <w:r>
        <w:rPr>
          <w:b/>
        </w:rPr>
        <w:t xml:space="preserve">DOI: </w:t>
      </w:r>
      <w:hyperlink r:id="rId112">
        <w:r>
          <w:rPr>
            <w:color w:val="1155CC"/>
            <w:u w:val="single"/>
          </w:rPr>
          <w:t>10.1021/acsenergylett.5c03154</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Solid-state batteries (SSBs) with lithium metal anodes promise to offer high energy densities, enabling applications such as long-range electric vehicles and electric aviation. While various challenges related to transport, chemomechanics, and interfacial morphology have been extensively investigated, the thermal stability of the underlying solid/solid interfaces still requires comprehensive assessment. In this Perspective, we present mechanistic insights into the coupled influence of electrode–electrolyte interactions, heterogeneities, and gas-evolution dynamics in governing distinct thermal instability pathways in inorganic SSBs. The critical role of interphase chemistry and lithium morphology in thermal runaway at the anode/solid electrolyte interface and cathode-driven phenomena such as oxygen release, state-of-charge effects, pressure buildup, and crosstalk reactions are discussed. We further examine how operating conditions including pressure, current density, temperature, and moisture exposure modulate thermo-kinetic pathways and the exothermic behavior of SSBs. Key scientific gaps are identified, providing a foundation for future research toward the development of thermally stable and safe SSBs.</w:t>
      </w:r>
    </w:p>
    <w:p>
      <w:pPr>
        <w:spacing w:before="120" w:after="120"/>
      </w:pPr>
      <w:r>
        <w:rPr>
          <w:sz w:val="18"/>
        </w:rPr>
        <w:t>——————————————————————————————————————————————————————————————————————</w:t>
      </w:r>
    </w:p>
    <w:p>
      <w:pPr>
        <w:spacing w:before="160" w:after="40" w:line="240" w:lineRule="auto"/>
      </w:pPr>
      <w:r>
        <w:rPr>
          <w:b/>
        </w:rPr>
        <w:t xml:space="preserve">[2] </w:t>
      </w:r>
      <w:hyperlink r:id="rId113">
        <w:r>
          <w:rPr>
            <w:color w:val="1155CC"/>
            <w:u w:val="single"/>
          </w:rPr>
          <w:t>Hydrofluorocarbon electrolytes for energy-dense and low-temperature batteries</w:t>
        </w:r>
      </w:hyperlink>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Electrolyte solvents for electrochemical devices have been dominated by oxygen (O)-based and nitrogen (N)-based ligands over the past decades1,2,3,4,5, for which the dipole–ion (Li+, Na+ and so on) interaction usually lays the foundations of ion dissociation and transport but frustrates the charge transfer process at the electrolyte–electrode interface6,7,8,9. Here, by synthesizing alkanes with monofluorinated structures, we show that fluorine (F)-based ligands with designed steric hindrance and Lewis basicity enable salt dissolution of more than 2 mol l−1. Among them, 1,3-difluoro-propane (DFP)-based Li-ion electrolyte is endowed with all merits for energy-dense and low-temperature batteries, including low viscosity (0.95 cp), high oxidation stability (&gt;4.9 V) and ionic conductivity of 0.29 mS cm−1 at −70 °C. By incorporating F atoms in the first solvation shell, the weak F–Li+ coordination facilitates the Li plating/stripping process with Coulombic efficiency (CE) up to 99.7% and exchange current density one magnitude larger than O–Li+ coordination at −50 °C. The electrolytes further enable the operation of lithium-metal pouch cells under an electrolyte amount of less than 0.5 g Ah−1, achieving energy densities greater than 700 Wh kg−1 at room temperature and about 400 Wh kg−1 at −50 °C. The hydrofluorocarbon (HFC) electrolytes in this work provide a feasible approach to building electrochemical systems beyond traditional coordination chemistry.</w:t>
      </w:r>
    </w:p>
    <w:p>
      <w:pPr>
        <w:spacing w:before="120" w:after="120"/>
      </w:pPr>
      <w:r>
        <w:rPr>
          <w:sz w:val="18"/>
        </w:rPr>
        <w:t>——————————————————————————————————————————————————————————————————————</w:t>
      </w:r>
    </w:p>
    <w:p>
      <w:pPr>
        <w:spacing w:before="160" w:after="40" w:line="240" w:lineRule="auto"/>
      </w:pPr>
      <w:r>
        <w:rPr>
          <w:b/>
        </w:rPr>
        <w:t xml:space="preserve">[3] </w:t>
      </w:r>
      <w:hyperlink r:id="rId114">
        <w:r>
          <w:rPr>
            <w:color w:val="1155CC"/>
            <w:u w:val="single"/>
          </w:rPr>
          <w:t>Electrolyte design strategies, failure mechanisms, and future perspectives for wide-temperature-range aqueous zinc-ion batteries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5">
        <w:r>
          <w:rPr>
            <w:color w:val="1155CC"/>
            <w:u w:val="single"/>
          </w:rPr>
          <w:t>[ASAP] Conductive Two-Dimensional Metal–Organic Frameworks Connected through Metal N-Heterocyclic Carbene Complexes</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2026-02-25 16:08:48+00:00</w:t>
      </w:r>
      <w:r>
        <w:t xml:space="preserve"> </w:t>
      </w:r>
      <w:r>
        <w:rPr>
          <w:b/>
        </w:rPr>
        <w:t xml:space="preserve">DOI: </w:t>
      </w:r>
      <w:hyperlink r:id="rId116">
        <w:r>
          <w:rPr>
            <w:color w:val="1155CC"/>
            <w:u w:val="single"/>
          </w:rPr>
          <w:t>10.1021/jacs.5c21368</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Two-dimensional conductive metal-organic frameworks (2D cMOFs) have attracted widespread attention owing to their distinct conjugation and stacked layered structures. However, the linkages of these 2D cMOFs are limited to diamine, diphenol, or dithiophenol metal complexes. In this work, we employed silver and copper &lt;i&gt;N&lt;/i&gt;-heterocyclic carbene (NHC) complexes as linkages for the construction of 2D cMOFs. The obtained materials exhibit high crystallinity, uniform one-dimensional channels, and excellent stability. Significantly, these cMOFs show electronic conductivity and ionic conductivity values as high as 10&lt;sup&gt;-3&lt;/sup&gt; and 10&lt;sup&gt;-4&lt;/sup&gt; S cm&lt;sup&gt;-1&lt;/sup&gt;, respectively. The cMOFs can serve as an artificial solid electrolyte interphase on a sodium metal anode, effectively guiding the uniform nucleation of sodium ions and inhibiting the growth of sodium dendrites. Moreover, full cells incorporating the MOFs interlayer demonstrated remarkable cycling stability, retaining 92% capacity after 830 cycles at 2 C. This work not only expands the structural diversity of 2D cMOFs but also provides a new design strategy for functional 2D crystalline organic polymers.</w:t>
      </w:r>
    </w:p>
    <w:p>
      <w:pPr>
        <w:spacing w:before="120" w:after="120"/>
      </w:pPr>
      <w:r>
        <w:rPr>
          <w:sz w:val="18"/>
        </w:rPr>
        <w:t>——————————————————————————————————————————————————————————————————————</w:t>
      </w:r>
    </w:p>
    <w:p>
      <w:pPr>
        <w:spacing w:before="160" w:after="40" w:line="240" w:lineRule="auto"/>
      </w:pPr>
      <w:r>
        <w:rPr>
          <w:b/>
        </w:rPr>
        <w:t xml:space="preserve">[5] </w:t>
      </w:r>
      <w:hyperlink r:id="rId117">
        <w:r>
          <w:rPr>
            <w:color w:val="1155CC"/>
            <w:u w:val="single"/>
          </w:rPr>
          <w:t>Closed-loop recyclable interfacial growth polymerization enables scalable and economical quasi-solid-state lithium metal batteries</w:t>
        </w:r>
      </w:hyperlink>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Conventional in situ polymerization processes face challenges with stability, cost, and scaling up when manufacturing quasi-solid-state lithium batteries. This study develops a novel strategy based on inorganic initiators that is stable and environmentally friendly, offering a new pathway for the continuous, cost-effective production of high-performance batteries.</w:t>
      </w:r>
    </w:p>
    <w:p>
      <w:pPr>
        <w:spacing w:before="120" w:after="120"/>
      </w:pPr>
      <w:r>
        <w:rPr>
          <w:sz w:val="18"/>
        </w:rPr>
        <w:t>——————————————————————————————————————————————————————————————————————</w:t>
      </w:r>
    </w:p>
    <w:p>
      <w:pPr>
        <w:spacing w:before="160" w:after="40" w:line="240" w:lineRule="auto"/>
      </w:pPr>
      <w:r>
        <w:rPr>
          <w:b/>
        </w:rPr>
        <w:t xml:space="preserve">[6] </w:t>
      </w:r>
      <w:hyperlink r:id="rId118">
        <w:r>
          <w:rPr>
            <w:color w:val="1155CC"/>
            <w:u w:val="single"/>
          </w:rPr>
          <w:t>[ASAP] Ion-Conductive Wires Form High-Performance All-Solid-State Polymer Electrolytes</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2026-02-26 18:21:24+00:00</w:t>
      </w:r>
      <w:r>
        <w:t xml:space="preserve"> </w:t>
      </w:r>
      <w:r>
        <w:rPr>
          <w:b/>
        </w:rPr>
        <w:t xml:space="preserve">DOI: </w:t>
      </w:r>
      <w:hyperlink r:id="rId119">
        <w:r>
          <w:rPr>
            <w:color w:val="1155CC"/>
            <w:u w:val="single"/>
          </w:rPr>
          <w:t>10.1021/jacs.5c18752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Solid-state batteries are poised to transform energy storage by eliminating the risks of flammable liquid electrolytes, enabling safer, higher-density systems for electric vehicles, renewable grids, and electronics in the race to net-zero emissions by 2050. Yet, all-solid-state polymer electrolytes have been limited by low ionic conductivity, poor lithium transference, and instability at room temperature, often requiring additives or heating that compromise their advantages. We introduce ion-conductive wires (ICWs), a new class of self-assembling nanostructured polymers with a hierarchical block-brush architecture. Featuring a flexible polysiloxane backbone, a PEG-rich core for rapid anisotropic Li+ transport, and a fluorinated sheath for oxidative stability and anion suppression, ICWs self-organize with continuous channels via the fluorous effect. Screening a library of architectures revealed an optimal design delivering an ionic conductivity of 1.8 × 10-4 S cm-1, a lithium transference number of 0.62, and stability up to 5.23 V at 30 °C─without liquids or fillers. This enables 200 cycles in Li/LFP cells with 96% capacity retention, stable operation in high-voltage Li/NCM622 cells, and 2000 h of lithium plating/stripping. ICWs offer a tunable platform for high-performance, scalable solid-state batteries, accelerating sustainable energy solutions.</w:t>
      </w:r>
    </w:p>
    <w:p>
      <w:pPr>
        <w:spacing w:before="120" w:after="120"/>
      </w:pPr>
      <w:r>
        <w:rPr>
          <w:sz w:val="18"/>
        </w:rPr>
        <w:t>——————————————————————————————————————————————————————————————————————</w:t>
      </w:r>
    </w:p>
    <w:p>
      <w:pPr>
        <w:spacing w:before="160" w:after="40" w:line="240" w:lineRule="auto"/>
      </w:pPr>
      <w:r>
        <w:rPr>
          <w:b/>
        </w:rPr>
        <w:t xml:space="preserve">[7] </w:t>
      </w:r>
      <w:hyperlink r:id="rId120">
        <w:r>
          <w:rPr>
            <w:color w:val="1155CC"/>
            <w:u w:val="single"/>
          </w:rPr>
          <w:t>Publisher Correction: Zinc-oligoether carboxylate salts as electrolyte additives for aqueous Zn metal batteries</w:t>
        </w:r>
      </w:hyperlink>
    </w:p>
    <w:p>
      <w:pPr>
        <w:spacing w:before="0" w:after="120"/>
      </w:pPr>
      <w:r>
        <w:rPr>
          <w:b/>
        </w:rPr>
        <w:t xml:space="preserve">Source: </w:t>
      </w:r>
      <w:r>
        <w:t>Nature Communications</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21">
        <w:r>
          <w:rPr>
            <w:color w:val="1155CC"/>
            <w:u w:val="single"/>
          </w:rPr>
          <w:t>[ASAP] Advancing Battery Manufacturing: Synchrotron Characterization for Industry</w:t>
        </w:r>
      </w:hyperlink>
    </w:p>
    <w:p>
      <w:pPr>
        <w:spacing w:before="0" w:after="120"/>
      </w:pPr>
      <w:r>
        <w:rPr>
          <w:b/>
        </w:rPr>
        <w:t xml:space="preserve">Source: </w:t>
      </w:r>
      <w:r>
        <w:t>Chemical Reviews: Latest Articles (ACS Publications)</w:t>
      </w:r>
      <w:r>
        <w:t xml:space="preserve"> </w:t>
      </w:r>
      <w:r>
        <w:rPr>
          <w:b/>
        </w:rPr>
        <w:t xml:space="preserve">Pub date: </w:t>
      </w:r>
      <w:r>
        <w:t>2026-02-27 11:13:47+00:00</w:t>
      </w:r>
      <w:r>
        <w:t xml:space="preserve"> </w:t>
      </w:r>
      <w:r>
        <w:rPr>
          <w:b/>
        </w:rPr>
        <w:t xml:space="preserve">DOI: </w:t>
      </w:r>
      <w:hyperlink r:id="rId122">
        <w:r>
          <w:rPr>
            <w:color w:val="1155CC"/>
            <w:u w:val="single"/>
          </w:rPr>
          <w:t>10.1021/acs.chemrev.5c00772</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Large-scale battery manufacturing requires understanding the fundamental principles of materials and interfaces and relies on advanced techniques for detailed interrogation. Despite advancements in the industrial scale production and their associated quality control tools, challenges such as electrode heterogeneity, internal defects, and large-scale material waste (e.g., scrap) can hamper manufacturing. Synchrotron X-ray characterization techniques offer spatial, temporal, and chemical resolution that can provide diagnostic insights for metrology across various manufacturing steps. This review examines the use of synchrotron tools to advance understanding of key steps in the battery manufacturing process. Recent examples demonstrate how synchrotron methods resolve manufacturing challenges and uncover degradation pathways that are otherwise inaccessible. Future directions for advancing battery manufacturing emphasize collaboration between academia and industry through the use of synchrotron X-ray techniques.</w:t>
      </w:r>
    </w:p>
    <w:p>
      <w:pPr>
        <w:spacing w:before="120" w:after="120"/>
      </w:pPr>
      <w:r>
        <w:rPr>
          <w:sz w:val="18"/>
        </w:rPr>
        <w:t>——————————————————————————————————————————————————————————————————————</w:t>
      </w:r>
    </w:p>
    <w:p>
      <w:pPr>
        <w:spacing w:before="160" w:after="40" w:line="240" w:lineRule="auto"/>
      </w:pPr>
      <w:r>
        <w:rPr>
          <w:b/>
        </w:rPr>
        <w:t xml:space="preserve">[9] </w:t>
      </w:r>
      <w:hyperlink r:id="rId123">
        <w:r>
          <w:rPr>
            <w:color w:val="1155CC"/>
            <w:u w:val="single"/>
          </w:rPr>
          <w:t>Molecular Polarity Attenuation Tailors Weak Solvation Structure with Accelerated Kinetics and Robust SEI for High‐Areal‐Capacity Large‐Format Pouch Zn‐Based Batteries</w:t>
        </w:r>
      </w:hyperlink>
    </w:p>
    <w:p>
      <w:pPr>
        <w:spacing w:before="0" w:after="120"/>
      </w:pPr>
      <w:r>
        <w:rPr>
          <w:b/>
        </w:rPr>
        <w:t xml:space="preserve">Source: </w:t>
      </w:r>
      <w:r>
        <w:t>Wiley: Advanced Materials: Table of Contents</w:t>
      </w:r>
      <w:r>
        <w:t xml:space="preserve"> </w:t>
      </w:r>
      <w:r>
        <w:rPr>
          <w:b/>
        </w:rPr>
        <w:t xml:space="preserve">Pub date: </w:t>
      </w:r>
      <w:r>
        <w:t>2026-02-27 11:32:18+00:00</w:t>
      </w:r>
      <w:r>
        <w:t xml:space="preserve"> </w:t>
      </w:r>
      <w:r>
        <w:rPr>
          <w:b/>
        </w:rPr>
        <w:t xml:space="preserve">DOI: </w:t>
      </w:r>
      <w:hyperlink r:id="rId124">
        <w:r>
          <w:rPr>
            <w:color w:val="1155CC"/>
            <w:u w:val="single"/>
          </w:rPr>
          <w:t>10.1002/adma.202519996</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Large-format, high-areal-capacity aqueous Zn-ion batteries are pivotal for practical energy storage but remain hindered by sluggish kinetics, heterogeneous local reactions, and drastic interfacial deformation. In this work, a molecular polarity-weakening strategy of electrolyte additive is proposed to customize a rapid-reaction-kinetics solvation structure and a hybrid solid-electrolyte interphase (SEI) for Zn metal pouch batteries. Leveraging this synergistic solvation-SEI regulation, a 25 cm2 Zn||Zn pouch symmetric cell achieves unprecedent 352 h stable cycling at 40 mAh cm-2 (DOD = 68%, 10 mA cm-2). More importantly, a 100 cm2 Zn||I2 pouch full battery delivers a high areal capacity of 9.8 mAh cm-2 and sustains nearly 400 h of stable cycling.</w:t>
      </w:r>
    </w:p>
    <w:p>
      <w:pPr>
        <w:spacing w:before="120" w:after="120"/>
      </w:pPr>
      <w:r>
        <w:rPr>
          <w:sz w:val="18"/>
        </w:rPr>
        <w:t>——————————————————————————————————————————————————————————————————————</w:t>
      </w:r>
    </w:p>
    <w:p>
      <w:pPr>
        <w:spacing w:before="160" w:after="40" w:line="240" w:lineRule="auto"/>
      </w:pPr>
      <w:r>
        <w:rPr>
          <w:b/>
        </w:rPr>
        <w:t xml:space="preserve">[10] </w:t>
      </w:r>
      <w:hyperlink r:id="rId125">
        <w:r>
          <w:rPr>
            <w:color w:val="1155CC"/>
            <w:u w:val="single"/>
          </w:rPr>
          <w:t>Operando decoding of thermal runaway precursors in lithium-ion batteries: from multimodal sensing to intelligent early warning</w:t>
        </w:r>
      </w:hyperlink>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26">
        <w:r>
          <w:rPr>
            <w:color w:val="1155CC"/>
            <w:u w:val="single"/>
          </w:rPr>
          <w:t>Polyanion-stabilized amorphous halide electrolytes with low lithium content for all-solid-state lithium batteries</w:t>
        </w:r>
      </w:hyperlink>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27">
        <w:r>
          <w:rPr>
            <w:color w:val="1155CC"/>
            <w:u w:val="single"/>
          </w:rPr>
          <w:t>10.1038/s41467-026-69737-x</w:t>
        </w:r>
      </w:hyperlink>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Lithium halide solid electrolytes have garnered significant attention owing to their high ionic conductivity and positive electrode compatibility. However, achieving target ionic conductivity typically requires high lithium concentration (&gt;4.3 wt%) within optimal structure, which raises costs and exacerbates air sensitivity. Here, we leverage anion clusters to synthesize a series of amorphous halide electrolytes xLi2SO4-ZrCl4, with optimal ionic conductivities of 1.5 mS cm-1 at 30 °C and a significantly reduced lithium content of 2.4 wt%, alongside good air stability. Through neutron/synchrotron X-ray experiments, first-principles calculations and machine learning-accelerated molecular dynamics simulations, we reveal a disordered backbone of [ZraCl4a(SO4)]2- (1 ≤ a ≤ 4) that enables fast Li-ion diffusion via under-coordinated oxygen sites. All-solid-state lithium batteries employing these electrolytes and LiNi0.8Co0.1Mn0.1O2 positive electrode exhibit 81.1% capacity retention after 1400 cycles at 1 C (60 min) and 30 °C. Our findings reveal anion-cluster chemistry as an approach that transforms solid electrolyte design for advanced batteries, bridging materials science with practical energy storage innovation.</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28">
        <w:r>
          <w:rPr>
            <w:color w:val="1155CC"/>
            <w:u w:val="single"/>
          </w:rPr>
          <w:t>Sustainability going deep for batteries</w:t>
        </w:r>
      </w:hyperlink>
    </w:p>
    <w:p>
      <w:pPr>
        <w:spacing w:before="0" w:after="120"/>
      </w:pPr>
      <w:r>
        <w:rPr>
          <w:b/>
        </w:rPr>
        <w:t xml:space="preserve">Source: </w:t>
      </w:r>
      <w:r>
        <w:t>Nature Sustainability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73">
        <w:r>
          <w:rPr>
            <w:color w:val="1155CC"/>
            <w:u w:val="single"/>
          </w:rPr>
          <w:t>A water-soluble binder for recyclable lithium-ion batteries</w:t>
        </w:r>
      </w:hyperlink>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The substantial growth in the market for lithium-ion batteries has created a huge challenge for their end-of-life management and demands sustainable solutions. Direct recycling is a promising choice due to its superior energy efficiency and environmental benefits, particularly the advantage in preserving the original chemistry and structure of the target materials. However, binders hold the active electrode materials and the current collectors tightly together, and their separation usually involves energy-intensive thermal treatment and environmentally hazardous chemicals. Here we present a water-soluble binder by crosslinking natural sericin protein with sulfuric acid through supramolecular interactions. The as-fabricated binder demonstrates comparable electrochemical performance with the most common polyvinylidene fluoride formulation, when applied to a typical LiNi1/3Co1/3Mn1/3O2 (NCM111) cathode. A 1.3-Ah pouch cell retained 85.0% of its initial capacity after 500 cycles. Equally importantly, after being soaked in water at 50 °C for less than 1 min, the NCM111 and graphite can be completely detached from the current collectors for recycling. By integrating the circular economy into the battery design, this work paves the way for the development of next-generation battery chemistries with enhanced sustainability.</w:t>
      </w:r>
    </w:p>
    <w:p>
      <w:pPr>
        <w:spacing w:before="120" w:after="120"/>
      </w:pPr>
      <w:r>
        <w:rPr>
          <w:sz w:val="18"/>
        </w:rPr>
        <w:t>——————————————————————————————————————————————————————————————————————</w:t>
      </w:r>
    </w:p>
    <w:p>
      <w:pPr>
        <w:spacing w:before="160" w:after="40" w:line="240" w:lineRule="auto"/>
      </w:pPr>
      <w:r>
        <w:rPr>
          <w:b/>
        </w:rPr>
        <w:t xml:space="preserve">[3] </w:t>
      </w:r>
      <w:hyperlink r:id="rId74">
        <w:r>
          <w:rPr>
            <w:color w:val="1155CC"/>
            <w:u w:val="single"/>
          </w:rPr>
          <w:t>Efficient Direct Recycling Strategy of Spent LiFePO4 Cathodes by Structural Defect Repair and Interface Construction</w:t>
        </w:r>
      </w:hyperlink>
    </w:p>
    <w:p>
      <w:pPr>
        <w:spacing w:before="0" w:after="120"/>
      </w:pPr>
      <w:r>
        <w:rPr>
          <w:b/>
        </w:rPr>
        <w:t xml:space="preserve">Source: </w:t>
      </w:r>
      <w:r>
        <w:t>Wiley: Advanced Materials: Table of Contents</w:t>
      </w:r>
      <w:r>
        <w:t xml:space="preserve"> </w:t>
      </w:r>
      <w:r>
        <w:rPr>
          <w:b/>
        </w:rPr>
        <w:t xml:space="preserve">Pub date: </w:t>
      </w:r>
      <w:r>
        <w:t>2026-02-24 12:45:48+00:00</w:t>
      </w:r>
      <w:r>
        <w:t xml:space="preserve"> </w:t>
      </w:r>
      <w:r>
        <w:rPr>
          <w:b/>
        </w:rPr>
        <w:t xml:space="preserve">DOI: </w:t>
      </w:r>
      <w:hyperlink r:id="rId75">
        <w:r>
          <w:rPr>
            <w:color w:val="1155CC"/>
            <w:u w:val="single"/>
          </w:rPr>
          <w:t>10.1002/adma.202521012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The increasing number of retired LiFePO4 batteries urgently requires efficient and environmentally friendly recycling methods. The primary causes of LiFePO4 battery failure can be attributed to lithium loss and the formation of Fe(III) phases. Therefore, the synergistic interaction between the green reagent citric acid (CA) and urea (UR) achieves low-temperature spontaneous defect repair and the construction of an N-doped carbon layer. Specifically, CA creates a reductive atmosphere that reduces Fe(III) to the Fe(II) phase, thereby eliminating Li-Fe anti-site defects. Meanwhile, the amino group (─NH2) in UR acts as a nitrogen source, enabling N-doping modification of the carbon layer on the surface of LiFePO4 particles. The formed N-doped carbon layer effectively improves the electronic conductivity and lithium-ion migration dynamics of regenerated LiFePO4 (R-LFP). Moreover, the strengthening of Fe-O and P─O bonds further increases the overall structural stability of R-LFP, resulting in its remarkable electrochemical performance. The R-LFP electrode material delivers 163 mAh/g specific capacity during the first discharge cycle at 0.1C and retains 93.5% of its initial capacity after 500 cycles at 1C. This economical and environmentally friendly recycling strategy provides a greatly promising solution for the sustainable recovery of lithium-ion batteries (LIBs).</w:t>
      </w:r>
    </w:p>
    <w:p>
      <w:pPr>
        <w:spacing w:before="120" w:after="120"/>
      </w:pPr>
      <w:r>
        <w:rPr>
          <w:sz w:val="18"/>
        </w:rPr>
        <w:t>——————————————————————————————————————————————————————————————————————</w:t>
      </w:r>
    </w:p>
    <w:p>
      <w:pPr>
        <w:spacing w:before="160" w:after="40" w:line="240" w:lineRule="auto"/>
      </w:pPr>
      <w:r>
        <w:rPr>
          <w:b/>
        </w:rPr>
        <w:t xml:space="preserve">[4] </w:t>
      </w:r>
      <w:hyperlink r:id="rId129">
        <w:r>
          <w:rPr>
            <w:color w:val="1155CC"/>
            <w:u w:val="single"/>
          </w:rPr>
          <w:t>Upcycling Spent Lithium Iron Phosphate Battery Into Fe‐CN3P Single Atom Catalyst for Environmental Remediation</w:t>
        </w:r>
      </w:hyperlink>
    </w:p>
    <w:p>
      <w:pPr>
        <w:spacing w:before="0" w:after="120"/>
      </w:pPr>
      <w:r>
        <w:rPr>
          <w:b/>
        </w:rPr>
        <w:t xml:space="preserve">Source: </w:t>
      </w:r>
      <w:r>
        <w:t>Wiley: Angewandte Chemie International Edition: Table of Contents</w:t>
      </w:r>
      <w:r>
        <w:t xml:space="preserve"> </w:t>
      </w:r>
      <w:r>
        <w:rPr>
          <w:b/>
        </w:rPr>
        <w:t xml:space="preserve">Pub date: </w:t>
      </w:r>
      <w:r>
        <w:t>2026-02-27 11:24:27+00:00</w:t>
      </w:r>
      <w:r>
        <w:t xml:space="preserve"> </w:t>
      </w:r>
      <w:r>
        <w:rPr>
          <w:b/>
        </w:rPr>
        <w:t xml:space="preserve">DOI: </w:t>
      </w:r>
      <w:hyperlink r:id="rId130">
        <w:r>
          <w:rPr>
            <w:color w:val="1155CC"/>
            <w:u w:val="single"/>
          </w:rPr>
          <w:t>10.1002/anie.2788872</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Increasing environmental pollution and shortage of critical resources call for technologies capable of achieving total resource recovery from waste materials. In this study, high leaching rates of 99.16% for lithium and 97.37% for iron were obtained from spent lithium iron phosphate (LFP) batteries through electrochemical (EC) advanced oxidation processes (EAOPs), and associated leaching mechanism was subsequently investigated. Moreover, residual C, Fe, and P elements in leach residue were directly converted into a P, N-doped asymmetric single-atom Fe catalyst (Fe-CN3P), enabled by well-dispersion of Fe elements and removal of surface passivation layers during leaching. When activated with peroxymonosulfate (PMS), Fe-CN3P catalyst exhibited a pseudo-first-order kinetic rate of 10.768 min-1 for bisphenol A (BPA) degradation, which is approximately 2-10 times higher than those of conventional single-atom catalysts. Based upon experimental and theoretical investigation, the presence of P in the local coordination environment was found to substantially enhance catalytic activity of Fe sites. P incorporation alters the adsorption mode of HSO5 - on Fe active centres and increases Bader charges in the FeIV═O reactive intermediate, thereby improving the capability of Fe to withdraw electrons from the BPA molecules. This study offers new perspectives for synergistically advancing "comprehensive resources recovery" and "waste to treat waste."</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31">
        <w:r>
          <w:rPr>
            <w:color w:val="1155CC"/>
            <w:u w:val="single"/>
          </w:rPr>
          <w:t>Technologies and prospects for compressed air energy storage</w:t>
        </w:r>
      </w:hyperlink>
    </w:p>
    <w:p>
      <w:pPr>
        <w:spacing w:before="0" w:after="120"/>
      </w:pPr>
      <w:r>
        <w:rPr>
          <w:b/>
        </w:rPr>
        <w:t xml:space="preserve">Source: </w:t>
      </w:r>
      <w:r>
        <w:t>Nature Reviews Clean Technology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Compressed air energy storage (CAES) can be used as long-duration storage for renewable energy-based grids. CAES systems use electrical energy to drive a compressor, and the stored compressed air can later be used to drive a turbine when electricity is needed. In this Review, we examine fundamental research, technological development, demonstrations and applications of CAES. Large-scale CAES facilities can store more than 300 MW of power, with round-trip efficiencies of 50–70%. Adapting CAES for non-dispatchable renewable electricity sources requires modifications to compressors and expanders to increase their operating pressure to improve efficiency under variable loading conditions. Compressed air can be stored in geological formations or artificial containers, with research focusing on increasing the pressure and/or temperature of the stored gas. The efficiency of CAES systems can be further increased by the integration of thermal energy storage, which captures and stores the heat from the compressor, later using it to heat the turbine inlet air temperature, reducing or removing the need for fossil fuels in system operation. By providing energy storage in the order of 10 h, CAES enables electricity storage beyond what is feasible for electrochemical battery storage alone, potentially increasing grid stability.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2">
        <w:r>
          <w:rPr>
            <w:color w:val="1155CC"/>
            <w:u w:val="single"/>
          </w:rPr>
          <w:t>Climate-driven load shifts and the optimal design of district heating and cooling systems: Planning energy supply for a warming century</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3">
        <w:r>
          <w:rPr>
            <w:color w:val="1155CC"/>
            <w:u w:val="single"/>
          </w:rPr>
          <w:t>The Antarctic coastal ocean heat budget is dominated by heat loss to land ice melt</w:t>
        </w:r>
      </w:hyperlink>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134">
        <w:r>
          <w:rPr>
            <w:color w:val="1155CC"/>
            <w:u w:val="single"/>
          </w:rPr>
          <w:t>10.1126/sciadv.aec7443</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Transport of warm Circumpolar Deep Water (CDW) across the Antarctic continental shelf break is the primary source of heat to Antarctica’s marginal seas. Net heat supplied by CDW is ultimately lost to: (i) the ocean surface, either to the atmosphere or sea ice, or (ii) the ice sheet, by melting the base of ice shelves and calved icebergs. Ocean models often neglect the heat exchange needed to melt ice shelves and icebergs. Simulations presented here indicate that this omits the largest ocean heat sink on the Antarctic continental shelf, representing 60% of heat supplied across the shelf break. Suppressing this heat sink in simulations drives enhanced heat loss to the atmosphere through thinned sea ice cover as well as nonlocal reductions in heat supply to the continental shelf via sea ice–mediated stratification changes. These results highlight a source of climate model bias and clarify the dynamics of heat transport to Antarctic ice shelves.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35">
        <w:r>
          <w:rPr>
            <w:color w:val="1155CC"/>
            <w:u w:val="single"/>
          </w:rPr>
          <w:t>Scientists must step up to avert a nuclear breakout</w:t>
        </w:r>
      </w:hyperlink>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6">
        <w:r>
          <w:rPr>
            <w:color w:val="1155CC"/>
            <w:u w:val="single"/>
          </w:rPr>
          <w:t>Nuclear weapons testing is harmful — there’s no case for a restart</w:t>
        </w:r>
      </w:hyperlink>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7">
        <w:r>
          <w:rPr>
            <w:color w:val="1155CC"/>
            <w:u w:val="single"/>
          </w:rPr>
          <w:t>Alleged Chinese nuclear blast may reignite testing</w:t>
        </w:r>
      </w:hyperlink>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138">
        <w:r>
          <w:rPr>
            <w:color w:val="1155CC"/>
            <w:u w:val="single"/>
          </w:rPr>
          <w:t>10.1126/science.aeg7162</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As new global arms race looms, accusation highlights limits to monitoring low-yield tests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39">
        <w:r>
          <w:rPr>
            <w:color w:val="1155CC"/>
            <w:u w:val="single"/>
          </w:rPr>
          <w:t>Corrigendum to “Support mechanisms for low-carbon hydrogen: The risks of segmenting a commodity market” [Energy Policy 202 art 114605 DOI 10.1016/j.enpol.2025.114605]</w:t>
        </w:r>
      </w:hyperlink>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0">
        <w:r>
          <w:rPr>
            <w:color w:val="1155CC"/>
            <w:u w:val="single"/>
          </w:rPr>
          <w:t>Electricity-driven CO2 and biomass conversion toward formic acid/formate: microenvironment regulation, hydrogen storage potential, and sustainability assessment</w:t>
        </w:r>
      </w:hyperlink>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Formic acid (FA)/formate (FM) is widely recognized as an important energy carrier and high-value chemical. Through electrocatalysis, abundant carbon sources such as CO2 and biomass can be converted into FA or FM, enabling the valorization of feedstocks into high-value chemicals via a promising approach toward eco-friendly and sustainable development. This review elucidates recent milestones and emerging trends in FA/FM production via CO2 electroreduction and biomass electrooxidation, with a particular emphasis on microenvironment regulation. The intrinsic mechanisms underlying the effects of key factors on activity, selectivity, and energy efficiency are elucidated. In addition, environmental impact, hydrogen-storage capabilities, techno-economic analysis, and life cycle assessment are discussed in detail. Finally, future research directions and optimization strategies are proposed, focusing on feedstock pretreatment, catalyst engineering, and membrane–electrode integration. More importantly, this review also discusses CO2–organic paired electrolysis, proposing several solutions to fundamental constraints. Overall, this review aims to provide systematic guidance for three electrocatalytic pathways toward FA/FM—CO2 reduction, biomass oxidation, and their paired electrolysis—highlighting the pivotal role of microenvironment engineering in electrocatalyst design and reaction optimization, thereby delivering scientific insights to support green energy utilization and sustainable chemical manufacturing.</w:t>
      </w:r>
    </w:p>
    <w:p>
      <w:pPr>
        <w:spacing w:before="120" w:after="120"/>
      </w:pPr>
      <w:r>
        <w:rPr>
          <w:sz w:val="18"/>
        </w:rPr>
        <w:t>——————————————————————————————————————————————————————————————————————</w:t>
      </w:r>
    </w:p>
    <w:p>
      <w:pPr>
        <w:spacing w:before="160" w:after="40" w:line="240" w:lineRule="auto"/>
      </w:pPr>
      <w:r>
        <w:rPr>
          <w:b/>
        </w:rPr>
        <w:t xml:space="preserve">[3] </w:t>
      </w:r>
      <w:hyperlink r:id="rId141">
        <w:r>
          <w:rPr>
            <w:color w:val="1155CC"/>
            <w:u w:val="single"/>
          </w:rPr>
          <w:t>EU leaders should not rush to revamp green-hydrogen rules</w:t>
        </w:r>
      </w:hyperlink>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2">
        <w:r>
          <w:rPr>
            <w:color w:val="1155CC"/>
            <w:u w:val="single"/>
          </w:rPr>
          <w:t>Energy-system optimization for hydrogen-based green steel production from medium-grade iron ore</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3">
        <w:r>
          <w:rPr>
            <w:color w:val="1155CC"/>
            <w:u w:val="single"/>
          </w:rPr>
          <w:t>Modelling UK air quality implications of decarbonisation using hydrogen</w:t>
        </w:r>
      </w:hyperlink>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4">
        <w:r>
          <w:rPr>
            <w:color w:val="1155CC"/>
            <w:u w:val="single"/>
          </w:rPr>
          <w:t>Superstructure optimization reveals novel cost-optimal power-to-methanol pathways using hybrid solid oxide electrolysis cells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5">
        <w:r>
          <w:rPr>
            <w:color w:val="1155CC"/>
            <w:u w:val="single"/>
          </w:rPr>
          <w:t>Biogas-to-methane conversion via sorption-enhanced methanation: experimental evaluation of reactor configuration strategies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6">
        <w:r>
          <w:rPr>
            <w:color w:val="1155CC"/>
            <w:u w:val="single"/>
          </w:rPr>
          <w:t>Biomimetic flow guiding electrode design for high-efficiency seawater electrolysis: Overcoming salt precipitation challenges</w:t>
        </w:r>
      </w:hyperlink>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Seawater electrolysis is plagued by sluggish cathodic bubble detachment and active site blocking induced by Mg2+/Ca2+ precipitation. Inspired by desert beetles and cactus spines, a biomimetic wedge-structured electrode facilitates salt rejection and directional gas transport, achieving efficient and durable H2 production at approximately $1.7/kg of H2, which is below the US Department of Energy’s 2030 target of $2/kg of H2.</w:t>
      </w:r>
    </w:p>
    <w:p>
      <w:pPr>
        <w:spacing w:before="120" w:after="120"/>
      </w:pPr>
      <w:r>
        <w:rPr>
          <w:sz w:val="18"/>
        </w:rPr>
        <w:t>——————————————————————————————————————————————————————————————————————</w:t>
      </w:r>
    </w:p>
    <w:p>
      <w:pPr>
        <w:spacing w:before="160" w:after="40" w:line="240" w:lineRule="auto"/>
      </w:pPr>
      <w:r>
        <w:rPr>
          <w:b/>
        </w:rPr>
        <w:t xml:space="preserve">[9] </w:t>
      </w:r>
      <w:hyperlink r:id="rId147">
        <w:r>
          <w:rPr>
            <w:color w:val="1155CC"/>
            <w:u w:val="single"/>
          </w:rPr>
          <w:t>Local Hollandite Phase Inducing Oxygen Path Mechanism Enables Durable PEM Electrolysis</w:t>
        </w:r>
      </w:hyperlink>
    </w:p>
    <w:p>
      <w:pPr>
        <w:spacing w:before="0" w:after="120"/>
      </w:pPr>
      <w:r>
        <w:rPr>
          <w:b/>
        </w:rPr>
        <w:t xml:space="preserve">Source: </w:t>
      </w:r>
      <w:r>
        <w:t>Wiley: Advanced Materials: Table of Contents</w:t>
      </w:r>
      <w:r>
        <w:t xml:space="preserve"> </w:t>
      </w:r>
      <w:r>
        <w:rPr>
          <w:b/>
        </w:rPr>
        <w:t xml:space="preserve">Pub date: </w:t>
      </w:r>
      <w:r>
        <w:t>2026-02-25 13:34:38+00:00</w:t>
      </w:r>
      <w:r>
        <w:t xml:space="preserve"> </w:t>
      </w:r>
      <w:r>
        <w:rPr>
          <w:b/>
        </w:rPr>
        <w:t xml:space="preserve">DOI: </w:t>
      </w:r>
      <w:hyperlink r:id="rId148">
        <w:r>
          <w:rPr>
            <w:color w:val="1155CC"/>
            <w:u w:val="single"/>
          </w:rPr>
          <w:t>10.1002/adma.202521163</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Large-scale proton-exchange-membrane water electrolyzers (PEMWEs) are urgently needed for green hydrogen production, however, their development is largely hindered by the use of high-loading iridium in the anode. While amorphous IrOx catalysts with high activity exist, they typically follow either the lattice oxygen mechanism compromising stability, or the adsorbate evolution mechanism suffering from a high overpotential limit. Oxide path mechanism (OPM) offers a promising alternative by enabling direct *O─*O coupling, but its activation in the pure IrOx system remains challenging given the long distance between adjacent Ir atoms. Herein, we report a class of (La)IrOx porous amorphous catalyst with OPM pathway, featuring local unconventional hollandite phase and abundant water molecules inside its lattice tunnels. We demonstrate that such a unique short-range ordered structure can induce shortened Ir-Iredge distance and highly-active Ir≥5+ species, both contributing to desirable OPM for greatly enhanced catalytic performances. The as-assembled PEMWE achieves a cell voltage of 1.62 V at 1 A cm-2 with a low loading of 0.2 mgIr cm-2, and can operate stably over 500 h at industry-level current density. The accelerated stress test further validates its durability advantage at even lower 0.1 mgIr cm-2 loading, which validates its potential as a viable anode solution for durable low-iridium PEMWEs.</w:t>
      </w:r>
    </w:p>
    <w:p>
      <w:pPr>
        <w:spacing w:before="120" w:after="120"/>
      </w:pPr>
      <w:r>
        <w:rPr>
          <w:sz w:val="18"/>
        </w:rPr>
        <w:t>——————————————————————————————————————————————————————————————————————</w:t>
      </w:r>
    </w:p>
    <w:p>
      <w:pPr>
        <w:spacing w:before="160" w:after="40" w:line="240" w:lineRule="auto"/>
      </w:pPr>
      <w:r>
        <w:rPr>
          <w:b/>
        </w:rPr>
        <w:t xml:space="preserve">[10] </w:t>
      </w:r>
      <w:hyperlink r:id="rId149">
        <w:r>
          <w:rPr>
            <w:color w:val="1155CC"/>
            <w:u w:val="single"/>
          </w:rPr>
          <w:t>Low-cost hydrogen production: Techno-economic analysis of high-temperature porous electrode membraneless electrolysis</w:t>
        </w:r>
      </w:hyperlink>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50">
        <w:r>
          <w:rPr>
            <w:color w:val="1155CC"/>
            <w:u w:val="single"/>
          </w:rPr>
          <w:t>Proton–electron temporal asynchrony on femtosecond timescales enables anti-corrosive low-iridium anodes for PEM electrolysers</w:t>
        </w:r>
      </w:hyperlink>
    </w:p>
    <w:p>
      <w:pPr>
        <w:spacing w:before="0" w:after="120"/>
      </w:pPr>
      <w:r>
        <w:rPr>
          <w:b/>
        </w:rPr>
        <w:t xml:space="preserve">Source: </w:t>
      </w:r>
      <w:r>
        <w:t>Nature Nanotechnology</w:t>
      </w:r>
      <w:r>
        <w:t xml:space="preserve"> </w:t>
      </w:r>
      <w:r>
        <w:rPr>
          <w:b/>
        </w:rPr>
        <w:t xml:space="preserve">Pub date: </w:t>
      </w:r>
      <w:r>
        <w:t>2026-02-27 00:00:00+00:00</w:t>
      </w:r>
      <w:r>
        <w:t xml:space="preserve"> </w:t>
      </w:r>
      <w:r>
        <w:rPr>
          <w:b/>
        </w:rPr>
        <w:t xml:space="preserve">DOI: </w:t>
      </w:r>
      <w:hyperlink r:id="rId151">
        <w:r>
          <w:rPr>
            <w:color w:val="1155CC"/>
            <w:u w:val="single"/>
          </w:rPr>
          <w:t>10.1038/s41565-026-02136-x</w:t>
        </w:r>
      </w:hyperlink>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The development of corrosion-resistant low-iridium anode catalysts is the key challenge in proton exchange membrane water electrolysis. However, the fundamental origin of anodic corrosion has been intensely debated over the years, mainly because of the limited mechanistic understanding of the complex proton-coupled electron transfer process. In this work, we employed femtosecond electrochemical transient absorption spectroscopy to probe the spatial–temporal synchronization of protons and electrons during the elementary proton-coupled electron transfer step at the femtosecond (10−15 s) timescale. Here we show that anodic corrosion is initiated within 100 fs after polarization startup, driven by synchronized protons and electrons coupling at the electrode surface. By introducing a Lewis acid (CeO2) as a proton channel, the reaction dynamics of protons and electrons could be decoupled into temporal asynchrony to prevent the generation of soluble Ir6+ species. Owing to this unique desynchronized proton–electron interaction, the CeO2–IrO2 catalyst demonstrates outstanding stability for about 1,400 h of continuous operation.</w:t>
      </w:r>
    </w:p>
    <w:p>
      <w:pPr>
        <w:spacing w:before="120" w:after="120"/>
      </w:pPr>
      <w:r>
        <w:rPr>
          <w:sz w:val="18"/>
        </w:rPr>
        <w:t>——————————————————————————————————————————————————————————————————————</w:t>
      </w:r>
    </w:p>
    <w:p>
      <w:pPr>
        <w:spacing w:before="160" w:after="40" w:line="240" w:lineRule="auto"/>
      </w:pPr>
      <w:r>
        <w:rPr>
          <w:b/>
        </w:rPr>
        <w:t xml:space="preserve">[12] </w:t>
      </w:r>
      <w:hyperlink r:id="rId152">
        <w:r>
          <w:rPr>
            <w:color w:val="1155CC"/>
            <w:u w:val="single"/>
          </w:rPr>
          <w:t>Unlocking Multi-Stage Flexibility Enables Cost-Competitive Hydrogen-Based Steelmaking in China</w:t>
        </w:r>
      </w:hyperlink>
    </w:p>
    <w:p>
      <w:pPr>
        <w:spacing w:before="0" w:after="120"/>
      </w:pPr>
      <w:r>
        <w:rPr>
          <w:b/>
        </w:rPr>
        <w:t xml:space="preserve">Source: </w:t>
      </w:r>
      <w:r>
        <w:t>RSC - Energy Environ. Sci.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Addressing climate change requires decarbonizing the iron and steel industry, which accounts for about 7% of global CO₂ emissions. Hydrogen-based direct reduced iron with electric arc furnaces (H₂-DRI-EAF) emerges as a promising pathway, yet its economic viability hinges on effectively managing the variability of renewable energy. However, heterogeneous flexibility potentials across electricity, hydrogen, iron, and steel production, together with the distinct characteristics of intermediate product storage, make coordinated capacity investment highly complex. This study develops a system-level modeling framework for renewable-centric, multi-stage H₂-DRI-EAF that jointly optimizes capacity sizing and flexible operations across production stages under flexibility strategies in representative Chinese steelmaking cities. We find that fully deploying flexibility across all production stages could reduce the levelized cost of steel (LCOS) by 6–10% relative to baseline configurations relying on flexible electrolysis alone. By 2035, flexible H₂-DRI-EAF can achieve near cost parity with conventional steelmaking under moderate carbon pricing ($38 t⁻¹ CO₂) and 50% low-cost scrap addition. Flexibility systematically alters investment patterns through significantly reducing the required capacities of solar and energy storage while moderately inducing differentiated overcapacity in electrolyzers, DRI furnaces, and EAFs. For a 1 Mt yr⁻¹ H₂-DRI-EAF plant, renewable deployment exceeds 100 km²; a PV-only configuration halves the land footprint but raises LCOS by $5–64 t⁻¹. This study provides quantitative insights to support the scalable deployment of green steel pathways under high renewable penetration.</w:t>
      </w:r>
    </w:p>
    <w:p>
      <w:pPr>
        <w:spacing w:before="120" w:after="120"/>
      </w:pPr>
      <w:r>
        <w:rPr>
          <w:sz w:val="18"/>
        </w:rPr>
        <w:t>——————————————————————————————————————————————————————————————————————</w:t>
      </w:r>
    </w:p>
    <w:p>
      <w:pPr>
        <w:spacing w:before="160" w:after="40" w:line="240" w:lineRule="auto"/>
      </w:pPr>
      <w:r>
        <w:rPr>
          <w:b/>
        </w:rPr>
        <w:t xml:space="preserve">[13] </w:t>
      </w:r>
      <w:hyperlink r:id="rId153">
        <w:r>
          <w:rPr>
            <w:color w:val="1155CC"/>
            <w:u w:val="single"/>
          </w:rPr>
          <w:t>A hybrid centralized-distributed green ammonia system for cost-effective decarbonization of China's nitrogen fertilizer production</w:t>
        </w:r>
      </w:hyperlink>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54">
        <w:r>
          <w:rPr>
            <w:color w:val="1155CC"/>
            <w:u w:val="single"/>
          </w:rPr>
          <w:t>High-quality hydrogen peroxide production through electrochemical reduction of anthraquinone in ambient environment</w:t>
        </w:r>
      </w:hyperlink>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155">
        <w:r>
          <w:rPr>
            <w:color w:val="1155CC"/>
            <w:u w:val="single"/>
          </w:rPr>
          <w:t>10.1126/sciadv.ady6378</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At present, the traditional anthraquinone method is the main method for producing high-quality and high-concentration H</w:t>
      </w:r>
      <w:r>
        <w:rPr>
          <w:vertAlign w:val="subscript"/>
        </w:rPr>
        <w:t>2</w:t>
      </w:r>
      <w:r>
        <w:t>O</w:t>
      </w:r>
      <w:r>
        <w:rPr>
          <w:vertAlign w:val="subscript"/>
        </w:rPr>
        <w:t>2</w:t>
      </w:r>
      <w:r>
        <w:t>, but it involves the use of H</w:t>
      </w:r>
      <w:r>
        <w:rPr>
          <w:vertAlign w:val="subscript"/>
        </w:rPr>
        <w:t>2</w:t>
      </w:r>
      <w:r>
        <w:t>, resulting in high carbon emissions and certain risks. The double-electron oxygen reduction reaction has become a more environmentally friendly alternative method for producing H</w:t>
      </w:r>
      <w:r>
        <w:rPr>
          <w:vertAlign w:val="subscript"/>
        </w:rPr>
        <w:t>2</w:t>
      </w:r>
      <w:r>
        <w:t>O</w:t>
      </w:r>
      <w:r>
        <w:rPr>
          <w:vertAlign w:val="subscript"/>
        </w:rPr>
        <w:t>2</w:t>
      </w:r>
      <w:r>
        <w:t>. However, at high overpotentials, the production and conversion rates of H</w:t>
      </w:r>
      <w:r>
        <w:rPr>
          <w:vertAlign w:val="subscript"/>
        </w:rPr>
        <w:t>2</w:t>
      </w:r>
      <w:r>
        <w:t>O</w:t>
      </w:r>
      <w:r>
        <w:rPr>
          <w:vertAlign w:val="subscript"/>
        </w:rPr>
        <w:t>2</w:t>
      </w:r>
      <w:r>
        <w:t>are still limited. Here, we report an electrochemical method that can convert H</w:t>
      </w:r>
      <w:r>
        <w:rPr>
          <w:vertAlign w:val="subscript"/>
        </w:rPr>
        <w:t>2</w:t>
      </w:r>
      <w:r>
        <w:t>O and formaldehyde into high-concentration H</w:t>
      </w:r>
      <w:r>
        <w:rPr>
          <w:vertAlign w:val="subscript"/>
        </w:rPr>
        <w:t>2</w:t>
      </w:r>
      <w:r>
        <w:t>O</w:t>
      </w:r>
      <w:r>
        <w:rPr>
          <w:vertAlign w:val="subscript"/>
        </w:rPr>
        <w:t>2</w:t>
      </w:r>
      <w:r>
        <w:t>and high-value formate salts with high product purity under environmental conditions. At a current density of 30 milliamperes per square centimeter, continuous operation for 5 hours can produce 6.522% (m/v) H</w:t>
      </w:r>
      <w:r>
        <w:rPr>
          <w:vertAlign w:val="subscript"/>
        </w:rPr>
        <w:t>2</w:t>
      </w:r>
      <w:r>
        <w:t>O</w:t>
      </w:r>
      <w:r>
        <w:rPr>
          <w:vertAlign w:val="subscript"/>
        </w:rPr>
        <w:t>2</w:t>
      </w:r>
      <w:r>
        <w:t>, and the product does not contain acid, alkali, or excessive impurities. Faraday efficiency reaches 83%. The chronopotentiometry method shows stable current performance of the electrode after 360 hours of operation. This low-carbon, safe, and sustainable approach provides a promising alternative to traditional H</w:t>
      </w:r>
      <w:r>
        <w:rPr>
          <w:vertAlign w:val="subscript"/>
        </w:rPr>
        <w:t>2</w:t>
      </w:r>
      <w:r>
        <w:t>O</w:t>
      </w:r>
      <w:r>
        <w:rPr>
          <w:vertAlign w:val="subscript"/>
        </w:rPr>
        <w:t>2</w:t>
      </w:r>
      <w:r>
        <w:t>production.</w:t>
      </w:r>
    </w:p>
    <w:p>
      <w:pPr>
        <w:spacing w:before="120" w:after="120"/>
      </w:pPr>
      <w:r>
        <w:rPr>
          <w:sz w:val="18"/>
        </w:rPr>
        <w:t>——————————————————————————————————————————————————————————————————————</w:t>
      </w:r>
    </w:p>
    <w:p>
      <w:pPr>
        <w:spacing w:before="160" w:after="40" w:line="240" w:lineRule="auto"/>
      </w:pPr>
      <w:r>
        <w:rPr>
          <w:b/>
        </w:rPr>
        <w:t xml:space="preserve">[15] </w:t>
      </w:r>
      <w:hyperlink r:id="rId156">
        <w:r>
          <w:rPr>
            <w:color w:val="1155CC"/>
            <w:u w:val="single"/>
          </w:rPr>
          <w:t>Quasi‐Chimney Electrode Boosts Hydrogen Evolution Reaction via Polarized Laplace Pressure</w:t>
        </w:r>
      </w:hyperlink>
    </w:p>
    <w:p>
      <w:pPr>
        <w:spacing w:before="0" w:after="120"/>
      </w:pPr>
      <w:r>
        <w:rPr>
          <w:b/>
        </w:rPr>
        <w:t xml:space="preserve">Source: </w:t>
      </w:r>
      <w:r>
        <w:t>Wiley: Advanced Materials: Table of Contents</w:t>
      </w:r>
      <w:r>
        <w:t xml:space="preserve"> </w:t>
      </w:r>
      <w:r>
        <w:rPr>
          <w:b/>
        </w:rPr>
        <w:t xml:space="preserve">Pub date: </w:t>
      </w:r>
      <w:r>
        <w:t>2026-02-28 09:39:23+00:00</w:t>
      </w:r>
      <w:r>
        <w:t xml:space="preserve"> </w:t>
      </w:r>
      <w:r>
        <w:rPr>
          <w:b/>
        </w:rPr>
        <w:t xml:space="preserve">DOI: </w:t>
      </w:r>
      <w:hyperlink r:id="rId157">
        <w:r>
          <w:rPr>
            <w:color w:val="1155CC"/>
            <w:u w:val="single"/>
          </w:rPr>
          <w:t>10.1002/adma.72666</w:t>
        </w:r>
      </w:hyperlink>
    </w:p>
    <w:p>
      <w:pPr>
        <w:spacing w:before="0" w:after="120"/>
      </w:pPr>
      <w:r>
        <w:rPr>
          <w:b/>
        </w:rPr>
        <w:t xml:space="preserve">Notes: </w:t>
      </w:r>
      <w:r>
        <w:t>abstract_source=pubmed</w:t>
      </w:r>
    </w:p>
    <w:p>
      <w:pPr>
        <w:spacing w:before="0" w:after="80" w:lineRule="auto" w:line="276"/>
      </w:pPr>
      <w:r>
        <w:rPr>
          <w:b/>
        </w:rPr>
        <w:t xml:space="preserve">摘要（ZH）: </w:t>
      </w:r>
      <w:r>
        <w:t>(empty)</w:t>
      </w:r>
    </w:p>
    <w:p>
      <w:pPr>
        <w:spacing w:before="0" w:after="200" w:lineRule="auto" w:line="276"/>
      </w:pPr>
      <w:r>
        <w:rPr>
          <w:b/>
        </w:rPr>
        <w:t xml:space="preserve">Abstract (EN): </w:t>
      </w:r>
      <w:r>
        <w:t>The effect of mass transfer on hydrogen evolution reaction (HER) is significantly underestimated under high-current-density conditions. Here, we designed a quasi-chimney electrode by integrating 3D superaerophilic microchannels with superaerophobic Pt catalysts to elucidate the influence of mass transfer on HER. Upon encountering superaerophilic channels, hydrogen (H2) bubbles generated on Pt catalysts experience Laplace pressure polarization at the bubble/channel interface, which drives both surface and internal bubbles from the superaerophobic catalytic sites into the superaerophilic network, functioning as a micro-chimney for efficient bubble transport. In addition, the superaerophilic channels shorten the diffusion path of dissolved H2 to the air/water interface, thereby reducing the dissolved H2 concentration. This mass-transfer enhancement yields an exceptional HER performance (a record-low overpotential of about -30 mV at -100 mA cm-2, and a high current density of -2.93 A cm-2 at -0.3 V vs RHE in H2SO4 (0.5 M) along with remarkable durability, confirmed by &lt;5% activity decay at -1000 and -2000 mA cm-2 for 160 h. The proposed quasi-chimney design, which is also applicable to various catalysts, results in an 8- and 14-times increase in current density for Cu-Co and Cu-Mo catalysts, at an overpotential of -500 mV compared with their superaerophobic electrode structures.</w:t>
      </w:r>
    </w:p>
    <w:p>
      <w:pPr>
        <w:spacing w:before="120" w:after="120"/>
      </w:pPr>
      <w:r>
        <w:rPr>
          <w:sz w:val="18"/>
        </w:rPr>
        <w:t>——————————————————————————————————————————————————————————————————————</w:t>
      </w:r>
    </w:p>
    <w:p>
      <w:pPr>
        <w:spacing w:before="160" w:after="40" w:line="240" w:lineRule="auto"/>
      </w:pPr>
      <w:r>
        <w:rPr>
          <w:b/>
        </w:rPr>
        <w:t xml:space="preserve">[16] </w:t>
      </w:r>
      <w:hyperlink r:id="rId158">
        <w:r>
          <w:rPr>
            <w:color w:val="1155CC"/>
            <w:u w:val="single"/>
          </w:rPr>
          <w:t>Nanoconfined Multi‐Scale Metal Catalysts: Confinement‐Induced Geometric, Electronic, and Microenvironment Regulation for Selective Multi‑Electron CO2 Reduction</w:t>
        </w:r>
      </w:hyperlink>
    </w:p>
    <w:p>
      <w:pPr>
        <w:spacing w:before="0" w:after="120"/>
      </w:pPr>
      <w:r>
        <w:rPr>
          <w:b/>
        </w:rPr>
        <w:t xml:space="preserve">Source: </w:t>
      </w:r>
      <w:r>
        <w:t>Wiley: Advanced Energy Materials: Table of Contents</w:t>
      </w:r>
      <w:r>
        <w:t xml:space="preserve"> </w:t>
      </w:r>
      <w:r>
        <w:rPr>
          <w:b/>
        </w:rPr>
        <w:t xml:space="preserve">Pub date: </w:t>
      </w:r>
      <w:r>
        <w:t>2026-02-28 12:00:17+00:00</w:t>
      </w:r>
      <w:r>
        <w:t xml:space="preserve"> </w:t>
      </w:r>
      <w:r>
        <w:rPr>
          <w:b/>
        </w:rPr>
        <w:t xml:space="preserve">DOI: </w:t>
      </w:r>
      <w:hyperlink r:id="rId159">
        <w:r>
          <w:rPr>
            <w:color w:val="1155CC"/>
            <w:u w:val="single"/>
          </w:rPr>
          <w:t>10.1002/aenm.70795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60">
        <w:r>
          <w:rPr>
            <w:color w:val="1155CC"/>
            <w:u w:val="single"/>
          </w:rPr>
          <w:t>Economic feasibility and political risk of an e-methanol trade route between Côte d'Ivoire and Germany</w:t>
        </w:r>
      </w:hyperlink>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72">
        <w:r>
          <w:rPr>
            <w:color w:val="1155CC"/>
            <w:u w:val="single"/>
          </w:rPr>
          <w:t>Degradation-aware scheduling and thermal management of solar–battery-powered alkaline water electrolysis systems</w:t>
        </w:r>
      </w:hyperlink>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61">
        <w:r>
          <w:rPr>
            <w:color w:val="1155CC"/>
            <w:u w:val="single"/>
          </w:rPr>
          <w:t>Enhancing industrial energy efficiency: Strategies, barriers and opportunities in the context of electricity supply challenges</w:t>
        </w:r>
      </w:hyperlink>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2">
        <w:r>
          <w:rPr>
            <w:color w:val="1155CC"/>
            <w:u w:val="single"/>
          </w:rPr>
          <w:t>We need a global assessment of avoidable climate-change risks</w:t>
        </w:r>
      </w:hyperlink>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2">
        <w:r>
          <w:rPr>
            <w:color w:val="1155CC"/>
            <w:u w:val="single"/>
          </w:rPr>
          <w:t>Energy-system optimization for hydrogen-based green steel production from medium-grade iron ore</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3">
        <w:r>
          <w:rPr>
            <w:color w:val="1155CC"/>
            <w:u w:val="single"/>
          </w:rPr>
          <w:t>Millennial land carbon emissions in China offset by carbon sinks of the past four decades</w:t>
        </w:r>
      </w:hyperlink>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(empty)</w:t>
      </w:r>
    </w:p>
    <w:p>
      <w:pPr>
        <w:spacing w:before="0" w:after="200" w:lineRule="auto" w:line="276"/>
      </w:pPr>
      <w:r>
        <w:rPr>
          <w:b/>
        </w:rPr>
        <w:t xml:space="preserve">Abstract (EN): </w:t>
      </w:r>
      <w:r>
        <w:t>China experienced substantial millennial-scale climate and anthropogenic land use changes, yet their combined impacts on land carbon dynamics remain largely unexamined. Here, we quantify spatiotemporal changes in terrestrial organic carbon over 851–2022 using a land surface model driven by reconstructed climate and land cover forcings. Simulated results show China’s pre-industrial millennial land carbon dynamics aligned with global carbon stock and atmospheric CO2 fluctuations, such as the ~284 ppm peak in the 12th century linked to land use during the Medieval Climate Anomaly-warmed Song Dynasty. Notably, China’s total land carbon emissions (13 ± 0.5 PgC) accounted for 22% of global land carbon emissions during 1700–1900, with Northeast and Southwest China experiencing the largest historical land carbon losses from intensive deforestation. Nevertheless, the 17.0 ± 1.7 PgC emissions during 851–1980 were fully offset by rapid carbon sinks over 1980–2022, driven by CO2 fertilization and large-scale afforestation. These findings provide insights into China’s historical land carbon dynamics, their underlying drivers, and global implications.</w:t>
      </w:r>
    </w:p>
    <w:p>
      <w:pPr>
        <w:spacing w:before="120" w:after="120"/>
      </w:pPr>
      <w:r>
        <w:rPr>
          <w:sz w:val="18"/>
        </w:rPr>
        <w:t>——————————————————————————————————————————————————————————————————————</w:t>
      </w:r>
    </w:p>
    <w:p>
      <w:pPr>
        <w:spacing w:before="160" w:after="40" w:line="240" w:lineRule="auto"/>
      </w:pPr>
      <w:r>
        <w:rPr>
          <w:b/>
        </w:rPr>
        <w:t xml:space="preserve">[5] </w:t>
      </w:r>
      <w:hyperlink r:id="rId164">
        <w:r>
          <w:rPr>
            <w:color w:val="1155CC"/>
            <w:u w:val="single"/>
          </w:rPr>
          <w:t>Why Biden-era clean energy investment policies had limited political returns</w:t>
        </w:r>
      </w:hyperlink>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165">
        <w:r>
          <w:rPr>
            <w:color w:val="1155CC"/>
            <w:u w:val="single"/>
          </w:rPr>
          <w:t>10.1073/pnas.2526802123</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The Biden Administration enacted the largest federal policy framework to incentivize clean energy and decarbonization in U.S. history. We examine whether Biden-era green investments produced political returns by affecting public opinion. Using geolocated survey data linked to investment records and a database of company and politician statements, we assess project visibility and credit attribution. People closer to new renewable energy and green manufacturing facilities are more likely to notice these investments but are not more likely to credit the Biden Administration. Instead, the public sees governors as most responsible. This credit allocation pattern aligns with the political message environment: Governors more frequently claim credit than the White House and companies spread recognition broadly across political actors. This fragmented information environment illustrates the limits of using less traceable forms of green spending to generate electoral gains and public support for climate policy.</w:t>
      </w:r>
    </w:p>
    <w:p>
      <w:pPr>
        <w:spacing w:before="120" w:after="120"/>
      </w:pPr>
      <w:r>
        <w:rPr>
          <w:sz w:val="18"/>
        </w:rPr>
        <w:t>——————————————————————————————————————————————————————————————————————</w:t>
      </w:r>
    </w:p>
    <w:p>
      <w:pPr>
        <w:spacing w:before="160" w:after="40" w:line="240" w:lineRule="auto"/>
      </w:pPr>
      <w:r>
        <w:rPr>
          <w:b/>
        </w:rPr>
        <w:t xml:space="preserve">[6] </w:t>
      </w:r>
      <w:hyperlink r:id="rId152">
        <w:r>
          <w:rPr>
            <w:color w:val="1155CC"/>
            <w:u w:val="single"/>
          </w:rPr>
          <w:t>Unlocking Multi-Stage Flexibility Enables Cost-Competitive Hydrogen-Based Steelmaking in China</w:t>
        </w:r>
      </w:hyperlink>
    </w:p>
    <w:p>
      <w:pPr>
        <w:spacing w:before="0" w:after="120"/>
      </w:pPr>
      <w:r>
        <w:rPr>
          <w:b/>
        </w:rPr>
        <w:t xml:space="preserve">Source: </w:t>
      </w:r>
      <w:r>
        <w:t>RSC - Energy Environ. Sci.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Addressing climate change requires decarbonizing the iron and steel industry, which accounts for about 7% of global CO₂ emissions. Hydrogen-based direct reduced iron with electric arc furnaces (H₂-DRI-EAF) emerges as a promising pathway, yet its economic viability hinges on effectively managing the variability of renewable energy. However, heterogeneous flexibility potentials across electricity, hydrogen, iron, and steel production, together with the distinct characteristics of intermediate product storage, make coordinated capacity investment highly complex. This study develops a system-level modeling framework for renewable-centric, multi-stage H₂-DRI-EAF that jointly optimizes capacity sizing and flexible operations across production stages under flexibility strategies in representative Chinese steelmaking cities. We find that fully deploying flexibility across all production stages could reduce the levelized cost of steel (LCOS) by 6–10% relative to baseline configurations relying on flexible electrolysis alone. By 2035, flexible H₂-DRI-EAF can achieve near cost parity with conventional steelmaking under moderate carbon pricing ($38 t⁻¹ CO₂) and 50% low-cost scrap addition. Flexibility systematically alters investment patterns through significantly reducing the required capacities of solar and energy storage while moderately inducing differentiated overcapacity in electrolyzers, DRI furnaces, and EAFs. For a 1 Mt yr⁻¹ H₂-DRI-EAF plant, renewable deployment exceeds 100 km²; a PV-only configuration halves the land footprint but raises LCOS by $5–64 t⁻¹. This study provides quantitative insights to support the scalable deployment of green steel pathways under high renewable penetration.</w:t>
      </w:r>
    </w:p>
    <w:p>
      <w:pPr>
        <w:spacing w:before="120" w:after="120"/>
      </w:pPr>
      <w:r>
        <w:rPr>
          <w:sz w:val="18"/>
        </w:rPr>
        <w:t>——————————————————————————————————————————————————————————————————————</w:t>
      </w:r>
    </w:p>
    <w:p>
      <w:pPr>
        <w:spacing w:before="160" w:after="40" w:line="240" w:lineRule="auto"/>
      </w:pPr>
      <w:r>
        <w:rPr>
          <w:b/>
        </w:rPr>
        <w:t xml:space="preserve">[7] </w:t>
      </w:r>
      <w:hyperlink r:id="rId166">
        <w:r>
          <w:rPr>
            <w:color w:val="1155CC"/>
            <w:u w:val="single"/>
          </w:rPr>
          <w:t>Energy policy strategies for cleaner production: The roles of renewable energy and green innovation</w:t>
        </w:r>
      </w:hyperlink>
    </w:p>
    <w:p>
      <w:pPr>
        <w:spacing w:before="0" w:after="120"/>
      </w:pPr>
      <w:r>
        <w:rPr>
          <w:b/>
        </w:rPr>
        <w:t xml:space="preserve">Source: </w:t>
      </w:r>
      <w:r>
        <w:t>ScienceDirect Publication: Energy Policy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7">
        <w:r>
          <w:rPr>
            <w:color w:val="1155CC"/>
            <w:u w:val="single"/>
          </w:rPr>
          <w:t>Mixture-of-experts based multi-critic deep reinforcement learning for sustainable management of data center microgrids</w:t>
        </w:r>
      </w:hyperlink>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68">
        <w:r>
          <w:rPr>
            <w:color w:val="1155CC"/>
            <w:u w:val="single"/>
          </w:rPr>
          <w:t>Volatility modeling in energy commodity markets: A review of responses to shocks and the path towards resiliency and sustainability</w:t>
        </w:r>
      </w:hyperlink>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40">
        <w:r>
          <w:rPr>
            <w:color w:val="1155CC"/>
            <w:u w:val="single"/>
          </w:rPr>
          <w:t>Electricity-driven CO2 and biomass conversion toward formic acid/formate: microenvironment regulation, hydrogen storage potential, and sustainability assessment</w:t>
        </w:r>
      </w:hyperlink>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Formic acid (FA)/formate (FM) is widely recognized as an important energy carrier and high-value chemical. Through electrocatalysis, abundant carbon sources such as CO2 and biomass can be converted into FA or FM, enabling the valorization of feedstocks into high-value chemicals via a promising approach toward eco-friendly and sustainable development. This review elucidates recent milestones and emerging trends in FA/FM production via CO2 electroreduction and biomass electrooxidation, with a particular emphasis on microenvironment regulation. The intrinsic mechanisms underlying the effects of key factors on activity, selectivity, and energy efficiency are elucidated. In addition, environmental impact, hydrogen-storage capabilities, techno-economic analysis, and life cycle assessment are discussed in detail. Finally, future research directions and optimization strategies are proposed, focusing on feedstock pretreatment, catalyst engineering, and membrane–electrode integration. More importantly, this review also discusses CO2–organic paired electrolysis, proposing several solutions to fundamental constraints. Overall, this review aims to provide systematic guidance for three electrocatalytic pathways toward FA/FM—CO2 reduction, biomass oxidation, and their paired electrolysis—highlighting the pivotal role of microenvironment engineering in electrocatalyst design and reaction optimization, thereby delivering scientific insights to support green energy utilization and sustainable chemical manufacturing.</w:t>
      </w:r>
    </w:p>
    <w:p>
      <w:pPr>
        <w:spacing w:before="120" w:after="120"/>
      </w:pPr>
      <w:r>
        <w:rPr>
          <w:sz w:val="18"/>
        </w:rPr>
        <w:t>——————————————————————————————————————————————————————————————————————</w:t>
      </w:r>
    </w:p>
    <w:p>
      <w:pPr>
        <w:spacing w:before="160" w:after="40" w:line="240" w:lineRule="auto"/>
      </w:pPr>
      <w:r>
        <w:rPr>
          <w:b/>
        </w:rPr>
        <w:t xml:space="preserve">[2] </w:t>
      </w:r>
      <w:hyperlink r:id="rId169">
        <w:r>
          <w:rPr>
            <w:color w:val="1155CC"/>
            <w:u w:val="single"/>
          </w:rPr>
          <w:t>Molecularly engineered covalent hydrophobic interface for enhanced CO2 electromethanation in strong acid</w:t>
        </w:r>
      </w:hyperlink>
    </w:p>
    <w:p>
      <w:pPr>
        <w:spacing w:before="0" w:after="120"/>
      </w:pPr>
      <w:r>
        <w:rPr>
          <w:b/>
        </w:rPr>
        <w:t xml:space="preserve">Source: </w:t>
      </w:r>
      <w:r>
        <w:t>National Science Review Advance Access</w:t>
      </w:r>
      <w:r>
        <w:t xml:space="preserve"> </w:t>
      </w:r>
      <w:r>
        <w:rPr>
          <w:b/>
        </w:rPr>
        <w:t xml:space="preserve">Pub date: </w:t>
      </w:r>
      <w:r>
        <w:t>2026-02-24 00:00:00+00:00</w:t>
      </w:r>
      <w:r>
        <w:t xml:space="preserve"> </w:t>
      </w:r>
      <w:r>
        <w:rPr>
          <w:b/>
        </w:rPr>
        <w:t xml:space="preserve">DOI: </w:t>
      </w:r>
      <w:hyperlink r:id="rId170">
        <w:r>
          <w:rPr>
            <w:color w:val="1155CC"/>
            <w:u w:val="single"/>
          </w:rPr>
          <w:t>10.1093/nsr/nwag116/8496058</w:t>
        </w:r>
      </w:hyperlink>
    </w:p>
    <w:p>
      <w:pPr>
        <w:spacing w:before="0" w:after="120"/>
      </w:pPr>
      <w:r>
        <w:rPr>
          <w:b/>
        </w:rPr>
        <w:t xml:space="preserve">Notes: </w:t>
      </w:r>
      <w:r>
        <w:t>abstract_source=rss_oup</w:t>
      </w:r>
    </w:p>
    <w:p>
      <w:pPr>
        <w:spacing w:before="0" w:after="80" w:lineRule="auto" w:line="276"/>
      </w:pPr>
      <w:r>
        <w:rPr>
          <w:b/>
        </w:rPr>
        <w:t xml:space="preserve">摘要（ZH）: </w:t>
      </w:r>
      <w:r>
        <w:t>(empty)</w:t>
      </w:r>
    </w:p>
    <w:p>
      <w:pPr>
        <w:spacing w:before="0" w:after="200" w:lineRule="auto" w:line="276"/>
      </w:pPr>
      <w:r>
        <w:rPr>
          <w:b/>
        </w:rPr>
        <w:t xml:space="preserve">Abstract (EN): </w:t>
      </w:r>
      <w:r>
        <w:t>Electrochemical conversion of CO2 to methane provides a sustainable pathway for fuel synthesis, yet it inherently struggles to balance carbon utilization efficiency with product selectivity. Conventional surface engineering based on physical hydrophobic coatings often leads to interfacial instability and diminished charge transfer efficiency. To address these issues, we develop a cysteine-coated copper coordination complex catalyst modified with covalently bonded fluoroalkyl silane (FAS), allowing precise control over surface wettability. A breakthrough in highly acidic electrolytes is demonstrated, achieving a methane Faradaic efficiency of up to 66.2% at 400 mA cm−2 (pH 1.8), alongside a single-pass carbon conversion efficiency of 31.1%, surpassing conventional alkaline-system benchmarks. Surface-enhanced Raman spectroscopy reveals key *COOH intermediate for CO2 activation, while in situ</w:t>
      </w:r>
    </w:p>
    <w:p>
      <w:pPr>
        <w:spacing w:before="120" w:after="120"/>
      </w:pPr>
      <w:r>
        <w:rPr>
          <w:sz w:val="18"/>
        </w:rPr>
        <w:t>——————————————————————————————————————————————————————————————————————</w:t>
      </w:r>
    </w:p>
    <w:p>
      <w:pPr>
        <w:spacing w:before="160" w:after="40" w:line="240" w:lineRule="auto"/>
      </w:pPr>
      <w:r>
        <w:rPr>
          <w:b/>
        </w:rPr>
        <w:t xml:space="preserve">[3] </w:t>
      </w:r>
      <w:hyperlink r:id="rId171">
        <w:r>
          <w:rPr>
            <w:color w:val="1155CC"/>
            <w:u w:val="single"/>
          </w:rPr>
          <w:t>Electrified CO2 uptake in quinone-based covalent organic frameworks</w:t>
        </w:r>
      </w:hyperlink>
    </w:p>
    <w:p>
      <w:pPr>
        <w:spacing w:before="0" w:after="120"/>
      </w:pPr>
      <w:r>
        <w:rPr>
          <w:b/>
        </w:rPr>
        <w:t xml:space="preserve">Source: </w:t>
      </w:r>
      <w:r>
        <w:t>Chem</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Electrochemical CO2 capture using molecular quinones is often limited by solubility and oxygen sensitivity in liquid systems. Embedding quinones into porous covalent organic frameworks (COFs) enhances stability, shifts reactivity into an oxygen-tolerant regime, and localizes redox activity to the solid sorbent. We developed a scalable synthesis of quinone-based COFs and validated their performance in a device operating under simulated flue gas, capturing CO2 efficiently for 80 h. This approach offers a promising, solid-state pathway toward electrochemical carbon-capture technologies.</w:t>
      </w:r>
    </w:p>
    <w:p>
      <w:pPr>
        <w:spacing w:before="120" w:after="120"/>
      </w:pPr>
      <w:r>
        <w:rPr>
          <w:sz w:val="18"/>
        </w:rPr>
        <w:t>——————————————————————————————————————————————————————————————————————</w:t>
      </w:r>
    </w:p>
    <w:p>
      <w:pPr>
        <w:spacing w:before="160" w:after="40" w:line="240" w:lineRule="auto"/>
      </w:pPr>
      <w:r>
        <w:rPr>
          <w:b/>
        </w:rPr>
        <w:t xml:space="preserve">[4] </w:t>
      </w:r>
      <w:hyperlink r:id="rId172">
        <w:r>
          <w:rPr>
            <w:color w:val="1155CC"/>
            <w:u w:val="single"/>
          </w:rPr>
          <w:t>The future of carbon capture, utilization and storage technologies</w:t>
        </w:r>
      </w:hyperlink>
    </w:p>
    <w:p>
      <w:pPr>
        <w:spacing w:before="0" w:after="120"/>
      </w:pPr>
      <w:r>
        <w:rPr>
          <w:b/>
        </w:rPr>
        <w:t xml:space="preserve">Source: </w:t>
      </w:r>
      <w:r>
        <w:t>Nature Chemical Engineering</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3">
        <w:r>
          <w:rPr>
            <w:color w:val="1155CC"/>
            <w:u w:val="single"/>
          </w:rPr>
          <w:t>Capturing CO2 from waste-fired CHP plants at low marginal cost</w:t>
        </w:r>
      </w:hyperlink>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4">
        <w:r>
          <w:rPr>
            <w:color w:val="1155CC"/>
            <w:u w:val="single"/>
          </w:rPr>
          <w:t>[ASAP] Scalable Carbon Dioxide Capture Using Clay-Derived Zeolites via Atomic Rearrangement</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2026-02-24 16:53:07+00:00</w:t>
      </w:r>
      <w:r>
        <w:t xml:space="preserve"> </w:t>
      </w:r>
      <w:r>
        <w:rPr>
          <w:b/>
        </w:rPr>
        <w:t xml:space="preserve">DOI: </w:t>
      </w:r>
      <w:hyperlink r:id="rId175">
        <w:r>
          <w:rPr>
            <w:color w:val="1155CC"/>
            <w:u w:val="single"/>
          </w:rPr>
          <w:t>10.1021/jacs.5c20976</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Effective carbon capture materials are crucial for mitigating climate change and supporting sustainable industrial processes. However, developing scalable, cost-effective adsorbents with high carbon dioxide capacity, superior selectivity, and long-term stability remains a major challenge. Here, we report the scalable synthesis of Linde Type A zeolite via atomic reassembly of halloysite clay using mature industrial processes, achieving a high carbon dioxide adsorption capacity of 5.0 mmol g–1 with good cyclic stability. The transformation from a layered to a cubic framework with enlarged vacant spaces significantly enhances carbon dioxide accommodation. Additionally, the as-prepared zeolite demonstrates outstanding carbon dioxide/nitrogen selectivity (178 for 5% carbon dioxide) and robust thermal stability over multiple adsorption–desorption cycles. In situ tests reveal that adsorption is primarily governed by weakly bound interactions, allowing for the easy regeneration. This study presents a promising and scalable strategy for developing high-performance adsorbents toward gigaton-scale carbon dioxide capture applications.</w:t>
      </w:r>
    </w:p>
    <w:p>
      <w:pPr>
        <w:spacing w:before="120" w:after="120"/>
      </w:pPr>
      <w:r>
        <w:rPr>
          <w:sz w:val="18"/>
        </w:rPr>
        <w:t>——————————————————————————————————————————————————————————————————————</w:t>
      </w:r>
    </w:p>
    <w:p>
      <w:pPr>
        <w:spacing w:before="160" w:after="40" w:line="240" w:lineRule="auto"/>
      </w:pPr>
      <w:r>
        <w:rPr>
          <w:b/>
        </w:rPr>
        <w:t xml:space="preserve">[7] </w:t>
      </w:r>
      <w:hyperlink r:id="rId176">
        <w:r>
          <w:rPr>
            <w:color w:val="1155CC"/>
            <w:u w:val="single"/>
          </w:rPr>
          <w:t>A scenario-responsive siting framework of CO₂ capture and electrochemical conversion systems using integrated spatial and multi-criteria decision analysis</w:t>
        </w:r>
      </w:hyperlink>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7">
        <w:r>
          <w:rPr>
            <w:color w:val="1155CC"/>
            <w:u w:val="single"/>
          </w:rPr>
          <w:t>Understanding and mitigating degradation in amine-based sorbents for CO2 direct air capture</w:t>
        </w:r>
      </w:hyperlink>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Direct air capture of CO2 via amine-based sorbents is currently limited by sorbent degradation. This review connects mechanisms of degradation to sorbent chemistry and process conditions, discusses design strategies for more durable materials, and outlines future directions for improving sorbent lifetime.</w:t>
      </w:r>
    </w:p>
    <w:p>
      <w:pPr>
        <w:spacing w:before="120" w:after="120"/>
      </w:pPr>
      <w:r>
        <w:rPr>
          <w:sz w:val="18"/>
        </w:rPr>
        <w:t>——————————————————————————————————————————————————————————————————————</w:t>
      </w:r>
    </w:p>
    <w:p>
      <w:pPr>
        <w:spacing w:before="160" w:after="40" w:line="240" w:lineRule="auto"/>
      </w:pPr>
      <w:r>
        <w:rPr>
          <w:b/>
        </w:rPr>
        <w:t xml:space="preserve">[9] </w:t>
      </w:r>
      <w:hyperlink r:id="rId178">
        <w:r>
          <w:rPr>
            <w:color w:val="1155CC"/>
            <w:u w:val="single"/>
          </w:rPr>
          <w:t>CO2 capture with post-modified nitrile and styrene-butadiene-styrene rubbers</w:t>
        </w:r>
      </w:hyperlink>
    </w:p>
    <w:p>
      <w:pPr>
        <w:spacing w:before="0" w:after="120"/>
      </w:pPr>
      <w:r>
        <w:rPr>
          <w:b/>
        </w:rPr>
        <w:t xml:space="preserve">Source: </w:t>
      </w:r>
      <w:r>
        <w:t>Chem</w:t>
      </w:r>
      <w:r>
        <w:t xml:space="preserve"> </w:t>
      </w:r>
      <w:r>
        <w:rPr>
          <w:b/>
        </w:rPr>
        <w:t xml:space="preserve">Pub date: </w:t>
      </w:r>
      <w:r>
        <w:t>2026-02-27 00:00:00+00:00</w:t>
      </w:r>
      <w:r>
        <w:t xml:space="preserve"> </w:t>
      </w:r>
      <w:r>
        <w:rPr>
          <w:b/>
        </w:rPr>
        <w:t xml:space="preserve">DOI: </w:t>
      </w:r>
      <w:hyperlink r:id="rId179">
        <w:r>
          <w:rPr>
            <w:color w:val="1155CC"/>
            <w:u w:val="single"/>
          </w:rPr>
          <w:t>10.1016/j.chempr.2025.102918</w:t>
        </w:r>
      </w:hyperlink>
    </w:p>
    <w:p>
      <w:pPr>
        <w:spacing w:before="0" w:after="120"/>
      </w:pPr>
      <w:r>
        <w:rPr>
          <w:b/>
        </w:rPr>
        <w:t xml:space="preserve">Notes: </w:t>
      </w:r>
      <w:r>
        <w:t>abstract_source=rss_cell</w:t>
      </w:r>
    </w:p>
    <w:p>
      <w:pPr>
        <w:spacing w:before="0" w:after="80" w:lineRule="auto" w:line="276"/>
      </w:pPr>
      <w:r>
        <w:rPr>
          <w:b/>
        </w:rPr>
        <w:t xml:space="preserve">摘要（ZH）: </w:t>
      </w:r>
      <w:r>
        <w:t>(empty)</w:t>
      </w:r>
    </w:p>
    <w:p>
      <w:pPr>
        <w:spacing w:before="0" w:after="200" w:lineRule="auto" w:line="276"/>
      </w:pPr>
      <w:r>
        <w:rPr>
          <w:b/>
        </w:rPr>
        <w:t xml:space="preserve">Abstract (EN): </w:t>
      </w:r>
      <w:r>
        <w:t>Using carbon capture to abate climate change is an immense challenge due to the current gigaton-per-year scale CO2 emissions, which will require enormous amounts of CO2-sorbing materials from readily available and low-cost feedstocks. Substantial waste fractions, such as single-use nitrile gloves or related rubbers, are shown here to be converted into effective adsorbents for potential use within point-source CO2 capture, such as from flue gases. This work shows a proof of concept to upcycle waste to be used for carbon capture.</w:t>
      </w:r>
    </w:p>
    <w:p>
      <w:pPr>
        <w:spacing w:before="120" w:after="120"/>
      </w:pPr>
      <w:r>
        <w:rPr>
          <w:sz w:val="18"/>
        </w:rPr>
        <w:t>——————————————————————————————————————————————————————————————————————</w:t>
      </w:r>
    </w:p>
    <w:p>
      <w:pPr>
        <w:spacing w:before="160" w:after="40" w:line="240" w:lineRule="auto"/>
      </w:pPr>
      <w:r>
        <w:rPr>
          <w:b/>
        </w:rPr>
        <w:t xml:space="preserve">[10] </w:t>
      </w:r>
      <w:hyperlink r:id="rId180">
        <w:r>
          <w:rPr>
            <w:color w:val="1155CC"/>
            <w:u w:val="single"/>
          </w:rPr>
          <w:t>Electrified release of pure CO2 from postcapture liquid: A two-stage system lowers the total energy cost</w:t>
        </w:r>
      </w:hyperlink>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181">
        <w:r>
          <w:rPr>
            <w:color w:val="1155CC"/>
            <w:u w:val="single"/>
          </w:rPr>
          <w:t>10.1073/pnas.2528655123</w:t>
        </w:r>
      </w:hyperlink>
    </w:p>
    <w:p>
      <w:pPr>
        <w:spacing w:before="0" w:after="120"/>
      </w:pPr>
      <w:r>
        <w:rPr>
          <w:b/>
        </w:rPr>
        <w:t xml:space="preserve">Notes: </w:t>
      </w:r>
      <w:r>
        <w:t>abstract_source=crossref</w:t>
      </w:r>
    </w:p>
    <w:p>
      <w:pPr>
        <w:spacing w:before="0" w:after="80" w:lineRule="auto" w:line="276"/>
      </w:pPr>
      <w:r>
        <w:rPr>
          <w:b/>
        </w:rPr>
        <w:t xml:space="preserve">摘要（ZH）: </w:t>
      </w:r>
      <w:r>
        <w:t>(empty)</w:t>
      </w:r>
    </w:p>
    <w:p>
      <w:pPr>
        <w:spacing w:before="0" w:after="200" w:lineRule="auto" w:line="276"/>
      </w:pPr>
      <w:r>
        <w:rPr>
          <w:b/>
        </w:rPr>
        <w:t xml:space="preserve">Abstract (EN): </w:t>
      </w:r>
      <w:r>
        <w:t>Electrified carbon capture and release holds promise in carbon management; but it is constrained by high energy demand. Here, we studied two candidate systems for electrochemical CO</w:t>
      </w:r>
      <w:r>
        <w:rPr>
          <w:vertAlign w:val="subscript"/>
        </w:rPr>
        <w:t>2</w:t>
      </w:r>
      <w:r>
        <w:t>release from a direct air capture (DAC) postcapture liquid: The first, a hydrogen loop cell, is electricity-efficient, but its evolved CO</w:t>
      </w:r>
      <w:r>
        <w:rPr>
          <w:vertAlign w:val="subscript"/>
        </w:rPr>
        <w:t>2</w:t>
      </w:r>
      <w:r>
        <w:t>is mixed with H</w:t>
      </w:r>
      <w:r>
        <w:rPr>
          <w:vertAlign w:val="subscript"/>
        </w:rPr>
        <w:t>2</w:t>
      </w:r>
      <w:r>
        <w:t>, introducing a 3 to 4 GJ/tonCO</w:t>
      </w:r>
      <w:r>
        <w:rPr>
          <w:vertAlign w:val="subscript"/>
        </w:rPr>
        <w:t>2</w:t>
      </w:r>
      <w:r>
        <w:t>additional energy separation cost. The second system, a solid-state metal oxide redox couple (proton sponge), avoids the gas separation challenge but is stable only in the bicarbonate and not the highly alkaline regime. These considerations led us to examine a two-stage system: An efficient hydrogen loop would first downshift the pH from 13.5 to 9; and a second metal oxide would be used to release CO</w:t>
      </w:r>
      <w:r>
        <w:rPr>
          <w:vertAlign w:val="subscript"/>
        </w:rPr>
        <w:t>2</w:t>
      </w:r>
      <w:r>
        <w:t>from bicarbonate. We report an electrified process that provides the release of a pure CO</w:t>
      </w:r>
      <w:r>
        <w:rPr>
          <w:vertAlign w:val="subscript"/>
        </w:rPr>
        <w:t>2</w:t>
      </w:r>
      <w:r>
        <w:t>stream from a post-DAC liquid with a measured total energy of ~4.5 GJ/tonCO</w:t>
      </w:r>
      <w:r>
        <w:rPr>
          <w:vertAlign w:val="subscript"/>
        </w:rPr>
        <w:t>2</w:t>
      </w:r>
      <w:r>
        <w:t>: 2.4 GJ from the H</w:t>
      </w:r>
      <w:r>
        <w:rPr>
          <w:vertAlign w:val="subscript"/>
        </w:rPr>
        <w:t>2</w:t>
      </w:r>
      <w:r>
        <w:t>looping stage and 2.1 GJ from the MnO</w:t>
      </w:r>
      <w:r>
        <w:rPr>
          <w:vertAlign w:val="subscript"/>
        </w:rPr>
        <w:t>2</w:t>
      </w:r>
      <w:r>
        <w:t>-based stage—substantially lower than the &amp;gt;=10 GJ/tonCO</w:t>
      </w:r>
      <w:r>
        <w:rPr>
          <w:vertAlign w:val="subscript"/>
        </w:rPr>
        <w:t>2</w:t>
      </w:r>
      <w:r>
        <w:t>required by pH-swing methods such as bipolar membrane electrodialysis. We conclude with a generalized analysis of how staged pH downshifting reduces the overall Nernst voltage penalty and facilitates energy-efficient CO</w:t>
      </w:r>
      <w:r>
        <w:rPr>
          <w:vertAlign w:val="subscript"/>
        </w:rPr>
        <w:t>2</w:t>
      </w:r>
      <w:r>
        <w:t>release.</w:t>
      </w:r>
    </w:p>
    <w:p>
      <w:pPr>
        <w:spacing w:before="120" w:after="120"/>
      </w:pPr>
      <w:r>
        <w:rPr>
          <w:sz w:val="18"/>
        </w:rPr>
        <w:t>——————————————————————————————————————————————————————————————————————</w:t>
      </w:r>
    </w:p>
    <w:p>
      <w:pPr>
        <w:spacing w:before="160" w:after="40" w:line="240" w:lineRule="auto"/>
      </w:pPr>
      <w:r>
        <w:rPr>
          <w:b/>
        </w:rPr>
        <w:t xml:space="preserve">[11] </w:t>
      </w:r>
      <w:hyperlink r:id="rId182">
        <w:r>
          <w:rPr>
            <w:color w:val="1155CC"/>
            <w:u w:val="single"/>
          </w:rPr>
          <w:t>Control strategies to optimize adsorption-based direct air capture under varying weather conditions</w:t>
        </w:r>
      </w:hyperlink>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83">
        <w:r>
          <w:rPr>
            <w:color w:val="1155CC"/>
            <w:u w:val="single"/>
          </w:rPr>
          <w:t>[ASAP] Solar-Driven Upcycling of Polystyrene Enabled by Elemental Sulfur</w:t>
        </w:r>
      </w:hyperlink>
    </w:p>
    <w:p>
      <w:pPr>
        <w:spacing w:before="0" w:after="120"/>
      </w:pPr>
      <w:r>
        <w:rPr>
          <w:b/>
        </w:rPr>
        <w:t xml:space="preserve">Source: </w:t>
      </w:r>
      <w:r>
        <w:t>Journal of the American Chemical Society: Latest Articles (ACS Publications)</w:t>
      </w:r>
      <w:r>
        <w:t xml:space="preserve"> </w:t>
      </w:r>
      <w:r>
        <w:rPr>
          <w:b/>
        </w:rPr>
        <w:t xml:space="preserve">Pub date: </w:t>
      </w:r>
      <w:r>
        <w:t>2026-02-24 14:07:51+00:00</w:t>
      </w:r>
      <w:r>
        <w:t xml:space="preserve"> </w:t>
      </w:r>
      <w:r>
        <w:rPr>
          <w:b/>
        </w:rPr>
        <w:t xml:space="preserve">DOI: </w:t>
      </w:r>
      <w:hyperlink r:id="rId184">
        <w:r>
          <w:rPr>
            <w:color w:val="1155CC"/>
            <w:u w:val="single"/>
          </w:rPr>
          <w:t>10.1021/jacs.6c01318</w:t>
        </w:r>
      </w:hyperlink>
    </w:p>
    <w:p>
      <w:pPr>
        <w:spacing w:before="0" w:after="120"/>
      </w:pPr>
      <w:r>
        <w:rPr>
          <w:b/>
        </w:rPr>
        <w:t xml:space="preserve">Notes: </w:t>
      </w:r>
      <w:r>
        <w:t>abstract_source=openalex</w:t>
      </w:r>
    </w:p>
    <w:p>
      <w:pPr>
        <w:spacing w:before="0" w:after="80" w:lineRule="auto" w:line="276"/>
      </w:pPr>
      <w:r>
        <w:rPr>
          <w:b/>
        </w:rPr>
        <w:t xml:space="preserve">摘要（ZH）: </w:t>
      </w:r>
      <w:r>
        <w:t>(empty)</w:t>
      </w:r>
    </w:p>
    <w:p>
      <w:pPr>
        <w:spacing w:before="0" w:after="200" w:lineRule="auto" w:line="276"/>
      </w:pPr>
      <w:r>
        <w:rPr>
          <w:b/>
        </w:rPr>
        <w:t xml:space="preserve">Abstract (EN): </w:t>
      </w:r>
      <w:r>
        <w:t>Polystyrene (PS) is one of the most widely used plastics, and its notably low recycling rate has prompted the consideration of chemical upcycling of waste PS. Oxidative methodologies have been extensively investigated, employing molecular oxygen to upcycle PS into oxygenated products. Sulfur, a group congener of oxygen, has rarely been exploited in PS upcycling. Furthermore, elemental sulfur currently confronts an issue of an annual production surplus. Here, we report the coupcycling of PS and elemental sulfur into 2,4-diphenylthiophene and 1,3,5-triphenylbenzene by leveraging solar energy as the driving force. The practicality of this strategy is demonstrated by the rapid and efficient conversion of various postconsumer waste PS plastics under solvent-free, ambient air conditions. The photothermal effect of elemental sulfur and the generation of sulfur radicals at elevated temperatures are critical to enable this transformation. Experimental and computational studies of dimeric and tetrameric PS model compounds show that sulfur-radical-mediated hydrogen atom abstraction is the key to sustaining the reaction. These findings provide valuable insights into the photothermal behavior and reaction characteristics of elemental sulfur and hold significant implications for polymer conversion.</w:t>
      </w:r>
    </w:p>
    <w:p>
      <w:pPr>
        <w:spacing w:before="120" w:after="120"/>
      </w:pPr>
      <w:r>
        <w:rPr>
          <w:sz w:val="18"/>
        </w:rPr>
        <w:t>——————————————————————————————————————————————————————————————————————</w:t>
      </w:r>
    </w:p>
    <w:p>
      <w:pPr>
        <w:spacing w:before="160" w:after="40" w:line="240" w:lineRule="auto"/>
      </w:pPr>
      <w:r>
        <w:rPr>
          <w:b/>
        </w:rPr>
        <w:t xml:space="preserve">[2] </w:t>
      </w:r>
      <w:hyperlink r:id="rId185">
        <w:r>
          <w:rPr>
            <w:color w:val="1155CC"/>
            <w:u w:val="single"/>
          </w:rPr>
          <w:t>Boosting tenfold recycling profit by a one-step calcination strategy for upcycling spent LiCoO2 to high-value Li6CoO4</w:t>
        </w:r>
      </w:hyperlink>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(empty)</w:t>
      </w:r>
    </w:p>
    <w:p>
      <w:pPr>
        <w:spacing w:before="0" w:after="200" w:lineRule="auto" w:line="276"/>
      </w:pPr>
      <w:r>
        <w:rPr>
          <w:b/>
        </w:rPr>
        <w:t xml:space="preserve">Abstract (EN): </w:t>
      </w:r>
      <w:r>
        <w:t>Lithium cobalt oxide (LiCoO2) consumes 40% of the global cobalt reserves annually. However, the low profitability of current recycling methods results in extremely low cobalt recovery rates that seriously threaten the sustainability of cobalt resources. Here, we developed an upcycling strategy that regenerates the spent LiCoO2 to high-value Li6CoO4, offering a profit increase of 7–13 times compared with that of the existing recycling technologies. Moreover, the regeneration mechanism and structural evolution were systematically investigated. Benefiting from the naturally endowed carbon coating layer formed during the one-step calcination strategy, the reconstructed Li6CoO4 delivered an irreversible capacity of 850 mAh g−1 when used as a Li+ supplement synergist in lithium-ion batteries, outperforming the commercial Li5FeO4 counterparts by offering 40% performance improvement. Besides, it showed extraordinary air stability, retaining 96% of the capacity after 24 hours of exposure to the atmosphere. This research proposes a sustainable strategy to tackle the global challenges of cobalt recycling and supply shortages.</w:t>
      </w:r>
    </w:p>
    <w:p>
      <w:pPr>
        <w:spacing w:before="120" w:after="120"/>
      </w:pPr>
      <w:r>
        <w:rPr>
          <w:sz w:val="18"/>
        </w:rPr>
        <w:t>——————————————————————————————————————————————————————————————————————</w:t>
      </w:r>
    </w:p>
    <w:p>
      <w:pPr>
        <w:spacing w:before="160" w:after="40" w:line="240" w:lineRule="auto"/>
      </w:pPr>
      <w:r>
        <w:rPr>
          <w:b/>
        </w:rPr>
        <w:t xml:space="preserve">[3] </w:t>
      </w:r>
      <w:hyperlink r:id="rId186">
        <w:r>
          <w:rPr>
            <w:color w:val="1155CC"/>
            <w:u w:val="single"/>
          </w:rPr>
          <w:t>Designing circular plastics from a single monomer</w:t>
        </w:r>
      </w:hyperlink>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1388?dgcid=rss_sd_all" TargetMode="External"/><Relationship Id="rId10" Type="http://schemas.openxmlformats.org/officeDocument/2006/relationships/hyperlink" Target="https://www.sciencedirect.com/science/article/pii/S0306261926002187?dgcid=rss_sd_all" TargetMode="External"/><Relationship Id="rId11" Type="http://schemas.openxmlformats.org/officeDocument/2006/relationships/hyperlink" Target="https://www.sciencedirect.com/science/article/pii/S0306261926001510?dgcid=rss_sd_all" TargetMode="External"/><Relationship Id="rId12" Type="http://schemas.openxmlformats.org/officeDocument/2006/relationships/hyperlink" Target="https://www.nature.com/articles/s41560-026-01982-2" TargetMode="External"/><Relationship Id="rId13" Type="http://schemas.openxmlformats.org/officeDocument/2006/relationships/hyperlink" Target="https://advanced.onlinelibrary.wiley.com/doi/10.1002/adma.202520030?af=R" TargetMode="External"/><Relationship Id="rId14" Type="http://schemas.openxmlformats.org/officeDocument/2006/relationships/hyperlink" Target="https://doi.org/10.1002/adma.202520030" TargetMode="External"/><Relationship Id="rId15" Type="http://schemas.openxmlformats.org/officeDocument/2006/relationships/hyperlink" Target="https://advanced.onlinelibrary.wiley.com/doi/10.1002/adma.202522994?af=R" TargetMode="External"/><Relationship Id="rId16" Type="http://schemas.openxmlformats.org/officeDocument/2006/relationships/hyperlink" Target="https://doi.org/10.1002/adma.202522994" TargetMode="External"/><Relationship Id="rId17" Type="http://schemas.openxmlformats.org/officeDocument/2006/relationships/hyperlink" Target="http://dx.doi.org/10.1021/acsenergylett.6c00094" TargetMode="External"/><Relationship Id="rId18" Type="http://schemas.openxmlformats.org/officeDocument/2006/relationships/hyperlink" Target="https://doi.org/10.1021/acsenergylett.6c00094" TargetMode="External"/><Relationship Id="rId19" Type="http://schemas.openxmlformats.org/officeDocument/2006/relationships/hyperlink" Target="http://dx.doi.org/10.1021/jacs.5c21300" TargetMode="External"/><Relationship Id="rId20" Type="http://schemas.openxmlformats.org/officeDocument/2006/relationships/hyperlink" Target="https://doi.org/10.1021/jacs.5c21300" TargetMode="External"/><Relationship Id="rId21" Type="http://schemas.openxmlformats.org/officeDocument/2006/relationships/hyperlink" Target="http://dx.doi.org/10.1021/acsenergylett.5c03797" TargetMode="External"/><Relationship Id="rId22" Type="http://schemas.openxmlformats.org/officeDocument/2006/relationships/hyperlink" Target="https://doi.org/10.1021/acsenergylett.5c03797" TargetMode="External"/><Relationship Id="rId23" Type="http://schemas.openxmlformats.org/officeDocument/2006/relationships/hyperlink" Target="http://pubs.rsc.org/en/Content/ArticleLanding/2026/EE/D5EE07166F" TargetMode="External"/><Relationship Id="rId24" Type="http://schemas.openxmlformats.org/officeDocument/2006/relationships/hyperlink" Target="http://pubs.rsc.org/en/Content/ArticleLanding/2026/EE/D5EE06226H" TargetMode="External"/><Relationship Id="rId25" Type="http://schemas.openxmlformats.org/officeDocument/2006/relationships/hyperlink" Target="http://pubs.rsc.org/en/Content/ArticleLanding/2026/EE/D5EE03704B" TargetMode="External"/><Relationship Id="rId26" Type="http://schemas.openxmlformats.org/officeDocument/2006/relationships/hyperlink" Target="https://www.sciencedirect.com/science/article/pii/S0301421526001278?dgcid=rss_sd_all" TargetMode="External"/><Relationship Id="rId27" Type="http://schemas.openxmlformats.org/officeDocument/2006/relationships/hyperlink" Target="https://www.sciencedirect.com/science/article/pii/S0306261926002242?dgcid=rss_sd_all" TargetMode="External"/><Relationship Id="rId28" Type="http://schemas.openxmlformats.org/officeDocument/2006/relationships/hyperlink" Target="https://www.nature.com/articles/s41560-026-01993-z" TargetMode="External"/><Relationship Id="rId29" Type="http://schemas.openxmlformats.org/officeDocument/2006/relationships/hyperlink" Target="https://www.sciencedirect.com/science/article/pii/S0306261926002072?dgcid=rss_sd_all" TargetMode="External"/><Relationship Id="rId30" Type="http://schemas.openxmlformats.org/officeDocument/2006/relationships/hyperlink" Target="https://www.nature.com/articles/s41560-026-01987-x" TargetMode="External"/><Relationship Id="rId31" Type="http://schemas.openxmlformats.org/officeDocument/2006/relationships/hyperlink" Target="https://advanced.onlinelibrary.wiley.com/doi/10.1002/adma.202521697?af=R" TargetMode="External"/><Relationship Id="rId32" Type="http://schemas.openxmlformats.org/officeDocument/2006/relationships/hyperlink" Target="https://doi.org/10.1002/adma.202521697" TargetMode="External"/><Relationship Id="rId33" Type="http://schemas.openxmlformats.org/officeDocument/2006/relationships/hyperlink" Target="https://advanced.onlinelibrary.wiley.com/doi/10.1002/adma.72466?af=R" TargetMode="External"/><Relationship Id="rId34" Type="http://schemas.openxmlformats.org/officeDocument/2006/relationships/hyperlink" Target="https://doi.org/10.1002/adma.72466" TargetMode="External"/><Relationship Id="rId35" Type="http://schemas.openxmlformats.org/officeDocument/2006/relationships/hyperlink" Target="https://www.science.org/doi/abs/10.1126/sciadv.aea6522?af=R" TargetMode="External"/><Relationship Id="rId36" Type="http://schemas.openxmlformats.org/officeDocument/2006/relationships/hyperlink" Target="https://doi.org/10.1126/sciadv.aea6522" TargetMode="External"/><Relationship Id="rId37" Type="http://schemas.openxmlformats.org/officeDocument/2006/relationships/hyperlink" Target="https://onlinelibrary.wiley.com/doi/10.1002/anie.3278432?af=R" TargetMode="External"/><Relationship Id="rId38" Type="http://schemas.openxmlformats.org/officeDocument/2006/relationships/hyperlink" Target="https://doi.org/10.1002/anie.3278432" TargetMode="External"/><Relationship Id="rId39" Type="http://schemas.openxmlformats.org/officeDocument/2006/relationships/hyperlink" Target="https://advanced.onlinelibrary.wiley.com/doi/10.1002/adma.202522776?af=R" TargetMode="External"/><Relationship Id="rId40" Type="http://schemas.openxmlformats.org/officeDocument/2006/relationships/hyperlink" Target="https://doi.org/10.1002/adma.202522776" TargetMode="External"/><Relationship Id="rId41" Type="http://schemas.openxmlformats.org/officeDocument/2006/relationships/hyperlink" Target="http://dx.doi.org/10.1021/acsenergylett.5c03788" TargetMode="External"/><Relationship Id="rId42" Type="http://schemas.openxmlformats.org/officeDocument/2006/relationships/hyperlink" Target="https://doi.org/10.1021/acsenergylett.5c03788" TargetMode="External"/><Relationship Id="rId43" Type="http://schemas.openxmlformats.org/officeDocument/2006/relationships/hyperlink" Target="http://dx.doi.org/10.1021/acsenergylett.6c00205" TargetMode="External"/><Relationship Id="rId44" Type="http://schemas.openxmlformats.org/officeDocument/2006/relationships/hyperlink" Target="https://doi.org/10.1021/acsenergylett.6c00205" TargetMode="External"/><Relationship Id="rId45" Type="http://schemas.openxmlformats.org/officeDocument/2006/relationships/hyperlink" Target="https://advanced.onlinelibrary.wiley.com/doi/10.1002/adma.72638?af=R" TargetMode="External"/><Relationship Id="rId46" Type="http://schemas.openxmlformats.org/officeDocument/2006/relationships/hyperlink" Target="https://doi.org/10.1002/adma.72638" TargetMode="External"/><Relationship Id="rId47" Type="http://schemas.openxmlformats.org/officeDocument/2006/relationships/hyperlink" Target="https://www.cell.com/joule/fulltext/S2542-4351(25)00485-4?rss=yes" TargetMode="External"/><Relationship Id="rId48" Type="http://schemas.openxmlformats.org/officeDocument/2006/relationships/hyperlink" Target="http://pubs.rsc.org/en/Content/ArticleLanding/2026/EE/D5EE07165H" TargetMode="External"/><Relationship Id="rId49" Type="http://schemas.openxmlformats.org/officeDocument/2006/relationships/hyperlink" Target="https://advanced.onlinelibrary.wiley.com/doi/10.1002/aenm.202506610?af=R" TargetMode="External"/><Relationship Id="rId50" Type="http://schemas.openxmlformats.org/officeDocument/2006/relationships/hyperlink" Target="https://doi.org/10.1002/aenm.202506610" TargetMode="External"/><Relationship Id="rId51" Type="http://schemas.openxmlformats.org/officeDocument/2006/relationships/hyperlink" Target="https://www.science.org/doi/abs/10.1126/science.aea3339?af=R" TargetMode="External"/><Relationship Id="rId52" Type="http://schemas.openxmlformats.org/officeDocument/2006/relationships/hyperlink" Target="https://doi.org/10.1126/science.aea3339" TargetMode="External"/><Relationship Id="rId53" Type="http://schemas.openxmlformats.org/officeDocument/2006/relationships/hyperlink" Target="https://advanced.onlinelibrary.wiley.com/doi/10.1002/adma.202523520?af=R" TargetMode="External"/><Relationship Id="rId54" Type="http://schemas.openxmlformats.org/officeDocument/2006/relationships/hyperlink" Target="https://doi.org/10.1002/adma.202523520" TargetMode="External"/><Relationship Id="rId55" Type="http://schemas.openxmlformats.org/officeDocument/2006/relationships/hyperlink" Target="http://dx.doi.org/10.1021/acsenergylett.5c04073" TargetMode="External"/><Relationship Id="rId56" Type="http://schemas.openxmlformats.org/officeDocument/2006/relationships/hyperlink" Target="https://doi.org/10.1021/acsenergylett.5c04073" TargetMode="External"/><Relationship Id="rId57" Type="http://schemas.openxmlformats.org/officeDocument/2006/relationships/hyperlink" Target="http://dx.doi.org/10.1021/acsenergylett.5c04127" TargetMode="External"/><Relationship Id="rId58" Type="http://schemas.openxmlformats.org/officeDocument/2006/relationships/hyperlink" Target="https://doi.org/10.1021/acsenergylett.5c04127" TargetMode="External"/><Relationship Id="rId59" Type="http://schemas.openxmlformats.org/officeDocument/2006/relationships/hyperlink" Target="https://www.cell.com/joule/fulltext/S2542-4351(25)00486-6?rss=yes" TargetMode="External"/><Relationship Id="rId60" Type="http://schemas.openxmlformats.org/officeDocument/2006/relationships/hyperlink" Target="https://doi.org/10.1016/j.joule.2025.102305" TargetMode="External"/><Relationship Id="rId61" Type="http://schemas.openxmlformats.org/officeDocument/2006/relationships/hyperlink" Target="https://www.nature.com/articles/s41563-026-02500-1" TargetMode="External"/><Relationship Id="rId62" Type="http://schemas.openxmlformats.org/officeDocument/2006/relationships/hyperlink" Target="https://doi.org/10.1038/s41563-026-02500-1" TargetMode="External"/><Relationship Id="rId63" Type="http://schemas.openxmlformats.org/officeDocument/2006/relationships/hyperlink" Target="https://www.nature.com/articles/s41563-026-02509-6" TargetMode="External"/><Relationship Id="rId64" Type="http://schemas.openxmlformats.org/officeDocument/2006/relationships/hyperlink" Target="https://doi.org/10.1038/s41563-026-02509-6" TargetMode="External"/><Relationship Id="rId65" Type="http://schemas.openxmlformats.org/officeDocument/2006/relationships/hyperlink" Target="http://dx.doi.org/10.1021/jacs.5c23218" TargetMode="External"/><Relationship Id="rId66" Type="http://schemas.openxmlformats.org/officeDocument/2006/relationships/hyperlink" Target="https://doi.org/10.1021/jacs.5c23218" TargetMode="External"/><Relationship Id="rId67" Type="http://schemas.openxmlformats.org/officeDocument/2006/relationships/hyperlink" Target="https://www.sciencedirect.com/science/article/pii/S0306261926001868?dgcid=rss_sd_all" TargetMode="External"/><Relationship Id="rId68" Type="http://schemas.openxmlformats.org/officeDocument/2006/relationships/hyperlink" Target="https://advanced.onlinelibrary.wiley.com/doi/10.1002/adma.202522942?af=R" TargetMode="External"/><Relationship Id="rId69" Type="http://schemas.openxmlformats.org/officeDocument/2006/relationships/hyperlink" Target="https://doi.org/10.1002/adma.202522942" TargetMode="External"/><Relationship Id="rId70" Type="http://schemas.openxmlformats.org/officeDocument/2006/relationships/hyperlink" Target="http://dx.doi.org/10.1021/jacs.6c00335" TargetMode="External"/><Relationship Id="rId71" Type="http://schemas.openxmlformats.org/officeDocument/2006/relationships/hyperlink" Target="https://doi.org/10.1021/jacs.6c00335" TargetMode="External"/><Relationship Id="rId72" Type="http://schemas.openxmlformats.org/officeDocument/2006/relationships/hyperlink" Target="https://www.sciencedirect.com/science/article/pii/S0306261926002710?dgcid=rss_sd_all" TargetMode="External"/><Relationship Id="rId73" Type="http://schemas.openxmlformats.org/officeDocument/2006/relationships/hyperlink" Target="https://www.nature.com/articles/s41893-026-01773-3" TargetMode="External"/><Relationship Id="rId74" Type="http://schemas.openxmlformats.org/officeDocument/2006/relationships/hyperlink" Target="https://advanced.onlinelibrary.wiley.com/doi/10.1002/adma.202521012?af=R" TargetMode="External"/><Relationship Id="rId75" Type="http://schemas.openxmlformats.org/officeDocument/2006/relationships/hyperlink" Target="https://doi.org/10.1002/adma.202521012" TargetMode="External"/><Relationship Id="rId76" Type="http://schemas.openxmlformats.org/officeDocument/2006/relationships/hyperlink" Target="https://onlinelibrary.wiley.com/doi/10.1002/anie.202526035?af=R" TargetMode="External"/><Relationship Id="rId77" Type="http://schemas.openxmlformats.org/officeDocument/2006/relationships/hyperlink" Target="https://doi.org/10.1002/anie.202526035" TargetMode="External"/><Relationship Id="rId78" Type="http://schemas.openxmlformats.org/officeDocument/2006/relationships/hyperlink" Target="https://advanced.onlinelibrary.wiley.com/doi/10.1002/aenm.70743?af=R" TargetMode="External"/><Relationship Id="rId79" Type="http://schemas.openxmlformats.org/officeDocument/2006/relationships/hyperlink" Target="https://doi.org/10.1002/aenm.70743" TargetMode="External"/><Relationship Id="rId80" Type="http://schemas.openxmlformats.org/officeDocument/2006/relationships/hyperlink" Target="https://advanced.onlinelibrary.wiley.com/doi/10.1002/aenm.70744?af=R" TargetMode="External"/><Relationship Id="rId81" Type="http://schemas.openxmlformats.org/officeDocument/2006/relationships/hyperlink" Target="https://doi.org/10.1002/aenm.70744" TargetMode="External"/><Relationship Id="rId82" Type="http://schemas.openxmlformats.org/officeDocument/2006/relationships/hyperlink" Target="https://advanced.onlinelibrary.wiley.com/doi/10.1002/aenm.70792?af=R" TargetMode="External"/><Relationship Id="rId83" Type="http://schemas.openxmlformats.org/officeDocument/2006/relationships/hyperlink" Target="https://doi.org/10.1002/aenm.70792" TargetMode="External"/><Relationship Id="rId84" Type="http://schemas.openxmlformats.org/officeDocument/2006/relationships/hyperlink" Target="https://advanced.onlinelibrary.wiley.com/doi/10.1002/aenm.202506549?af=R" TargetMode="External"/><Relationship Id="rId85" Type="http://schemas.openxmlformats.org/officeDocument/2006/relationships/hyperlink" Target="https://doi.org/10.1002/aenm.202506549" TargetMode="External"/><Relationship Id="rId86" Type="http://schemas.openxmlformats.org/officeDocument/2006/relationships/hyperlink" Target="http://dx.doi.org/10.1021/jacs.5c18922" TargetMode="External"/><Relationship Id="rId87" Type="http://schemas.openxmlformats.org/officeDocument/2006/relationships/hyperlink" Target="https://doi.org/10.1021/jacs.5c18922" TargetMode="External"/><Relationship Id="rId88" Type="http://schemas.openxmlformats.org/officeDocument/2006/relationships/hyperlink" Target="https://onlinelibrary.wiley.com/doi/10.1002/anie.202522507?af=R" TargetMode="External"/><Relationship Id="rId89" Type="http://schemas.openxmlformats.org/officeDocument/2006/relationships/hyperlink" Target="https://doi.org/10.1002/anie.202522507" TargetMode="External"/><Relationship Id="rId90" Type="http://schemas.openxmlformats.org/officeDocument/2006/relationships/hyperlink" Target="https://www.sciencedirect.com/science/article/pii/S0306261926002229?dgcid=rss_sd_all" TargetMode="External"/><Relationship Id="rId91" Type="http://schemas.openxmlformats.org/officeDocument/2006/relationships/hyperlink" Target="https://www.cell.com/joule/fulltext/S2542-4351(25)00483-0?rss=yes" TargetMode="External"/><Relationship Id="rId92" Type="http://schemas.openxmlformats.org/officeDocument/2006/relationships/hyperlink" Target="https://www.sciencedirect.com/science/article/pii/S0306261926002333?dgcid=rss_sd_all" TargetMode="External"/><Relationship Id="rId93" Type="http://schemas.openxmlformats.org/officeDocument/2006/relationships/hyperlink" Target="https://www.sciencedirect.com/science/article/pii/S0306261926001819?dgcid=rss_sd_all" TargetMode="External"/><Relationship Id="rId94" Type="http://schemas.openxmlformats.org/officeDocument/2006/relationships/hyperlink" Target="https://advanced.onlinelibrary.wiley.com/doi/10.1002/aenm.202506750?af=R" TargetMode="External"/><Relationship Id="rId95" Type="http://schemas.openxmlformats.org/officeDocument/2006/relationships/hyperlink" Target="https://doi.org/10.1002/aenm.202506750" TargetMode="External"/><Relationship Id="rId96" Type="http://schemas.openxmlformats.org/officeDocument/2006/relationships/hyperlink" Target="https://advanced.onlinelibrary.wiley.com/doi/10.1002/adma.72465?af=R" TargetMode="External"/><Relationship Id="rId97" Type="http://schemas.openxmlformats.org/officeDocument/2006/relationships/hyperlink" Target="https://doi.org/10.1002/adma.72465" TargetMode="External"/><Relationship Id="rId98" Type="http://schemas.openxmlformats.org/officeDocument/2006/relationships/hyperlink" Target="https://advanced.onlinelibrary.wiley.com/doi/10.1002/aenm.70741?af=R" TargetMode="External"/><Relationship Id="rId99" Type="http://schemas.openxmlformats.org/officeDocument/2006/relationships/hyperlink" Target="https://doi.org/10.1002/aenm.70741" TargetMode="External"/><Relationship Id="rId100" Type="http://schemas.openxmlformats.org/officeDocument/2006/relationships/hyperlink" Target="https://www.cell.com/chem/fulltext/S2451-9294(25)00502-9?rss=yes" TargetMode="External"/><Relationship Id="rId101" Type="http://schemas.openxmlformats.org/officeDocument/2006/relationships/hyperlink" Target="http://dx.doi.org/10.1021/acsenergylett.5c04001" TargetMode="External"/><Relationship Id="rId102" Type="http://schemas.openxmlformats.org/officeDocument/2006/relationships/hyperlink" Target="https://doi.org/10.1021/acsenergylett.5c04001" TargetMode="External"/><Relationship Id="rId103" Type="http://schemas.openxmlformats.org/officeDocument/2006/relationships/hyperlink" Target="https://advanced.onlinelibrary.wiley.com/doi/10.1002/aenm.202506765?af=R" TargetMode="External"/><Relationship Id="rId104" Type="http://schemas.openxmlformats.org/officeDocument/2006/relationships/hyperlink" Target="https://doi.org/10.1002/aenm.202506765" TargetMode="External"/><Relationship Id="rId105" Type="http://schemas.openxmlformats.org/officeDocument/2006/relationships/hyperlink" Target="https://advanced.onlinelibrary.wiley.com/doi/10.1002/aenm.70769?af=R" TargetMode="External"/><Relationship Id="rId106" Type="http://schemas.openxmlformats.org/officeDocument/2006/relationships/hyperlink" Target="https://doi.org/10.1002/aenm.70769" TargetMode="External"/><Relationship Id="rId107" Type="http://schemas.openxmlformats.org/officeDocument/2006/relationships/hyperlink" Target="https://advanced.onlinelibrary.wiley.com/doi/10.1002/aenm.202600009?af=R" TargetMode="External"/><Relationship Id="rId108" Type="http://schemas.openxmlformats.org/officeDocument/2006/relationships/hyperlink" Target="https://doi.org/10.1002/aenm.202600009" TargetMode="External"/><Relationship Id="rId109" Type="http://schemas.openxmlformats.org/officeDocument/2006/relationships/hyperlink" Target="https://advanced.onlinelibrary.wiley.com/doi/10.1002/adma.202520257?af=R" TargetMode="External"/><Relationship Id="rId110" Type="http://schemas.openxmlformats.org/officeDocument/2006/relationships/hyperlink" Target="https://doi.org/10.1002/adma.202520257" TargetMode="External"/><Relationship Id="rId111" Type="http://schemas.openxmlformats.org/officeDocument/2006/relationships/hyperlink" Target="http://dx.doi.org/10.1021/acsenergylett.5c03154" TargetMode="External"/><Relationship Id="rId112" Type="http://schemas.openxmlformats.org/officeDocument/2006/relationships/hyperlink" Target="https://doi.org/10.1021/acsenergylett.5c03154" TargetMode="External"/><Relationship Id="rId113" Type="http://schemas.openxmlformats.org/officeDocument/2006/relationships/hyperlink" Target="https://www.nature.com/articles/s41586-026-10210-6" TargetMode="External"/><Relationship Id="rId114" Type="http://schemas.openxmlformats.org/officeDocument/2006/relationships/hyperlink" Target="https://www.sciencedirect.com/science/article/pii/S0306261926002321?dgcid=rss_sd_all" TargetMode="External"/><Relationship Id="rId115" Type="http://schemas.openxmlformats.org/officeDocument/2006/relationships/hyperlink" Target="http://dx.doi.org/10.1021/jacs.5c21368" TargetMode="External"/><Relationship Id="rId116" Type="http://schemas.openxmlformats.org/officeDocument/2006/relationships/hyperlink" Target="https://doi.org/10.1021/jacs.5c21368" TargetMode="External"/><Relationship Id="rId117" Type="http://schemas.openxmlformats.org/officeDocument/2006/relationships/hyperlink" Target="https://www.cell.com/joule/fulltext/S2542-4351(25)00457-X?rss=yes" TargetMode="External"/><Relationship Id="rId118" Type="http://schemas.openxmlformats.org/officeDocument/2006/relationships/hyperlink" Target="http://dx.doi.org/10.1021/jacs.5c18752" TargetMode="External"/><Relationship Id="rId119" Type="http://schemas.openxmlformats.org/officeDocument/2006/relationships/hyperlink" Target="https://doi.org/10.1021/jacs.5c18752" TargetMode="External"/><Relationship Id="rId120" Type="http://schemas.openxmlformats.org/officeDocument/2006/relationships/hyperlink" Target="https://www.nature.com/articles/s41467-026-70148-1" TargetMode="External"/><Relationship Id="rId121" Type="http://schemas.openxmlformats.org/officeDocument/2006/relationships/hyperlink" Target="http://dx.doi.org/10.1021/acs.chemrev.5c00772" TargetMode="External"/><Relationship Id="rId122" Type="http://schemas.openxmlformats.org/officeDocument/2006/relationships/hyperlink" Target="https://doi.org/10.1021/acs.chemrev.5c00772" TargetMode="External"/><Relationship Id="rId123" Type="http://schemas.openxmlformats.org/officeDocument/2006/relationships/hyperlink" Target="https://advanced.onlinelibrary.wiley.com/doi/10.1002/adma.202519996?af=R" TargetMode="External"/><Relationship Id="rId124" Type="http://schemas.openxmlformats.org/officeDocument/2006/relationships/hyperlink" Target="https://doi.org/10.1002/adma.202519996" TargetMode="External"/><Relationship Id="rId125" Type="http://schemas.openxmlformats.org/officeDocument/2006/relationships/hyperlink" Target="https://www.sciencedirect.com/science/article/pii/S0306261926002722?dgcid=rss_sd_all" TargetMode="External"/><Relationship Id="rId126" Type="http://schemas.openxmlformats.org/officeDocument/2006/relationships/hyperlink" Target="https://www.nature.com/articles/s41467-026-69737-x" TargetMode="External"/><Relationship Id="rId127" Type="http://schemas.openxmlformats.org/officeDocument/2006/relationships/hyperlink" Target="https://doi.org/10.1038/s41467-026-69737-x" TargetMode="External"/><Relationship Id="rId128" Type="http://schemas.openxmlformats.org/officeDocument/2006/relationships/hyperlink" Target="https://www.nature.com/articles/s41893-026-01788-w" TargetMode="External"/><Relationship Id="rId129" Type="http://schemas.openxmlformats.org/officeDocument/2006/relationships/hyperlink" Target="https://onlinelibrary.wiley.com/doi/10.1002/anie.2788872?af=R" TargetMode="External"/><Relationship Id="rId130" Type="http://schemas.openxmlformats.org/officeDocument/2006/relationships/hyperlink" Target="https://doi.org/10.1002/anie.2788872" TargetMode="External"/><Relationship Id="rId131" Type="http://schemas.openxmlformats.org/officeDocument/2006/relationships/hyperlink" Target="https://www.nature.com/articles/s44359-026-00150-9" TargetMode="External"/><Relationship Id="rId132" Type="http://schemas.openxmlformats.org/officeDocument/2006/relationships/hyperlink" Target="https://www.sciencedirect.com/science/article/pii/S0306261926002370?dgcid=rss_sd_all" TargetMode="External"/><Relationship Id="rId133" Type="http://schemas.openxmlformats.org/officeDocument/2006/relationships/hyperlink" Target="https://www.science.org/doi/abs/10.1126/sciadv.aec7443?af=R" TargetMode="External"/><Relationship Id="rId134" Type="http://schemas.openxmlformats.org/officeDocument/2006/relationships/hyperlink" Target="https://doi.org/10.1126/sciadv.aec7443" TargetMode="External"/><Relationship Id="rId135" Type="http://schemas.openxmlformats.org/officeDocument/2006/relationships/hyperlink" Target="https://www.nature.com/articles/d41586-026-00562-4" TargetMode="External"/><Relationship Id="rId136" Type="http://schemas.openxmlformats.org/officeDocument/2006/relationships/hyperlink" Target="https://www.nature.com/articles/d41586-026-00561-5" TargetMode="External"/><Relationship Id="rId137" Type="http://schemas.openxmlformats.org/officeDocument/2006/relationships/hyperlink" Target="https://www.science.org/doi/abs/10.1126/science.aeg7162?af=R" TargetMode="External"/><Relationship Id="rId138" Type="http://schemas.openxmlformats.org/officeDocument/2006/relationships/hyperlink" Target="https://doi.org/10.1126/science.aeg7162" TargetMode="External"/><Relationship Id="rId139" Type="http://schemas.openxmlformats.org/officeDocument/2006/relationships/hyperlink" Target="https://www.sciencedirect.com/science/article/pii/S0301421526000844?dgcid=rss_sd_all" TargetMode="External"/><Relationship Id="rId140" Type="http://schemas.openxmlformats.org/officeDocument/2006/relationships/hyperlink" Target="http://pubs.rsc.org/en/Content/ArticleLanding/2026/EE/D5EE07819A" TargetMode="External"/><Relationship Id="rId141" Type="http://schemas.openxmlformats.org/officeDocument/2006/relationships/hyperlink" Target="https://www.nature.com/articles/d41586-026-00560-6" TargetMode="External"/><Relationship Id="rId142" Type="http://schemas.openxmlformats.org/officeDocument/2006/relationships/hyperlink" Target="https://www.sciencedirect.com/science/article/pii/S0306261926002151?dgcid=rss_sd_all" TargetMode="External"/><Relationship Id="rId143" Type="http://schemas.openxmlformats.org/officeDocument/2006/relationships/hyperlink" Target="https://www.sciencedirect.com/science/article/pii/S0301421526001138?dgcid=rss_sd_all" TargetMode="External"/><Relationship Id="rId144" Type="http://schemas.openxmlformats.org/officeDocument/2006/relationships/hyperlink" Target="https://www.sciencedirect.com/science/article/pii/S030626192600231X?dgcid=rss_sd_all" TargetMode="External"/><Relationship Id="rId145" Type="http://schemas.openxmlformats.org/officeDocument/2006/relationships/hyperlink" Target="https://www.sciencedirect.com/science/article/pii/S0306261926002503?dgcid=rss_sd_all" TargetMode="External"/><Relationship Id="rId146" Type="http://schemas.openxmlformats.org/officeDocument/2006/relationships/hyperlink" Target="https://www.cell.com/matter/fulltext/S2590-2385(25)00666-6?rss=yes" TargetMode="External"/><Relationship Id="rId147" Type="http://schemas.openxmlformats.org/officeDocument/2006/relationships/hyperlink" Target="https://advanced.onlinelibrary.wiley.com/doi/10.1002/adma.202521163?af=R" TargetMode="External"/><Relationship Id="rId148" Type="http://schemas.openxmlformats.org/officeDocument/2006/relationships/hyperlink" Target="https://doi.org/10.1002/adma.202521163" TargetMode="External"/><Relationship Id="rId149" Type="http://schemas.openxmlformats.org/officeDocument/2006/relationships/hyperlink" Target="https://www.sciencedirect.com/science/article/pii/S0306261926002485?dgcid=rss_sd_all" TargetMode="External"/><Relationship Id="rId150" Type="http://schemas.openxmlformats.org/officeDocument/2006/relationships/hyperlink" Target="https://www.nature.com/articles/s41565-026-02136-x" TargetMode="External"/><Relationship Id="rId151" Type="http://schemas.openxmlformats.org/officeDocument/2006/relationships/hyperlink" Target="https://doi.org/10.1038/s41565-026-02136-x" TargetMode="External"/><Relationship Id="rId152" Type="http://schemas.openxmlformats.org/officeDocument/2006/relationships/hyperlink" Target="http://pubs.rsc.org/en/Content/ArticleLanding/2026/EE/D6EE00643D" TargetMode="External"/><Relationship Id="rId153" Type="http://schemas.openxmlformats.org/officeDocument/2006/relationships/hyperlink" Target="https://www.sciencedirect.com/science/article/pii/S0306261926002369?dgcid=rss_sd_all" TargetMode="External"/><Relationship Id="rId154" Type="http://schemas.openxmlformats.org/officeDocument/2006/relationships/hyperlink" Target="https://www.science.org/doi/abs/10.1126/sciadv.ady6378?af=R" TargetMode="External"/><Relationship Id="rId155" Type="http://schemas.openxmlformats.org/officeDocument/2006/relationships/hyperlink" Target="https://doi.org/10.1126/sciadv.ady6378" TargetMode="External"/><Relationship Id="rId156" Type="http://schemas.openxmlformats.org/officeDocument/2006/relationships/hyperlink" Target="https://advanced.onlinelibrary.wiley.com/doi/10.1002/adma.72666?af=R" TargetMode="External"/><Relationship Id="rId157" Type="http://schemas.openxmlformats.org/officeDocument/2006/relationships/hyperlink" Target="https://doi.org/10.1002/adma.72666" TargetMode="External"/><Relationship Id="rId158" Type="http://schemas.openxmlformats.org/officeDocument/2006/relationships/hyperlink" Target="https://advanced.onlinelibrary.wiley.com/doi/10.1002/aenm.70795?af=R" TargetMode="External"/><Relationship Id="rId159" Type="http://schemas.openxmlformats.org/officeDocument/2006/relationships/hyperlink" Target="https://doi.org/10.1002/aenm.70795" TargetMode="External"/><Relationship Id="rId160" Type="http://schemas.openxmlformats.org/officeDocument/2006/relationships/hyperlink" Target="https://www.sciencedirect.com/science/article/pii/S0306261926002655?dgcid=rss_sd_all" TargetMode="External"/><Relationship Id="rId161" Type="http://schemas.openxmlformats.org/officeDocument/2006/relationships/hyperlink" Target="https://www.sciencedirect.com/science/article/pii/S0301421526001266?dgcid=rss_sd_all" TargetMode="External"/><Relationship Id="rId162" Type="http://schemas.openxmlformats.org/officeDocument/2006/relationships/hyperlink" Target="https://www.nature.com/articles/d41586-026-00544-6" TargetMode="External"/><Relationship Id="rId163" Type="http://schemas.openxmlformats.org/officeDocument/2006/relationships/hyperlink" Target="https://www.nature.com/articles/s41467-026-70049-3" TargetMode="External"/><Relationship Id="rId164" Type="http://schemas.openxmlformats.org/officeDocument/2006/relationships/hyperlink" Target="https://www.pnas.org/doi/abs/10.1073/pnas.2526802123?mi=eymic2&amp;af=R&amp;access=on&amp;content=articlesChapters&amp;publication=pnas&amp;sortBy=Earliest&amp;target=default" TargetMode="External"/><Relationship Id="rId165" Type="http://schemas.openxmlformats.org/officeDocument/2006/relationships/hyperlink" Target="https://doi.org/10.1073/pnas.2526802123" TargetMode="External"/><Relationship Id="rId166" Type="http://schemas.openxmlformats.org/officeDocument/2006/relationships/hyperlink" Target="https://www.sciencedirect.com/science/article/pii/S0301421526001485?dgcid=rss_sd_all" TargetMode="External"/><Relationship Id="rId167" Type="http://schemas.openxmlformats.org/officeDocument/2006/relationships/hyperlink" Target="https://www.sciencedirect.com/science/article/pii/S0306261926002138?dgcid=rss_sd_all" TargetMode="External"/><Relationship Id="rId168" Type="http://schemas.openxmlformats.org/officeDocument/2006/relationships/hyperlink" Target="https://www.sciencedirect.com/science/article/pii/S0306261926002114?dgcid=rss_sd_all" TargetMode="External"/><Relationship Id="rId169" Type="http://schemas.openxmlformats.org/officeDocument/2006/relationships/hyperlink" Target="https://academic.oup.com/nsr/advance-article/doi/10.1093/nsr/nwag116/8496058?rss=1" TargetMode="External"/><Relationship Id="rId170" Type="http://schemas.openxmlformats.org/officeDocument/2006/relationships/hyperlink" Target="https://doi.org/10.1093/nsr/nwag116/8496058" TargetMode="External"/><Relationship Id="rId171" Type="http://schemas.openxmlformats.org/officeDocument/2006/relationships/hyperlink" Target="https://www.cell.com/chem/fulltext/S2451-9294(25)00501-7?rss=yes" TargetMode="External"/><Relationship Id="rId172" Type="http://schemas.openxmlformats.org/officeDocument/2006/relationships/hyperlink" Target="https://www.nature.com/articles/s44286-026-00366-3" TargetMode="External"/><Relationship Id="rId173" Type="http://schemas.openxmlformats.org/officeDocument/2006/relationships/hyperlink" Target="https://www.sciencedirect.com/science/article/pii/S0306261926002102?dgcid=rss_sd_all" TargetMode="External"/><Relationship Id="rId174" Type="http://schemas.openxmlformats.org/officeDocument/2006/relationships/hyperlink" Target="http://dx.doi.org/10.1021/jacs.5c20976" TargetMode="External"/><Relationship Id="rId175" Type="http://schemas.openxmlformats.org/officeDocument/2006/relationships/hyperlink" Target="https://doi.org/10.1021/jacs.5c20976" TargetMode="External"/><Relationship Id="rId176" Type="http://schemas.openxmlformats.org/officeDocument/2006/relationships/hyperlink" Target="https://www.sciencedirect.com/science/article/pii/S0306261926002357?dgcid=rss_sd_all" TargetMode="External"/><Relationship Id="rId177" Type="http://schemas.openxmlformats.org/officeDocument/2006/relationships/hyperlink" Target="https://www.cell.com/chem/fulltext/S2451-9294(26)00024-0?rss=yes" TargetMode="External"/><Relationship Id="rId178" Type="http://schemas.openxmlformats.org/officeDocument/2006/relationships/hyperlink" Target="https://www.cell.com/chem/fulltext/S2451-9294(25)00509-1?rss=yes" TargetMode="External"/><Relationship Id="rId179" Type="http://schemas.openxmlformats.org/officeDocument/2006/relationships/hyperlink" Target="https://doi.org/10.1016/j.chempr.2025.102918" TargetMode="External"/><Relationship Id="rId180" Type="http://schemas.openxmlformats.org/officeDocument/2006/relationships/hyperlink" Target="https://www.pnas.org/doi/abs/10.1073/pnas.2528655123?mi=eymic2&amp;af=R&amp;access=on&amp;content=articlesChapters&amp;publication=pnas&amp;sortBy=Earliest&amp;target=default" TargetMode="External"/><Relationship Id="rId181" Type="http://schemas.openxmlformats.org/officeDocument/2006/relationships/hyperlink" Target="https://doi.org/10.1073/pnas.2528655123" TargetMode="External"/><Relationship Id="rId182" Type="http://schemas.openxmlformats.org/officeDocument/2006/relationships/hyperlink" Target="https://www.sciencedirect.com/science/article/pii/S0306261926002308?dgcid=rss_sd_all" TargetMode="External"/><Relationship Id="rId183" Type="http://schemas.openxmlformats.org/officeDocument/2006/relationships/hyperlink" Target="http://dx.doi.org/10.1021/jacs.6c01318" TargetMode="External"/><Relationship Id="rId184" Type="http://schemas.openxmlformats.org/officeDocument/2006/relationships/hyperlink" Target="https://doi.org/10.1021/jacs.6c01318" TargetMode="External"/><Relationship Id="rId185" Type="http://schemas.openxmlformats.org/officeDocument/2006/relationships/hyperlink" Target="http://pubs.rsc.org/en/Content/ArticleLanding/2026/EE/D5EE05955K" TargetMode="External"/><Relationship Id="rId186" Type="http://schemas.openxmlformats.org/officeDocument/2006/relationships/hyperlink" Target="https://www.nature.com/articles/s41578-026-009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