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2026-04-24</w:t>
      </w:r>
    </w:p>
    <w:p>
      <w:pPr>
        <w:spacing w:before="160" w:after="120"/>
      </w:pPr>
      <w:r>
        <w:rPr>
          <w:b/>
          <w:sz w:val="28"/>
        </w:rPr>
        <w:t>【光伏】</w:t>
      </w:r>
    </w:p>
    <w:p>
      <w:pPr>
        <w:spacing w:before="160" w:after="40" w:line="240" w:lineRule="auto"/>
      </w:pPr>
      <w:r>
        <w:rPr>
          <w:b/>
        </w:rPr>
        <w:t xml:space="preserve">[1] </w:t>
      </w:r>
      <w:hyperlink r:id="rId9">
        <w:r>
          <w:rPr>
            <w:color w:val="1155CC"/>
            <w:u w:val="single"/>
          </w:rPr>
          <w:t>多维农业光伏评级系统以满足不同利益相关者及其优先事项</w:t>
        </w:r>
      </w:hyperlink>
    </w:p>
    <w:p>
      <w:pPr>
        <w:spacing w:before="0" w:after="80"/>
      </w:pPr>
      <w:r>
        <w:rPr>
          <w:i/>
          <w:sz w:val="20"/>
        </w:rPr>
        <w:t>EN: A multi-dimensional agrivoltaics rating system for diverse stakeholders and their priorities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PVCA：基于元胞自动机和时空大数据的太阳能光伏部署框架</w:t>
        </w:r>
      </w:hyperlink>
    </w:p>
    <w:p>
      <w:pPr>
        <w:spacing w:before="0" w:after="80"/>
      </w:pPr>
      <w:r>
        <w:rPr>
          <w:i/>
          <w:sz w:val="20"/>
        </w:rPr>
        <w:t>EN: PVCA: cellular automata and spatiotemporal big data driven framework for solar photovoltaic deployment</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AutoPV：用于光伏预测模型自动化设计的智能框架</w:t>
        </w:r>
      </w:hyperlink>
    </w:p>
    <w:p>
      <w:pPr>
        <w:spacing w:before="0" w:after="80"/>
      </w:pPr>
      <w:r>
        <w:rPr>
          <w:i/>
          <w:sz w:val="20"/>
        </w:rPr>
        <w:t>EN: AutoPV: An intelligent framework for automated design of photovoltaic forecasting models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光致互变驱动的能量转移在空穴传输界面稳定高效倒置钙钛矿太阳能电池</w:t>
        </w:r>
      </w:hyperlink>
    </w:p>
    <w:p>
      <w:pPr>
        <w:spacing w:before="0" w:after="80"/>
      </w:pPr>
      <w:r>
        <w:rPr>
          <w:i/>
          <w:sz w:val="20"/>
        </w:rPr>
        <w:t>EN: Photo‐Tautomerization‐Driven Energy Transfer at the Hole‐Transport Interface Stabilizes Efficient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2026-04-18 13:26:49+00:00</w:t>
      </w:r>
      <w:r>
        <w:t xml:space="preserve">    </w:t>
      </w:r>
      <w:r>
        <w:rPr>
          <w:b/>
        </w:rPr>
        <w:t xml:space="preserve">DOI: </w:t>
      </w:r>
      <w:hyperlink r:id="rId13">
        <w:r>
          <w:rPr>
            <w:color w:val="1155CC"/>
            <w:u w:val="single"/>
          </w:rPr>
          <w:t>10.1002/anie.3596437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s）提供高功率转换效率（PCEs），但受到紫外线诱导的降解影响，阻碍了其实际应用。在此，我们通过在空穴传输层（HTL）/钙钛矿界面引入福斯特共振能量转移（FRET）通道，结合紫外线吸收剂N‐(2‐乙氧基苯基)‐N’‐(2‐乙基苯基)乙酰胺（UV‐312）。在紫外线照射下，UV‐312采用酮醇共振构型，促进超快FRET（约20 ps）到界面。此过程促进电荷分离并抑制紫外线诱导的Pb–I键解离，从而保持[PbI</w:t>
      </w:r>
      <w:r>
        <w:rPr>
          <w:vertAlign w:val="subscript"/>
        </w:rPr>
        <w:t>6</w:t>
      </w:r>
      <w:r>
        <w:t>]4–八面体框架并增强紫外线应力</w:t>
      </w:r>
    </w:p>
    <w:p>
      <w:pPr>
        <w:spacing w:before="0" w:after="200" w:lineRule="auto" w:line="276"/>
      </w:pPr>
      <w:r>
        <w:rPr>
          <w:b/>
        </w:rPr>
        <w:t xml:space="preserve">Abstract (EN): </w:t>
      </w:r>
      <w:r>
        <w:t>Perovskite solar cells (PSCs) offer high power conversion efficiencies (PCEs) but suffer from UV‐induced degradation, hindering their practical deployment. Here, we introduce a Förster resonance energy transfer (FRET) channel at the hole‐transport layer (HTL)/perovskite interface by incorporating the ultraviolet absorber N‐(2‐ethoxyphenyl)‐N’‐(2‐ethylphenyl)oxamide (UV‐312). Under UV irradiation, UV‐312 adopts an enol‐resonant configuration that facilitates ultrafast FRET (∼20 ps) to the interface. This process promotes charge separation and suppresses UV‐induced Pb–I bond dissociation, thereby preserving the [PbI</w:t>
      </w:r>
      <w:r>
        <w:rPr>
          <w:vertAlign w:val="subscript"/>
        </w:rPr>
        <w:t>6</w:t>
      </w:r>
      <w:r>
        <w:t>]</w:t>
      </w:r>
      <w:r>
        <w:t xml:space="preserve"> </w:t>
      </w:r>
      <w:r>
        <w:t>4–</w:t>
      </w:r>
      <w:r>
        <w:t xml:space="preserve"> </w:t>
      </w:r>
      <w:r>
        <w:t>octahedral framework and enhancing UV‐stress resilience. Moreover, the rigid, extended conjugation of UV‐312 mitigates MeO‐2PACz aggregation, optimizing interfacial energy‐level alignment and minimizing stress inhomogeneity. Consequently, the champion device (aperture area: 0.09 cm</w:t>
      </w:r>
      <w:r>
        <w:rPr>
          <w:vertAlign w:val="subscript"/>
        </w:rPr>
        <w:t>2</w:t>
      </w:r>
      <w:r>
        <w:t>) achieves a remarkable PCE of 27.05% with a high open‑circuit voltage of 1.186 V and a minimal non‐radiative voltage loss of only 61 mV. Impressively, the performance scales to 25.08% for a 1 cm</w:t>
      </w:r>
      <w:r>
        <w:rPr>
          <w:vertAlign w:val="subscript"/>
        </w:rPr>
        <w:t>2</w:t>
      </w:r>
      <w:r>
        <w:t>PSC and 23.00% for a 12.96 cm</w:t>
      </w:r>
      <w:r>
        <w:rPr>
          <w:vertAlign w:val="subscript"/>
        </w:rPr>
        <w:t>2</w:t>
      </w:r>
      <w:r>
        <w:t>mini‑module, accompanied by robust operational stability under continuous light, heat, and UV stress. This work redefines UV absorbers as active energy‐management units, offering a unified approach to simultaneously address efficiency and stability issues in perovskite photovoltaics.</w:t>
      </w:r>
    </w:p>
    <w:p>
      <w:pPr>
        <w:spacing w:before="120" w:after="120"/>
      </w:pPr>
      <w:r>
        <w:rPr>
          <w:sz w:val="18"/>
        </w:rPr>
        <w:t>——————————————————————————————————————————————————————————————————————</w:t>
      </w:r>
    </w:p>
    <w:p>
      <w:pPr>
        <w:spacing w:before="160" w:after="40" w:line="240" w:lineRule="auto"/>
      </w:pPr>
      <w:r>
        <w:rPr>
          <w:b/>
        </w:rPr>
        <w:t xml:space="preserve">[5] </w:t>
      </w:r>
      <w:hyperlink r:id="rId14">
        <w:r>
          <w:rPr>
            <w:color w:val="1155CC"/>
            <w:u w:val="single"/>
          </w:rPr>
          <w:t>通过辐射冷却和绿色屋顶的光电热优化提升双面屋顶光伏性能</w:t>
        </w:r>
      </w:hyperlink>
    </w:p>
    <w:p>
      <w:pPr>
        <w:spacing w:before="0" w:after="80"/>
      </w:pPr>
      <w:r>
        <w:rPr>
          <w:i/>
          <w:sz w:val="20"/>
        </w:rPr>
        <w:t>EN: Boosting bifacial rooftop PV Performance via optical–electrical–thermal optimization of radiative cooling and green roofs</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
        <w:r>
          <w:rPr>
            <w:color w:val="1155CC"/>
            <w:u w:val="single"/>
          </w:rPr>
          <w:t>并网太阳能电厂的多功能低电压穿越控制策略：综合评述</w:t>
        </w:r>
      </w:hyperlink>
    </w:p>
    <w:p>
      <w:pPr>
        <w:spacing w:before="0" w:after="80"/>
      </w:pPr>
      <w:r>
        <w:rPr>
          <w:i/>
          <w:sz w:val="20"/>
        </w:rPr>
        <w:t>EN: Multi-functional low voltage ride-through control strategies for grid-interfaced solar power plants: A comprehensive review</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6">
        <w:r>
          <w:rPr>
            <w:color w:val="1155CC"/>
            <w:u w:val="single"/>
          </w:rPr>
          <w:t>增强独立光伏-电解槽系统的操作弹性：单级和双级电力接口架构的比较分析</w:t>
        </w:r>
      </w:hyperlink>
    </w:p>
    <w:p>
      <w:pPr>
        <w:spacing w:before="0" w:after="80"/>
      </w:pPr>
      <w:r>
        <w:rPr>
          <w:i/>
          <w:sz w:val="20"/>
        </w:rPr>
        <w:t>EN: Enhancing operational resilience of standalone photovoltaic-electrolyzer systems: A comparative analysis of single- and dual-stage power interface architectures</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
        <w:r>
          <w:rPr>
            <w:color w:val="1155CC"/>
            <w:u w:val="single"/>
          </w:rPr>
          <w:t>共轭胺配体诱导的稳健导电中间层实现高效耐久的n‐i‐p钙钛矿太阳能电池</w:t>
        </w:r>
      </w:hyperlink>
    </w:p>
    <w:p>
      <w:pPr>
        <w:spacing w:before="0" w:after="80"/>
      </w:pPr>
      <w:r>
        <w:rPr>
          <w:i/>
          <w:sz w:val="20"/>
        </w:rPr>
        <w:t>EN: Conjugated Amine Ligand‐Induced Robust‐Conductive Interlayer Enables Efficient and Durable n‐i‐p Perovskite Solar Cells</w:t>
      </w:r>
    </w:p>
    <w:p>
      <w:pPr>
        <w:spacing w:before="0" w:after="120"/>
      </w:pPr>
      <w:r>
        <w:rPr>
          <w:b/>
        </w:rPr>
        <w:t xml:space="preserve">Source: </w:t>
      </w:r>
      <w:r>
        <w:t>Wiley: Advanced Materials: Table of Contents</w:t>
      </w:r>
      <w:r>
        <w:t xml:space="preserve">    </w:t>
      </w:r>
      <w:r>
        <w:rPr>
          <w:b/>
        </w:rPr>
        <w:t xml:space="preserve">Pub date: </w:t>
      </w:r>
      <w:r>
        <w:t>2026-04-20 08:32:37+00:00</w:t>
      </w:r>
      <w:r>
        <w:t xml:space="preserve">    </w:t>
      </w:r>
      <w:r>
        <w:rPr>
          <w:b/>
        </w:rPr>
        <w:t xml:space="preserve">DOI: </w:t>
      </w:r>
      <w:hyperlink r:id="rId18">
        <w:r>
          <w:rPr>
            <w:color w:val="1155CC"/>
            <w:u w:val="single"/>
          </w:rPr>
          <w:t>10.1002/adma.73161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维/三维（LD/3D）钙钛矿异质结在光伏领域表现出极大的潜力，但其性能仍受限于界面缺陷钝化与电荷提取效率之间的固有妥协。为解决这一挑战，我们推动了对具有适度反应性的铵配体的探索，以促进异质结电荷传输，同时抑制阳离子迁移，从而在高效率与卓越的操作稳定性之间取得平衡。特别是，我们设计了一种</w:t>
      </w:r>
      <w:r>
        <w:t xml:space="preserve"> </w:t>
      </w:r>
      <w:r>
        <w:t>π</w:t>
      </w:r>
      <w:r>
        <w:t xml:space="preserve"> </w:t>
      </w:r>
      <w:r>
        <w:t>-共轭的季铵配体PCOZI（4-苯基-1,3-恶唑-2-基-庚基-二甲基铵碘化物）作为3D钙钛矿薄膜的表面修饰剂，导致</w:t>
      </w:r>
    </w:p>
    <w:p>
      <w:pPr>
        <w:spacing w:before="0" w:after="200" w:lineRule="auto" w:line="276"/>
      </w:pPr>
      <w:r>
        <w:rPr>
          <w:b/>
        </w:rPr>
        <w:t xml:space="preserve">Abstract (EN): </w:t>
      </w:r>
      <w:r>
        <w:t>Low‐dimensional/three‐dimensional (LD/3D) perovskite heterojunctions have demonstrated exceptional promise in photovoltaics, yet their performance remains constrained by the inherent compromise between interfacial defect passivation and charge extraction efficiency. To address this challenge, we prompt the exploration of ammonium ligands with moderate reactivity to facilitate heterojunction charge transport while suppressing cation migration, thereby reconciling high efficiency with outstanding operational stability. Specially, we designed a</w:t>
      </w:r>
      <w:r>
        <w:t xml:space="preserve"> </w:t>
      </w:r>
      <w:r>
        <w:t>π</w:t>
      </w:r>
      <w:r>
        <w:t xml:space="preserve"> </w:t>
      </w:r>
      <w:r>
        <w:t>‐conjugated quaternary ammonium ligand PCOZI (4‐phenyl‐1,3‐oxazol‐2‐yl‐heptyl‐dimethylammonium iodide) as a surface modifier for 3D perovskite films, leading to the formation of a stable 1D (PCOZ)PbI</w:t>
      </w:r>
      <w:r>
        <w:rPr>
          <w:vertAlign w:val="subscript"/>
        </w:rPr>
        <w:t>3</w:t>
      </w:r>
      <w:r>
        <w:t>protecting layer. The resulting near‐conformal and structurally ordered interface effectively balances defect passivation with unimpeded charge transfer, significantly mitigating non‐radiative recombination and ion redistribution under operational stressors. Remarkably, the optimized devices incorporating the PCOZI interlayer yield a record‐breaking power conversion efficiency (PCE) of 26.33%, certified at 26.29%, setting a new benchmark for 1D/3D n‐i‐p PSCs, while the device also exhibits outstanding operational stability, retaining 94.2% of its initial efficiency after 1000 h of continuous operation under the ISOS‐L‐3 protocol. Notably, a minimodule with an aperture area of 10.24 cm</w:t>
      </w:r>
      <w:r>
        <w:rPr>
          <w:vertAlign w:val="subscript"/>
        </w:rPr>
        <w:t>2</w:t>
      </w:r>
      <w:r>
        <w:t>also achieves a remarkable PCE of 23.15%, underscoring the scalability and practical relevance of this interfacial stabilization approach.</w:t>
      </w:r>
    </w:p>
    <w:p>
      <w:pPr>
        <w:spacing w:before="120" w:after="120"/>
      </w:pPr>
      <w:r>
        <w:rPr>
          <w:sz w:val="18"/>
        </w:rPr>
        <w:t>——————————————————————————————————————————————————————————————————————</w:t>
      </w:r>
    </w:p>
    <w:p>
      <w:pPr>
        <w:spacing w:before="160" w:after="40" w:line="240" w:lineRule="auto"/>
      </w:pPr>
      <w:r>
        <w:rPr>
          <w:b/>
        </w:rPr>
        <w:t xml:space="preserve">[9] </w:t>
      </w:r>
      <w:hyperlink r:id="rId19">
        <w:r>
          <w:rPr>
            <w:color w:val="1155CC"/>
            <w:u w:val="single"/>
          </w:rPr>
          <w:t>瞬态界面辅助无抗溶剂钙钛矿结晶以增强器件性能</w:t>
        </w:r>
      </w:hyperlink>
    </w:p>
    <w:p>
      <w:pPr>
        <w:spacing w:before="0" w:after="80"/>
      </w:pPr>
      <w:r>
        <w:rPr>
          <w:i/>
          <w:sz w:val="20"/>
        </w:rPr>
        <w:t>EN: Transient Interphase Assisted Crystallization of Antisolvent‐Free Perovskite for Enhanced Device Performance</w:t>
      </w:r>
    </w:p>
    <w:p>
      <w:pPr>
        <w:spacing w:before="0" w:after="120"/>
      </w:pPr>
      <w:r>
        <w:rPr>
          <w:b/>
        </w:rPr>
        <w:t xml:space="preserve">Source: </w:t>
      </w:r>
      <w:r>
        <w:t>Wiley: Advanced Materials: Table of Contents</w:t>
      </w:r>
      <w:r>
        <w:t xml:space="preserve">    </w:t>
      </w:r>
      <w:r>
        <w:rPr>
          <w:b/>
        </w:rPr>
        <w:t xml:space="preserve">Pub date: </w:t>
      </w:r>
      <w:r>
        <w:t>2026-04-20 08:35:02+00:00</w:t>
      </w:r>
      <w:r>
        <w:t xml:space="preserve">    </w:t>
      </w:r>
      <w:r>
        <w:rPr>
          <w:b/>
        </w:rPr>
        <w:t xml:space="preserve">DOI: </w:t>
      </w:r>
      <w:hyperlink r:id="rId20">
        <w:r>
          <w:rPr>
            <w:color w:val="1155CC"/>
            <w:u w:val="single"/>
          </w:rPr>
          <w:t>10.1002/adma.73056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抗溶剂钙钛矿太阳能电池（PSCs）是一种具有可扩展制造潜力的技术。由于更复杂的结晶过程，限制器件性能的关键因素是由各种成分不同的结晶速率引起的相分离。在此，我们提出了一种瞬态界面策略，以操控成核过程和晶体生长，从而在无抗溶剂的情况下提高器件性能。我们发现，四甲基脲（TMU）能够诱导与富铯成分的瞬时成核，并形成瞬态界面，从而平衡综合结晶以形成α-CsXFA</w:t>
      </w:r>
    </w:p>
    <w:p>
      <w:pPr>
        <w:spacing w:before="0" w:after="200" w:lineRule="auto" w:line="276"/>
      </w:pPr>
      <w:r>
        <w:rPr>
          <w:b/>
        </w:rPr>
        <w:t xml:space="preserve">Abstract (EN): </w:t>
      </w:r>
      <w:r>
        <w:t>Antisolvent‐free perovskite solar cells (PSCs) are a promising technology for scalable manufacturing. Due to a more complicated crystallization process, a key factor limiting device performance is phase segregation induced by the varying crystallization rates of the various components. Herein, we propose a transient interphase strategy to manipulate the nucleation process and crystal growth for enhanced device performance without an antisolvent. We found that tetramethylurea (TMU) induces instantaneous nucleation with a Cs‐rich component and forms a transient interphase, which balances the integrated crystallization for the formation of</w:t>
      </w:r>
      <w:r>
        <w:t xml:space="preserve"> </w:t>
      </w:r>
      <w:r>
        <w:t>α</w:t>
      </w:r>
      <w:r>
        <w:t xml:space="preserve"> </w:t>
      </w:r>
      <w:r>
        <w:t>‐Cs</w:t>
      </w:r>
      <w:r>
        <w:t xml:space="preserve"> </w:t>
      </w:r>
      <w:r>
        <w:t>X</w:t>
      </w:r>
      <w:r>
        <w:t xml:space="preserve"> </w:t>
      </w:r>
      <w:r>
        <w:t>FA</w:t>
      </w:r>
      <w:r>
        <w:t xml:space="preserve"> </w:t>
      </w:r>
      <w:r>
        <w:t>1−X</w:t>
      </w:r>
      <w:r>
        <w:t xml:space="preserve"> </w:t>
      </w:r>
      <w:r>
        <w:t>PbI</w:t>
      </w:r>
      <w:r>
        <w:rPr>
          <w:vertAlign w:val="subscript"/>
        </w:rPr>
        <w:t>3</w:t>
      </w:r>
      <w:r>
        <w:t>phase. This approach enhances device performance with an efficiency up to 25.63% and a module efficiency of 19.62%. Crucially, suppressed phase segregation endows exceptional stability: devices show negligible degradation after 1700 h (ISOS‐L‐1) and retain 90% of their initial efficiency after 3500 h. It represents the longest reported MPPT stability for antisolvent‐free Cs</w:t>
      </w:r>
      <w:r>
        <w:t xml:space="preserve"> </w:t>
      </w:r>
      <w:r>
        <w:t>X</w:t>
      </w:r>
      <w:r>
        <w:t xml:space="preserve"> </w:t>
      </w:r>
      <w:r>
        <w:t>FA</w:t>
      </w:r>
      <w:r>
        <w:t xml:space="preserve"> </w:t>
      </w:r>
      <w:r>
        <w:t>1−X</w:t>
      </w:r>
      <w:r>
        <w:t xml:space="preserve"> </w:t>
      </w:r>
      <w:r>
        <w:t>PbI</w:t>
      </w:r>
      <w:r>
        <w:rPr>
          <w:vertAlign w:val="subscript"/>
        </w:rPr>
        <w:t>3</w:t>
      </w:r>
      <w:r>
        <w:t>‐based PSCs to date.</w:t>
      </w:r>
    </w:p>
    <w:p>
      <w:pPr>
        <w:spacing w:before="120" w:after="120"/>
      </w:pPr>
      <w:r>
        <w:rPr>
          <w:sz w:val="18"/>
        </w:rPr>
        <w:t>——————————————————————————————————————————————————————————————————————</w:t>
      </w:r>
    </w:p>
    <w:p>
      <w:pPr>
        <w:spacing w:before="160" w:after="40" w:line="240" w:lineRule="auto"/>
      </w:pPr>
      <w:r>
        <w:rPr>
          <w:b/>
        </w:rPr>
        <w:t xml:space="preserve">[10] </w:t>
      </w:r>
      <w:hyperlink r:id="rId21">
        <w:r>
          <w:rPr>
            <w:color w:val="1155CC"/>
            <w:u w:val="single"/>
          </w:rPr>
          <w:t>一石三鸟策略：CdS缓冲层中的多功能Y掺杂实现15.19%高效黄铜矿太阳能电池</w:t>
        </w:r>
      </w:hyperlink>
    </w:p>
    <w:p>
      <w:pPr>
        <w:spacing w:before="0" w:after="80"/>
      </w:pPr>
      <w:r>
        <w:rPr>
          <w:i/>
          <w:sz w:val="20"/>
        </w:rPr>
        <w:t>EN: A “One‐Stone‐Three‐Birds” Strategy: Multifunctional Y‐Doping in CdS Buffer Layer Enables 15.19% Efficient Kesterite Solar Cells</w:t>
      </w:r>
    </w:p>
    <w:p>
      <w:pPr>
        <w:spacing w:before="0" w:after="120"/>
      </w:pPr>
      <w:r>
        <w:rPr>
          <w:b/>
        </w:rPr>
        <w:t xml:space="preserve">Source: </w:t>
      </w:r>
      <w:r>
        <w:t>Wiley: Advanced Energy Materials: Table of Contents</w:t>
      </w:r>
      <w:r>
        <w:t xml:space="preserve">    </w:t>
      </w:r>
      <w:r>
        <w:rPr>
          <w:b/>
        </w:rPr>
        <w:t xml:space="preserve">Pub date: </w:t>
      </w:r>
      <w:r>
        <w:t>2026-04-20 11:35:30+00:00</w:t>
      </w:r>
      <w:r>
        <w:t xml:space="preserve">    </w:t>
      </w:r>
      <w:r>
        <w:rPr>
          <w:b/>
        </w:rPr>
        <w:t xml:space="preserve">DOI: </w:t>
      </w:r>
      <w:hyperlink r:id="rId22">
        <w:r>
          <w:rPr>
            <w:color w:val="1155CC"/>
            <w:u w:val="single"/>
          </w:rPr>
          <w:t>10.1002/aenm.70972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硫属化物Cu2ZnSn(S,Se)4 (CZTSSe)太阳能电池的开路电压(VOC)损失仍然是一个主要挑战，主要归因于非理想的能带对齐、低载流子浓度以及CdS缓冲层内的次相形成导致的界面复合。传统的CdS阳离子掺杂策略通常提高了载流子密度，但加剧了导带偏移(CBO)，限制了VOC的提升。在此，我们提出了一种新颖的循环浸泡技术用于三功能钇(Y</w:t>
      </w:r>
    </w:p>
    <w:p>
      <w:pPr>
        <w:spacing w:before="0" w:after="200" w:lineRule="auto" w:line="276"/>
      </w:pPr>
      <w:r>
        <w:rPr>
          <w:b/>
        </w:rPr>
        <w:t xml:space="preserve">Abstract (EN): </w:t>
      </w:r>
      <w:r>
        <w:t>The substantial open‐circuit voltage (</w:t>
      </w:r>
      <w:r>
        <w:t xml:space="preserve"> </w:t>
      </w:r>
      <w:r>
        <w:t>V</w:t>
      </w:r>
      <w:r>
        <w:t xml:space="preserve"> </w:t>
      </w:r>
      <w:r>
        <w:t>OC</w:t>
      </w:r>
      <w:r>
        <w:t xml:space="preserve"> </w:t>
      </w:r>
      <w:r>
        <w:t>) deficit in kesterite Cu</w:t>
      </w:r>
      <w:r>
        <w:rPr>
          <w:vertAlign w:val="subscript"/>
        </w:rPr>
        <w:t>2</w:t>
      </w:r>
      <w:r>
        <w:t>ZnSn(S,Se)</w:t>
      </w:r>
      <w:r>
        <w:rPr>
          <w:vertAlign w:val="subscript"/>
        </w:rPr>
        <w:t>4</w:t>
      </w:r>
      <w:r>
        <w:t>(CZTSSe) solar cells remains a major challenge, primarily attributed to interfacial recombination resulting from non‐ideal band alignment, low carrier concentration, and secondary phase formation within the CdS buffer layer. Conventional cationic doping strategies for CdS often improve carrier density but exacerbate the conduction band offset (CBO), limiting</w:t>
      </w:r>
      <w:r>
        <w:t xml:space="preserve"> </w:t>
      </w:r>
      <w:r>
        <w:t>V</w:t>
      </w:r>
      <w:r>
        <w:t xml:space="preserve"> </w:t>
      </w:r>
      <w:r>
        <w:t>OC</w:t>
      </w:r>
      <w:r>
        <w:t xml:space="preserve"> </w:t>
      </w:r>
      <w:r>
        <w:t>enhancement. Herein, we propose a novel cyclic‐immersion technique for trifunctional yttrium (Y</w:t>
      </w:r>
      <w:r>
        <w:t xml:space="preserve"> </w:t>
      </w:r>
      <w:r>
        <w:t>3+</w:t>
      </w:r>
      <w:r>
        <w:t xml:space="preserve"> </w:t>
      </w:r>
      <w:r>
        <w:t>) doping of the CdS layer. The incorporated Y</w:t>
      </w:r>
      <w:r>
        <w:rPr>
          <w:vertAlign w:val="subscript"/>
        </w:rPr>
        <w:t>3</w:t>
      </w:r>
      <w:r>
        <w:t>+</w:t>
      </w:r>
      <w:r>
        <w:t xml:space="preserve"> </w:t>
      </w:r>
      <w:r>
        <w:t>ions substitute Cd sites and introduce donor defects (Y</w:t>
      </w:r>
      <w:r>
        <w:t xml:space="preserve"> </w:t>
      </w:r>
      <w:r>
        <w:t>Cd</w:t>
      </w:r>
      <w:r>
        <w:t xml:space="preserve"> </w:t>
      </w:r>
      <w:r>
        <w:t>and V</w:t>
      </w:r>
      <w:r>
        <w:t xml:space="preserve"> </w:t>
      </w:r>
      <w:r>
        <w:t>S</w:t>
      </w:r>
      <w:r>
        <w:t xml:space="preserve"> </w:t>
      </w:r>
      <w:r>
        <w:t>), significantly increasing electron concentration. Simultaneously, Y doping induces a downward shift of the conduction band minimum, thereby reducing the CBO and facilitating better electron extraction. Moreover, Y incorporation effectively passivates interfacial defects (e.g., V</w:t>
      </w:r>
      <w:r>
        <w:t xml:space="preserve"> </w:t>
      </w:r>
      <w:r>
        <w:t>Cd</w:t>
      </w:r>
      <w:r>
        <w:t xml:space="preserve"> </w:t>
      </w:r>
      <w:r>
        <w:t>) by suppressing the formation of impurity phases like CdO and Cd(OH)</w:t>
      </w:r>
      <w:r>
        <w:rPr>
          <w:vertAlign w:val="subscript"/>
        </w:rPr>
        <w:t>2</w:t>
      </w:r>
      <w:r>
        <w:t>, thus mitigating non‐radiative recombination. Consequently, the optimized device demonstrates a power conversion efficiency of 15.19% with a</w:t>
      </w:r>
      <w:r>
        <w:t xml:space="preserve"> </w:t>
      </w:r>
      <w:r>
        <w:t>V</w:t>
      </w:r>
      <w:r>
        <w:t xml:space="preserve"> </w:t>
      </w:r>
      <w:r>
        <w:t>OC</w:t>
      </w:r>
      <w:r>
        <w:t xml:space="preserve"> </w:t>
      </w:r>
      <w:r>
        <w:t>of 572.1 mV, ranking among the most efficient CZTSSe solar cells. This work demonstrates a synergistic approach that integrates carrier concentration enhancement, band alignment engineering, and defect passivation through rare‐earth doping of CdS, providing a validated route to high‐performance kesterite photovoltaics.</w:t>
      </w:r>
    </w:p>
    <w:p>
      <w:pPr>
        <w:spacing w:before="120" w:after="120"/>
      </w:pPr>
      <w:r>
        <w:rPr>
          <w:sz w:val="18"/>
        </w:rPr>
        <w:t>——————————————————————————————————————————————————————————————————————</w:t>
      </w:r>
    </w:p>
    <w:p>
      <w:pPr>
        <w:spacing w:before="160" w:after="40" w:line="240" w:lineRule="auto"/>
      </w:pPr>
      <w:r>
        <w:rPr>
          <w:b/>
        </w:rPr>
        <w:t xml:space="preserve">[11] </w:t>
      </w:r>
      <w:hyperlink r:id="rId23">
        <w:r>
          <w:rPr>
            <w:color w:val="1155CC"/>
            <w:u w:val="single"/>
          </w:rPr>
          <w:t>三元有机太阳能电池：优化第三组分</w:t>
        </w:r>
      </w:hyperlink>
    </w:p>
    <w:p>
      <w:pPr>
        <w:spacing w:before="0" w:after="80"/>
      </w:pPr>
      <w:r>
        <w:rPr>
          <w:i/>
          <w:sz w:val="20"/>
        </w:rPr>
        <w:t>EN: Ternary organic solar cells: optimizing the third components</w:t>
      </w:r>
    </w:p>
    <w:p>
      <w:pPr>
        <w:spacing w:before="0" w:after="120"/>
      </w:pPr>
      <w:r>
        <w:rPr>
          <w:b/>
        </w:rPr>
        <w:t xml:space="preserve">Source: </w:t>
      </w:r>
      <w:r>
        <w:t>RSC - Chem. Soc. Rev. latest articles</w:t>
      </w:r>
      <w:r>
        <w:t xml:space="preserve">    </w:t>
      </w:r>
      <w:r>
        <w:rPr>
          <w:b/>
        </w:rPr>
        <w:t xml:space="preserve">Pub date: </w:t>
      </w:r>
      <w:r>
        <w:t>2026-04-20 23:00:00+00:00</w:t>
      </w:r>
    </w:p>
    <w:p>
      <w:pPr>
        <w:spacing w:before="0" w:after="120"/>
      </w:pPr>
      <w:r>
        <w:rPr>
          <w:b/>
        </w:rPr>
        <w:t xml:space="preserve">Notes: </w:t>
      </w:r>
      <w:r>
        <w:t>abstract_source=rsc_html</w:t>
      </w:r>
    </w:p>
    <w:p>
      <w:pPr>
        <w:spacing w:before="0" w:after="80" w:lineRule="auto" w:line="276"/>
      </w:pPr>
      <w:r>
        <w:rPr>
          <w:b/>
        </w:rPr>
        <w:t xml:space="preserve">摘要（ZH）: </w:t>
      </w:r>
      <w:r>
        <w:t>三元有机太阳能电池（T-OSCs）作为一种有前景的策略出现，通过增强光子收集、可调的电子特性和优化的形态来克服二元有机光伏系统的效率限制。最近的进展已将稳定的功率转换效率推至21%以上，突显了三元结构日益增长的潜力。然而，关于第三组分的合理设计、能量和电荷转移机制以及多组分混合物中形态-性能关系的控制，仍然存在几个关键问题。本教程综述通过批判性地审视供体/供体/受体和供体/受体/受体三元配置及其在提高器件性能中的作用来解决这些挑战。</w:t>
      </w:r>
    </w:p>
    <w:p>
      <w:pPr>
        <w:spacing w:before="0" w:after="200" w:lineRule="auto" w:line="276"/>
      </w:pPr>
      <w:r>
        <w:rPr>
          <w:b/>
        </w:rPr>
        <w:t xml:space="preserve">Abstract (EN): </w:t>
      </w:r>
      <w:r>
        <w:t>Ternary organic solar cells (T-OSCs) have emerged as a promising strategy for overcoming efficiency limitations in binary organic photovoltaic systems by enabling enhanced photon harvesting, tuneable electronic properties, and optimized morphology. Recent advances have pushed stabilized power conversion efficiencies beyond 21%, highlighting the growing potential of ternary architectures. However, several key questions remain regarding the rational design of the third component, the mechanisms governing energy and charge transfer, and the control of morphology–performance relationships in multicomponent blends. This tutorial review addresses these challenges by critically examining donor/donor/acceptor and donor/acceptor/acceptor ternary configurations and their role in improving device performance. We systematically analyse more than 400 studies published up to December 2025, with particular emphasis on non-fullerene acceptor (NFA)-based T-OSCs. A decade-long perspective on fused-ring small-molecule design strategies is presented, highlighting their influence on frontier molecular orbital alignment, charge transport, and morphological stability. The review further discusses the incorporation of NFAs into binary OSC platforms to form high-performance ternary blends involving polymer donor/NFA/fullerene and polymer donor/NFA1/NFA2 systems. Key aspects including donor–acceptor interactions, photophysical processes, charge dynamics, interface engineering, and processing strategies are critically analysed. Special attention is given to chemical modification strategies for benchmark NFAs such as PDI, Y6, ITIC, and related BDT, DPP, and IDT-based derivatives. Finally, we outline the remaining challenges in T-OSC design – particularly third-component selection, morphology control, and long-term stability – and discuss future opportunities for scalable materials, device engineering, and commercial deployment.</w:t>
      </w:r>
    </w:p>
    <w:p>
      <w:pPr>
        <w:spacing w:before="120" w:after="120"/>
      </w:pPr>
      <w:r>
        <w:rPr>
          <w:sz w:val="18"/>
        </w:rPr>
        <w:t>——————————————————————————————————————————————————————————————————————</w:t>
      </w:r>
    </w:p>
    <w:p>
      <w:pPr>
        <w:spacing w:before="160" w:after="40" w:line="240" w:lineRule="auto"/>
      </w:pPr>
      <w:r>
        <w:rPr>
          <w:b/>
        </w:rPr>
        <w:t xml:space="preserve">[12] </w:t>
      </w:r>
      <w:hyperlink r:id="rId24">
        <w:r>
          <w:rPr>
            <w:color w:val="1155CC"/>
            <w:u w:val="single"/>
          </w:rPr>
          <w:t>三层太阳能电池达到效率里程碑</w:t>
        </w:r>
      </w:hyperlink>
    </w:p>
    <w:p>
      <w:pPr>
        <w:spacing w:before="0" w:after="80"/>
      </w:pPr>
      <w:r>
        <w:rPr>
          <w:i/>
          <w:sz w:val="20"/>
        </w:rPr>
        <w:t>EN: Triple-decker solar cells reach efficiency milestone</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25">
        <w:r>
          <w:rPr>
            <w:color w:val="1155CC"/>
            <w:u w:val="single"/>
          </w:rPr>
          <w:t>10.1038/d41586-026-01149-9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6">
        <w:r>
          <w:rPr>
            <w:color w:val="1155CC"/>
            <w:u w:val="single"/>
          </w:rPr>
          <w:t>一种新的5D19P数字化融合推理分析浮动光伏系统输出功率运动特性的研究</w:t>
        </w:r>
      </w:hyperlink>
    </w:p>
    <w:p>
      <w:pPr>
        <w:spacing w:before="0" w:after="80"/>
      </w:pPr>
      <w:r>
        <w:rPr>
          <w:i/>
          <w:sz w:val="20"/>
        </w:rPr>
        <w:t>EN: A new 5D19P digitization-fused inference to analyze the motion characteristics of output power for floating photovoltaic systems</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7">
        <w:r>
          <w:rPr>
            <w:color w:val="1155CC"/>
            <w:u w:val="single"/>
          </w:rPr>
          <w:t>接近理论极限电压并实现多功能能量收集显示的高发光有机光伏</w:t>
        </w:r>
      </w:hyperlink>
    </w:p>
    <w:p>
      <w:pPr>
        <w:spacing w:before="0" w:after="80"/>
      </w:pPr>
      <w:r>
        <w:rPr>
          <w:i/>
          <w:sz w:val="20"/>
        </w:rPr>
        <w:t>EN: Highly‐Emissive Organic Photovoltaics Approaching Theoretical Limit Voltage and Enabling Multifunctional Energy‐Harvesting Displays</w:t>
      </w:r>
    </w:p>
    <w:p>
      <w:pPr>
        <w:spacing w:before="0" w:after="120"/>
      </w:pPr>
      <w:r>
        <w:rPr>
          <w:b/>
        </w:rPr>
        <w:t xml:space="preserve">Source: </w:t>
      </w:r>
      <w:r>
        <w:t>Wiley: Advanced Materials: Table of Contents</w:t>
      </w:r>
      <w:r>
        <w:t xml:space="preserve">    </w:t>
      </w:r>
      <w:r>
        <w:rPr>
          <w:b/>
        </w:rPr>
        <w:t xml:space="preserve">Pub date: </w:t>
      </w:r>
      <w:r>
        <w:t>2026-04-21 05:26:33+00:00</w:t>
      </w:r>
      <w:r>
        <w:t xml:space="preserve">    </w:t>
      </w:r>
      <w:r>
        <w:rPr>
          <w:b/>
        </w:rPr>
        <w:t xml:space="preserve">DOI: </w:t>
      </w:r>
      <w:hyperlink r:id="rId28">
        <w:r>
          <w:rPr>
            <w:color w:val="1155CC"/>
            <w:u w:val="single"/>
          </w:rPr>
          <w:t>10.1002/adma.72995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一有机二极管中同时实现光发射和能量收集对于多功能光电器件（如光收集显示器）至关重要。然而，由于激发态的严重非辐射复合损失，其实现一直受到限制。在此，我们报告了采用供体和受体分子的高发光有机光伏，其中前沿分子轨道交替定位在相邻原子上，从而在保持高三重态能量的同时，最小化与键伸展相关的结构松弛。这些特征抑制了非辐射复合，使光伏功率转换效率和电致发光（EL）外量子效率均超过1%。非辐射</w:t>
      </w:r>
    </w:p>
    <w:p>
      <w:pPr>
        <w:spacing w:before="0" w:after="200" w:lineRule="auto" w:line="276"/>
      </w:pPr>
      <w:r>
        <w:rPr>
          <w:b/>
        </w:rPr>
        <w:t xml:space="preserve">Abstract (EN): </w:t>
      </w:r>
      <w:r>
        <w:t>Simultaneous light emission and energy harvesting in a single organic diode are critical for multifunctional optoelectronic devices such as light‐harvesting displays. However, their realization has been limited by severe non‐radiative recombination losses of excited states. Here, we report highly‐emissive organic photovoltaics employing donor and acceptor molecules in which the frontier molecular orbitals are alternately localized on adjacent atoms, thereby preserving high triplet energies while minimizing structural relaxation associated with bond stretching. These features suppress non‐radiative recombination, enabling both photovoltaic power conversion efficiency and electroluminescence (EL) external quantum efficiency exceeding 1%. Non‐radiative recombination rates are reduced by more than five orders of magnitude compared to state‐of‐the‐art organic photovoltaics, allowing the devices to generate a high voltage close to the Shockley–Queisser limit. Furthermore, the same device exhibits red EL at 620 nm with a low turn‐on voltage at 1.7 V and luminance above 1000 cd/m</w:t>
      </w:r>
      <w:r>
        <w:rPr>
          <w:vertAlign w:val="subscript"/>
        </w:rPr>
        <w:t>2</w:t>
      </w:r>
      <w:r>
        <w:t>. These results establish a general design principle for efficient organic multifunctional diodes, opening a route to compact, efficient, and versatile optoelectronic platforms that can rival inorganic multifunctional diodes.</w:t>
      </w:r>
    </w:p>
    <w:p>
      <w:pPr>
        <w:spacing w:before="120" w:after="120"/>
      </w:pPr>
      <w:r>
        <w:rPr>
          <w:sz w:val="18"/>
        </w:rPr>
        <w:t>——————————————————————————————————————————————————————————————————————</w:t>
      </w:r>
    </w:p>
    <w:p>
      <w:pPr>
        <w:spacing w:before="160" w:after="40" w:line="240" w:lineRule="auto"/>
      </w:pPr>
      <w:r>
        <w:rPr>
          <w:b/>
        </w:rPr>
        <w:t xml:space="preserve">[15] </w:t>
      </w:r>
      <w:hyperlink r:id="rId29">
        <w:r>
          <w:rPr>
            <w:color w:val="1155CC"/>
            <w:u w:val="single"/>
          </w:rPr>
          <w:t>[ASAP] 光致发光光谱是否适合探测卤化物分离？</w:t>
        </w:r>
      </w:hyperlink>
    </w:p>
    <w:p>
      <w:pPr>
        <w:spacing w:before="0" w:after="80"/>
      </w:pPr>
      <w:r>
        <w:rPr>
          <w:i/>
          <w:sz w:val="20"/>
        </w:rPr>
        <w:t>EN: [ASAP] Is Photoluminescence Spectroscopy a Suitable Probe of Halide Segregation?</w:t>
      </w:r>
    </w:p>
    <w:p>
      <w:pPr>
        <w:spacing w:before="0" w:after="120"/>
      </w:pPr>
      <w:r>
        <w:rPr>
          <w:b/>
        </w:rPr>
        <w:t xml:space="preserve">Source: </w:t>
      </w:r>
      <w:r>
        <w:t>ACS Energy Letters: Latest Articles (ACS Publications)</w:t>
      </w:r>
      <w:r>
        <w:t xml:space="preserve">    </w:t>
      </w:r>
      <w:r>
        <w:rPr>
          <w:b/>
        </w:rPr>
        <w:t xml:space="preserve">Pub date: </w:t>
      </w:r>
      <w:r>
        <w:t>2026-04-21 12:45:40+00:00</w:t>
      </w:r>
      <w:r>
        <w:t xml:space="preserve">    </w:t>
      </w:r>
      <w:r>
        <w:rPr>
          <w:b/>
        </w:rPr>
        <w:t xml:space="preserve">DOI: </w:t>
      </w:r>
      <w:hyperlink r:id="rId30">
        <w:r>
          <w:rPr>
            <w:color w:val="1155CC"/>
            <w:u w:val="single"/>
          </w:rPr>
          <w:t>10.1021/acsenergylett.6c00432</w:t>
        </w:r>
      </w:hyperlink>
    </w:p>
    <w:p>
      <w:pPr>
        <w:spacing w:before="0" w:after="120"/>
      </w:pPr>
      <w:r>
        <w:rPr>
          <w:b/>
        </w:rPr>
        <w:t xml:space="preserve">Notes: </w:t>
      </w:r>
      <w:r>
        <w:t>abstract_source=openalex</w:t>
      </w:r>
    </w:p>
    <w:p>
      <w:pPr>
        <w:spacing w:before="0" w:after="80" w:lineRule="auto" w:line="276"/>
      </w:pPr>
      <w:r>
        <w:rPr>
          <w:b/>
        </w:rPr>
        <w:t xml:space="preserve">摘要（ZH）: </w:t>
      </w:r>
      <w:r>
        <w:t>混合卤化物钙钛矿在钙钛矿基多结光伏中表现出理想的带隙，但光诱导的卤化物分离会损害其稳定性能。光致发光（PL）跟踪普遍用于监测这种光不稳定性；然而，我们揭示这些数据并不能准确量化卤化物分离。我们利用同时记录的PL和X射线衍射（XRD）测量来研究18种不同卤化物比例的CH3NH3Pb(I1–xBrx)3薄膜。虽然PL数据表明分离速率随着溴化物分数x呈指数增加，但XRD图案显示它们实际上没有变化。我们证明PL不能准确反映卤化物分离的速率和程度，因为它受电荷漏斗效应的支配。</w:t>
      </w:r>
    </w:p>
    <w:p>
      <w:pPr>
        <w:spacing w:before="0" w:after="200" w:lineRule="auto" w:line="276"/>
      </w:pPr>
      <w:r>
        <w:rPr>
          <w:b/>
        </w:rPr>
        <w:t xml:space="preserve">Abstract (EN): </w:t>
      </w:r>
      <w:r>
        <w:t>Mixed-halide perovskites exhibit ideal band gaps for use in perovskite-based multijunction photovoltaics, but stable performance is compromised by light-induced halide segregation. Photoluminescence (PL) tracking is universally used to monitor such photoinstability; however, here we reveal that such data do not accurately quantify halide segregation. We utilize a combination of simultaneously recorded PL and X-ray diffraction (XRD) measurements to explore CH3NH3Pb(I1–xBrx)3 films across 18 different halide ratios. While PL data suggests that segregation rates increase exponentially with bromide fraction x, XRD patterns reveal that they are actually unchanged. We demonstrate that PL cannot accurately reflect the rate and extent of halide segregation because it is governed by charge funneling to iodide-rich minority domains, which is strongly influenced by additional factors, including luminescence efficiency, band energetics, and charge extraction. To assess the efficacy of treatments to suppress such photoinstabilities, it is therefore essential to probe changes across the full material volume, e.g. by monitoring XRD or absorption spectra.</w:t>
      </w:r>
    </w:p>
    <w:p>
      <w:pPr>
        <w:spacing w:before="120" w:after="120"/>
      </w:pPr>
      <w:r>
        <w:rPr>
          <w:sz w:val="18"/>
        </w:rPr>
        <w:t>——————————————————————————————————————————————————————————————————————</w:t>
      </w:r>
    </w:p>
    <w:p>
      <w:pPr>
        <w:spacing w:before="160" w:after="40" w:line="240" w:lineRule="auto"/>
      </w:pPr>
      <w:r>
        <w:rPr>
          <w:b/>
        </w:rPr>
        <w:t xml:space="preserve">[16] </w:t>
      </w:r>
      <w:hyperlink r:id="rId31">
        <w:r>
          <w:rPr>
            <w:color w:val="1155CC"/>
            <w:u w:val="single"/>
          </w:rPr>
          <w:t>光热稳定的纯碘化物宽带隙钙钛矿太阳能电池，具有抑制的离子损失</w:t>
        </w:r>
      </w:hyperlink>
    </w:p>
    <w:p>
      <w:pPr>
        <w:spacing w:before="0" w:after="80"/>
      </w:pPr>
      <w:r>
        <w:rPr>
          <w:i/>
          <w:sz w:val="20"/>
        </w:rPr>
        <w:t>EN: Photothermal-stable pure-iodide wide-bandgap perovskite solar cells with suppressed ionic losses</w:t>
      </w:r>
    </w:p>
    <w:p>
      <w:pPr>
        <w:spacing w:before="0" w:after="120"/>
      </w:pPr>
      <w:r>
        <w:rPr>
          <w:b/>
        </w:rPr>
        <w:t xml:space="preserve">Source: </w:t>
      </w:r>
      <w:r>
        <w:t>RSC - Energy Environ. Sci.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混合卤化物宽带隙（WBG）钙钛矿通常用于硅/钙钛矿叠层太阳能电池；然而，其操作稳定性仍然受到卤化物分离的限制，极大地限制了设备的操作寿命。最近的研究努力转向纯碘化物替代品，尽管开路电压（VOC）损失稍大，但不会发生卤化物分离。然而，它们在抵御严酷光热应激（例如，光+85°C热）方面的潜力仍未得到充分探索，这是实现25年操作寿命的关键步骤。在此，我们展示了一种优化的混合阳离子、二甲胺（DMA）稳定的纯碘化物Cs0.3DMA0.2MA0.5PbI3 WBG电池（Eg：约1.68 eV），其VOC高达1.25 V，并且具有最高认证效率（&gt;22%）</w:t>
      </w:r>
    </w:p>
    <w:p>
      <w:pPr>
        <w:spacing w:before="0" w:after="200" w:lineRule="auto" w:line="276"/>
      </w:pPr>
      <w:r>
        <w:rPr>
          <w:b/>
        </w:rPr>
        <w:t xml:space="preserve">Abstract (EN): </w:t>
      </w:r>
      <w:r>
        <w:t>Mixed-halide wide-bandgap (WBG) perovskites are commonly used for Si/perovskite tandem solar cells; however, their operational stability remains limited by halide segregation, greatly constraining the operational device lifetime. Recent research efforts have turned towards pure-iodide alternatives, which do not undergo halide segregation despite somewhat larger open-circuit voltage (VOC) deficits. However, their potential to withstand harsh photothermal stressors (e.g., light + 85 °C heat), which is a crucial step towards an operational lifetime of 25 years, remains underexplored. Here, we present an optimized mixed-cation, dimethylammonium (DMA)-stabilized, pure-iodide Cs0.3DMA0.2MA0.5PbI3 WBG cell (Eg: ∼1.68 eV), with a VOC of up to 1.25 V and the highest certified efficiency (&gt;22%) for this system, achieved through a dual-layer passivation strategy. In contrast to the mixed-halide system, the pure-iodide composition maintains a stable emission yield and demonstrates remarkable resilience to the evolution of ionic losses and ion density under illumination and thermal aging. This results in negligible degradation during the maximum power point tracking at 40 °C and the longest reported projected T80 lifetime (8140 h) for WBG (∼1.65–1.73 eV) perovskites under 85 °C photothermal stress (ISOS-L-2). Our work provides a mechanistic basis for the exceptional stability of pure-iodide WBG perovskites and outlines a viable pathway toward highly efficient and durable perovskite tandem solar cells.</w:t>
      </w:r>
    </w:p>
    <w:p>
      <w:pPr>
        <w:spacing w:before="120" w:after="120"/>
      </w:pPr>
      <w:r>
        <w:rPr>
          <w:sz w:val="18"/>
        </w:rPr>
        <w:t>——————————————————————————————————————————————————————————————————————</w:t>
      </w:r>
    </w:p>
    <w:p>
      <w:pPr>
        <w:spacing w:before="160" w:after="40" w:line="240" w:lineRule="auto"/>
      </w:pPr>
      <w:r>
        <w:rPr>
          <w:b/>
        </w:rPr>
        <w:t xml:space="preserve">[17] </w:t>
      </w:r>
      <w:hyperlink r:id="rId32">
        <w:r>
          <w:rPr>
            <w:color w:val="1155CC"/>
            <w:u w:val="single"/>
          </w:rPr>
          <w:t>长期光伏可持续性的材料限制：更新动态强调关键的采矿和回收需求</w:t>
        </w:r>
      </w:hyperlink>
    </w:p>
    <w:p>
      <w:pPr>
        <w:spacing w:before="0" w:after="80"/>
      </w:pPr>
      <w:r>
        <w:rPr>
          <w:i/>
          <w:sz w:val="20"/>
        </w:rPr>
        <w:t>EN: Materials constraints for long-term photovoltaic sustainability: renewal dynamics highlight critical mining and recycling needs</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3">
        <w:r>
          <w:rPr>
            <w:color w:val="1155CC"/>
            <w:u w:val="single"/>
          </w:rPr>
          <w:t>通过热冲击快速外延生长钙钛矿同质结用于空气加工光伏</w:t>
        </w:r>
      </w:hyperlink>
    </w:p>
    <w:p>
      <w:pPr>
        <w:spacing w:before="0" w:after="80"/>
      </w:pPr>
      <w:r>
        <w:rPr>
          <w:i/>
          <w:sz w:val="20"/>
        </w:rPr>
        <w:t>EN: Rapid epitaxial growth of perovskite homojunctions via thermal shock for air-processed photovoltaics</w:t>
      </w:r>
    </w:p>
    <w:p>
      <w:pPr>
        <w:spacing w:before="0" w:after="120"/>
      </w:pPr>
      <w:r>
        <w:rPr>
          <w:b/>
        </w:rPr>
        <w:t xml:space="preserve">Source: </w:t>
      </w:r>
      <w:r>
        <w:t>Joule</w:t>
      </w:r>
      <w:r>
        <w:t xml:space="preserve">    </w:t>
      </w:r>
      <w:r>
        <w:rPr>
          <w:b/>
        </w:rPr>
        <w:t xml:space="preserve">Pub date: </w:t>
      </w:r>
      <w:r>
        <w:t>2026-04-22 00:00:00+00:00</w:t>
      </w:r>
      <w:r>
        <w:t xml:space="preserve">    </w:t>
      </w:r>
      <w:r>
        <w:rPr>
          <w:b/>
        </w:rPr>
        <w:t xml:space="preserve">DOI: </w:t>
      </w:r>
      <w:hyperlink r:id="rId34">
        <w:r>
          <w:rPr>
            <w:color w:val="1155CC"/>
            <w:u w:val="single"/>
          </w:rPr>
          <w:t>10.1016/j.joule.2026.102433</w:t>
        </w:r>
      </w:hyperlink>
    </w:p>
    <w:p>
      <w:pPr>
        <w:spacing w:before="0" w:after="120"/>
      </w:pPr>
      <w:r>
        <w:rPr>
          <w:b/>
        </w:rPr>
        <w:t xml:space="preserve">Notes: </w:t>
      </w:r>
      <w:r>
        <w:t>abstract_source=rss_cell</w:t>
      </w:r>
    </w:p>
    <w:p>
      <w:pPr>
        <w:spacing w:before="0" w:after="80" w:lineRule="auto" w:line="276"/>
      </w:pPr>
      <w:r>
        <w:rPr>
          <w:b/>
        </w:rPr>
        <w:t xml:space="preserve">摘要（ZH）: </w:t>
      </w:r>
      <w:r>
        <w:t>精确的结工程对于高效太阳能电池至关重要，但通常依赖于基于真空的外延。在此，一种溶剂介导的热冲击外延策略能够在空气中快速外延生长钙钛矿同质结，抑制缺陷并改善电荷传输，实现超过25%的效率，并为可扩展的钙钛矿光伏提供了一条途径。</w:t>
      </w:r>
    </w:p>
    <w:p>
      <w:pPr>
        <w:spacing w:before="0" w:after="200" w:lineRule="auto" w:line="276"/>
      </w:pPr>
      <w:r>
        <w:rPr>
          <w:b/>
        </w:rPr>
        <w:t xml:space="preserve">Abstract (EN): </w:t>
      </w:r>
      <w:r>
        <w:t>Precise junction engineering is essential for high-efficiency solar cells but typically relies on vacuum-based epitaxy. Here, a solvent-mediated thermal-shock epitaxy strategy enables rapid epitaxial growth of perovskite homojunctions in air, suppressing defects and improving charge transport, achieving efficiencies above 25% and providing a pathway for scalable perovskite photovoltaics.</w:t>
      </w:r>
    </w:p>
    <w:p>
      <w:pPr>
        <w:spacing w:before="120" w:after="120"/>
      </w:pPr>
      <w:r>
        <w:rPr>
          <w:sz w:val="18"/>
        </w:rPr>
        <w:t>——————————————————————————————————————————————————————————————————————</w:t>
      </w:r>
    </w:p>
    <w:p>
      <w:pPr>
        <w:spacing w:before="160" w:after="40" w:line="240" w:lineRule="auto"/>
      </w:pPr>
      <w:r>
        <w:rPr>
          <w:b/>
        </w:rPr>
        <w:t xml:space="preserve">[19] </w:t>
      </w:r>
      <w:hyperlink r:id="rId35">
        <w:r>
          <w:rPr>
            <w:color w:val="1155CC"/>
            <w:u w:val="single"/>
          </w:rPr>
          <w:t>FreGAT：一种可解释的频域图注意力变压器用于短期光伏预测</w:t>
        </w:r>
      </w:hyperlink>
    </w:p>
    <w:p>
      <w:pPr>
        <w:spacing w:before="0" w:after="80"/>
      </w:pPr>
      <w:r>
        <w:rPr>
          <w:i/>
          <w:sz w:val="20"/>
        </w:rPr>
        <w:t>EN: FreGAT: An interpretable frequency-domain graph attention transformer for short-term photovoltaic forecasting</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6">
        <w:r>
          <w:rPr>
            <w:color w:val="1155CC"/>
            <w:u w:val="single"/>
          </w:rPr>
          <w:t>有机太阳能电池中小分子受体对水/亲核试剂的不稳定性</w:t>
        </w:r>
      </w:hyperlink>
    </w:p>
    <w:p>
      <w:pPr>
        <w:spacing w:before="0" w:after="80"/>
      </w:pPr>
      <w:r>
        <w:rPr>
          <w:i/>
          <w:sz w:val="20"/>
        </w:rPr>
        <w:t>EN: Instability of prevailing small molecule acceptors in organic solar cells toward water/nucleophiles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37">
        <w:r>
          <w:rPr>
            <w:color w:val="1155CC"/>
            <w:u w:val="single"/>
          </w:rPr>
          <w:t>10.1126/sciadv.aed7732</w:t>
        </w:r>
      </w:hyperlink>
    </w:p>
    <w:p>
      <w:pPr>
        <w:spacing w:before="0" w:after="120"/>
      </w:pPr>
      <w:r>
        <w:rPr>
          <w:b/>
        </w:rPr>
        <w:t xml:space="preserve">Notes: </w:t>
      </w:r>
      <w:r>
        <w:t>abstract_source=crossref</w:t>
      </w:r>
    </w:p>
    <w:p>
      <w:pPr>
        <w:spacing w:before="0" w:after="80" w:lineRule="auto" w:line="276"/>
      </w:pPr>
      <w:r>
        <w:rPr>
          <w:b/>
        </w:rPr>
        <w:t xml:space="preserve">摘要（ZH）: </w:t>
      </w:r>
      <w:r>
        <w:t>具有A-D-A结构的小分子受体（SMAs）已成为有机太阳能电池（OSCs）的关键成分；然而，许多SMAs对外部因素（包括光、热、水和氧气）表现出不稳定性。这项工作探讨了这些分子中连接供体（D）和受体（A）单元的双键的化学反应性。使用由噻吩（T）和强受体部分{2,2′-[1H-茚-1,3(2H)-二亚甲基]二氰基丙烯酸酯，4CN}构建的模型化合物T4CN，我们表明水可以破坏双键。该反应的速率取决于电子性质和空间位阻。我们发现常见的SMAs，包括ITIC和Y6，与亲核试剂反应</w:t>
      </w:r>
    </w:p>
    <w:p>
      <w:pPr>
        <w:spacing w:before="0" w:after="200" w:lineRule="auto" w:line="276"/>
      </w:pPr>
      <w:r>
        <w:rPr>
          <w:b/>
        </w:rPr>
        <w:t xml:space="preserve">Abstract (EN): </w:t>
      </w:r>
      <w:r>
        <w:t>Small molecule acceptors (SMAs) with A-D-A structures have become the key constituents in organic solar cells (OSCs); however, many of them have demonstrated instability toward external factors (including light, heat, water, and oxygen). This work explores the chemical reactivity of the double bond linking the donor (D) and acceptor (A) units in these molecules. Using a model compound, T4CN, constructed by a thiophene (T) and a strong acceptor moiety {2,2′-[1</w:t>
      </w:r>
      <w:r>
        <w:t xml:space="preserve"> </w:t>
      </w:r>
      <w:r>
        <w:t>H</w:t>
      </w:r>
      <w:r>
        <w:t xml:space="preserve"> </w:t>
      </w:r>
      <w:r>
        <w:t>-indene-1,3(2</w:t>
      </w:r>
      <w:r>
        <w:t xml:space="preserve"> </w:t>
      </w:r>
      <w:r>
        <w:t>H</w:t>
      </w:r>
      <w:r>
        <w:t xml:space="preserve"> </w:t>
      </w:r>
      <w:r>
        <w:t>)-diylidene]dimalononitrile, 4CN}, we show that water can break the double bond. The rate of this reaction depends on the electronic properties and steric hindrance. We found that common SMAs, including ITIC and Y6, react with nucleophiles such as amines and hydroxide, creating unintended products. These reactions can affect device performance and long-term stability. Among the tested materials, Y6, with its β-position side chains, showed the best resistance to water-induced degradation. Our findings highlight key factors affecting SMA stability and offer insights into designing more robust materials for future development of OSCs.</w:t>
      </w:r>
    </w:p>
    <w:p>
      <w:pPr>
        <w:spacing w:before="120" w:after="120"/>
      </w:pPr>
      <w:r>
        <w:rPr>
          <w:sz w:val="18"/>
        </w:rPr>
        <w:t>——————————————————————————————————————————————————————————————————————</w:t>
      </w:r>
    </w:p>
    <w:p>
      <w:pPr>
        <w:spacing w:before="160" w:after="40" w:line="240" w:lineRule="auto"/>
      </w:pPr>
      <w:r>
        <w:rPr>
          <w:b/>
        </w:rPr>
        <w:t xml:space="preserve">[21] </w:t>
      </w:r>
      <w:hyperlink r:id="rId38">
        <w:r>
          <w:rPr>
            <w:color w:val="1155CC"/>
            <w:u w:val="single"/>
          </w:rPr>
          <w:t>多功能SAM工程打破了倒置有机太阳能电池的效率-稳定性权衡</w:t>
        </w:r>
      </w:hyperlink>
    </w:p>
    <w:p>
      <w:pPr>
        <w:spacing w:before="0" w:after="80"/>
      </w:pPr>
      <w:r>
        <w:rPr>
          <w:i/>
          <w:sz w:val="20"/>
        </w:rPr>
        <w:t>EN: Multifunctional SAM Engineering Breaks the Efficiency‐Stability Trade‐Off in Inverted Organic Solar Cells</w:t>
      </w:r>
    </w:p>
    <w:p>
      <w:pPr>
        <w:spacing w:before="0" w:after="120"/>
      </w:pPr>
      <w:r>
        <w:rPr>
          <w:b/>
        </w:rPr>
        <w:t xml:space="preserve">Source: </w:t>
      </w:r>
      <w:r>
        <w:t>Wiley: Advanced Energy Materials: Table of Contents</w:t>
      </w:r>
      <w:r>
        <w:t xml:space="preserve">    </w:t>
      </w:r>
      <w:r>
        <w:rPr>
          <w:b/>
        </w:rPr>
        <w:t xml:space="preserve">Pub date: </w:t>
      </w:r>
      <w:r>
        <w:t>2026-04-22 07:46:22+00:00</w:t>
      </w:r>
      <w:r>
        <w:t xml:space="preserve">    </w:t>
      </w:r>
      <w:r>
        <w:rPr>
          <w:b/>
        </w:rPr>
        <w:t xml:space="preserve">DOI: </w:t>
      </w:r>
      <w:hyperlink r:id="rId39">
        <w:r>
          <w:rPr>
            <w:color w:val="1155CC"/>
            <w:u w:val="single"/>
          </w:rPr>
          <w:t>10.1002/aenm.70986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的倒置结构在可扩展制造和增强操作稳定性方面具有巨大潜力，但其效率仍然落后于传统对手。一个关键且常被忽视的挑战在于空穴传输界面的不稳定性，特别是MoO3向光活性层的扩散，导致性能逐步退化。在此，我们展示了一种使用一系列定制的SAM衍生超薄膜（SAMs）-2PACz、MeO-2PACz和Br-2PACz的多功能界面工程策略，以同时提高效率和稳定性。通过系统地增加末端基团的电负性</w:t>
      </w:r>
    </w:p>
    <w:p>
      <w:pPr>
        <w:spacing w:before="0" w:after="200" w:lineRule="auto" w:line="276"/>
      </w:pPr>
      <w:r>
        <w:rPr>
          <w:b/>
        </w:rPr>
        <w:t xml:space="preserve">Abstract (EN): </w:t>
      </w:r>
      <w:r>
        <w:t>The inverted architecture of organic solar cells offers great promise for scalable manufacturing and enhanced operational stability, yet its efficiency still lags behind that of conventional counterparts. A critical and often overlooked challenge lies in the instability of the hole‐transport interface, particularly the diffusion of MoO</w:t>
      </w:r>
      <w:r>
        <w:rPr>
          <w:vertAlign w:val="subscript"/>
        </w:rPr>
        <w:t>3</w:t>
      </w:r>
      <w:r>
        <w:t>into the photoactive layer, which leads to progressive performance degradation. Here, we demonstrate a multifunctional interface engineering strategy using a series of tailored SAM‐derived ultra‐thin films (SAMs)‐2PACz, MeO‐2PACz, and Br‐2PACz‐to simultaneously enhance efficiency and stability. By systematically increasing the electronegativity of the terminal group from ─H to ─Br, we strengthen the out‐of‐plane interfacial dipole verified by ultraviolet photoelectron spectroscopy (UPS), thereby improving energy level alignment and charge extraction. More importantly, the phosphonic acid anchoring groups in the SAMs form strong chemical bonding with evaporated MoO</w:t>
      </w:r>
      <w:r>
        <w:rPr>
          <w:vertAlign w:val="subscript"/>
        </w:rPr>
        <w:t>3</w:t>
      </w:r>
      <w:r>
        <w:t>and a robust barrier that effectively inhibits MoO</w:t>
      </w:r>
      <w:r>
        <w:rPr>
          <w:vertAlign w:val="subscript"/>
        </w:rPr>
        <w:t>3</w:t>
      </w:r>
      <w:r>
        <w:t>diffusion, as confirmed by defect density of states and XPS analysis. The resulting Br‐2PACz‐based devices achieve a champion PCE of 19.31% and retain 95.5% of their initial efficiency after 1000 h of continuous illumination. This work provides a universal and scalable interfacial design strategy to break the efficiency‐stability trade‐off in inverted OSCs, paving the way for their commercial realization.</w:t>
      </w:r>
    </w:p>
    <w:p>
      <w:pPr>
        <w:spacing w:before="120" w:after="120"/>
      </w:pPr>
      <w:r>
        <w:rPr>
          <w:sz w:val="18"/>
        </w:rPr>
        <w:t>——————————————————————————————————————————————————————————————————————</w:t>
      </w:r>
    </w:p>
    <w:p>
      <w:pPr>
        <w:spacing w:before="160" w:after="40" w:line="240" w:lineRule="auto"/>
      </w:pPr>
      <w:r>
        <w:rPr>
          <w:b/>
        </w:rPr>
        <w:t xml:space="preserve">[22] </w:t>
      </w:r>
      <w:hyperlink r:id="rId40">
        <w:r>
          <w:rPr>
            <w:color w:val="1155CC"/>
            <w:u w:val="single"/>
          </w:rPr>
          <w:t>两亲分子粘合剂增强原子层沉积的SnOx以提高钙钛矿太阳能电池的可靠性</w:t>
        </w:r>
      </w:hyperlink>
    </w:p>
    <w:p>
      <w:pPr>
        <w:spacing w:before="0" w:after="80"/>
      </w:pPr>
      <w:r>
        <w:rPr>
          <w:i/>
          <w:sz w:val="20"/>
        </w:rPr>
        <w:t>EN: Amphiphilic molecular binder strengthens atomic layer-deposited SnOx for reliable perovskite solar cells</w:t>
      </w:r>
    </w:p>
    <w:p>
      <w:pPr>
        <w:spacing w:before="0" w:after="120"/>
      </w:pPr>
      <w:r>
        <w:rPr>
          <w:b/>
        </w:rPr>
        <w:t xml:space="preserve">Source: </w:t>
      </w:r>
      <w:r>
        <w:t>Joule</w:t>
      </w:r>
      <w:r>
        <w:t xml:space="preserve">    </w:t>
      </w:r>
      <w:r>
        <w:rPr>
          <w:b/>
        </w:rPr>
        <w:t xml:space="preserve">Pub date: </w:t>
      </w:r>
      <w:r>
        <w:t>2026-04-23 00:00:00+00:00</w:t>
      </w:r>
      <w:r>
        <w:t xml:space="preserve">    </w:t>
      </w:r>
      <w:r>
        <w:rPr>
          <w:b/>
        </w:rPr>
        <w:t xml:space="preserve">DOI: </w:t>
      </w:r>
      <w:hyperlink r:id="rId41">
        <w:r>
          <w:rPr>
            <w:color w:val="1155CC"/>
            <w:u w:val="single"/>
          </w:rPr>
          <w:t>10.1016/j.joule.2026.102431</w:t>
        </w:r>
      </w:hyperlink>
    </w:p>
    <w:p>
      <w:pPr>
        <w:spacing w:before="0" w:after="120"/>
      </w:pPr>
      <w:r>
        <w:rPr>
          <w:b/>
        </w:rPr>
        <w:t xml:space="preserve">Notes: </w:t>
      </w:r>
      <w:r>
        <w:t>abstract_source=rss_cell</w:t>
      </w:r>
    </w:p>
    <w:p>
      <w:pPr>
        <w:spacing w:before="0" w:after="80" w:lineRule="auto" w:line="276"/>
      </w:pPr>
      <w:r>
        <w:rPr>
          <w:b/>
        </w:rPr>
        <w:t xml:space="preserve">摘要（ZH）: </w:t>
      </w:r>
      <w:r>
        <w:t>我们设计了一种两亲半导体PDI-4OH，以解决钙钛矿太阳能电池（PSCs）中的界面不稳定性。它作为分子模板，引导SnOx的均匀原子层沉积（ALD），并锁定ETL/ALD SnOx界面。这一策略使得倒置PSCs在高温、潮湿热和热循环应力下实现了27.08%的冠军效率，并具有卓越的操作稳定性，为商业化钙钛矿光伏提供了一条通用且可扩展的路径。</w:t>
      </w:r>
    </w:p>
    <w:p>
      <w:pPr>
        <w:spacing w:before="0" w:after="200" w:lineRule="auto" w:line="276"/>
      </w:pPr>
      <w:r>
        <w:rPr>
          <w:b/>
        </w:rPr>
        <w:t xml:space="preserve">Abstract (EN): </w:t>
      </w:r>
      <w:r>
        <w:t>We designed an amphiphilic semiconductor PDI-4OH to resolve interface instability in perovskite solar cells (PSCs). It functions as a molecular template that guides uniform atomic layer deposition (ALD) of SnOx and interlocks the ETL/ALD SnOx interface. This strategy enables inverted PSCs to achieve a champion efficiency of 27.08% with exceptional operational stability under high-temperature, damp heat, and thermal cycling stresses, offering a universal and scalable path toward commercial perovskite photovoltaics.</w:t>
      </w:r>
    </w:p>
    <w:p>
      <w:pPr>
        <w:spacing w:before="120" w:after="120"/>
      </w:pPr>
      <w:r>
        <w:rPr>
          <w:sz w:val="18"/>
        </w:rPr>
        <w:t>——————————————————————————————————————————————————————————————————————</w:t>
      </w:r>
    </w:p>
    <w:p>
      <w:pPr>
        <w:spacing w:before="160" w:after="40" w:line="240" w:lineRule="auto"/>
      </w:pPr>
      <w:r>
        <w:rPr>
          <w:b/>
        </w:rPr>
        <w:t xml:space="preserve">[23] </w:t>
      </w:r>
      <w:hyperlink r:id="rId42">
        <w:r>
          <w:rPr>
            <w:color w:val="1155CC"/>
            <w:u w:val="single"/>
          </w:rPr>
          <w:t>基于多维相似性博弈融合和ISCSO-XGBoost的输出可解释光伏功率预测方法</w:t>
        </w:r>
      </w:hyperlink>
    </w:p>
    <w:p>
      <w:pPr>
        <w:spacing w:before="0" w:after="80"/>
      </w:pPr>
      <w:r>
        <w:rPr>
          <w:i/>
          <w:sz w:val="20"/>
        </w:rPr>
        <w:t>EN: An explainable photovoltaic power forecasting method for output based on multi-dimensional similarity game fusion and ISCSO- XGBoost</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43">
        <w:r>
          <w:rPr>
            <w:color w:val="1155CC"/>
            <w:u w:val="single"/>
          </w:rPr>
          <w:t>C60末端受体通过界面操控提升有机太阳能电池的效率和稳定性</w:t>
        </w:r>
      </w:hyperlink>
    </w:p>
    <w:p>
      <w:pPr>
        <w:spacing w:before="0" w:after="80"/>
      </w:pPr>
      <w:r>
        <w:rPr>
          <w:i/>
          <w:sz w:val="20"/>
        </w:rPr>
        <w:t>EN: C60‐Terminated Acceptor Boosts Efficiency and Stability in Organic Solar Cells via Interfacial Manipulation</w:t>
      </w:r>
    </w:p>
    <w:p>
      <w:pPr>
        <w:spacing w:before="0" w:after="120"/>
      </w:pPr>
      <w:r>
        <w:rPr>
          <w:b/>
        </w:rPr>
        <w:t xml:space="preserve">Source: </w:t>
      </w:r>
      <w:r>
        <w:t>Wiley: Advanced Materials: Table of Contents</w:t>
      </w:r>
      <w:r>
        <w:t xml:space="preserve">    </w:t>
      </w:r>
      <w:r>
        <w:rPr>
          <w:b/>
        </w:rPr>
        <w:t xml:space="preserve">Pub date: </w:t>
      </w:r>
      <w:r>
        <w:t>2026-04-23 06:45:52+00:00</w:t>
      </w:r>
      <w:r>
        <w:t xml:space="preserve">    </w:t>
      </w:r>
      <w:r>
        <w:rPr>
          <w:b/>
        </w:rPr>
        <w:t xml:space="preserve">DOI: </w:t>
      </w:r>
      <w:hyperlink r:id="rId44">
        <w:r>
          <w:rPr>
            <w:color w:val="1155CC"/>
            <w:u w:val="single"/>
          </w:rPr>
          <w:t>10.1002/adma.202520696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A-D-A型非富勒烯电子受体（NFAs）的快速发展，有机太阳能电池（OSCs）在过去十年中取得了显著进展，功率转换效率（PCE）达到21%。然而，与传统的无机硅光伏相比，OSCs的PCE和操作稳定性仍然较差，阻碍了其商业化。通过用C60笼取代尖端NFA L8-BO的茚酮结构末端基团，本研究制备了一种新型C60终止的受体-供体-受体（A-D-A）型电子受体，C60-L8BO-C60。</w:t>
      </w:r>
    </w:p>
    <w:p>
      <w:pPr>
        <w:spacing w:before="0" w:after="200" w:lineRule="auto" w:line="276"/>
      </w:pPr>
      <w:r>
        <w:rPr>
          <w:b/>
        </w:rPr>
        <w:t xml:space="preserve">Abstract (EN): </w:t>
      </w:r>
      <w:r>
        <w:t>With the rapid development of the A‐D‐A type non‐fullerene electron acceptors (NFAs), organic solar cells (OSCs) have exhibited remarkable progress in the last decade, with power conversion efficiency (PCE) reaching 21%. However, compared with the traditional inorganic Si photovoltaics, OSCs still show inferior PCE and operational stability, hindering its commercialization. By substituting the indanone structured end groups of cutting‐edge NFA L8‐BO with C</w:t>
      </w:r>
      <w:r>
        <w:rPr>
          <w:vertAlign w:val="subscript"/>
        </w:rPr>
        <w:t>60</w:t>
      </w:r>
      <w:r>
        <w:t>cage, this work prepares a novel C</w:t>
      </w:r>
      <w:r>
        <w:rPr>
          <w:vertAlign w:val="subscript"/>
        </w:rPr>
        <w:t>60</w:t>
      </w:r>
      <w:r>
        <w:t>terminated acceptor–donor–acceptor (A–D–A) type electron acceptor, C</w:t>
      </w:r>
      <w:r>
        <w:rPr>
          <w:vertAlign w:val="subscript"/>
        </w:rPr>
        <w:t>60</w:t>
      </w:r>
      <w:r>
        <w:t>‐L8BO‐C</w:t>
      </w:r>
      <w:r>
        <w:rPr>
          <w:vertAlign w:val="subscript"/>
        </w:rPr>
        <w:t>60</w:t>
      </w:r>
      <w:r>
        <w:t>. Compared with the traditional spherical fullerene PC</w:t>
      </w:r>
      <w:r>
        <w:rPr>
          <w:vertAlign w:val="subscript"/>
        </w:rPr>
        <w:t>61</w:t>
      </w:r>
      <w:r>
        <w:t>BM, C</w:t>
      </w:r>
      <w:r>
        <w:rPr>
          <w:vertAlign w:val="subscript"/>
        </w:rPr>
        <w:t>60</w:t>
      </w:r>
      <w:r>
        <w:t>‐L8BO‐C</w:t>
      </w:r>
      <w:r>
        <w:rPr>
          <w:vertAlign w:val="subscript"/>
        </w:rPr>
        <w:t>60</w:t>
      </w:r>
      <w:r>
        <w:t>exhibits significantly improved miscibility with both polymer donors and NFAs, enabling it to tune the donor/acceptor interfacial interactions and suppress their phase separation under device operation. As the results, by incorporating 5% of C</w:t>
      </w:r>
      <w:r>
        <w:rPr>
          <w:vertAlign w:val="subscript"/>
        </w:rPr>
        <w:t>60</w:t>
      </w:r>
      <w:r>
        <w:t>‐L8BO‐C</w:t>
      </w:r>
      <w:r>
        <w:rPr>
          <w:vertAlign w:val="subscript"/>
        </w:rPr>
        <w:t>60</w:t>
      </w:r>
      <w:r>
        <w:t>as a guest component, increased exciton dissociation efficiency with suppressed carrier recombination is received, leading to a maximum efficiency of 20.6% (certified PCE of 20.25%) in a D18:L8‐BO:C</w:t>
      </w:r>
      <w:r>
        <w:rPr>
          <w:vertAlign w:val="subscript"/>
        </w:rPr>
        <w:t>60</w:t>
      </w:r>
      <w:r>
        <w:t>‐L8BO‐C</w:t>
      </w:r>
      <w:r>
        <w:rPr>
          <w:vertAlign w:val="subscript"/>
        </w:rPr>
        <w:t>60</w:t>
      </w:r>
      <w:r>
        <w:t>based device. The university of C</w:t>
      </w:r>
      <w:r>
        <w:rPr>
          <w:vertAlign w:val="subscript"/>
        </w:rPr>
        <w:t>60</w:t>
      </w:r>
      <w:r>
        <w:t>‐L8BO‐C</w:t>
      </w:r>
      <w:r>
        <w:rPr>
          <w:vertAlign w:val="subscript"/>
        </w:rPr>
        <w:t>60</w:t>
      </w:r>
      <w:r>
        <w:t>in enhancing the efficiency and stability is also verified in a range of polymer:non‐fullerene systems, and delivering a significantly improved operational T</w:t>
      </w:r>
      <w:r>
        <w:rPr>
          <w:vertAlign w:val="subscript"/>
        </w:rPr>
        <w:t>80</w:t>
      </w:r>
      <w:r>
        <w:t>lifetime of 200% (270 to 815 h) under a standardized ISOS‐L‐3 harsh stability measurement (65 ± 5°C, 65 ± 10% RH, one‐sun illumination).</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5">
        <w:r>
          <w:rPr>
            <w:color w:val="1155CC"/>
            <w:u w:val="single"/>
          </w:rPr>
          <w:t>通过双功能限域催化剂ZrB2/AC宿主实现高倍率Ah级锌碘电池中的I−/I3−/I2高效转换和穿梭抑制</w:t>
        </w:r>
      </w:hyperlink>
    </w:p>
    <w:p>
      <w:pPr>
        <w:spacing w:before="0" w:after="80"/>
      </w:pPr>
      <w:r>
        <w:rPr>
          <w:i/>
          <w:sz w:val="20"/>
        </w:rPr>
        <w:t>EN: Efficient I−/I3−/I2 Conversion and Shuttle‐Suppression in High‐Rate Ah‐Level Zinc‐Iodine Batteries Enabled by Bifunctional Confined‐Catalyst ZrB2/AC Host</w:t>
      </w:r>
    </w:p>
    <w:p>
      <w:pPr>
        <w:spacing w:before="0" w:after="120"/>
      </w:pPr>
      <w:r>
        <w:rPr>
          <w:b/>
        </w:rPr>
        <w:t xml:space="preserve">Source: </w:t>
      </w:r>
      <w:r>
        <w:t>Wiley: Angewandte Chemie International Edition: Table of Contents</w:t>
      </w:r>
      <w:r>
        <w:t xml:space="preserve">    </w:t>
      </w:r>
      <w:r>
        <w:rPr>
          <w:b/>
        </w:rPr>
        <w:t xml:space="preserve">Pub date: </w:t>
      </w:r>
      <w:r>
        <w:t>2026-04-18 03:59:35+00:00</w:t>
      </w:r>
      <w:r>
        <w:t xml:space="preserve">    </w:t>
      </w:r>
      <w:r>
        <w:rPr>
          <w:b/>
        </w:rPr>
        <w:t xml:space="preserve">DOI: </w:t>
      </w:r>
      <w:hyperlink r:id="rId46">
        <w:r>
          <w:rPr>
            <w:color w:val="1155CC"/>
            <w:u w:val="single"/>
          </w:rPr>
          <w:t>10.1002/anie.9794577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水系Zn||I2电池因其高能量密度、固有安全性和生态友好性而受到广泛关注。然而，缓慢的碘氧化还原动力学和高度可溶性多碘化物（I3−和I5−）的形成严重影响了Zn||I2电池的倍率性能和循环稳定性。在此，合成了ZrB2作为多碘化物转化的催化剂载体，其中不饱和表面Zr原子提供了路易斯酸位点，能够与多碘化物强相互作用。</w:t>
      </w:r>
    </w:p>
    <w:p>
      <w:pPr>
        <w:spacing w:before="0" w:after="200" w:lineRule="auto" w:line="276"/>
      </w:pPr>
      <w:r>
        <w:rPr>
          <w:b/>
        </w:rPr>
        <w:t xml:space="preserve">Abstract (EN): </w:t>
      </w:r>
      <w:r>
        <w:t>Rechargeable aqueous Zn||I</w:t>
      </w:r>
      <w:r>
        <w:rPr>
          <w:vertAlign w:val="subscript"/>
        </w:rPr>
        <w:t>2</w:t>
      </w:r>
      <w:r>
        <w:t>batteries have received significant attention for the high energy density, inherent safety, and ecological friendliness. However, the sluggish iodine redox kinetics and the formation of highly soluble polyiodide (I</w:t>
      </w:r>
      <w:r>
        <w:rPr>
          <w:vertAlign w:val="subscript"/>
        </w:rPr>
        <w:t>3</w:t>
      </w:r>
      <w:r>
        <w:t>−</w:t>
      </w:r>
      <w:r>
        <w:t>and I</w:t>
      </w:r>
      <w:r>
        <w:rPr>
          <w:vertAlign w:val="subscript"/>
        </w:rPr>
        <w:t>5</w:t>
      </w:r>
      <w:r>
        <w:t>−</w:t>
      </w:r>
      <w:r>
        <w:t>) seriously affect the rate capability and cycling stability of Zn||I</w:t>
      </w:r>
      <w:r>
        <w:rPr>
          <w:vertAlign w:val="subscript"/>
        </w:rPr>
        <w:t>2</w:t>
      </w:r>
      <w:r>
        <w:t>battery. Herein, ZrB</w:t>
      </w:r>
      <w:r>
        <w:rPr>
          <w:vertAlign w:val="subscript"/>
        </w:rPr>
        <w:t>2</w:t>
      </w:r>
      <w:r>
        <w:t>is synthesized as a catalyst host for polyiodide conversion, where unsaturated surface Zr atoms provide Lewis‐acid sites that enable strong interaction with polyiodide species. These sites not only confine polyiodide anions through strong adsorption to suppress polyiodide shuttling, but also catalyze their stepwise conversion from I</w:t>
      </w:r>
      <w:r>
        <w:t xml:space="preserve"> </w:t>
      </w:r>
      <w:r>
        <w:t>−</w:t>
      </w:r>
      <w:r>
        <w:t>to I</w:t>
      </w:r>
      <w:r>
        <w:rPr>
          <w:vertAlign w:val="subscript"/>
        </w:rPr>
        <w:t>3</w:t>
      </w:r>
      <w:r>
        <w:t>−</w:t>
      </w:r>
      <w:r>
        <w:t>and further to I</w:t>
      </w:r>
      <w:r>
        <w:rPr>
          <w:vertAlign w:val="subscript"/>
        </w:rPr>
        <w:t>2</w:t>
      </w:r>
      <w:r>
        <w:t>during charging, thereby reducing the energy barrier and improving iodine utilization. Consequently, the Zn||I</w:t>
      </w:r>
      <w:r>
        <w:rPr>
          <w:vertAlign w:val="subscript"/>
        </w:rPr>
        <w:t>2</w:t>
      </w:r>
      <w:r>
        <w:t>@ZrB</w:t>
      </w:r>
      <w:r>
        <w:rPr>
          <w:vertAlign w:val="subscript"/>
        </w:rPr>
        <w:t>2</w:t>
      </w:r>
      <w:r>
        <w:t>/AC full cell displays remarkable rate performance, retaining 80.5% of the capacity as the current density increases from 1 to 10 A g</w:t>
      </w:r>
      <w:r>
        <w:t xml:space="preserve"> </w:t>
      </w:r>
      <w:r>
        <w:t>−1</w:t>
      </w:r>
      <w:r>
        <w:t xml:space="preserve"> </w:t>
      </w:r>
      <w:r>
        <w:t>. Remarkably, the full cells exhibit exceptionally long cycle life of 50,000 cycles with negligible capacity decay. The Zn||I</w:t>
      </w:r>
      <w:r>
        <w:rPr>
          <w:vertAlign w:val="subscript"/>
        </w:rPr>
        <w:t>2</w:t>
      </w:r>
      <w:r>
        <w:t>@ZrB</w:t>
      </w:r>
      <w:r>
        <w:rPr>
          <w:vertAlign w:val="subscript"/>
        </w:rPr>
        <w:t>2</w:t>
      </w:r>
      <w:r>
        <w:t>/AC pouch cell with a high I</w:t>
      </w:r>
      <w:r>
        <w:rPr>
          <w:vertAlign w:val="subscript"/>
        </w:rPr>
        <w:t>2</w:t>
      </w:r>
      <w:r>
        <w:t>mass loading of 33 mg cm</w:t>
      </w:r>
      <w:r>
        <w:t xml:space="preserve"> </w:t>
      </w:r>
      <w:r>
        <w:t>−2</w:t>
      </w:r>
      <w:r>
        <w:t xml:space="preserve"> </w:t>
      </w:r>
      <w:r>
        <w:t>maintains a stable capacity of 1.2 Ah over 600 cycles (more than 1400 h).</w:t>
      </w:r>
    </w:p>
    <w:p>
      <w:pPr>
        <w:spacing w:before="120" w:after="120"/>
      </w:pPr>
      <w:r>
        <w:rPr>
          <w:sz w:val="18"/>
        </w:rPr>
        <w:t>——————————————————————————————————————————————————————————————————————</w:t>
      </w:r>
    </w:p>
    <w:p>
      <w:pPr>
        <w:spacing w:before="160" w:after="40" w:line="240" w:lineRule="auto"/>
      </w:pPr>
      <w:r>
        <w:rPr>
          <w:b/>
        </w:rPr>
        <w:t xml:space="preserve">[2] </w:t>
      </w:r>
      <w:hyperlink r:id="rId47">
        <w:r>
          <w:rPr>
            <w:color w:val="1155CC"/>
            <w:u w:val="single"/>
          </w:rPr>
          <w:t>通过离子阻抗匹配界面增强钠层状氧化物阴离子可逆氧化还原</w:t>
        </w:r>
      </w:hyperlink>
    </w:p>
    <w:p>
      <w:pPr>
        <w:spacing w:before="0" w:after="80"/>
      </w:pPr>
      <w:r>
        <w:rPr>
          <w:i/>
          <w:sz w:val="20"/>
        </w:rPr>
        <w:t>EN: Empowering Reversible Anionic Redox in Sodium Layered Oxide Cathodes via Ionic Impedance Matching Interphase</w:t>
      </w:r>
    </w:p>
    <w:p>
      <w:pPr>
        <w:spacing w:before="0" w:after="120"/>
      </w:pPr>
      <w:r>
        <w:rPr>
          <w:b/>
        </w:rPr>
        <w:t xml:space="preserve">Source: </w:t>
      </w:r>
      <w:r>
        <w:t>Wiley: Angewandte Chemie International Edition: Table of Contents</w:t>
      </w:r>
      <w:r>
        <w:t xml:space="preserve">    </w:t>
      </w:r>
      <w:r>
        <w:rPr>
          <w:b/>
        </w:rPr>
        <w:t xml:space="preserve">Pub date: </w:t>
      </w:r>
      <w:r>
        <w:t>2026-04-20 05:37:39+00:00</w:t>
      </w:r>
      <w:r>
        <w:t xml:space="preserve">    </w:t>
      </w:r>
      <w:r>
        <w:rPr>
          <w:b/>
        </w:rPr>
        <w:t xml:space="preserve">DOI: </w:t>
      </w:r>
      <w:hyperlink r:id="rId48">
        <w:r>
          <w:rPr>
            <w:color w:val="1155CC"/>
            <w:u w:val="single"/>
          </w:rPr>
          <w:t>10.1002/anie.1423966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成本钠锰基层状氧化物正极中的阴离子氧化还原反应（O2−/O−，ARR）能够实现高能量密度，但在高电压下由于界面不稳定性常常遭受快速降解。在此，我们设计了一种离子阻抗匹配的界面相，通过协调机械兼容性和离子传输来缓解这一挑战。随着NaTi2(PO4)3经历热驱动的转化伴随离子迁移，诱导P2-Na5/6的梯度表面重构</w:t>
      </w:r>
    </w:p>
    <w:p>
      <w:pPr>
        <w:spacing w:before="0" w:after="200" w:lineRule="auto" w:line="276"/>
      </w:pPr>
      <w:r>
        <w:rPr>
          <w:b/>
        </w:rPr>
        <w:t xml:space="preserve">Abstract (EN): </w:t>
      </w:r>
      <w:r>
        <w:t>Anionic redox reaction (O</w:t>
      </w:r>
      <w:r>
        <w:t xml:space="preserve"> </w:t>
      </w:r>
      <w:r>
        <w:t>2−</w:t>
      </w:r>
      <w:r>
        <w:t>/O</w:t>
      </w:r>
      <w:r>
        <w:t xml:space="preserve"> </w:t>
      </w:r>
      <w:r>
        <w:t>−</w:t>
      </w:r>
      <w:r>
        <w:t>, ARR) in low‐cost sodium manganese‐based layered oxide cathodes enable high energy density, but often suffer from rapid degradation under high voltages due to interfacial instability. Here, we design an ionic impedance matching interphase to mitigate this challenge by harmonizing mechanical compatibility and ionic transport. The interphase forms as NaTi</w:t>
      </w:r>
      <w:r>
        <w:rPr>
          <w:vertAlign w:val="subscript"/>
        </w:rPr>
        <w:t>2</w:t>
      </w:r>
      <w:r>
        <w:t>(PO</w:t>
      </w:r>
      <w:r>
        <w:rPr>
          <w:vertAlign w:val="subscript"/>
        </w:rPr>
        <w:t>4</w:t>
      </w:r>
      <w:r>
        <w:t>)</w:t>
      </w:r>
      <w:r>
        <w:rPr>
          <w:vertAlign w:val="subscript"/>
        </w:rPr>
        <w:t>3</w:t>
      </w:r>
      <w:r>
        <w:t>undergoes thermally driven conversion accompanied by ion migration, inducing gradient surface reconstruction on P2‐Na</w:t>
      </w:r>
      <w:r>
        <w:t xml:space="preserve"> </w:t>
      </w:r>
      <w:r>
        <w:t>5/6</w:t>
      </w:r>
      <w:r>
        <w:t xml:space="preserve"> </w:t>
      </w:r>
      <w:r>
        <w:t>Li</w:t>
      </w:r>
      <w:r>
        <w:t xml:space="preserve"> </w:t>
      </w:r>
      <w:r>
        <w:t>1/4</w:t>
      </w:r>
      <w:r>
        <w:t xml:space="preserve"> </w:t>
      </w:r>
      <w:r>
        <w:t>Mn</w:t>
      </w:r>
      <w:r>
        <w:t xml:space="preserve"> </w:t>
      </w:r>
      <w:r>
        <w:t>3/4</w:t>
      </w:r>
      <w:r>
        <w:t xml:space="preserve"> </w:t>
      </w:r>
      <w:r>
        <w:t>O</w:t>
      </w:r>
      <w:r>
        <w:rPr>
          <w:vertAlign w:val="subscript"/>
        </w:rPr>
        <w:t>2</w:t>
      </w:r>
      <w:r>
        <w:t>and yielding a composite architecture comprising an outer Na</w:t>
      </w:r>
      <w:r>
        <w:rPr>
          <w:vertAlign w:val="subscript"/>
        </w:rPr>
        <w:t>3</w:t>
      </w:r>
      <w:r>
        <w:t>PO</w:t>
      </w:r>
      <w:r>
        <w:rPr>
          <w:vertAlign w:val="subscript"/>
        </w:rPr>
        <w:t>4</w:t>
      </w:r>
      <w:r>
        <w:t>and an inner Ti‐rich spinel‐like layer. The spinel‐like layer shows strong lattice compatibility with layered bulk and is anchored to conductive Na</w:t>
      </w:r>
      <w:r>
        <w:rPr>
          <w:vertAlign w:val="subscript"/>
        </w:rPr>
        <w:t>3</w:t>
      </w:r>
      <w:r>
        <w:t>PO</w:t>
      </w:r>
      <w:r>
        <w:rPr>
          <w:vertAlign w:val="subscript"/>
        </w:rPr>
        <w:t>4</w:t>
      </w:r>
      <w:r>
        <w:t>through robust Ti−O−P linkages, which alleviates internal stress and stabilizes interfacial chemistry, while its intermediate conductivity lowers interfacial resistance. Moreover, this architecture shields electrolyte components from reactive oxygen species, suppresses gas evolution, and introduces lattice‐permeated Ti doping, which reinforces Ti−O covalency to stabilize lattice oxygen and mitigate Jahn−Teller distortion. These synergistic effects yield a stabilized interfacial environment that promotes reversible redox electrochemistry, achieving high discharge capacity (∼ 230 mAh g</w:t>
      </w:r>
      <w:r>
        <w:t xml:space="preserve"> </w:t>
      </w:r>
      <w:r>
        <w:t>−1</w:t>
      </w:r>
      <w:r>
        <w:t xml:space="preserve"> </w:t>
      </w:r>
      <w:r>
        <w:t>) and low voltage decay (&amp;lt;0.05 V) over extended cycling. This work deepens mechanistic insights into interfacial regulation and provides an effective route for stabilizing anionic redox chemistry for high‐energy sodium‐ion batteries.</w:t>
      </w:r>
    </w:p>
    <w:p>
      <w:pPr>
        <w:spacing w:before="120" w:after="120"/>
      </w:pPr>
      <w:r>
        <w:rPr>
          <w:sz w:val="18"/>
        </w:rPr>
        <w:t>——————————————————————————————————————————————————————————————————————</w:t>
      </w:r>
    </w:p>
    <w:p>
      <w:pPr>
        <w:spacing w:before="160" w:after="40" w:line="240" w:lineRule="auto"/>
      </w:pPr>
      <w:r>
        <w:rPr>
          <w:b/>
        </w:rPr>
        <w:t xml:space="preserve">[3] </w:t>
      </w:r>
      <w:hyperlink r:id="rId49">
        <w:r>
          <w:rPr>
            <w:color w:val="1155CC"/>
            <w:u w:val="single"/>
          </w:rPr>
          <w:t>等离子体定制的铁基混合磷酸盐阴极的体-界面-表面三位一体工程用于先进钠离子电池</w:t>
        </w:r>
      </w:hyperlink>
    </w:p>
    <w:p>
      <w:pPr>
        <w:spacing w:before="0" w:after="80"/>
      </w:pPr>
      <w:r>
        <w:rPr>
          <w:i/>
          <w:sz w:val="20"/>
        </w:rPr>
        <w:t>EN: Plasma‐Tailored Bulk‐Interface‐Surface Trinity Engineering of Iron‐Based Mixed Phosphate Cathodes for Advanced Sodium Ion Batteries</w:t>
      </w:r>
    </w:p>
    <w:p>
      <w:pPr>
        <w:spacing w:before="0" w:after="120"/>
      </w:pPr>
      <w:r>
        <w:rPr>
          <w:b/>
        </w:rPr>
        <w:t xml:space="preserve">Source: </w:t>
      </w:r>
      <w:r>
        <w:t>Wiley: Advanced Materials: Table of Contents</w:t>
      </w:r>
      <w:r>
        <w:t xml:space="preserve">    </w:t>
      </w:r>
      <w:r>
        <w:rPr>
          <w:b/>
        </w:rPr>
        <w:t xml:space="preserve">Pub date: </w:t>
      </w:r>
      <w:r>
        <w:t>2026-04-20 05:39:42+00:00</w:t>
      </w:r>
      <w:r>
        <w:t xml:space="preserve">    </w:t>
      </w:r>
      <w:r>
        <w:rPr>
          <w:b/>
        </w:rPr>
        <w:t xml:space="preserve">DOI: </w:t>
      </w:r>
      <w:hyperlink r:id="rId50">
        <w:r>
          <w:rPr>
            <w:color w:val="1155CC"/>
            <w:u w:val="single"/>
          </w:rPr>
          <w:t>10.1002/adma.73107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基于铁的混合磷酸盐Na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(NFPP)是钠离子电池最有前途的正极之一，因其良好的倍率性能和长寿命。然而，其实际应用受到离子/电子动力学缓慢和界面不稳定性的阻碍。在此，我们报告了一种新颖的固体源氟化铵（NH</w:t>
      </w:r>
      <w:r>
        <w:rPr>
          <w:vertAlign w:val="subscript"/>
        </w:rPr>
        <w:t>4</w:t>
      </w:r>
      <w:r>
        <w:t>F）等离子体驱动的协同“三位一体”工程策略，以实现NFPP正极的同时重构。</w:t>
      </w:r>
    </w:p>
    <w:p>
      <w:pPr>
        <w:spacing w:before="0" w:after="200" w:lineRule="auto" w:line="276"/>
      </w:pPr>
      <w:r>
        <w:rPr>
          <w:b/>
        </w:rPr>
        <w:t xml:space="preserve">Abstract (EN): </w:t>
      </w:r>
      <w:r>
        <w:t>Iron‐based mixed phosphate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is one of the most promising cathodes for sodium‐ion batteries due to its good rate capability and long lifespan, while its practical application is hindered by sluggish ionic/electronic kinetics and interfacial instability. Herein, we report a novel solid‐source ammonium fluoride (NH</w:t>
      </w:r>
      <w:r>
        <w:rPr>
          <w:vertAlign w:val="subscript"/>
        </w:rPr>
        <w:t>4</w:t>
      </w:r>
      <w:r>
        <w:t>F) plasma‐driven synergistic “Trinity” engineering strategy to realize simultaneous reconstruction of NFPP cathodes in bulk, interface, and surface architectures. Mechanistic investigations reveal that the coupling reactions between the NH</w:t>
      </w:r>
      <w:r>
        <w:rPr>
          <w:vertAlign w:val="subscript"/>
        </w:rPr>
        <w:t>4</w:t>
      </w:r>
      <w:r>
        <w:t>F plasma and NFPP lattice/surface trigger simultaneous bulk F‐substitution and F/N interface doping as well as surface reconstruction. Specifically, the bulk F</w:t>
      </w:r>
      <w:r>
        <w:t xml:space="preserve"> </w:t>
      </w:r>
      <w:r>
        <w:t>−</w:t>
      </w:r>
      <w:r>
        <w:t>substitution strengthens Fe─O bonding and widens Na</w:t>
      </w:r>
      <w:r>
        <w:t xml:space="preserve"> </w:t>
      </w:r>
      <w:r>
        <w:t>+</w:t>
      </w:r>
      <w:r>
        <w:t xml:space="preserve"> </w:t>
      </w:r>
      <w:r>
        <w:t>channels. Concurrently, plasma‐generated radicals promote the formation of F/N co‐doped carbon network and NaF at the interface, while also promoting the development of a NaF‐rich cathode electrolyte interphase at the surface via modulating the NFPP/electrolyte status. This trinity engineering establishes fast transport pathways and a stable cathode electrolyte interface, effectively minimizing charge transfer impedance while suppressing deleterious side reactions. Consequently, the optimized cell exhibits high capacity and superior high‐rate cycling life with 95.5% retention after 6000 cycles at 30 C. The developed plasma‐driven approach offers mechanistic insights for the synergistic optimization of polyanionic cathodes for advanced sodium ion storage.</w:t>
      </w:r>
    </w:p>
    <w:p>
      <w:pPr>
        <w:spacing w:before="120" w:after="120"/>
      </w:pPr>
      <w:r>
        <w:rPr>
          <w:sz w:val="18"/>
        </w:rPr>
        <w:t>——————————————————————————————————————————————————————————————————————</w:t>
      </w:r>
    </w:p>
    <w:p>
      <w:pPr>
        <w:spacing w:before="160" w:after="40" w:line="240" w:lineRule="auto"/>
      </w:pPr>
      <w:r>
        <w:rPr>
          <w:b/>
        </w:rPr>
        <w:t xml:space="preserve">[4] </w:t>
      </w:r>
      <w:hyperlink r:id="rId51">
        <w:r>
          <w:rPr>
            <w:color w:val="1155CC"/>
            <w:u w:val="single"/>
          </w:rPr>
          <w:t>活性钠占据比-预测Na4Fe3(PO4)2P2O7钠存储性能的指导描述符</w:t>
        </w:r>
      </w:hyperlink>
    </w:p>
    <w:p>
      <w:pPr>
        <w:spacing w:before="0" w:after="80"/>
      </w:pPr>
      <w:r>
        <w:rPr>
          <w:i/>
          <w:sz w:val="20"/>
        </w:rPr>
        <w:t>EN: Active Sodium Occupancy Ratio‐A Guiding Descriptor for Predicting Na4Fe3(PO4)2P2O7 Sodium Storage Performance</w:t>
      </w:r>
    </w:p>
    <w:p>
      <w:pPr>
        <w:spacing w:before="0" w:after="120"/>
      </w:pPr>
      <w:r>
        <w:rPr>
          <w:b/>
        </w:rPr>
        <w:t xml:space="preserve">Source: </w:t>
      </w:r>
      <w:r>
        <w:t>Wiley: Advanced Materials: Table of Contents</w:t>
      </w:r>
      <w:r>
        <w:t xml:space="preserve">    </w:t>
      </w:r>
      <w:r>
        <w:rPr>
          <w:b/>
        </w:rPr>
        <w:t xml:space="preserve">Pub date: </w:t>
      </w:r>
      <w:r>
        <w:t>2026-04-20 11:20:13+00:00</w:t>
      </w:r>
      <w:r>
        <w:t xml:space="preserve">    </w:t>
      </w:r>
      <w:r>
        <w:rPr>
          <w:b/>
        </w:rPr>
        <w:t xml:space="preserve">DOI: </w:t>
      </w:r>
      <w:hyperlink r:id="rId52">
        <w:r>
          <w:rPr>
            <w:color w:val="1155CC"/>
            <w:u w:val="single"/>
          </w:rPr>
          <w:t>10.1002/adma.73081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最近作为一种极具前景的钠离子电池正极材料引起了广泛关注。然而，其局部结构与电化学性能之间的内在关系仍然知之甚少，这对于开发高性能NFPP至关重要。在此，我们提出并验证了Na1/Na4占位比作为直接预测NFPP电化学性能的关键描述符。通过精确控制Na/Fe化学计量比，</w:t>
      </w:r>
    </w:p>
    <w:p>
      <w:pPr>
        <w:spacing w:before="0" w:after="200" w:lineRule="auto" w:line="276"/>
      </w:pPr>
      <w:r>
        <w:rPr>
          <w:b/>
        </w:rPr>
        <w:t xml:space="preserve">Abstract (EN): </w:t>
      </w:r>
      <w:r>
        <w:t>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has recently attracted extensive attention as a highly promising cathode material for sodium‐ion batteries. However, the intrinsic relationship between its local structure and electrochemical properties remains poorly understood, which is crucial for developing high‐performance NFPP. Herein, we propose and validate the Na1/Na4 occupancy ratio as a key descriptor for directly predicting electrochemical performance of NFPP. By precisely controlling the Na/Fe stoichiometric, a low Na1/Na4 occupancy ratio can be obtained, which activates dormant Na1 sites and reduces the Na</w:t>
      </w:r>
      <w:r>
        <w:t xml:space="preserve"> </w:t>
      </w:r>
      <w:r>
        <w:t>+</w:t>
      </w:r>
      <w:r>
        <w:t xml:space="preserve"> </w:t>
      </w:r>
      <w:r>
        <w:t>migration barrier, thereby optimizing ion‐diffusion pathways. NFPP prepared following this principle exhibits outstanding performance at Na1/Na4 ratio of 0.90, achieving a high specific capacity of 80.1 mAh g</w:t>
      </w:r>
      <w:r>
        <w:t xml:space="preserve"> </w:t>
      </w:r>
      <w:r>
        <w:t>−1</w:t>
      </w:r>
      <w:r>
        <w:t xml:space="preserve"> </w:t>
      </w:r>
      <w:r>
        <w:t>at an ultra‐high rate of 50 C and retaining 85.7% of its initial capacity after 20 000 cycles. This work reveals a close correlation between the Na1/Na4 occupancy ratio and the electrochemical performance of NFPP, providing clear design guidelines for developing advanced NFPP cathodes.</w:t>
      </w:r>
    </w:p>
    <w:p>
      <w:pPr>
        <w:spacing w:before="120" w:after="120"/>
      </w:pPr>
      <w:r>
        <w:rPr>
          <w:sz w:val="18"/>
        </w:rPr>
        <w:t>——————————————————————————————————————————————————————————————————————</w:t>
      </w:r>
    </w:p>
    <w:p>
      <w:pPr>
        <w:spacing w:before="160" w:after="40" w:line="240" w:lineRule="auto"/>
      </w:pPr>
      <w:r>
        <w:rPr>
          <w:b/>
        </w:rPr>
        <w:t xml:space="preserve">[5] </w:t>
      </w:r>
      <w:hyperlink r:id="rId53">
        <w:r>
          <w:rPr>
            <w:color w:val="1155CC"/>
            <w:u w:val="single"/>
          </w:rPr>
          <w:t>肖特基-轨道耦合驱动离子-电子转移：触发MnV基磷酸盐阴极的稳定快速充电</w:t>
        </w:r>
      </w:hyperlink>
    </w:p>
    <w:p>
      <w:pPr>
        <w:spacing w:before="0" w:after="80"/>
      </w:pPr>
      <w:r>
        <w:rPr>
          <w:i/>
          <w:sz w:val="20"/>
        </w:rPr>
        <w:t>EN: Schottky‐Orbital Coupling Drives Ion‐Electron Transfer: Triggering Stable Fast‐Charging in MnV‐Based Phosphate Cathode</w:t>
      </w:r>
    </w:p>
    <w:p>
      <w:pPr>
        <w:spacing w:before="0" w:after="120"/>
      </w:pPr>
      <w:r>
        <w:rPr>
          <w:b/>
        </w:rPr>
        <w:t xml:space="preserve">Source: </w:t>
      </w:r>
      <w:r>
        <w:t>Wiley: Angewandte Chemie International Edition: Table of Contents</w:t>
      </w:r>
      <w:r>
        <w:t xml:space="preserve">    </w:t>
      </w:r>
      <w:r>
        <w:rPr>
          <w:b/>
        </w:rPr>
        <w:t xml:space="preserve">Pub date: </w:t>
      </w:r>
      <w:r>
        <w:t>2026-04-20 12:05:56+00:00</w:t>
      </w:r>
      <w:r>
        <w:t xml:space="preserve">    </w:t>
      </w:r>
      <w:r>
        <w:rPr>
          <w:b/>
        </w:rPr>
        <w:t xml:space="preserve">DOI: </w:t>
      </w:r>
      <w:hyperlink r:id="rId54">
        <w:r>
          <w:rPr>
            <w:color w:val="1155CC"/>
            <w:u w:val="single"/>
          </w:rPr>
          <w:t>10.1002/anie.6009112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w:t>
      </w:r>
      <w:r>
        <w:rPr>
          <w:vertAlign w:val="subscript"/>
        </w:rPr>
        <w:t>4</w:t>
      </w:r>
      <w:r>
        <w:t>MnV(PO</w:t>
      </w:r>
      <w:r>
        <w:rPr>
          <w:vertAlign w:val="subscript"/>
        </w:rPr>
        <w:t>4</w:t>
      </w:r>
      <w:r>
        <w:t>)</w:t>
      </w:r>
      <w:r>
        <w:rPr>
          <w:vertAlign w:val="subscript"/>
        </w:rPr>
        <w:t>3</w:t>
      </w:r>
      <w:r>
        <w:t>因其成本效益、高电压和可调化学结构而受到广泛关注。然而，实际应用受到由超过两个电子转移引起的剧烈局部结构畸变以及固有低电子导电性的阻碍。在此，采用肖特基和3</w:t>
      </w:r>
      <w:r>
        <w:t xml:space="preserve"> </w:t>
      </w:r>
      <w:r>
        <w:t>d</w:t>
      </w:r>
      <w:r>
        <w:t xml:space="preserve"> </w:t>
      </w:r>
      <w:r>
        <w:t>轨道耦合设计范式协同调整TM-O配位环境和界面结构，从而突破电极动力学差和结构脆弱性的双重瓶颈。因此，制备的</w:t>
      </w:r>
    </w:p>
    <w:p>
      <w:pPr>
        <w:spacing w:before="0" w:after="200" w:lineRule="auto" w:line="276"/>
      </w:pPr>
      <w:r>
        <w:rPr>
          <w:b/>
        </w:rPr>
        <w:t xml:space="preserve">Abstract (EN): </w:t>
      </w:r>
      <w:r>
        <w:t>Na</w:t>
      </w:r>
      <w:r>
        <w:rPr>
          <w:vertAlign w:val="subscript"/>
        </w:rPr>
        <w:t>4</w:t>
      </w:r>
      <w:r>
        <w:t>MnV(PO</w:t>
      </w:r>
      <w:r>
        <w:rPr>
          <w:vertAlign w:val="subscript"/>
        </w:rPr>
        <w:t>4</w:t>
      </w:r>
      <w:r>
        <w:t>)</w:t>
      </w:r>
      <w:r>
        <w:rPr>
          <w:vertAlign w:val="subscript"/>
        </w:rPr>
        <w:t>3</w:t>
      </w:r>
      <w:r>
        <w:t>, characterized by cost‐effectiveness, high voltage, and tunable chemical structure, has drawn considerable attention. However, the practical deployment is hindered by drastic local structural distortions induced by over two electron transfers, coupled with intrinsically low electronic conductivity. Herein, a Schottky and 3</w:t>
      </w:r>
      <w:r>
        <w:t xml:space="preserve"> </w:t>
      </w:r>
      <w:r>
        <w:t>d</w:t>
      </w:r>
      <w:r>
        <w:t xml:space="preserve"> </w:t>
      </w:r>
      <w:r>
        <w:t>‐orbital coupling design paradigm is performed to synergistically tailor the TM‐O coordination environment and interfacial structures, thus breaking the dual bottlenecks of poor electrode kinetics and structural fragility. Therefore, the prepared Schottky‐orbital coupling mediated Na</w:t>
      </w:r>
      <w:r>
        <w:rPr>
          <w:vertAlign w:val="subscript"/>
        </w:rPr>
        <w:t>4</w:t>
      </w:r>
      <w:r>
        <w:t>MnV(PO</w:t>
      </w:r>
      <w:r>
        <w:rPr>
          <w:vertAlign w:val="subscript"/>
        </w:rPr>
        <w:t>4</w:t>
      </w:r>
      <w:r>
        <w:t>)</w:t>
      </w:r>
      <w:r>
        <w:rPr>
          <w:vertAlign w:val="subscript"/>
        </w:rPr>
        <w:t>3</w:t>
      </w:r>
      <w:r>
        <w:t>(SOMV) cathode exhibits continuous multistep redox with a reversible discharge capacity of 143.9 mAh g</w:t>
      </w:r>
      <w:r>
        <w:t xml:space="preserve"> </w:t>
      </w:r>
      <w:r>
        <w:t>−1</w:t>
      </w:r>
      <w:r>
        <w:t xml:space="preserve"> </w:t>
      </w:r>
      <w:r>
        <w:t>at 0.1 C. Theoretical calculations and experiment demonstrate that the in‐situ generated metallic Ni</w:t>
      </w:r>
      <w:r>
        <w:rPr>
          <w:vertAlign w:val="subscript"/>
        </w:rPr>
        <w:t>2</w:t>
      </w:r>
      <w:r>
        <w:t>P particles establish intimate contact with semiconducting phosphate particles, inducing the built‐in electric field and thus facilitating the coupled ion‐electron transfer and elevating the reaction‐limited current. Eventually, the SOMV cathode achieves a remarkable rate (82.5 mAh g</w:t>
      </w:r>
      <w:r>
        <w:t xml:space="preserve"> </w:t>
      </w:r>
      <w:r>
        <w:t>−1</w:t>
      </w:r>
      <w:r>
        <w:t xml:space="preserve"> </w:t>
      </w:r>
      <w:r>
        <w:t>at 30 C) and fast‐charging performance (26 s to reach 88.5 mAh g</w:t>
      </w:r>
      <w:r>
        <w:t xml:space="preserve"> </w:t>
      </w:r>
      <w:r>
        <w:t>−1</w:t>
      </w:r>
      <w:r>
        <w:t xml:space="preserve"> </w:t>
      </w:r>
      <w:r>
        <w:t>). Moreover, the multiple TM 3</w:t>
      </w:r>
      <w:r>
        <w:t xml:space="preserve"> </w:t>
      </w:r>
      <w:r>
        <w:t>d</w:t>
      </w:r>
      <w:r>
        <w:t xml:space="preserve"> </w:t>
      </w:r>
      <w:r>
        <w:t>‐orbital coupling and reinforced TM─O bonds of SOMV grant the excellent long‐term cycling stability (75.0% capacity retention after 10 000 cycles at 30 C). A universal paradigm for boosting the coupled ion‐electron transfer is established via synergistic engineering of electronic and structural properties.</w:t>
      </w:r>
    </w:p>
    <w:p>
      <w:pPr>
        <w:spacing w:before="120" w:after="120"/>
      </w:pPr>
      <w:r>
        <w:rPr>
          <w:sz w:val="18"/>
        </w:rPr>
        <w:t>——————————————————————————————————————————————————————————————————————</w:t>
      </w:r>
    </w:p>
    <w:p>
      <w:pPr>
        <w:spacing w:before="160" w:after="40" w:line="240" w:lineRule="auto"/>
      </w:pPr>
      <w:r>
        <w:rPr>
          <w:b/>
        </w:rPr>
        <w:t xml:space="preserve">[6] </w:t>
      </w:r>
      <w:hyperlink r:id="rId55">
        <w:r>
          <w:rPr>
            <w:color w:val="1155CC"/>
            <w:u w:val="single"/>
          </w:rPr>
          <w:t>[ASAP] 通过原位光电子光谱揭示全固态电池的早期降解机制</w:t>
        </w:r>
      </w:hyperlink>
    </w:p>
    <w:p>
      <w:pPr>
        <w:spacing w:before="0" w:after="80"/>
      </w:pPr>
      <w:r>
        <w:rPr>
          <w:i/>
          <w:sz w:val="20"/>
        </w:rPr>
        <w:t>EN: [ASAP] Early Onset Degradation Mechanism in All Solid-State Batteries Revealed by Operando Photoelectron Spectroscopy</w:t>
      </w:r>
    </w:p>
    <w:p>
      <w:pPr>
        <w:spacing w:before="0" w:after="120"/>
      </w:pPr>
      <w:r>
        <w:rPr>
          <w:b/>
        </w:rPr>
        <w:t xml:space="preserve">Source: </w:t>
      </w:r>
      <w:r>
        <w:t>ACS Energy Letters: Latest Articles (ACS Publications)</w:t>
      </w:r>
      <w:r>
        <w:t xml:space="preserve">    </w:t>
      </w:r>
      <w:r>
        <w:rPr>
          <w:b/>
        </w:rPr>
        <w:t xml:space="preserve">Pub date: </w:t>
      </w:r>
      <w:r>
        <w:t>2026-04-21 14:38:57+00:00</w:t>
      </w:r>
      <w:r>
        <w:t xml:space="preserve">    </w:t>
      </w:r>
      <w:r>
        <w:rPr>
          <w:b/>
        </w:rPr>
        <w:t xml:space="preserve">DOI: </w:t>
      </w:r>
      <w:hyperlink r:id="rId56">
        <w:r>
          <w:rPr>
            <w:color w:val="1155CC"/>
            <w:u w:val="single"/>
          </w:rPr>
          <w:t>10.1021/acsenergylett.6c00551</w:t>
        </w:r>
      </w:hyperlink>
    </w:p>
    <w:p>
      <w:pPr>
        <w:spacing w:before="0" w:after="120"/>
      </w:pPr>
      <w:r>
        <w:rPr>
          <w:b/>
        </w:rPr>
        <w:t xml:space="preserve">Notes: </w:t>
      </w:r>
      <w:r>
        <w:t>abstract_source=openalex</w:t>
      </w:r>
    </w:p>
    <w:p>
      <w:pPr>
        <w:spacing w:before="0" w:after="80" w:lineRule="auto" w:line="276"/>
      </w:pPr>
      <w:r>
        <w:rPr>
          <w:b/>
        </w:rPr>
        <w:t xml:space="preserve">摘要（ZH）: </w:t>
      </w:r>
      <w:r>
        <w:t>固态电池（SSBs）承诺提高安全性和能量密度，但其长期稳定性受到界面降解的限制，而这种降解尚未被充分理解。在此，我们对设备相关结构进行原位硬X射线光电子能谱（HAXPES）研究，使我们能够在循环过程中对电极进行深度分辨探测，以跟踪TiS2|Li3YCl6半电池中的锂化和界面降解过程。我们识别出Li3YCl6的还原过程。同时，发现含氧物质向阴极集电体迁移，在那里它们与TiS2反应形成无定形TiOx层，这在长期循环中导致容量衰减。深度依赖性测量证实氧的富集局限于表面附近，建立了一个动力学驱动的d</w:t>
      </w:r>
    </w:p>
    <w:p>
      <w:pPr>
        <w:spacing w:before="0" w:after="200" w:lineRule="auto" w:line="276"/>
      </w:pPr>
      <w:r>
        <w:rPr>
          <w:b/>
        </w:rPr>
        <w:t xml:space="preserve">Abstract (EN): </w:t>
      </w:r>
      <w:r>
        <w:t>Solid-state batteries (SSBs) promise enhanced safety and energy density, yet their long-term stability is limited by poorly understood interfacial degradation. Here, we perform operando hard X-ray photoelectron spectroscopy (HAXPES) on device-relevant structures, enabling depth-resolved probing of electrodes during cycling to follow lithiation and interfacial degradation processes in TiS2|Li3YCl6 half cells. We identify a reduction process for Li3YCl6. Concurrently, oxygen-containing species are found to migrate toward the cathode current collector, where they react with TiS2 to form an amorphous TiOx layer that contributes to capacity fade during extended cycling. Depth-dependent measurements confirm that oxygen enrichment is localized near the surface, establishing a kinetically driven degradation pathway linked to electron injection during discharge. These insights reveal how electrochemically induced migration of oxygen-containing species and interfacial redox can drive degradation in SSBs, providing a mechanistic basis for strategies to improve interfacial stability and cycling performance.</w:t>
      </w:r>
    </w:p>
    <w:p>
      <w:pPr>
        <w:spacing w:before="120" w:after="120"/>
      </w:pPr>
      <w:r>
        <w:rPr>
          <w:sz w:val="18"/>
        </w:rPr>
        <w:t>——————————————————————————————————————————————————————————————————————</w:t>
      </w:r>
    </w:p>
    <w:p>
      <w:pPr>
        <w:spacing w:before="160" w:after="40" w:line="240" w:lineRule="auto"/>
      </w:pPr>
      <w:r>
        <w:rPr>
          <w:b/>
        </w:rPr>
        <w:t xml:space="preserve">[7] </w:t>
      </w:r>
      <w:hyperlink r:id="rId57">
        <w:r>
          <w:rPr>
            <w:color w:val="1155CC"/>
            <w:u w:val="single"/>
          </w:rPr>
          <w:t>在超高电压下原位磷酸酯聚合物层锁定富镍正极中的氧迁移</w:t>
        </w:r>
      </w:hyperlink>
    </w:p>
    <w:p>
      <w:pPr>
        <w:spacing w:before="0" w:after="80"/>
      </w:pPr>
      <w:r>
        <w:rPr>
          <w:i/>
          <w:sz w:val="20"/>
        </w:rPr>
        <w:t>EN: In Situ Phosphoester Polymer Layer Locking Oxygen Migration in Ni‐Rich Cathodes Under Ultra‐High Voltage</w:t>
      </w:r>
    </w:p>
    <w:p>
      <w:pPr>
        <w:spacing w:before="0" w:after="120"/>
      </w:pPr>
      <w:r>
        <w:rPr>
          <w:b/>
        </w:rPr>
        <w:t xml:space="preserve">Source: </w:t>
      </w:r>
      <w:r>
        <w:t>Wiley: Advanced Materials: Table of Contents</w:t>
      </w:r>
      <w:r>
        <w:t xml:space="preserve">    </w:t>
      </w:r>
      <w:r>
        <w:rPr>
          <w:b/>
        </w:rPr>
        <w:t xml:space="preserve">Pub date: </w:t>
      </w:r>
      <w:r>
        <w:t>2026-04-22 05:29:31+00:00</w:t>
      </w:r>
      <w:r>
        <w:t xml:space="preserve">    </w:t>
      </w:r>
      <w:r>
        <w:rPr>
          <w:b/>
        </w:rPr>
        <w:t xml:space="preserve">DOI: </w:t>
      </w:r>
      <w:hyperlink r:id="rId58">
        <w:r>
          <w:rPr>
            <w:color w:val="1155CC"/>
            <w:u w:val="single"/>
          </w:rPr>
          <w:t>10.1002/adma.73149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富镍层状正极的截止电压是增加锂电池能量密度的有效策略，但这显著加剧了由晶格氧不稳定性驱动的结构退化和气体演化。在扩散受限条件下，靠近隔膜的电极区域优先发生过度脱锂，成为氧诱导化学机械失效的主要起始点。在此，我们报告了一种原位形成的磷酸酯衍生聚合物中间层，应用于LiNi</w:t>
      </w:r>
      <w:r>
        <w:rPr>
          <w:vertAlign w:val="subscript"/>
        </w:rPr>
        <w:t>0</w:t>
      </w:r>
      <w:r>
        <w:t>.</w:t>
      </w:r>
      <w:r>
        <w:rPr>
          <w:vertAlign w:val="subscript"/>
        </w:rPr>
        <w:t>8</w:t>
      </w:r>
      <w:r>
        <w:t>Co</w:t>
      </w:r>
      <w:r>
        <w:rPr>
          <w:vertAlign w:val="subscript"/>
        </w:rPr>
        <w:t>0</w:t>
      </w:r>
      <w:r>
        <w:t>.</w:t>
      </w:r>
      <w:r>
        <w:rPr>
          <w:vertAlign w:val="subscript"/>
        </w:rPr>
        <w:t>1</w:t>
      </w:r>
      <w:r>
        <w:t>Mn</w:t>
      </w:r>
      <w:r>
        <w:rPr>
          <w:vertAlign w:val="subscript"/>
        </w:rPr>
        <w:t>0</w:t>
      </w:r>
      <w:r>
        <w:t>.</w:t>
      </w:r>
    </w:p>
    <w:p>
      <w:pPr>
        <w:spacing w:before="0" w:after="200" w:lineRule="auto" w:line="276"/>
      </w:pPr>
      <w:r>
        <w:rPr>
          <w:b/>
        </w:rPr>
        <w:t xml:space="preserve">Abstract (EN): </w:t>
      </w:r>
      <w:r>
        <w:t>Raising the cutoff voltage of nickel‐rich layered cathodes is an effective strategy to increase the energy density of lithium batteries, yet it markedly aggravates structural degradation and gas evolution driven by lattice oxygen instability. Under diffusion‐limited conditions, the separator‐adjacent electrode region undergoes preferential over‐delithiation, serving as the primary initiation site for oxygen‐induced chemo‐mechanical failure. Here, we report an in situ formed phosphoester‐derived polymer interlayer on LiNi</w:t>
      </w:r>
      <w:r>
        <w:rPr>
          <w:vertAlign w:val="subscript"/>
        </w:rPr>
        <w:t>0</w:t>
      </w:r>
      <w:r>
        <w:t>.</w:t>
      </w:r>
      <w:r>
        <w:rPr>
          <w:vertAlign w:val="subscript"/>
        </w:rPr>
        <w:t>8</w:t>
      </w:r>
      <w:r>
        <w:t>Co</w:t>
      </w:r>
      <w:r>
        <w:rPr>
          <w:vertAlign w:val="subscript"/>
        </w:rPr>
        <w:t>0</w:t>
      </w:r>
      <w:r>
        <w:t>.</w:t>
      </w:r>
      <w:r>
        <w:rPr>
          <w:vertAlign w:val="subscript"/>
        </w:rPr>
        <w:t>1</w:t>
      </w:r>
      <w:r>
        <w:t>Mn</w:t>
      </w:r>
      <w:r>
        <w:rPr>
          <w:vertAlign w:val="subscript"/>
        </w:rPr>
        <w:t>0</w:t>
      </w:r>
      <w:r>
        <w:t>.</w:t>
      </w:r>
      <w:r>
        <w:rPr>
          <w:vertAlign w:val="subscript"/>
        </w:rPr>
        <w:t>1</w:t>
      </w:r>
      <w:r>
        <w:t>O</w:t>
      </w:r>
      <w:r>
        <w:rPr>
          <w:vertAlign w:val="subscript"/>
        </w:rPr>
        <w:t>2</w:t>
      </w:r>
      <w:r>
        <w:t>electrodes that operates via a synergistic chemical–physical oxygen migration locking mechanism. Chemically, the phosphorus‐containing polymer stabilizes lattice oxygen through robust metal–oxygen–phosphorus coordination, increasing the oxygen‐vacancy formation energy by 0.61 eV compared with pristine LiNi</w:t>
      </w:r>
      <w:r>
        <w:rPr>
          <w:vertAlign w:val="subscript"/>
        </w:rPr>
        <w:t>0</w:t>
      </w:r>
      <w:r>
        <w:t>.</w:t>
      </w:r>
      <w:r>
        <w:rPr>
          <w:vertAlign w:val="subscript"/>
        </w:rPr>
        <w:t>8</w:t>
      </w:r>
      <w:r>
        <w:t>Co</w:t>
      </w:r>
      <w:r>
        <w:rPr>
          <w:vertAlign w:val="subscript"/>
        </w:rPr>
        <w:t>0</w:t>
      </w:r>
      <w:r>
        <w:t>.</w:t>
      </w:r>
      <w:r>
        <w:rPr>
          <w:vertAlign w:val="subscript"/>
        </w:rPr>
        <w:t>1</w:t>
      </w:r>
      <w:r>
        <w:t>Mn</w:t>
      </w:r>
      <w:r>
        <w:rPr>
          <w:vertAlign w:val="subscript"/>
        </w:rPr>
        <w:t>0</w:t>
      </w:r>
      <w:r>
        <w:t>.</w:t>
      </w:r>
      <w:r>
        <w:rPr>
          <w:vertAlign w:val="subscript"/>
        </w:rPr>
        <w:t>1</w:t>
      </w:r>
      <w:r>
        <w:t>O</w:t>
      </w:r>
      <w:r>
        <w:rPr>
          <w:vertAlign w:val="subscript"/>
        </w:rPr>
        <w:t>2</w:t>
      </w:r>
      <w:r>
        <w:t>. Physically, the crosslinked polymer network regulates oxygen transport and captures evolved oxygen species, thereby mitigating parasitic reactions. This dual‐function interlayer suppresses gas evolution, reduces strain accumulation, and stabilizes bulk structural integrity under ultra‐high‐voltage operation. Consequently, the modified cathode delivers 81.5% capacity retention after 100 cycles at 1 C under 4.6 V, which is an improvement of 25.3% over the pristine counterpart, and enables stable cycling of a 3.2 Ah pouch full cell. This scalable in situ interfacial strategy provides an effective pathway to suppress oxygen‐related degradation in Ni‐rich cathodes, advancing safer and higher‐energy lithium batteries.</w:t>
      </w:r>
    </w:p>
    <w:p>
      <w:pPr>
        <w:spacing w:before="120" w:after="120"/>
      </w:pPr>
      <w:r>
        <w:rPr>
          <w:sz w:val="18"/>
        </w:rPr>
        <w:t>——————————————————————————————————————————————————————————————————————</w:t>
      </w:r>
    </w:p>
    <w:p>
      <w:pPr>
        <w:spacing w:before="160" w:after="40" w:line="240" w:lineRule="auto"/>
      </w:pPr>
      <w:r>
        <w:rPr>
          <w:b/>
        </w:rPr>
        <w:t xml:space="preserve">[8] </w:t>
      </w:r>
      <w:hyperlink r:id="rId59">
        <w:r>
          <w:rPr>
            <w:color w:val="1155CC"/>
            <w:u w:val="single"/>
          </w:rPr>
          <w:t>调节阴离子增强溶剂化化学以实现高电压钠离子电池中稳定的阴离子氧化还原反应</w:t>
        </w:r>
      </w:hyperlink>
    </w:p>
    <w:p>
      <w:pPr>
        <w:spacing w:before="0" w:after="80"/>
      </w:pPr>
      <w:r>
        <w:rPr>
          <w:i/>
          <w:sz w:val="20"/>
        </w:rPr>
        <w:t>EN: Modulating Anion‐Reinforced Solvation Chemistry for Stable Anionic Redox Reaction in High‐Voltage Sodium‐Ion Batteries</w:t>
      </w:r>
    </w:p>
    <w:p>
      <w:pPr>
        <w:spacing w:before="0" w:after="120"/>
      </w:pPr>
      <w:r>
        <w:rPr>
          <w:b/>
        </w:rPr>
        <w:t xml:space="preserve">Source: </w:t>
      </w:r>
      <w:r>
        <w:t>Wiley: Advanced Energy Materials: Table of Contents</w:t>
      </w:r>
      <w:r>
        <w:t xml:space="preserve">    </w:t>
      </w:r>
      <w:r>
        <w:rPr>
          <w:b/>
        </w:rPr>
        <w:t xml:space="preserve">Pub date: </w:t>
      </w:r>
      <w:r>
        <w:t>2026-04-22 05:31:50+00:00</w:t>
      </w:r>
      <w:r>
        <w:t xml:space="preserve">    </w:t>
      </w:r>
      <w:r>
        <w:rPr>
          <w:b/>
        </w:rPr>
        <w:t xml:space="preserve">DOI: </w:t>
      </w:r>
      <w:hyperlink r:id="rId60">
        <w:r>
          <w:rPr>
            <w:color w:val="1155CC"/>
            <w:u w:val="single"/>
          </w:rPr>
          <w:t>10.1002/aenm.70965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高压钠离子电池采用层状氧化物正极（例如，P2型Na</w:t>
      </w:r>
      <w:r>
        <w:t xml:space="preserve"> </w:t>
      </w:r>
      <w:r>
        <w:t>0.66</w:t>
      </w:r>
      <w:r>
        <w:t xml:space="preserve"> </w:t>
      </w:r>
      <w:r>
        <w:t>Li</w:t>
      </w:r>
      <w:r>
        <w:t xml:space="preserve"> </w:t>
      </w:r>
      <w:r>
        <w:t>0.22</w:t>
      </w:r>
      <w:r>
        <w:t xml:space="preserve"> </w:t>
      </w:r>
      <w:r>
        <w:t>Mn</w:t>
      </w:r>
      <w:r>
        <w:t xml:space="preserve"> </w:t>
      </w:r>
      <w:r>
        <w:t>0.78</w:t>
      </w:r>
      <w:r>
        <w:t xml:space="preserve"> </w:t>
      </w:r>
      <w:r>
        <w:t>O</w:t>
      </w:r>
      <w:r>
        <w:rPr>
          <w:vertAlign w:val="subscript"/>
        </w:rPr>
        <w:t>2</w:t>
      </w:r>
      <w:r>
        <w:t>）面临界面降解和不可逆阴离子氧化还原反应（ARR）的挑战，这限制了其循环稳定性和实际应用。本研究通过“预锚定和后分解”协议将ARR化学与界面工程相结合：DFOB</w:t>
      </w:r>
      <w:r>
        <w:t xml:space="preserve"> </w:t>
      </w:r>
      <w:r>
        <w:t>−</w:t>
      </w:r>
      <w:r>
        <w:t>首先吸附在正极表面形成富含B-F/NaF的膜，同时准备好捕获即将到来的活性氧物种，之后PF</w:t>
      </w:r>
    </w:p>
    <w:p>
      <w:pPr>
        <w:spacing w:before="0" w:after="200" w:lineRule="auto" w:line="276"/>
      </w:pPr>
      <w:r>
        <w:rPr>
          <w:b/>
        </w:rPr>
        <w:t xml:space="preserve">Abstract (EN): </w:t>
      </w:r>
      <w:r>
        <w:t>High‐voltage sodium‐ion batteries employing layered oxide cathodes (e.g., P2‐type Na</w:t>
      </w:r>
      <w:r>
        <w:t xml:space="preserve"> </w:t>
      </w:r>
      <w:r>
        <w:t>0.66</w:t>
      </w:r>
      <w:r>
        <w:t xml:space="preserve"> </w:t>
      </w:r>
      <w:r>
        <w:t>Li</w:t>
      </w:r>
      <w:r>
        <w:t xml:space="preserve"> </w:t>
      </w:r>
      <w:r>
        <w:t>0.22</w:t>
      </w:r>
      <w:r>
        <w:t xml:space="preserve"> </w:t>
      </w:r>
      <w:r>
        <w:t>Mn</w:t>
      </w:r>
      <w:r>
        <w:t xml:space="preserve"> </w:t>
      </w:r>
      <w:r>
        <w:t>0.78</w:t>
      </w:r>
      <w:r>
        <w:t xml:space="preserve"> </w:t>
      </w:r>
      <w:r>
        <w:t>O</w:t>
      </w:r>
      <w:r>
        <w:rPr>
          <w:vertAlign w:val="subscript"/>
        </w:rPr>
        <w:t>2</w:t>
      </w:r>
      <w:r>
        <w:t>) face challenges of interfacial degradation and irreversible anionic redox reaction (ARR), which limit their cycling stability and practical application. This study integrates ARR chemistry with interface engineering through a “pre‐anchoring and post‐decomposition” protocol: DFOB</w:t>
      </w:r>
      <w:r>
        <w:t xml:space="preserve"> </w:t>
      </w:r>
      <w:r>
        <w:t>−</w:t>
      </w:r>
      <w:r>
        <w:t>first adsorbs on the cathode surface to form a B‐F/NaF‐rich film while priming itself to scavenge the incoming reactive oxygen species, after which the PF</w:t>
      </w:r>
      <w:r>
        <w:rPr>
          <w:vertAlign w:val="subscript"/>
        </w:rPr>
        <w:t>6</w:t>
      </w:r>
      <w:r>
        <w:t>−</w:t>
      </w:r>
      <w:r>
        <w:t>/DFOB</w:t>
      </w:r>
      <w:r>
        <w:t xml:space="preserve"> </w:t>
      </w:r>
      <w:r>
        <w:t>−</w:t>
      </w:r>
      <w:r>
        <w:t>‐enriched solvation sheath facilitates the formation of a dense, NaF‐dominated and B‐containing cathode/electrolyte interphase (CEI) during cycling. Such a functional interface inhibits trapped O</w:t>
      </w:r>
      <w:r>
        <w:rPr>
          <w:vertAlign w:val="subscript"/>
        </w:rPr>
        <w:t>2</w:t>
      </w:r>
      <w:r>
        <w:t>formation and irreversible O</w:t>
      </w:r>
      <w:r>
        <w:rPr>
          <w:vertAlign w:val="subscript"/>
        </w:rPr>
        <w:t>2</w:t>
      </w:r>
      <w:r>
        <w:t>release in the initial cycle, thereby enabling reversible ARR for long‐term cycling. Besides, the robust CEI layer effectively suppresses dissolution of Li/Mn ions, thus refraining irreversible phase transformation and preserving the structural integrity of Na</w:t>
      </w:r>
      <w:r>
        <w:t xml:space="preserve"> </w:t>
      </w:r>
      <w:r>
        <w:t>0.66</w:t>
      </w:r>
      <w:r>
        <w:t xml:space="preserve"> </w:t>
      </w:r>
      <w:r>
        <w:t>Li</w:t>
      </w:r>
      <w:r>
        <w:t xml:space="preserve"> </w:t>
      </w:r>
      <w:r>
        <w:t>0.22</w:t>
      </w:r>
      <w:r>
        <w:t xml:space="preserve"> </w:t>
      </w:r>
      <w:r>
        <w:t>Mn</w:t>
      </w:r>
      <w:r>
        <w:t xml:space="preserve"> </w:t>
      </w:r>
      <w:r>
        <w:t>0.78</w:t>
      </w:r>
      <w:r>
        <w:t xml:space="preserve"> </w:t>
      </w:r>
      <w:r>
        <w:t>O</w:t>
      </w:r>
      <w:r>
        <w:rPr>
          <w:vertAlign w:val="subscript"/>
        </w:rPr>
        <w:t>2</w:t>
      </w:r>
      <w:r>
        <w:t>cathode. Under harsh conditions—including high voltage (4.5 V), elevated temperature (55°C), and moisture exposure (200 ppm H</w:t>
      </w:r>
      <w:r>
        <w:rPr>
          <w:vertAlign w:val="subscript"/>
        </w:rPr>
        <w:t>2</w:t>
      </w:r>
      <w:r>
        <w:t>O)—the Na</w:t>
      </w:r>
      <w:r>
        <w:t xml:space="preserve"> </w:t>
      </w:r>
      <w:r>
        <w:t>0.66</w:t>
      </w:r>
      <w:r>
        <w:t xml:space="preserve"> </w:t>
      </w:r>
      <w:r>
        <w:t>Li</w:t>
      </w:r>
      <w:r>
        <w:t xml:space="preserve"> </w:t>
      </w:r>
      <w:r>
        <w:t>0.22</w:t>
      </w:r>
      <w:r>
        <w:t xml:space="preserve"> </w:t>
      </w:r>
      <w:r>
        <w:t>Mn</w:t>
      </w:r>
      <w:r>
        <w:t xml:space="preserve"> </w:t>
      </w:r>
      <w:r>
        <w:t>0.78</w:t>
      </w:r>
      <w:r>
        <w:t xml:space="preserve"> </w:t>
      </w:r>
      <w:r>
        <w:t>O</w:t>
      </w:r>
      <w:r>
        <w:rPr>
          <w:vertAlign w:val="subscript"/>
        </w:rPr>
        <w:t>2</w:t>
      </w:r>
      <w:r>
        <w:t>cathode exhibits exceptional cycling stability. This study presents a universal high‐voltage electrolyte design strategy to achieve long‐term cyclability in cathodes with ARR activity.</w:t>
      </w:r>
    </w:p>
    <w:p>
      <w:pPr>
        <w:spacing w:before="120" w:after="120"/>
      </w:pPr>
      <w:r>
        <w:rPr>
          <w:sz w:val="18"/>
        </w:rPr>
        <w:t>——————————————————————————————————————————————————————————————————————</w:t>
      </w:r>
    </w:p>
    <w:p>
      <w:pPr>
        <w:spacing w:before="160" w:after="40" w:line="240" w:lineRule="auto"/>
      </w:pPr>
      <w:r>
        <w:rPr>
          <w:b/>
        </w:rPr>
        <w:t xml:space="preserve">[9] </w:t>
      </w:r>
      <w:hyperlink r:id="rId61">
        <w:r>
          <w:rPr>
            <w:color w:val="1155CC"/>
            <w:u w:val="single"/>
          </w:rPr>
          <w:t>一种具有富氟界面的低粘度电解质赋予稳定的高动力学和耐寒SPAN阴极</w:t>
        </w:r>
      </w:hyperlink>
    </w:p>
    <w:p>
      <w:pPr>
        <w:spacing w:before="0" w:after="80"/>
      </w:pPr>
      <w:r>
        <w:rPr>
          <w:i/>
          <w:sz w:val="20"/>
        </w:rPr>
        <w:t>EN: A Low‐Viscosity Electrolyte With Fluorine‐Rich Interphase Empowers Stable High‐kinetics and Cold‐Resistant SPAN Cathodes</w:t>
      </w:r>
    </w:p>
    <w:p>
      <w:pPr>
        <w:spacing w:before="0" w:after="120"/>
      </w:pPr>
      <w:r>
        <w:rPr>
          <w:b/>
        </w:rPr>
        <w:t xml:space="preserve">Source: </w:t>
      </w:r>
      <w:r>
        <w:t>Wiley: Advanced Energy Materials: Table of Contents</w:t>
      </w:r>
      <w:r>
        <w:t xml:space="preserve">    </w:t>
      </w:r>
      <w:r>
        <w:rPr>
          <w:b/>
        </w:rPr>
        <w:t xml:space="preserve">Pub date: </w:t>
      </w:r>
      <w:r>
        <w:t>2026-04-22 07:51:15+00:00</w:t>
      </w:r>
      <w:r>
        <w:t xml:space="preserve">    </w:t>
      </w:r>
      <w:r>
        <w:rPr>
          <w:b/>
        </w:rPr>
        <w:t xml:space="preserve">DOI: </w:t>
      </w:r>
      <w:hyperlink r:id="rId62">
        <w:r>
          <w:rPr>
            <w:color w:val="1155CC"/>
            <w:u w:val="single"/>
          </w:rPr>
          <w:t>10.1002/aenm.70976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聚丙烯腈（SPAN）由于其固有的稳定性和规避穿梭效应的能力，是锂金属电池的一种有前途的正极材料。然而，由于固有的缓慢动力学和不稳定的电极/电解质界面，实现高可逆容量和循环稳定性仍然具有挑战性。在此，我们设计了一种基于LiFSI的电解质，通过阴离子参与来调节溶剂化结构，使Li负极和SPAN正极上形成稳健的电极/电解质界面。这样的优化环境有效抑制了枝晶锂的生长，并在反复循环过程中保持SPAN正极的结构完整性。进一步通过其h</w:t>
      </w:r>
    </w:p>
    <w:p>
      <w:pPr>
        <w:spacing w:before="0" w:after="200" w:lineRule="auto" w:line="276"/>
      </w:pPr>
      <w:r>
        <w:rPr>
          <w:b/>
        </w:rPr>
        <w:t xml:space="preserve">Abstract (EN): </w:t>
      </w:r>
      <w:r>
        <w:t>Sulfurized polyacrylonitrile (SPAN) is a promising cathode material for lithium‐metal batteries due to its intrinsic stability and ability to circumvent the shuttle effect. However, it is still challenging to achieve high reversible capacity and cycling stability, mainly due to the intrinsic sluggish kinetics and unstable electrode/electrolyte interphases. Herein, we design a LiFSI‐based electrolyte that leverages anion participation to regulate the solvation structure, enabling robust electrode/electrolyte interphases on both the Li anode and SPAN cathode. Such an optimized environment effectively suppresses dendritic lithium growth and preserves the structural integrity of the SPAN cathode during repeated cycling. Further empowered by its high ionic conductivity of 13.63 mS cm</w:t>
      </w:r>
      <w:r>
        <w:t xml:space="preserve"> </w:t>
      </w:r>
      <w:r>
        <w:t>−1</w:t>
      </w:r>
      <w:r>
        <w:t xml:space="preserve"> </w:t>
      </w:r>
      <w:r>
        <w:t>, the Li/SPAN batteries achieve an outstanding reversible capacity of 1015 mAh g</w:t>
      </w:r>
      <w:r>
        <w:t xml:space="preserve"> </w:t>
      </w:r>
      <w:r>
        <w:t>S</w:t>
      </w:r>
      <w:r>
        <w:t xml:space="preserve"> </w:t>
      </w:r>
      <w:r>
        <w:t>−1</w:t>
      </w:r>
      <w:r>
        <w:t xml:space="preserve"> </w:t>
      </w:r>
      <w:r>
        <w:t>after 1350 cycles and retain a capacity of 880 mAh g</w:t>
      </w:r>
      <w:r>
        <w:t xml:space="preserve"> </w:t>
      </w:r>
      <w:r>
        <w:t>S</w:t>
      </w:r>
      <w:r>
        <w:t xml:space="preserve"> </w:t>
      </w:r>
      <w:r>
        <w:t>−1</w:t>
      </w:r>
      <w:r>
        <w:t xml:space="preserve"> </w:t>
      </w:r>
      <w:r>
        <w:t>after 400 cycles even at −20°C. Moreover, the assembled Li/SPAN pouch cell exhibits excellent cycling stability, maintaining a specific capacity of 1043 mAh g</w:t>
      </w:r>
      <w:r>
        <w:t xml:space="preserve"> </w:t>
      </w:r>
      <w:r>
        <w:t>S</w:t>
      </w:r>
      <w:r>
        <w:t xml:space="preserve"> </w:t>
      </w:r>
      <w:r>
        <w:t>−1</w:t>
      </w:r>
      <w:r>
        <w:t xml:space="preserve"> </w:t>
      </w:r>
      <w:r>
        <w:t>after 100 cycles at room temperature and exhibiting an ultralow capacity decay rate of 0.25% per cycle at −20°C. This work provides a rational electrolyte design strategy toward durable Li/SPAN batteries with enhanced low‐temperature performance.</w:t>
      </w:r>
    </w:p>
    <w:p>
      <w:pPr>
        <w:spacing w:before="120" w:after="120"/>
      </w:pPr>
      <w:r>
        <w:rPr>
          <w:sz w:val="18"/>
        </w:rPr>
        <w:t>——————————————————————————————————————————————————————————————————————</w:t>
      </w:r>
    </w:p>
    <w:p>
      <w:pPr>
        <w:spacing w:before="160" w:after="40" w:line="240" w:lineRule="auto"/>
      </w:pPr>
      <w:r>
        <w:rPr>
          <w:b/>
        </w:rPr>
        <w:t xml:space="preserve">[10] </w:t>
      </w:r>
      <w:hyperlink r:id="rId63">
        <w:r>
          <w:rPr>
            <w:color w:val="1155CC"/>
            <w:u w:val="single"/>
          </w:rPr>
          <w:t>正极活性材料界面极性调控用于高电位锂金属电池</w:t>
        </w:r>
      </w:hyperlink>
    </w:p>
    <w:p>
      <w:pPr>
        <w:spacing w:before="0" w:after="80"/>
      </w:pPr>
      <w:r>
        <w:rPr>
          <w:i/>
          <w:sz w:val="20"/>
        </w:rPr>
        <w:t>EN: Interfacial polarity modulation of positive electrode active materials for high-potential lithium metal batteries</w:t>
      </w:r>
    </w:p>
    <w:p>
      <w:pPr>
        <w:spacing w:before="0" w:after="120"/>
      </w:pPr>
      <w:r>
        <w:rPr>
          <w:b/>
        </w:rPr>
        <w:t xml:space="preserve">Source: </w:t>
      </w:r>
      <w:r>
        <w:t>Nature Nanotechnology</w:t>
      </w:r>
      <w:r>
        <w:t xml:space="preserve">    </w:t>
      </w:r>
      <w:r>
        <w:rPr>
          <w:b/>
        </w:rPr>
        <w:t xml:space="preserve">Pub date: </w:t>
      </w:r>
      <w:r>
        <w:t>2026-04-23 00:00:00+00:00</w:t>
      </w:r>
      <w:r>
        <w:t xml:space="preserve">    </w:t>
      </w:r>
      <w:r>
        <w:rPr>
          <w:b/>
        </w:rPr>
        <w:t xml:space="preserve">DOI: </w:t>
      </w:r>
      <w:hyperlink r:id="rId64">
        <w:r>
          <w:rPr>
            <w:color w:val="1155CC"/>
            <w:u w:val="single"/>
          </w:rPr>
          <w:t>10.1038/s41565-026-02152-x</w:t>
        </w:r>
      </w:hyperlink>
    </w:p>
    <w:p>
      <w:pPr>
        <w:spacing w:before="0" w:after="120"/>
      </w:pPr>
      <w:r>
        <w:rPr>
          <w:b/>
        </w:rPr>
        <w:t xml:space="preserve">Notes: </w:t>
      </w:r>
      <w:r>
        <w:t>abstract_source=nature_html</w:t>
      </w:r>
    </w:p>
    <w:p>
      <w:pPr>
        <w:spacing w:before="0" w:after="80" w:lineRule="auto" w:line="276"/>
      </w:pPr>
      <w:r>
        <w:rPr>
          <w:b/>
        </w:rPr>
        <w:t xml:space="preserve">摘要（ZH）: </w:t>
      </w:r>
      <w:r>
        <w:t>电池电化学的一个核心挑战是在广泛的操作条件下实现电极|电解质界面的稳定电化学机械界面。尽管在优化界面化学方面的电解质溶液工程取得了进展，但对界面环境的基本理解仍然有限，阻碍了界面的理性设计和分子级操控。在此，我们引入了一种分子工程策略，使用偶极自组装单分子层（SAMs）在正极活性材料上调节界面稳定性。通过调节SAM末端基团的电子结构，我们确立了界面极性作为描述符，控制电极与液体电解质之间的相互作用。</w:t>
      </w:r>
    </w:p>
    <w:p>
      <w:pPr>
        <w:spacing w:before="0" w:after="200" w:lineRule="auto" w:line="276"/>
      </w:pPr>
      <w:r>
        <w:rPr>
          <w:b/>
        </w:rPr>
        <w:t xml:space="preserve">Abstract (EN): </w:t>
      </w:r>
      <w:r>
        <w:t>A central challenge in battery electrochemistry is achieving stable electro-chemo-mechanical interphases at the electrode|electrolyte interfaces across a wide range of operating conditions. Despite advances in electrolyte solution engineering aimed at optimizing interphase chemistry, the fundamental understanding of the interfacial environment remains limited, preventing rational designs and molecular-level manipulation of the interface. Here we introduce a molecular engineering strategy that uses dipolar self-assembled monolayers (SAMs) on the positive electrode active material to modulate interfacial stability. By tuning the electronic structure of the SAM terminal group, we establish interfacial polarity as a descriptor governing interactions between electrodes and the liquid electrolyte solution. Via in situ nanoscale depth-sensitive surface-enhanced infrared absorption spectroscopy, we directly probe the Coulombic interactions between SAMs and liquid electrolyte’s molecular components, revealing how SAM terminal groups modulate electrolyte solution behaviour, offering a scientific basis for rational battery electrode interface molecular engineering. We also show that SAM-modified positive electrodes tested in Li metal coin cells with a glyme-based non-aqueous electrolyte solution enable improved cycling stability compared with their unmodified analogues, retaining 80% of their initial specific discharge capacity after 200 cycles at 0.15 mA cm−2 within the cell’s potential range 2.8–4.7 V at 25 °C.</w:t>
      </w:r>
    </w:p>
    <w:p>
      <w:pPr>
        <w:spacing w:before="120" w:after="120"/>
      </w:pPr>
      <w:r>
        <w:rPr>
          <w:sz w:val="18"/>
        </w:rPr>
        <w:t>——————————————————————————————————————————————————————————————————————</w:t>
      </w:r>
    </w:p>
    <w:p>
      <w:pPr>
        <w:spacing w:before="160" w:after="40" w:line="240" w:lineRule="auto"/>
      </w:pPr>
      <w:r>
        <w:rPr>
          <w:b/>
        </w:rPr>
        <w:t xml:space="preserve">[11] </w:t>
      </w:r>
      <w:hyperlink r:id="rId65">
        <w:r>
          <w:rPr>
            <w:color w:val="1155CC"/>
            <w:u w:val="single"/>
          </w:rPr>
          <w:t>使用原位7/6Li和33S NMR光谱监测锂硫电池中的氧化还原路径和性能限制</w:t>
        </w:r>
      </w:hyperlink>
    </w:p>
    <w:p>
      <w:pPr>
        <w:spacing w:before="0" w:after="80"/>
      </w:pPr>
      <w:r>
        <w:rPr>
          <w:i/>
          <w:sz w:val="20"/>
        </w:rPr>
        <w:t>EN: Monitoring Redox Pathways and Performance Limitations in Lithium‐Sulfur Batteries Using In Situ 7/6Li and 33S NMR Spectroscopies</w:t>
      </w:r>
    </w:p>
    <w:p>
      <w:pPr>
        <w:spacing w:before="0" w:after="120"/>
      </w:pPr>
      <w:r>
        <w:rPr>
          <w:b/>
        </w:rPr>
        <w:t xml:space="preserve">Source: </w:t>
      </w:r>
      <w:r>
        <w:t>Wiley: Angewandte Chemie International Edition: Table of Contents</w:t>
      </w:r>
      <w:r>
        <w:t xml:space="preserve">    </w:t>
      </w:r>
      <w:r>
        <w:rPr>
          <w:b/>
        </w:rPr>
        <w:t xml:space="preserve">Pub date: </w:t>
      </w:r>
      <w:r>
        <w:t>2026-04-23 04:20:03+00:00</w:t>
      </w:r>
      <w:r>
        <w:t xml:space="preserve">    </w:t>
      </w:r>
      <w:r>
        <w:rPr>
          <w:b/>
        </w:rPr>
        <w:t xml:space="preserve">DOI: </w:t>
      </w:r>
      <w:hyperlink r:id="rId66">
        <w:r>
          <w:rPr>
            <w:color w:val="1155CC"/>
            <w:u w:val="single"/>
          </w:rPr>
          <w:t>10.1002/anie.202525050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与传统锂离子系统相比，提供了高容量和降低的成本。然而，这种电池化学中发生的复杂氧化还原机制系列及伴随的结构转变通常与电池失效的不同途径相关。因此，深入理解这些机制对于加速这些电池的发展至关重要。首次报道了原位6/7Li和33S NMR光谱的结合，提供了硫氧化还原过程反应路径的实时结构信息。</w:t>
      </w:r>
    </w:p>
    <w:p>
      <w:pPr>
        <w:spacing w:before="0" w:after="200" w:lineRule="auto" w:line="276"/>
      </w:pPr>
      <w:r>
        <w:rPr>
          <w:b/>
        </w:rPr>
        <w:t xml:space="preserve">Abstract (EN): </w:t>
      </w:r>
      <w:r>
        <w:t>Lithium‐sulfur (Li‐S) batteries offer high capacity and reduced costs in comparison to the traditional lithium‐ion systems. However, the complex series of redox mechanisms that occur in this battery chemistry and accompanying structural transformations are often associated with different routes for cell failure. Therefore, a fundamental understanding of the underlying mechanisms is essential to accelerate the development of these batteries. The combination of</w:t>
      </w:r>
      <w:r>
        <w:t xml:space="preserve"> </w:t>
      </w:r>
      <w:r>
        <w:t>operando</w:t>
      </w:r>
      <w:r>
        <w:t xml:space="preserve"> </w:t>
      </w:r>
      <w:r>
        <w:t>6/7</w:t>
      </w:r>
      <w:r>
        <w:t xml:space="preserve"> </w:t>
      </w:r>
      <w:r>
        <w:t>Li and</w:t>
      </w:r>
      <w:r>
        <w:rPr>
          <w:vertAlign w:val="subscript"/>
        </w:rPr>
        <w:t>33</w:t>
      </w:r>
      <w:r>
        <w:t>S NMR spectroscopy is reported for the first time, providing real‐time structural information on the reaction pathways of the sulfur redox processes. The evolution of the polysulfides (poly‐S) in the electrolyte and dendrite formation on the anode was monitored with</w:t>
      </w:r>
      <w:r>
        <w:rPr>
          <w:vertAlign w:val="subscript"/>
        </w:rPr>
        <w:t>7</w:t>
      </w:r>
      <w:r>
        <w:t>Li and</w:t>
      </w:r>
      <w:r>
        <w:rPr>
          <w:vertAlign w:val="subscript"/>
        </w:rPr>
        <w:t>6</w:t>
      </w:r>
      <w:r>
        <w:t>Li NMR spectroscopy. Via</w:t>
      </w:r>
      <w:r>
        <w:rPr>
          <w:vertAlign w:val="subscript"/>
        </w:rPr>
        <w:t>33</w:t>
      </w:r>
      <w:r>
        <w:t>S NMR experiments, the exact onset of Li</w:t>
      </w:r>
      <w:r>
        <w:rPr>
          <w:vertAlign w:val="subscript"/>
        </w:rPr>
        <w:t>2</w:t>
      </w:r>
      <w:r>
        <w:t>S formation was determined. By following the evolution of poly‐S species and Li</w:t>
      </w:r>
      <w:r>
        <w:rPr>
          <w:vertAlign w:val="subscript"/>
        </w:rPr>
        <w:t>2</w:t>
      </w:r>
      <w:r>
        <w:t>S, we could track the entire redox pathway and identify performance‐limiting mechanisms. The accumulation of soluble poly‐S, resulting from an incomplete poly‐S to S</w:t>
      </w:r>
      <w:r>
        <w:rPr>
          <w:vertAlign w:val="subscript"/>
        </w:rPr>
        <w:t>8</w:t>
      </w:r>
      <w:r>
        <w:t>reduction reaction during charge, was identified as one process leading to capacity fade, while degradation via a poly‐S shuttle mechanism was negligible, at least during the first few cycles.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7">
        <w:r>
          <w:rPr>
            <w:color w:val="1155CC"/>
            <w:u w:val="single"/>
          </w:rPr>
          <w:t>零应变K2Ti6O13的多层设计和不可逆离子交换参与的钠储存机制，用于钠离子电容器</w:t>
        </w:r>
      </w:hyperlink>
    </w:p>
    <w:p>
      <w:pPr>
        <w:spacing w:before="0" w:after="80"/>
      </w:pPr>
      <w:r>
        <w:rPr>
          <w:i/>
          <w:sz w:val="20"/>
        </w:rPr>
        <w:t>EN: Multi‐Level Design and Irreversible Ion Exchange Involved Sodium‐Storage Mechanism of Zero‐Strain K2Ti6O13 Toward Sodium‐Ion Capacitors</w:t>
      </w:r>
    </w:p>
    <w:p>
      <w:pPr>
        <w:spacing w:before="0" w:after="120"/>
      </w:pPr>
      <w:r>
        <w:rPr>
          <w:b/>
        </w:rPr>
        <w:t xml:space="preserve">Source: </w:t>
      </w:r>
      <w:r>
        <w:t>Wiley: Advanced Energy Materials: Table of Contents</w:t>
      </w:r>
      <w:r>
        <w:t xml:space="preserve">    </w:t>
      </w:r>
      <w:r>
        <w:rPr>
          <w:b/>
        </w:rPr>
        <w:t xml:space="preserve">Pub date: </w:t>
      </w:r>
      <w:r>
        <w:t>2026-04-20 11:07:51+00:00</w:t>
      </w:r>
      <w:r>
        <w:t xml:space="preserve">    </w:t>
      </w:r>
      <w:r>
        <w:rPr>
          <w:b/>
        </w:rPr>
        <w:t xml:space="preserve">DOI: </w:t>
      </w:r>
      <w:hyperlink r:id="rId68">
        <w:r>
          <w:rPr>
            <w:color w:val="1155CC"/>
            <w:u w:val="single"/>
          </w:rPr>
          <w:t>10.1002/aenm.70969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K2Ti6O13（KTO）因其三维可调框架、低成本和环境兼容性，被认为是钠离子电容器（SICs）的极具前景的负极。然而，其适中的电子导电性和有争议的钠储存机制限制了商业应用。对此，提出了一种从材料到电极的多层次优化策略，以构建自支撑的KTO@碳纳米纤维（KTO@CNFs）混合膜负极用于SICs。KTO纳米带（NBs）如“种子发芽”般原位生长并在多孔CNFs上/内良好分散，导致暴露出丰富的活性位点和</w:t>
      </w:r>
    </w:p>
    <w:p>
      <w:pPr>
        <w:spacing w:before="0" w:after="200" w:lineRule="auto" w:line="276"/>
      </w:pPr>
      <w:r>
        <w:rPr>
          <w:b/>
        </w:rPr>
        <w:t xml:space="preserve">Abstract (EN): </w:t>
      </w:r>
      <w:r>
        <w:t>K</w:t>
      </w:r>
      <w:r>
        <w:rPr>
          <w:vertAlign w:val="subscript"/>
        </w:rPr>
        <w:t>2</w:t>
      </w:r>
      <w:r>
        <w:t>Ti</w:t>
      </w:r>
      <w:r>
        <w:rPr>
          <w:vertAlign w:val="subscript"/>
        </w:rPr>
        <w:t>6</w:t>
      </w:r>
      <w:r>
        <w:t>O</w:t>
      </w:r>
      <w:r>
        <w:rPr>
          <w:vertAlign w:val="subscript"/>
        </w:rPr>
        <w:t>13</w:t>
      </w:r>
      <w:r>
        <w:t>(KTO) is recognized as a highly promising anode for sodium‐ion capacitors (SICs) due to its 3D tunable framework, low cost, and environmental compatibility. However, its modest electronic conductivity and controversial sodium‐storage mechanism constrain commercial applications. In response, a multi‐level optimization strategy from materials to electrodes is proposed to construct a self‐standing KTO@carbon nanofibers (KTO@CNFs) hybrid film anode for SICs. The KTO nanobelts (NBs), like “seed sprouting,” are in situ grown and well dispersed on/within the porous CNFs, resulting in abundant exposed active sites and an orthogonal conductive network composed of axial electron transport in CNFs and radial ion permeation through KTO NBs. Comprehensive (ex)in situ physicochemical characterizations and theoretical calculations unveil the formation of “zero‐strain” K</w:t>
      </w:r>
      <w:r>
        <w:t xml:space="preserve"> </w:t>
      </w:r>
      <w:r>
        <w:t>2‐x</w:t>
      </w:r>
      <w:r>
        <w:t xml:space="preserve"> </w:t>
      </w:r>
      <w:r>
        <w:t>Na</w:t>
      </w:r>
      <w:r>
        <w:t xml:space="preserve"> </w:t>
      </w:r>
      <w:r>
        <w:t>x</w:t>
      </w:r>
      <w:r>
        <w:t xml:space="preserve"> </w:t>
      </w:r>
      <w:r>
        <w:t>Ti</w:t>
      </w:r>
      <w:r>
        <w:rPr>
          <w:vertAlign w:val="subscript"/>
        </w:rPr>
        <w:t>6</w:t>
      </w:r>
      <w:r>
        <w:t>O</w:t>
      </w:r>
      <w:r>
        <w:rPr>
          <w:vertAlign w:val="subscript"/>
        </w:rPr>
        <w:t>13</w:t>
      </w:r>
      <w:r>
        <w:t>with superb ionic transportability and solid‐solution chare‐storage mechanism, induced by the irreversible “Na</w:t>
      </w:r>
      <w:r>
        <w:t xml:space="preserve"> </w:t>
      </w:r>
      <w:r>
        <w:t>+</w:t>
      </w:r>
      <w:r>
        <w:t xml:space="preserve"> </w:t>
      </w:r>
      <w:r>
        <w:t>/K</w:t>
      </w:r>
      <w:r>
        <w:t xml:space="preserve"> </w:t>
      </w:r>
      <w:r>
        <w:t>+</w:t>
      </w:r>
      <w:r>
        <w:t xml:space="preserve"> </w:t>
      </w:r>
      <w:r>
        <w:t>‐exchange,” which is the intrinsic electroactive phase for reversible sodium storage. The KTO@CNFs film delivers exceptional sodium‐storage properties in both half and full cells. Particularly, an ultrahigh material‐level energy density of 96.1 Wh kg</w:t>
      </w:r>
      <w:r>
        <w:t xml:space="preserve"> </w:t>
      </w:r>
      <w:r>
        <w:t>‒1</w:t>
      </w:r>
      <w:r>
        <w:t xml:space="preserve"> </w:t>
      </w:r>
      <w:r>
        <w:t>(10.2 kW kg</w:t>
      </w:r>
      <w:r>
        <w:t xml:space="preserve"> </w:t>
      </w:r>
      <w:r>
        <w:t>‒1</w:t>
      </w:r>
      <w:r>
        <w:t xml:space="preserve"> </w:t>
      </w:r>
      <w:r>
        <w:t>) and 10,000‐cycle stability with a capacitance retention of 92.4% at 4 A g–</w:t>
      </w:r>
      <w:r>
        <w:rPr>
          <w:vertAlign w:val="subscript"/>
        </w:rPr>
        <w:t>1</w:t>
      </w:r>
      <w:r>
        <w:t>are achieved by our SICs. More essentially, our findings offer constructive guidance for rational design and mechanism elucidation of advanced electrodes for next‐generation SICs.</w:t>
      </w:r>
    </w:p>
    <w:p>
      <w:pPr>
        <w:spacing w:before="120" w:after="120"/>
      </w:pPr>
      <w:r>
        <w:rPr>
          <w:sz w:val="18"/>
        </w:rPr>
        <w:t>——————————————————————————————————————————————————————————————————————</w:t>
      </w:r>
    </w:p>
    <w:p>
      <w:pPr>
        <w:spacing w:before="160" w:after="40" w:line="240" w:lineRule="auto"/>
      </w:pPr>
      <w:r>
        <w:rPr>
          <w:b/>
        </w:rPr>
        <w:t xml:space="preserve">[2] </w:t>
      </w:r>
      <w:hyperlink r:id="rId69">
        <w:r>
          <w:rPr>
            <w:color w:val="1155CC"/>
            <w:u w:val="single"/>
          </w:rPr>
          <w:t>刚性与柔性COFs：增强锂离子存储的骨架工程策略</w:t>
        </w:r>
      </w:hyperlink>
    </w:p>
    <w:p>
      <w:pPr>
        <w:spacing w:before="0" w:after="80"/>
      </w:pPr>
      <w:r>
        <w:rPr>
          <w:i/>
          <w:sz w:val="20"/>
        </w:rPr>
        <w:t>EN: Rigid vs Flexible COFs: Skeleton Engineering Strategies for Enhancing Lithium‐Ion Storage</w:t>
      </w:r>
    </w:p>
    <w:p>
      <w:pPr>
        <w:spacing w:before="0" w:after="120"/>
      </w:pPr>
      <w:r>
        <w:rPr>
          <w:b/>
        </w:rPr>
        <w:t xml:space="preserve">Source: </w:t>
      </w:r>
      <w:r>
        <w:t>Wiley: Advanced Energy Materials: Table of Contents</w:t>
      </w:r>
      <w:r>
        <w:t xml:space="preserve">    </w:t>
      </w:r>
      <w:r>
        <w:rPr>
          <w:b/>
        </w:rPr>
        <w:t xml:space="preserve">Pub date: </w:t>
      </w:r>
      <w:r>
        <w:t>2026-04-20 11:11:38+00:00</w:t>
      </w:r>
      <w:r>
        <w:t xml:space="preserve">    </w:t>
      </w:r>
      <w:r>
        <w:rPr>
          <w:b/>
        </w:rPr>
        <w:t xml:space="preserve">DOI: </w:t>
      </w:r>
      <w:hyperlink r:id="rId70">
        <w:r>
          <w:rPr>
            <w:color w:val="1155CC"/>
            <w:u w:val="single"/>
          </w:rPr>
          <w:t>10.1002/aenm.70971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s）因其可调结构和多孔结构而成为有前途的锂离子电池电极。然而，关于基于COF的锂离子电池（LIB）电极的研究主要集中在刚性框架上，对柔性COFs的关注有限。在这项工作中，通过骨架工程策略合成了两种具有截然不同机械性能的COFs——刚性（Rig）和柔性（Flx）。为了克服低电子导电性，COFs在碳纳米管（CNT）上原位生长以形成导电复合材料。两种COFs均表现出高结晶度、大表面积和明确的孔结构。比较电化学研究表明，Flx-4C提供了</w:t>
      </w:r>
    </w:p>
    <w:p>
      <w:pPr>
        <w:spacing w:before="0" w:after="200" w:lineRule="auto" w:line="276"/>
      </w:pPr>
      <w:r>
        <w:rPr>
          <w:b/>
        </w:rPr>
        <w:t xml:space="preserve">Abstract (EN): </w:t>
      </w:r>
      <w:r>
        <w:t>Covalent organic frameworks (COFs) are promising lithium‐ion battery electrodes because of their tunable structures and porous architectures. However, research on COF‐based lithium‐ion battery (LIB) electrodes has primarily focused on rigid frameworks, with limited attention to flexible COFs. In this work, two types of COFs with distinctly different mechanical properties—rigid (Rig) and flexible (Flx)—were synthesized via a skeleton engineering strategy. To overcome low electronic conductivity, the COFs were grown in situ on carbon nanotubes (CNT) to form conductive composites. Both COFs exhibited high crystallinity, large surface areas, and well‐defined pore structures. Comparative electrochemical studies revealed that Flx‐4C delivered improved long‐term capacity retention and rate performance, reaching a maximum capacity of 582 mAh·g</w:t>
      </w:r>
      <w:r>
        <w:t xml:space="preserve"> </w:t>
      </w:r>
      <w:r>
        <w:t>−</w:t>
      </w:r>
      <w:r>
        <w:rPr>
          <w:vertAlign w:val="subscript"/>
        </w:rPr>
        <w:t>1</w:t>
      </w:r>
      <w:r>
        <w:t>at 2 C, surpassing the theoretical capacity of commercial graphite. Cross‐sectional SEM and confined powder compaction tests show that the flexible framework undergoes smaller thickness growth and higher mechanical energy dissipation, indicating improved buffering of cycling‐induced deformation. Ex situ XPS and DFT calculations suggest that quinone/hydroxyl, imine, triazine, and ether‐related sites participate in lithium storage, consistent with a 24‐electron redox process per repeating unit of Flx. This work offers critical insights into the structure–performance relationship of rigid vs flexible COFs, guiding the design of advanced organic electrode materials.</w:t>
      </w:r>
    </w:p>
    <w:p>
      <w:pPr>
        <w:spacing w:before="120" w:after="120"/>
      </w:pPr>
      <w:r>
        <w:rPr>
          <w:sz w:val="18"/>
        </w:rPr>
        <w:t>——————————————————————————————————————————————————————————————————————</w:t>
      </w:r>
    </w:p>
    <w:p>
      <w:pPr>
        <w:spacing w:before="160" w:after="40" w:line="240" w:lineRule="auto"/>
      </w:pPr>
      <w:r>
        <w:rPr>
          <w:b/>
        </w:rPr>
        <w:t xml:space="preserve">[3] </w:t>
      </w:r>
      <w:hyperlink r:id="rId71">
        <w:r>
          <w:rPr>
            <w:color w:val="1155CC"/>
            <w:u w:val="single"/>
          </w:rPr>
          <w:t>分子间通道门控离子迁移用于高性能锌离子电池</w:t>
        </w:r>
      </w:hyperlink>
    </w:p>
    <w:p>
      <w:pPr>
        <w:spacing w:before="0" w:after="80"/>
      </w:pPr>
      <w:r>
        <w:rPr>
          <w:i/>
          <w:sz w:val="20"/>
        </w:rPr>
        <w:t>EN: Inter‐molecular Channel Gated Ion Migration for High Performance Zinc‐ion Batteries</w:t>
      </w:r>
    </w:p>
    <w:p>
      <w:pPr>
        <w:spacing w:before="0" w:after="120"/>
      </w:pPr>
      <w:r>
        <w:rPr>
          <w:b/>
        </w:rPr>
        <w:t xml:space="preserve">Source: </w:t>
      </w:r>
      <w:r>
        <w:t>Wiley: Angewandte Chemie International Edition: Table of Contents</w:t>
      </w:r>
      <w:r>
        <w:t xml:space="preserve">    </w:t>
      </w:r>
      <w:r>
        <w:rPr>
          <w:b/>
        </w:rPr>
        <w:t xml:space="preserve">Pub date: </w:t>
      </w:r>
      <w:r>
        <w:t>2026-04-20 11:15:56+00:00</w:t>
      </w:r>
      <w:r>
        <w:t xml:space="preserve">    </w:t>
      </w:r>
      <w:r>
        <w:rPr>
          <w:b/>
        </w:rPr>
        <w:t xml:space="preserve">DOI: </w:t>
      </w:r>
      <w:hyperlink r:id="rId72">
        <w:r>
          <w:rPr>
            <w:color w:val="1155CC"/>
            <w:u w:val="single"/>
          </w:rPr>
          <w:t>10.1002/anie.7744713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s）受到枝晶生长和寄生副反应的困扰，严重阻碍其稳定运行。受载体蛋白的启发，引入了两亲性表面活性剂作为离子通道介质。在锌沉积过程中，阳离子表面活性剂通过其头基优先吸附在锌表面，并自组装成有序的离子通道，从而引导致密均匀的Zn</w:t>
      </w:r>
      <w:r>
        <w:t xml:space="preserve"> </w:t>
      </w:r>
      <w:r>
        <w:t>2+</w:t>
      </w:r>
      <w:r>
        <w:t xml:space="preserve"> </w:t>
      </w:r>
      <w:r>
        <w:t>通量。系统研究了具有不同烷基链长度的阳离子表面活性剂的离子通道能力。随后选择具有最佳链长的十烷基三甲基氯化铵构建高效离子通道。其适中的al</w:t>
      </w:r>
    </w:p>
    <w:p>
      <w:pPr>
        <w:spacing w:before="0" w:after="200" w:lineRule="auto" w:line="276"/>
      </w:pPr>
      <w:r>
        <w:rPr>
          <w:b/>
        </w:rPr>
        <w:t xml:space="preserve">Abstract (EN): </w:t>
      </w:r>
      <w:r>
        <w:t>Aqueous zinc‐ion batteries (AZIBs) are plagued by dendrite growth and parasitic side reactions, which severely hinder their stable operation. Inspired by carrier proteins, amphiphilic surfactants are introduced as ion channel mediators. During zinc deposition, the cationic surfactants preferentially adsorb onto the zinc surface through their headgroups and self‐assemble into ordered ion channels, thereby guiding dense and uniform Zn</w:t>
      </w:r>
      <w:r>
        <w:t xml:space="preserve"> </w:t>
      </w:r>
      <w:r>
        <w:t>2+</w:t>
      </w:r>
      <w:r>
        <w:t xml:space="preserve"> </w:t>
      </w:r>
      <w:r>
        <w:t>flux. The ion channeling capability of cationic surfactants with various alkyl chain lengths is systematically investigated. Decyltrimethylammonium chloride, possessing the optimal chain length, is subsequently selected to construct efficient ion channels. Its moderate alkyl length enables the formation of stable ion channels that regulate the electric double layer (EDL) environment and promote directional zinc deposition. Benefiting from the ion‐regulating strategy, Zn||Cu asymmetric cells achieve an average Coulombic efficiency as high as 99.58% over 3000 cycles. Meanwhile, Zn||Zn symmetric cells operate stably for over 800 h under harsh conditions of 10 mA cm</w:t>
      </w:r>
      <w:r>
        <w:t xml:space="preserve"> </w:t>
      </w:r>
      <w:r>
        <w:t>−2</w:t>
      </w:r>
      <w:r>
        <w:t xml:space="preserve"> </w:t>
      </w:r>
      <w:r>
        <w:t>with 10 mAh cm</w:t>
      </w:r>
      <w:r>
        <w:t xml:space="preserve"> </w:t>
      </w:r>
      <w:r>
        <w:t>−2</w:t>
      </w:r>
      <w:r>
        <w:t xml:space="preserve"> </w:t>
      </w:r>
      <w:r>
        <w:t>. The assembled Zn||VO</w:t>
      </w:r>
      <w:r>
        <w:rPr>
          <w:vertAlign w:val="subscript"/>
        </w:rPr>
        <w:t>2</w:t>
      </w:r>
      <w:r>
        <w:t>pouch cell demonstrates impressive cycling stability over 300 cycles. This work provides a new perspective on surfactant‐enabled dendrite suppression and offers a low‐cost and highly effective solution for the practical development of AZIBs.</w:t>
      </w:r>
    </w:p>
    <w:p>
      <w:pPr>
        <w:spacing w:before="120" w:after="120"/>
      </w:pPr>
      <w:r>
        <w:rPr>
          <w:sz w:val="18"/>
        </w:rPr>
        <w:t>——————————————————————————————————————————————————————————————————————</w:t>
      </w:r>
    </w:p>
    <w:p>
      <w:pPr>
        <w:spacing w:before="160" w:after="40" w:line="240" w:lineRule="auto"/>
      </w:pPr>
      <w:r>
        <w:rPr>
          <w:b/>
        </w:rPr>
        <w:t xml:space="preserve">[4] </w:t>
      </w:r>
      <w:hyperlink r:id="rId73">
        <w:r>
          <w:rPr>
            <w:color w:val="1155CC"/>
            <w:u w:val="single"/>
          </w:rPr>
          <w:t>在零过量锂电池中金属中间层的锂合金化和结晶的原子级见解</w:t>
        </w:r>
      </w:hyperlink>
    </w:p>
    <w:p>
      <w:pPr>
        <w:spacing w:before="0" w:after="80"/>
      </w:pPr>
      <w:r>
        <w:rPr>
          <w:i/>
          <w:sz w:val="20"/>
        </w:rPr>
        <w:t>EN: Atomistic Insights Into Lithium Alloying and Crystallization at Metal Interlayers in Zero‐Excess Lithium Batteries</w:t>
      </w:r>
    </w:p>
    <w:p>
      <w:pPr>
        <w:spacing w:before="0" w:after="120"/>
      </w:pPr>
      <w:r>
        <w:rPr>
          <w:b/>
        </w:rPr>
        <w:t xml:space="preserve">Source: </w:t>
      </w:r>
      <w:r>
        <w:t>Wiley: Advanced Energy Materials: Table of Contents</w:t>
      </w:r>
      <w:r>
        <w:t xml:space="preserve">    </w:t>
      </w:r>
      <w:r>
        <w:rPr>
          <w:b/>
        </w:rPr>
        <w:t xml:space="preserve">Pub date: </w:t>
      </w:r>
      <w:r>
        <w:t>2026-04-20 11:28:06+00:00</w:t>
      </w:r>
      <w:r>
        <w:t xml:space="preserve">    </w:t>
      </w:r>
      <w:r>
        <w:rPr>
          <w:b/>
        </w:rPr>
        <w:t xml:space="preserve">DOI: </w:t>
      </w:r>
      <w:hyperlink r:id="rId74">
        <w:r>
          <w:rPr>
            <w:color w:val="1155CC"/>
            <w:u w:val="single"/>
          </w:rPr>
          <w:t>10.1002/aenm.70973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零过量锂电池（ZELBs），其阳极在充电过程中原位形成，提供了一条克服传统锂金属电池安全性和成本限制的有前途的途径。然而，铜电流收集器上不均匀的锂成核常常导致枝晶形成和快速退化。在此，我们结合精细调整的机器学习原子间势与大规模分子动力学模拟，解析了锂在铜和中间层金属（Zn、Mg和Bi）上的合金化和结晶的原子路径。在铜上，锂通过亚稳态无序、HCP和FCC相成核，然后稳定为BCC锂，而Zn和Mg中间层促进合金介导的结晶，增强</w:t>
      </w:r>
    </w:p>
    <w:p>
      <w:pPr>
        <w:spacing w:before="0" w:after="200" w:lineRule="auto" w:line="276"/>
      </w:pPr>
      <w:r>
        <w:rPr>
          <w:b/>
        </w:rPr>
        <w:t xml:space="preserve">Abstract (EN): </w:t>
      </w:r>
      <w:r>
        <w:t>Zero‐excess lithium batteries (ZELBs), in which the anode is formed in situ during charging, offer a promising route to overcome the safety and cost limitations of conventional lithium metal batteries. However, non‐uniform lithium nucleation on copper current collectors often leads to dendrite formation and rapid degradation. Here, we combine fine‐tuned machine‐learning interatomic potentials with large‐scale molecular dynamics simulations to resolve the atomistic pathways of lithium alloying and crystallization on Cu and interlayer metals (Zn, Mg, and Bi). On Cu, lithium nucleates through metastable disordered, HCP, and FCC phases before stabilizing into BCC lithium, whereas Zn and Mg interlayers promote alloy‐mediated crystallization, enhancing lithium diffusion and structural uniformity. Distinctly, Bi forms ordered Li</w:t>
      </w:r>
      <w:r>
        <w:rPr>
          <w:vertAlign w:val="subscript"/>
        </w:rPr>
        <w:t>3</w:t>
      </w:r>
      <w:r>
        <w:t>Bi intermetallics with limited interfacial coherence. Experimental validation through scanning electron microscopy, x‐ray diffraction, atomic force microscopy, and time‐of‐flight elastic recoil detection corroborates the predicted alloying and phase evolution. The results reveal that interlayer‐dependent alloying dynamics govern lithium crystallization and morphology, establishing a direct link between interfacial chemistry, diffusion behavior, and deposition uniformity. These insights provide a general atomistic framework for rationally designing metal interlayers that regulate lithium nucleation and enable stable and high‐efficiency operation of next‐generation zero‐excess lithium batteries.</w:t>
      </w:r>
    </w:p>
    <w:p>
      <w:pPr>
        <w:spacing w:before="120" w:after="120"/>
      </w:pPr>
      <w:r>
        <w:rPr>
          <w:sz w:val="18"/>
        </w:rPr>
        <w:t>——————————————————————————————————————————————————————————————————————</w:t>
      </w:r>
    </w:p>
    <w:p>
      <w:pPr>
        <w:spacing w:before="160" w:after="40" w:line="240" w:lineRule="auto"/>
      </w:pPr>
      <w:r>
        <w:rPr>
          <w:b/>
        </w:rPr>
        <w:t xml:space="preserve">[5] </w:t>
      </w:r>
      <w:hyperlink r:id="rId75">
        <w:r>
          <w:rPr>
            <w:color w:val="1155CC"/>
            <w:u w:val="single"/>
          </w:rPr>
          <w:t>用于超长寿命钠离子电池的快速充电平台型硬碳负极的晶格重构策略</w:t>
        </w:r>
      </w:hyperlink>
    </w:p>
    <w:p>
      <w:pPr>
        <w:spacing w:before="0" w:after="80"/>
      </w:pPr>
      <w:r>
        <w:rPr>
          <w:i/>
          <w:sz w:val="20"/>
        </w:rPr>
        <w:t>EN: Lattice Reconstruction Strategy for Fast-Charging Plateau-Type Hard Carbon Anode in Ultra-Long-Life Sodium-Ion Batteries</w:t>
      </w:r>
    </w:p>
    <w:p>
      <w:pPr>
        <w:spacing w:before="0" w:after="120"/>
      </w:pPr>
      <w:r>
        <w:rPr>
          <w:b/>
        </w:rPr>
        <w:t xml:space="preserve">Source: </w:t>
      </w:r>
      <w:r>
        <w:t>RSC - Energy Environ. Sci.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硬碳由于其丰富性、比容量和低工作电压而成为一种有前景的钠离子电池负极，但在实现快速充电平台型性能和长循环方面仍面临挑战——这对于高能量密度钠离子电池至关重要。在此，考虑到硬碳由无定形和晶体域的独特叠加组成，我们通过晶格重构策略重建其石墨域，以实现大层间距、减少平均晶粒宽度和无机富集的固体电解质界面化学，该策略通过短暂的高温重构停留将缺陷钝化与石墨化分离。该策略选择性地去除最活跃的缺陷而不过度石墨化，创造了一个稳定的</w:t>
      </w:r>
    </w:p>
    <w:p>
      <w:pPr>
        <w:spacing w:before="0" w:after="200" w:lineRule="auto" w:line="276"/>
      </w:pPr>
      <w:r>
        <w:rPr>
          <w:b/>
        </w:rPr>
        <w:t xml:space="preserve">Abstract (EN): </w:t>
      </w:r>
      <w:r>
        <w:t>Hard carbon, a promising sodium-ion battery anode due to its abundance, specific capacity, and low operating voltage, still faces challenges in achieving fast-charging plateau-type performance with long cycles—critical for high-energy-density sodium-ion batteries. Herein, considering that hard carbon comprises a unique superposition of amorphous and crystalline domains, we reconstructed its graphitic domains to achieve a large interlayer distance, reduced average crystallite width, and inorganic-rich solid electrolyte interphase chemistry through a lattice reconstruction strategy that decouples defect passivation from graphitization via a brief high-temperature reconstruction dwell. This strategy selectively removes the most reactive defects without excessive graphitization, creates a stable thin solid electrolyte interphase film to accelerate sodium ion transport at the interface, and preserves sufficient closed pore structures to support large plateau capacity and enhanced bulk diffusion. Benefiting from our strategy, we achieve a high performance plateau-type hard carbon anode of 324 mAh g-1 and an initial Coulombic efficiency of 89.5% with fast-charging of 182 mAh g-1 even at 5.0 A g-1 along with excellent capacity retention of 79.1% after 10,000 cycles at 2.0 A g-1, exceeding reported values for both joule-heating and conventional annealing methods. Therefore, this work provides new insights into balancing interlayer distance and crystallite width for next-generation fast-charging hard carbon anodes.</w:t>
      </w:r>
    </w:p>
    <w:p>
      <w:pPr>
        <w:spacing w:before="120" w:after="120"/>
      </w:pPr>
      <w:r>
        <w:rPr>
          <w:sz w:val="18"/>
        </w:rPr>
        <w:t>——————————————————————————————————————————————————————————————————————</w:t>
      </w:r>
    </w:p>
    <w:p>
      <w:pPr>
        <w:spacing w:before="160" w:after="40" w:line="240" w:lineRule="auto"/>
      </w:pPr>
      <w:r>
        <w:rPr>
          <w:b/>
        </w:rPr>
        <w:t xml:space="preserve">[6] </w:t>
      </w:r>
      <w:hyperlink r:id="rId76">
        <w:r>
          <w:rPr>
            <w:color w:val="1155CC"/>
            <w:u w:val="single"/>
          </w:rPr>
          <w:t>具有双Salphen结构的高金属含量二维共轭金属有机框架用于无枝晶钠金属阳极</w:t>
        </w:r>
      </w:hyperlink>
    </w:p>
    <w:p>
      <w:pPr>
        <w:spacing w:before="0" w:after="80"/>
      </w:pPr>
      <w:r>
        <w:rPr>
          <w:i/>
          <w:sz w:val="20"/>
        </w:rPr>
        <w:t>EN: A High‐Metal‐Content 2D Conjugated Metal‐Organic Framework With a Bis‐Salphen Architecture for Dendrite‐Free Sodium Metal Anodes</w:t>
      </w:r>
    </w:p>
    <w:p>
      <w:pPr>
        <w:spacing w:before="0" w:after="120"/>
      </w:pPr>
      <w:r>
        <w:rPr>
          <w:b/>
        </w:rPr>
        <w:t xml:space="preserve">Source: </w:t>
      </w:r>
      <w:r>
        <w:t>Wiley: Angewandte Chemie International Edition: Table of Contents</w:t>
      </w:r>
      <w:r>
        <w:t xml:space="preserve">    </w:t>
      </w:r>
      <w:r>
        <w:rPr>
          <w:b/>
        </w:rPr>
        <w:t xml:space="preserve">Pub date: </w:t>
      </w:r>
      <w:r>
        <w:t>2026-04-22 07:39:03+00:00</w:t>
      </w:r>
      <w:r>
        <w:t xml:space="preserve">    </w:t>
      </w:r>
      <w:r>
        <w:rPr>
          <w:b/>
        </w:rPr>
        <w:t xml:space="preserve">DOI: </w:t>
      </w:r>
      <w:hyperlink r:id="rId77">
        <w:r>
          <w:rPr>
            <w:color w:val="1155CC"/>
            <w:u w:val="single"/>
          </w:rPr>
          <w:t>10.1002/anie.6003046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二维共轭金属有机框架（2D c-MOFs）是电化学应用的有前途的候选者。然而，它们的性能经常受到利用大型平面共轭配体的传统设计的限制。这种结构不仅使合成路线复杂化，而且固有地限制了金属节点的密度，从而限制了离子结合位点的可用性，并削弱了它们在界面调节中的效能。为了解决这些挑战，我们提出了一种基于非平面双Salphen配体的配体设计策略，该配体结合了多个内N2O2配位</w:t>
      </w:r>
    </w:p>
    <w:p>
      <w:pPr>
        <w:spacing w:before="0" w:after="200" w:lineRule="auto" w:line="276"/>
      </w:pPr>
      <w:r>
        <w:rPr>
          <w:b/>
        </w:rPr>
        <w:t xml:space="preserve">Abstract (EN): </w:t>
      </w:r>
      <w:r>
        <w:t>Two‐dimensional conjugated metal‐organic frameworks (2D</w:t>
      </w:r>
      <w:r>
        <w:t xml:space="preserve"> </w:t>
      </w:r>
      <w:r>
        <w:t>c</w:t>
      </w:r>
      <w:r>
        <w:t xml:space="preserve"> </w:t>
      </w:r>
      <w:r>
        <w:t>‐MOFs) are promising candidates for electrochemical applications. However, their performance is frequently constrained by conventional designs that utilize large planar conjugated ligands. Such architectures not only complicate synthetic routes but also inherently restrict the density of metal nodes, thereby limiting the availability of ion‐binding sites and impairing their efficacy in interfacial regulation. To address these challenges, we present a ligand design strategy based on a non‐planar bis‐Salphen ligand, which incorporates multiple inner N</w:t>
      </w:r>
      <w:r>
        <w:rPr>
          <w:vertAlign w:val="subscript"/>
        </w:rPr>
        <w:t>2</w:t>
      </w:r>
      <w:r>
        <w:t>O</w:t>
      </w:r>
      <w:r>
        <w:rPr>
          <w:vertAlign w:val="subscript"/>
        </w:rPr>
        <w:t>2</w:t>
      </w:r>
      <w:r>
        <w:t>coordination pockets and peripheral catechol groups. Coordination with Zn</w:t>
      </w:r>
      <w:r>
        <w:t xml:space="preserve"> </w:t>
      </w:r>
      <w:r>
        <w:t>2+</w:t>
      </w:r>
      <w:r>
        <w:t xml:space="preserve"> </w:t>
      </w:r>
      <w:r>
        <w:t>ions yields a new 2D Zn‐BSP‐MOF, wherein the ligand undergoes in situ Scholl cyclodehydrogenation during synthesis, resulting in a fully conjugated planar structure. When employed as an artificial interlayer for sodium‐less metal anodes, Zn‐BSP‐MOF exploits its high density of uniform metal‐based binding sites to guide homogeneous sodium nucleation and suppress dendrite growth. Notably, symmetric cells demonstrate outstanding stability, operating for over 1800 h at 0.05 mA cm</w:t>
      </w:r>
      <w:r>
        <w:t xml:space="preserve"> </w:t>
      </w:r>
      <w:r>
        <w:t>−2</w:t>
      </w:r>
      <w:r>
        <w:t xml:space="preserve"> </w:t>
      </w:r>
      <w:r>
        <w:t>and over 800 h at 0.1 mA cm</w:t>
      </w:r>
      <w:r>
        <w:t xml:space="preserve"> </w:t>
      </w:r>
      <w:r>
        <w:t>−2</w:t>
      </w:r>
      <w:r>
        <w:t xml:space="preserve"> </w:t>
      </w:r>
      <w:r>
        <w:t>. Full cells paired with a Na</w:t>
      </w:r>
      <w:r>
        <w:rPr>
          <w:vertAlign w:val="subscript"/>
        </w:rPr>
        <w:t>3</w:t>
      </w:r>
      <w:r>
        <w:t>V</w:t>
      </w:r>
      <w:r>
        <w:rPr>
          <w:vertAlign w:val="subscript"/>
        </w:rPr>
        <w:t>2</w:t>
      </w:r>
      <w:r>
        <w:t>(PO</w:t>
      </w:r>
      <w:r>
        <w:rPr>
          <w:vertAlign w:val="subscript"/>
        </w:rPr>
        <w:t>4</w:t>
      </w:r>
      <w:r>
        <w:t>)</w:t>
      </w:r>
      <w:r>
        <w:rPr>
          <w:vertAlign w:val="subscript"/>
        </w:rPr>
        <w:t>3</w:t>
      </w:r>
      <w:r>
        <w:t>cathode deliver a high reversible capacity of 104.8 mAh g</w:t>
      </w:r>
      <w:r>
        <w:t xml:space="preserve"> </w:t>
      </w:r>
      <w:r>
        <w:t>−1</w:t>
      </w:r>
      <w:r>
        <w:t xml:space="preserve"> </w:t>
      </w:r>
      <w:r>
        <w:t>after 400 cycles at 1 C, with 96.8% capacity retention.</w:t>
      </w:r>
    </w:p>
    <w:p>
      <w:pPr>
        <w:spacing w:before="120" w:after="120"/>
      </w:pPr>
      <w:r>
        <w:rPr>
          <w:sz w:val="18"/>
        </w:rPr>
        <w:t>——————————————————————————————————————————————————————————————————————</w:t>
      </w:r>
    </w:p>
    <w:p>
      <w:pPr>
        <w:spacing w:before="160" w:after="40" w:line="240" w:lineRule="auto"/>
      </w:pPr>
      <w:r>
        <w:rPr>
          <w:b/>
        </w:rPr>
        <w:t xml:space="preserve">[7] </w:t>
      </w:r>
      <w:hyperlink r:id="rId78">
        <w:r>
          <w:rPr>
            <w:color w:val="1155CC"/>
            <w:u w:val="single"/>
          </w:rPr>
          <w:t>一种受电子供体能力启发的双功能描述符，用于调节锌离子电池中的枝晶生长和寄生反应</w:t>
        </w:r>
      </w:hyperlink>
    </w:p>
    <w:p>
      <w:pPr>
        <w:spacing w:before="0" w:after="80"/>
      </w:pPr>
      <w:r>
        <w:rPr>
          <w:i/>
          <w:sz w:val="20"/>
        </w:rPr>
        <w:t>EN: A Bifunctional Descriptor Inspired by Electron‐Donating Ability for Regulating Dendrite Growth and Parasitic Reactions in Zinc‐Ion Batteries</w:t>
      </w:r>
    </w:p>
    <w:p>
      <w:pPr>
        <w:spacing w:before="0" w:after="120"/>
      </w:pPr>
      <w:r>
        <w:rPr>
          <w:b/>
        </w:rPr>
        <w:t xml:space="preserve">Source: </w:t>
      </w:r>
      <w:r>
        <w:t>Wiley: Angewandte Chemie International Edition: Table of Contents</w:t>
      </w:r>
      <w:r>
        <w:t xml:space="preserve">    </w:t>
      </w:r>
      <w:r>
        <w:rPr>
          <w:b/>
        </w:rPr>
        <w:t xml:space="preserve">Pub date: </w:t>
      </w:r>
      <w:r>
        <w:t>2026-04-22 07:57:09+00:00</w:t>
      </w:r>
      <w:r>
        <w:t xml:space="preserve">    </w:t>
      </w:r>
      <w:r>
        <w:rPr>
          <w:b/>
        </w:rPr>
        <w:t xml:space="preserve">DOI: </w:t>
      </w:r>
      <w:hyperlink r:id="rId79">
        <w:r>
          <w:rPr>
            <w:color w:val="1155CC"/>
            <w:u w:val="single"/>
          </w:rPr>
          <w:t>10.1002/anie.5283649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水系锌离子电池（AZIBs）是锂基系统的有前途的替代品，但受到锌阳极的枝晶生长和寄生反应的限制。在此，我们引入了一个双功能物理化学描述符（</w:t>
      </w:r>
      <w:r>
        <w:t xml:space="preserve"> </w:t>
      </w:r>
      <w:r>
        <w:t>Φ</w:t>
      </w:r>
      <w:r>
        <w:t xml:space="preserve"> </w:t>
      </w:r>
      <w:r>
        <w:t>），用于评估电解质中的氢键网络强度和电解质/电极界面的界面吸附强度，捕捉寄生反应和枝晶形成的各自倾向。该描述符使机制知情的氨基酸添加剂筛选成为可能，并识别出</w:t>
      </w:r>
      <w:r>
        <w:t xml:space="preserve"> </w:t>
      </w:r>
      <w:r>
        <w:t>l</w:t>
      </w:r>
      <w:r>
        <w:t xml:space="preserve"> </w:t>
      </w:r>
      <w:r>
        <w:t>‐酪氨酸作为有效的调节剂。多尺度表征显示微量</w:t>
      </w:r>
      <w:r>
        <w:t xml:space="preserve"> </w:t>
      </w:r>
      <w:r>
        <w:t>l</w:t>
      </w:r>
    </w:p>
    <w:p>
      <w:pPr>
        <w:spacing w:before="0" w:after="200" w:lineRule="auto" w:line="276"/>
      </w:pPr>
      <w:r>
        <w:rPr>
          <w:b/>
        </w:rPr>
        <w:t xml:space="preserve">Abstract (EN): </w:t>
      </w:r>
      <w:r>
        <w:t>Aqueous zinc‐ion batteries (AZIBs) are promising alternatives to lithium‐based systems but are limited by dendritic growth and parasitic reactions at the Zn anode. Here, we introduce a bifunctional physicochemical descriptor (</w:t>
      </w:r>
      <w:r>
        <w:t xml:space="preserve"> </w:t>
      </w:r>
      <w:r>
        <w:t>Φ</w:t>
      </w:r>
      <w:r>
        <w:t xml:space="preserve"> </w:t>
      </w:r>
      <w:r>
        <w:t>) that evaluates hydrogen‐bond network strength in the electrolyte and interfacial adsorption strength at the electrolyte/electrode interface, capturing the respective tendencies of parasitic reaction and dendritic formation. This descriptor enables mechanism‐informed screening of amino acid additives and identifies</w:t>
      </w:r>
      <w:r>
        <w:t xml:space="preserve"> </w:t>
      </w:r>
      <w:r>
        <w:t>l</w:t>
      </w:r>
      <w:r>
        <w:t xml:space="preserve"> </w:t>
      </w:r>
      <w:r>
        <w:t>‐tyrosine as an effective regulator. Multiscale characterizations show that trace</w:t>
      </w:r>
      <w:r>
        <w:t xml:space="preserve"> </w:t>
      </w:r>
      <w:r>
        <w:t>l</w:t>
      </w:r>
      <w:r>
        <w:t xml:space="preserve"> </w:t>
      </w:r>
      <w:r>
        <w:t>‐tyrosine (1 mM) suppresses hydrogen evolution by restructuring the hydrogen‐bond network and promotes Zn(002)‐oriented deposition via interfacial adsorption. As a result, Zn||Zn symmetric cells exhibit prolonged stability, exceeding 4500 h at 1 mA cm</w:t>
      </w:r>
      <w:r>
        <w:t xml:space="preserve"> </w:t>
      </w:r>
      <w:r>
        <w:t>−2</w:t>
      </w:r>
      <w:r>
        <w:t xml:space="preserve"> </w:t>
      </w:r>
      <w:r>
        <w:t>and over 12 000 cycles at 10 mA cm</w:t>
      </w:r>
      <w:r>
        <w:t xml:space="preserve"> </w:t>
      </w:r>
      <w:r>
        <w:t>−2</w:t>
      </w:r>
      <w:r>
        <w:t xml:space="preserve"> </w:t>
      </w:r>
      <w:r>
        <w:t>, while MnO</w:t>
      </w:r>
      <w:r>
        <w:rPr>
          <w:vertAlign w:val="subscript"/>
        </w:rPr>
        <w:t>2</w:t>
      </w:r>
      <w:r>
        <w:t>||Zn full cells retain 95.66% capacity after 500 cycles at 1 A g</w:t>
      </w:r>
      <w:r>
        <w:t xml:space="preserve"> </w:t>
      </w:r>
      <w:r>
        <w:t>−1</w:t>
      </w:r>
      <w:r>
        <w:t xml:space="preserve"> </w:t>
      </w:r>
      <w:r>
        <w:t>. This work establishes a descriptor‐based framework for regulating dendrite growth and parasitic reactions and provides a rational strategy for electrolyte additive design in aqueous metal batteries.</w:t>
      </w:r>
    </w:p>
    <w:p>
      <w:pPr>
        <w:spacing w:before="120" w:after="120"/>
      </w:pPr>
      <w:r>
        <w:rPr>
          <w:sz w:val="18"/>
        </w:rPr>
        <w:t>——————————————————————————————————————————————————————————————————————</w:t>
      </w:r>
    </w:p>
    <w:p>
      <w:pPr>
        <w:spacing w:before="160" w:after="40" w:line="240" w:lineRule="auto"/>
      </w:pPr>
      <w:r>
        <w:rPr>
          <w:b/>
        </w:rPr>
        <w:t xml:space="preserve">[8] </w:t>
      </w:r>
      <w:hyperlink r:id="rId65">
        <w:r>
          <w:rPr>
            <w:color w:val="1155CC"/>
            <w:u w:val="single"/>
          </w:rPr>
          <w:t>使用原位7/6Li和33S NMR光谱监测锂硫电池中的氧化还原路径和性能限制</w:t>
        </w:r>
      </w:hyperlink>
    </w:p>
    <w:p>
      <w:pPr>
        <w:spacing w:before="0" w:after="80"/>
      </w:pPr>
      <w:r>
        <w:rPr>
          <w:i/>
          <w:sz w:val="20"/>
        </w:rPr>
        <w:t>EN: Monitoring Redox Pathways and Performance Limitations in Lithium‐Sulfur Batteries Using In Situ 7/6Li and 33S NMR Spectroscopies</w:t>
      </w:r>
    </w:p>
    <w:p>
      <w:pPr>
        <w:spacing w:before="0" w:after="120"/>
      </w:pPr>
      <w:r>
        <w:rPr>
          <w:b/>
        </w:rPr>
        <w:t xml:space="preserve">Source: </w:t>
      </w:r>
      <w:r>
        <w:t>Wiley: Angewandte Chemie International Edition: Table of Contents</w:t>
      </w:r>
      <w:r>
        <w:t xml:space="preserve">    </w:t>
      </w:r>
      <w:r>
        <w:rPr>
          <w:b/>
        </w:rPr>
        <w:t xml:space="preserve">Pub date: </w:t>
      </w:r>
      <w:r>
        <w:t>2026-04-23 04:20:03+00:00</w:t>
      </w:r>
      <w:r>
        <w:t xml:space="preserve">    </w:t>
      </w:r>
      <w:r>
        <w:rPr>
          <w:b/>
        </w:rPr>
        <w:t xml:space="preserve">DOI: </w:t>
      </w:r>
      <w:hyperlink r:id="rId66">
        <w:r>
          <w:rPr>
            <w:color w:val="1155CC"/>
            <w:u w:val="single"/>
          </w:rPr>
          <w:t>10.1002/anie.202525050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与传统锂离子系统相比，提供了高容量和降低的成本。然而，这种电池化学中发生的复杂氧化还原机制系列及伴随的结构转变通常与电池失效的不同途径相关。因此，深入理解这些机制对于加速这些电池的发展至关重要。首次报道了原位6/7Li和33S NMR光谱的结合，提供了硫氧化还原过程反应路径的实时结构信息。</w:t>
      </w:r>
    </w:p>
    <w:p>
      <w:pPr>
        <w:spacing w:before="0" w:after="200" w:lineRule="auto" w:line="276"/>
      </w:pPr>
      <w:r>
        <w:rPr>
          <w:b/>
        </w:rPr>
        <w:t xml:space="preserve">Abstract (EN): </w:t>
      </w:r>
      <w:r>
        <w:t>Lithium‐sulfur (Li‐S) batteries offer high capacity and reduced costs in comparison to the traditional lithium‐ion systems. However, the complex series of redox mechanisms that occur in this battery chemistry and accompanying structural transformations are often associated with different routes for cell failure. Therefore, a fundamental understanding of the underlying mechanisms is essential to accelerate the development of these batteries. The combination of</w:t>
      </w:r>
      <w:r>
        <w:t xml:space="preserve"> </w:t>
      </w:r>
      <w:r>
        <w:t>operando</w:t>
      </w:r>
      <w:r>
        <w:t xml:space="preserve"> </w:t>
      </w:r>
      <w:r>
        <w:t>6/7</w:t>
      </w:r>
      <w:r>
        <w:t xml:space="preserve"> </w:t>
      </w:r>
      <w:r>
        <w:t>Li and</w:t>
      </w:r>
      <w:r>
        <w:rPr>
          <w:vertAlign w:val="subscript"/>
        </w:rPr>
        <w:t>33</w:t>
      </w:r>
      <w:r>
        <w:t>S NMR spectroscopy is reported for the first time, providing real‐time structural information on the reaction pathways of the sulfur redox processes. The evolution of the polysulfides (poly‐S) in the electrolyte and dendrite formation on the anode was monitored with</w:t>
      </w:r>
      <w:r>
        <w:rPr>
          <w:vertAlign w:val="subscript"/>
        </w:rPr>
        <w:t>7</w:t>
      </w:r>
      <w:r>
        <w:t>Li and</w:t>
      </w:r>
      <w:r>
        <w:rPr>
          <w:vertAlign w:val="subscript"/>
        </w:rPr>
        <w:t>6</w:t>
      </w:r>
      <w:r>
        <w:t>Li NMR spectroscopy. Via</w:t>
      </w:r>
      <w:r>
        <w:rPr>
          <w:vertAlign w:val="subscript"/>
        </w:rPr>
        <w:t>33</w:t>
      </w:r>
      <w:r>
        <w:t>S NMR experiments, the exact onset of Li</w:t>
      </w:r>
      <w:r>
        <w:rPr>
          <w:vertAlign w:val="subscript"/>
        </w:rPr>
        <w:t>2</w:t>
      </w:r>
      <w:r>
        <w:t>S formation was determined. By following the evolution of poly‐S species and Li</w:t>
      </w:r>
      <w:r>
        <w:rPr>
          <w:vertAlign w:val="subscript"/>
        </w:rPr>
        <w:t>2</w:t>
      </w:r>
      <w:r>
        <w:t>S, we could track the entire redox pathway and identify performance‐limiting mechanisms. The accumulation of soluble poly‐S, resulting from an incomplete poly‐S to S</w:t>
      </w:r>
      <w:r>
        <w:rPr>
          <w:vertAlign w:val="subscript"/>
        </w:rPr>
        <w:t>8</w:t>
      </w:r>
      <w:r>
        <w:t>reduction reaction during charge, was identified as one process leading to capacity fade, while degradation via a poly‐S shuttle mechanism was negligible, at least during the first few cycles.</w:t>
      </w:r>
    </w:p>
    <w:p>
      <w:pPr>
        <w:spacing w:before="120" w:after="120"/>
      </w:pPr>
      <w:r>
        <w:rPr>
          <w:sz w:val="18"/>
        </w:rPr>
        <w:t>——————————————————————————————————————————————————————————————————————</w:t>
      </w:r>
    </w:p>
    <w:p>
      <w:pPr>
        <w:spacing w:before="160" w:after="40" w:line="240" w:lineRule="auto"/>
      </w:pPr>
      <w:r>
        <w:rPr>
          <w:b/>
        </w:rPr>
        <w:t xml:space="preserve">[9] </w:t>
      </w:r>
      <w:hyperlink r:id="rId80">
        <w:r>
          <w:rPr>
            <w:color w:val="1155CC"/>
            <w:u w:val="single"/>
          </w:rPr>
          <w:t>抑制固态电解质界面溶解实现高稳定性钠离子电池</w:t>
        </w:r>
      </w:hyperlink>
    </w:p>
    <w:p>
      <w:pPr>
        <w:spacing w:before="0" w:after="80"/>
      </w:pPr>
      <w:r>
        <w:rPr>
          <w:i/>
          <w:sz w:val="20"/>
        </w:rPr>
        <w:t>EN: Suppressing Dissolution of Solid Electrolyte Interphase Enables Highly Stable Sodium‐Ion Batteries</w:t>
      </w:r>
    </w:p>
    <w:p>
      <w:pPr>
        <w:spacing w:before="0" w:after="120"/>
      </w:pPr>
      <w:r>
        <w:rPr>
          <w:b/>
        </w:rPr>
        <w:t xml:space="preserve">Source: </w:t>
      </w:r>
      <w:r>
        <w:t>Wiley: Advanced Energy Materials: Table of Contents</w:t>
      </w:r>
      <w:r>
        <w:t xml:space="preserve">    </w:t>
      </w:r>
      <w:r>
        <w:rPr>
          <w:b/>
        </w:rPr>
        <w:t xml:space="preserve">Pub date: </w:t>
      </w:r>
      <w:r>
        <w:t>2026-04-23 06:43:16+00:00</w:t>
      </w:r>
      <w:r>
        <w:t xml:space="preserve">    </w:t>
      </w:r>
      <w:r>
        <w:rPr>
          <w:b/>
        </w:rPr>
        <w:t xml:space="preserve">DOI: </w:t>
      </w:r>
      <w:hyperlink r:id="rId81">
        <w:r>
          <w:rPr>
            <w:color w:val="1155CC"/>
            <w:u w:val="single"/>
          </w:rPr>
          <w:t>10.1002/aenm.70981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保持固体电解质界面（SEI）的完整性对于确保钠离子电池（SIBs）的循环稳定性至关重要。然而，传统的SEI在电化学循环过程中表现出微妙但持续的溶解，加速了电池性能的退化。同时，SEI溶解性、成分演变和循环可逆性之间的关系仍不明确。在此，我们通过含硼离子诱导的界面化学构建了一种坚固的、无机物丰富的SEI层，有效地通过最小化电极-电解质接触和抑制有机成分的反复生成-溶解过程来抑制SEI溶解。我们进一步阐明了SEI成分之间的关系</w:t>
      </w:r>
    </w:p>
    <w:p>
      <w:pPr>
        <w:spacing w:before="0" w:after="200" w:lineRule="auto" w:line="276"/>
      </w:pPr>
      <w:r>
        <w:rPr>
          <w:b/>
        </w:rPr>
        <w:t xml:space="preserve">Abstract (EN): </w:t>
      </w:r>
      <w:r>
        <w:t>Maintaining the integrity of solid electrolyte interphase (SEI) is pivotal for ensuring the cycling stability of sodium‐ion batteries (SIBs). However, conventional SEIs exhibit subtle yet persistent dissolution during electrochemical cycling, accelerating battery performance degradation. Meanwhile, the correlation between SEI solubility, composition evolution, and cycling reversibility remains ambiguous. Herein, we construct a robust, inorganic‐rich SEI layer via boron‐containing ion‐induced interfacial chemistry, which effectively suppresses SEI dissolution by minimizing electrode–electrolyte contact and inhibiting the repeated generating‐dissolving process of organic components. We further elucidate the correlation between SEI components and its solubility, and quantify that the average capacity loss caused by the dissolution of organic‐rich SEI is 1.36 times that of inorganic‐rich SEI. Benefiting from the stabilized SEI, the hard carbon (HC) anode delivers excellent cycling stability, retaining 81.9% capacity after 400 cycles even at 60°C. Moreover, the HC||O3‐NaNi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(NNFMO) full cell achieves 78.6% capacity retention over 300 cycles. This study provides fundamental insights into SEI dissolution mechanisms and presents an effective strategy to enhance the durability of SIBs.</w:t>
      </w:r>
    </w:p>
    <w:p>
      <w:pPr>
        <w:spacing w:before="120" w:after="120"/>
      </w:pPr>
      <w:r>
        <w:rPr>
          <w:sz w:val="18"/>
        </w:rPr>
        <w:t>——————————————————————————————————————————————————————————————————————</w:t>
      </w:r>
    </w:p>
    <w:p>
      <w:pPr>
        <w:spacing w:before="160" w:after="40" w:line="240" w:lineRule="auto"/>
      </w:pPr>
      <w:r>
        <w:rPr>
          <w:b/>
        </w:rPr>
        <w:t xml:space="preserve">[10] </w:t>
      </w:r>
      <w:hyperlink r:id="rId82">
        <w:r>
          <w:rPr>
            <w:color w:val="1155CC"/>
            <w:u w:val="single"/>
          </w:rPr>
          <w:t>[ASAP] 液态金属的反应诱导流变转变用于超薄钠电极</w:t>
        </w:r>
      </w:hyperlink>
    </w:p>
    <w:p>
      <w:pPr>
        <w:spacing w:before="0" w:after="80"/>
      </w:pPr>
      <w:r>
        <w:rPr>
          <w:i/>
          <w:sz w:val="20"/>
        </w:rPr>
        <w:t>EN: [ASAP] Reaction-Induced Rheological Transition of Liquid Metal for Ultrathin Sodium Electrode</w:t>
      </w:r>
    </w:p>
    <w:p>
      <w:pPr>
        <w:spacing w:before="0" w:after="120"/>
      </w:pPr>
      <w:r>
        <w:rPr>
          <w:b/>
        </w:rPr>
        <w:t xml:space="preserve">Source: </w:t>
      </w:r>
      <w:r>
        <w:t>ACS Energy Letters: Latest Articles (ACS Publications)</w:t>
      </w:r>
      <w:r>
        <w:t xml:space="preserve">    </w:t>
      </w:r>
      <w:r>
        <w:rPr>
          <w:b/>
        </w:rPr>
        <w:t xml:space="preserve">Pub date: </w:t>
      </w:r>
      <w:r>
        <w:t>2026-04-23 11:59:55+00:00</w:t>
      </w:r>
      <w:r>
        <w:t xml:space="preserve">    </w:t>
      </w:r>
      <w:r>
        <w:rPr>
          <w:b/>
        </w:rPr>
        <w:t xml:space="preserve">DOI: </w:t>
      </w:r>
      <w:hyperlink r:id="rId83">
        <w:r>
          <w:rPr>
            <w:color w:val="1155CC"/>
            <w:u w:val="single"/>
          </w:rPr>
          <w:t>10.1021/acsenergylett.6c00752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4">
        <w:r>
          <w:rPr>
            <w:color w:val="1155CC"/>
            <w:u w:val="single"/>
          </w:rPr>
          <w:t>不相似电解质解耦锌和二氧化锰氧化还原化学，实现无双电极的贫电解质电池</w:t>
        </w:r>
      </w:hyperlink>
    </w:p>
    <w:p>
      <w:pPr>
        <w:spacing w:before="0" w:after="80"/>
      </w:pPr>
      <w:r>
        <w:rPr>
          <w:i/>
          <w:sz w:val="20"/>
        </w:rPr>
        <w:t>EN: Dissimilar Electrolyte Decouples Zn and MnO2 Redox Chemistry Enabling Dual‐Electrode‐Free Lean‐Electrolyte Batteries</w:t>
      </w:r>
    </w:p>
    <w:p>
      <w:pPr>
        <w:spacing w:before="0" w:after="120"/>
      </w:pPr>
      <w:r>
        <w:rPr>
          <w:b/>
        </w:rPr>
        <w:t xml:space="preserve">Source: </w:t>
      </w:r>
      <w:r>
        <w:t>Wiley: Angewandte Chemie International Edition: Table of Contents</w:t>
      </w:r>
      <w:r>
        <w:t xml:space="preserve">    </w:t>
      </w:r>
      <w:r>
        <w:rPr>
          <w:b/>
        </w:rPr>
        <w:t xml:space="preserve">Pub date: </w:t>
      </w:r>
      <w:r>
        <w:t>2026-04-18 13:27:23+00:00</w:t>
      </w:r>
      <w:r>
        <w:t xml:space="preserve">    </w:t>
      </w:r>
      <w:r>
        <w:rPr>
          <w:b/>
        </w:rPr>
        <w:t xml:space="preserve">DOI: </w:t>
      </w:r>
      <w:hyperlink r:id="rId85">
        <w:r>
          <w:rPr>
            <w:color w:val="1155CC"/>
            <w:u w:val="single"/>
          </w:rPr>
          <w:t>10.1002/anie.202524846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无双电极的Zn–MnO</w:t>
      </w:r>
      <w:r>
        <w:rPr>
          <w:vertAlign w:val="subscript"/>
        </w:rPr>
        <w:t>2</w:t>
      </w:r>
      <w:r>
        <w:t>电池提供极高的理论能量密度（616 mAh g</w:t>
      </w:r>
      <w:r>
        <w:t xml:space="preserve"> </w:t>
      </w:r>
      <w:r>
        <w:t>−1</w:t>
      </w:r>
      <w:r>
        <w:t xml:space="preserve"> </w:t>
      </w:r>
      <w:r>
        <w:t>在2 V）和简化的制造工艺，但其实际应用受到低库仑效率（CE）和不稳定循环的阻碍，这源于Zn和MnO</w:t>
      </w:r>
      <w:r>
        <w:rPr>
          <w:vertAlign w:val="subscript"/>
        </w:rPr>
        <w:t>2</w:t>
      </w:r>
      <w:r>
        <w:t>氧化还原化学的不兼容性。先前的研究采用预加载Zn和过量电解质掩盖了这种不兼容性。在此，我们设计了一种不同的电解质结构，以解耦Zn镀层剥离与MnO</w:t>
      </w:r>
      <w:r>
        <w:rPr>
          <w:vertAlign w:val="subscript"/>
        </w:rPr>
        <w:t>2</w:t>
      </w:r>
      <w:r>
        <w:t>沉积溶解，从根本上解决其不兼容性。该结构</w:t>
      </w:r>
    </w:p>
    <w:p>
      <w:pPr>
        <w:spacing w:before="0" w:after="200" w:lineRule="auto" w:line="276"/>
      </w:pPr>
      <w:r>
        <w:rPr>
          <w:b/>
        </w:rPr>
        <w:t xml:space="preserve">Abstract (EN): </w:t>
      </w:r>
      <w:r>
        <w:t>Dual‐electrode‐free Zn–MnO</w:t>
      </w:r>
      <w:r>
        <w:rPr>
          <w:vertAlign w:val="subscript"/>
        </w:rPr>
        <w:t>2</w:t>
      </w:r>
      <w:r>
        <w:t>batteries offer exceptionally high theoretical energy density (616 mAh g</w:t>
      </w:r>
      <w:r>
        <w:t xml:space="preserve"> </w:t>
      </w:r>
      <w:r>
        <w:t>−1</w:t>
      </w:r>
      <w:r>
        <w:t xml:space="preserve"> </w:t>
      </w:r>
      <w:r>
        <w:t>at 2 V) and simplified manufacturing, yet their practical use is hampered by low Coulombic efficiency (CE) and unstable cycling, arising from the intrinsic incompatibility of Zn and MnO</w:t>
      </w:r>
      <w:r>
        <w:rPr>
          <w:vertAlign w:val="subscript"/>
        </w:rPr>
        <w:t>2</w:t>
      </w:r>
      <w:r>
        <w:t>redox chemistries. Previous studies employing preloaded Zn and excess electrolyte obscure this incompatibility. Herein, we design a dissimilar electrolyte architecture to decouple Zn plating‐stripping from MnO</w:t>
      </w:r>
      <w:r>
        <w:rPr>
          <w:vertAlign w:val="subscript"/>
        </w:rPr>
        <w:t>2</w:t>
      </w:r>
      <w:r>
        <w:t>deposition‐dissolution, fundamentally addressing their incompatibility. The architecture integrates two distinct gels, wherein a self‐assembled nanometer‐thin water layer functions as a “soft wall” for selective ion transport due to binding energy differences at the gel/water interface. Further, the screening effect induced by the discrepancy in ionic conductivity across the junction is investigated for the first time, offering new insights into ion transport in heterogeneous electrolytes. This strategy enables a dual‐electrode‐free lean‐electrolyte Zn–MnO</w:t>
      </w:r>
      <w:r>
        <w:rPr>
          <w:vertAlign w:val="subscript"/>
        </w:rPr>
        <w:t>2</w:t>
      </w:r>
      <w:r>
        <w:t>cell with areal and volumetric energy densities of 3.1 mWh cm</w:t>
      </w:r>
      <w:r>
        <w:t xml:space="preserve"> </w:t>
      </w:r>
      <w:r>
        <w:t>−2</w:t>
      </w:r>
      <w:r>
        <w:t xml:space="preserve"> </w:t>
      </w:r>
      <w:r>
        <w:t>and 25.8 Wh L</w:t>
      </w:r>
      <w:r>
        <w:t xml:space="preserve"> </w:t>
      </w:r>
      <w:r>
        <w:t>−1</w:t>
      </w:r>
      <w:r>
        <w:t xml:space="preserve"> </w:t>
      </w:r>
      <w:r>
        <w:t>, and a power density of 24.1 mW cm</w:t>
      </w:r>
      <w:r>
        <w:t xml:space="preserve"> </w:t>
      </w:r>
      <w:r>
        <w:t>−2</w:t>
      </w:r>
      <w:r>
        <w:t xml:space="preserve"> </w:t>
      </w:r>
      <w:r>
        <w:t>at 2 mAh cm</w:t>
      </w:r>
      <w:r>
        <w:t xml:space="preserve"> </w:t>
      </w:r>
      <w:r>
        <w:t>−2</w:t>
      </w:r>
      <w:r>
        <w:t xml:space="preserve"> </w:t>
      </w:r>
      <w:r>
        <w:t>. The cell also achieves an average CE of 91% at 1mAh cm</w:t>
      </w:r>
      <w:r>
        <w:t xml:space="preserve"> </w:t>
      </w:r>
      <w:r>
        <w:t>−2</w:t>
      </w:r>
      <w:r>
        <w:t xml:space="preserve"> </w:t>
      </w:r>
      <w:r>
        <w:t>cycling. Moreover, the dual‐electrode‐free configuration readily integrates with diverse current collectors, extending the concept to flexible and stretchable batteries for wearable electronics, soft robotics, and beyond.</w:t>
      </w:r>
    </w:p>
    <w:p>
      <w:pPr>
        <w:spacing w:before="120" w:after="120"/>
      </w:pPr>
      <w:r>
        <w:rPr>
          <w:sz w:val="18"/>
        </w:rPr>
        <w:t>——————————————————————————————————————————————————————————————————————</w:t>
      </w:r>
    </w:p>
    <w:p>
      <w:pPr>
        <w:spacing w:before="160" w:after="40" w:line="240" w:lineRule="auto"/>
      </w:pPr>
      <w:r>
        <w:rPr>
          <w:b/>
        </w:rPr>
        <w:t xml:space="preserve">[2] </w:t>
      </w:r>
      <w:hyperlink r:id="rId86">
        <w:r>
          <w:rPr>
            <w:color w:val="1155CC"/>
            <w:u w:val="single"/>
          </w:rPr>
          <w:t>用于稳定高温钾离子电池的准拥挤溶剂化设计离子液体电解质</w:t>
        </w:r>
      </w:hyperlink>
    </w:p>
    <w:p>
      <w:pPr>
        <w:spacing w:before="0" w:after="80"/>
      </w:pPr>
      <w:r>
        <w:rPr>
          <w:i/>
          <w:sz w:val="20"/>
        </w:rPr>
        <w:t>EN: Quasi‐Crowding Solvation Design of Ionic Liquid Electrolytes for Stable High‐Temperature Potassium‐Ion Batteries</w:t>
      </w:r>
    </w:p>
    <w:p>
      <w:pPr>
        <w:spacing w:before="0" w:after="120"/>
      </w:pPr>
      <w:r>
        <w:rPr>
          <w:b/>
        </w:rPr>
        <w:t xml:space="preserve">Source: </w:t>
      </w:r>
      <w:r>
        <w:t>Wiley: Angewandte Chemie International Edition: Table of Contents</w:t>
      </w:r>
      <w:r>
        <w:t xml:space="preserve">    </w:t>
      </w:r>
      <w:r>
        <w:rPr>
          <w:b/>
        </w:rPr>
        <w:t xml:space="preserve">Pub date: </w:t>
      </w:r>
      <w:r>
        <w:t>2026-04-20 05:33:45+00:00</w:t>
      </w:r>
      <w:r>
        <w:t xml:space="preserve">    </w:t>
      </w:r>
      <w:r>
        <w:rPr>
          <w:b/>
        </w:rPr>
        <w:t xml:space="preserve">DOI: </w:t>
      </w:r>
      <w:hyperlink r:id="rId87">
        <w:r>
          <w:rPr>
            <w:color w:val="1155CC"/>
            <w:u w:val="single"/>
          </w:rPr>
          <w:t>10.1002/anie.4883105</w:t>
        </w:r>
      </w:hyperlink>
    </w:p>
    <w:p>
      <w:pPr>
        <w:spacing w:before="0" w:after="120"/>
      </w:pPr>
      <w:r>
        <w:rPr>
          <w:b/>
        </w:rPr>
        <w:t xml:space="preserve">Notes: </w:t>
      </w:r>
      <w:r>
        <w:t>abstract_source=crossref</w:t>
      </w:r>
    </w:p>
    <w:p>
      <w:pPr>
        <w:spacing w:before="0" w:after="80" w:lineRule="auto" w:line="276"/>
      </w:pPr>
      <w:r>
        <w:rPr>
          <w:b/>
        </w:rPr>
        <w:t xml:space="preserve">摘要（ZH）: </w:t>
      </w:r>
      <w:r>
        <w:t>摘要 提出了准拥挤溶剂化结构设计原则，以开发磷酸盐介导的离子液体电解质（PILE），实现高离子电导率、低去溶剂化能垒、增强的内溶剂化鞘的阴离子主导特性，以及外溶剂化鞘中有机阳离子的再稳定化。因此，PILE中的普鲁士蓝（PB）正极在500 mA/g和20°C下经过800次循环后，仍能保持62.0 mAh/g的比容量，并且在40°C下经过500次循环后可进一步提高至80.7 mAh/g。准拥挤溶剂化设计的协同效应保证了稳定性，提高工作温度增强了动力学，被揭示为改善钾储存性能的原因，</w:t>
      </w:r>
    </w:p>
    <w:p>
      <w:pPr>
        <w:spacing w:before="0" w:after="200" w:lineRule="auto" w:line="276"/>
      </w:pPr>
      <w:r>
        <w:rPr>
          <w:b/>
        </w:rPr>
        <w:t xml:space="preserve">Abstract (EN): </w:t>
      </w:r>
      <w:r>
        <w:t>A quasi‐crowding solvation structure design principle was proposed to develop phosphate‐mediated ionic liquid electrolyte (PILE), enabling high ionic conductivity, low desolvation energy barrier, enhanced anion‐dominant nature of the inner solvation sheath, and re‐stabilization of organic cations in the outer solvation sheath. As a result, the Prussian Blue (PB) cathode in PILE delivered a highly maintained specific capacity of 62.0 mAh/g after 800 cycles at 500 mA/g and 20°C, which can be further improved to be 80.7 mAh/g after 500 cycles at 40°C. The synergistic effect from the quasi‐crowding solvation design guaranteed stability, and elevating working temperatures enhanced kinetics, which was revealed to be responsible for the improved K‐storage performance, mainly via transforming the cathode‐electrolyte‐interphase (CEI) formation mechanism from organic‐cation‐dominated to fluorine‐rich‐anion‐dominated oxidation, and significantly reducing ion transport and charge transfer impedances, respectively. The developed PB||PILE||graphite (Gr) full cell also output a significantly improved energy density of 269.6 Wh/kg and power density of 609.9 W/kg at 200 mA/g and 60°C, attributing to the efficient activation of low‐spin Fe‐C sites for deep and high‐voltage K‐storage. These principles and validations will significantly advance the understanding of fundamental electrolyte chemistry and inspire the rational design of high‐performance potassium‐ion batteries (PIBs) for extreme applications.</w:t>
      </w:r>
    </w:p>
    <w:p>
      <w:pPr>
        <w:spacing w:before="120" w:after="120"/>
      </w:pPr>
      <w:r>
        <w:rPr>
          <w:sz w:val="18"/>
        </w:rPr>
        <w:t>——————————————————————————————————————————————————————————————————————</w:t>
      </w:r>
    </w:p>
    <w:p>
      <w:pPr>
        <w:spacing w:before="160" w:after="40" w:line="240" w:lineRule="auto"/>
      </w:pPr>
      <w:r>
        <w:rPr>
          <w:b/>
        </w:rPr>
        <w:t xml:space="preserve">[3] </w:t>
      </w:r>
      <w:hyperlink r:id="rId88">
        <w:r>
          <w:rPr>
            <w:color w:val="1155CC"/>
            <w:u w:val="single"/>
          </w:rPr>
          <w:t>[ASAP] 具有无定形-晶体异相结构的离子导电和电化学稳定氧卤化物固体电解质</w:t>
        </w:r>
      </w:hyperlink>
    </w:p>
    <w:p>
      <w:pPr>
        <w:spacing w:before="0" w:after="80"/>
      </w:pPr>
      <w:r>
        <w:rPr>
          <w:i/>
          <w:sz w:val="20"/>
        </w:rPr>
        <w:t>EN: [ASAP] Ionic Conductive and Electrochemical Stable Oxyhalide Solid Electrolyte with Amorphous–Crystalline Heterophase Structure</w:t>
      </w:r>
    </w:p>
    <w:p>
      <w:pPr>
        <w:spacing w:before="0" w:after="120"/>
      </w:pPr>
      <w:r>
        <w:rPr>
          <w:b/>
        </w:rPr>
        <w:t xml:space="preserve">Source: </w:t>
      </w:r>
      <w:r>
        <w:t>ACS Energy Letters: Latest Articles (ACS Publications)</w:t>
      </w:r>
      <w:r>
        <w:t xml:space="preserve">    </w:t>
      </w:r>
      <w:r>
        <w:rPr>
          <w:b/>
        </w:rPr>
        <w:t xml:space="preserve">Pub date: </w:t>
      </w:r>
      <w:r>
        <w:t>2026-04-20 08:47:18+00:00</w:t>
      </w:r>
      <w:r>
        <w:t xml:space="preserve">    </w:t>
      </w:r>
      <w:r>
        <w:rPr>
          <w:b/>
        </w:rPr>
        <w:t xml:space="preserve">DOI: </w:t>
      </w:r>
      <w:hyperlink r:id="rId89">
        <w:r>
          <w:rPr>
            <w:color w:val="1155CC"/>
            <w:u w:val="single"/>
          </w:rPr>
          <w:t>10.1021/acsenergylett.6c00120</w:t>
        </w:r>
      </w:hyperlink>
    </w:p>
    <w:p>
      <w:pPr>
        <w:spacing w:before="0" w:after="120"/>
      </w:pPr>
      <w:r>
        <w:rPr>
          <w:b/>
        </w:rPr>
        <w:t xml:space="preserve">Notes: </w:t>
      </w:r>
      <w:r>
        <w:t>abstract_source=openalex</w:t>
      </w:r>
    </w:p>
    <w:p>
      <w:pPr>
        <w:spacing w:before="0" w:after="80" w:lineRule="auto" w:line="276"/>
      </w:pPr>
      <w:r>
        <w:rPr>
          <w:b/>
        </w:rPr>
        <w:t xml:space="preserve">摘要（ZH）: </w:t>
      </w:r>
      <w:r>
        <w:t>高性能固态电解质的发展对于全固态电池（ASSBs）的进步至关重要。虽然过渡金属卤化物固态电解质引起了广泛关注，但钒（V）元素的潜在应用被忽视。在本研究中，我们提出了一种氧卤化物固态电解质Li4VOCl5，具有卓越的电化学稳定性。调节的无定形-晶体异相结构中，无定形相包裹晶体域并填充晶界，使Li4VOCl5在室温下具有0.15 mS cm–1的高离子电导率，远高于已报道的钒基卤化物。此外，Li4VOCl5与LiNi0.8Co0.1Mn0.1O2（NCM811）的界面稳定性得到了增强，如揭示</w:t>
      </w:r>
    </w:p>
    <w:p>
      <w:pPr>
        <w:spacing w:before="0" w:after="200" w:lineRule="auto" w:line="276"/>
      </w:pPr>
      <w:r>
        <w:rPr>
          <w:b/>
        </w:rPr>
        <w:t xml:space="preserve">Abstract (EN): </w:t>
      </w:r>
      <w:r>
        <w:t>The development of high-performance solid-state electrolytes is essential for the advancement of all-solid-state batteries (ASSBs). While transition metal halide solid electrolytes have garnered significant attention, the potential employment of the vanadium (V) element has been overlooked. In this study, we present an oxyhalide solid electrolyte, Li4VOCl5, with exceptional electrochemical stability. The tuned amorphous–crystalline heterophase structure, in which the amorphous phase encapsulates crystalline domains and fills grain boundaries, endows Li4VOCl5 with a high ionic conductivity of 0.15 mS cm–1 at room temperature, much higher than those reported for vanadium-based halides. Moreover, enhanced interfacial stability of Li4VOCl5 with LiNi0.8Co0.1Mn0.1O2 (NCM811) is achieved as revealed by in situ Raman spectroscopy. The as-fabricated ASSB coupled with NCM811 delivers a discharge capacity of 180.9 mAh g–1 with a high initial Coulombic efficiency of 90.8%. This contribution demonstrates the feasibility of utilizing oxyhalide Li4VOCl5 as a solid electrolyte for ASSBs, while opening up possibilities for manufacturing V-based ASSBs with improved interface compatibility.</w:t>
      </w:r>
    </w:p>
    <w:p>
      <w:pPr>
        <w:spacing w:before="120" w:after="120"/>
      </w:pPr>
      <w:r>
        <w:rPr>
          <w:sz w:val="18"/>
        </w:rPr>
        <w:t>——————————————————————————————————————————————————————————————————————</w:t>
      </w:r>
    </w:p>
    <w:p>
      <w:pPr>
        <w:spacing w:before="160" w:after="40" w:line="240" w:lineRule="auto"/>
      </w:pPr>
      <w:r>
        <w:rPr>
          <w:b/>
        </w:rPr>
        <w:t xml:space="preserve">[4] </w:t>
      </w:r>
      <w:hyperlink r:id="rId90">
        <w:r>
          <w:rPr>
            <w:color w:val="1155CC"/>
            <w:u w:val="single"/>
          </w:rPr>
          <w:t>高性能卤化物基固态电池的新途径：全氟聚醚实现离子传输扩展和界面保护</w:t>
        </w:r>
      </w:hyperlink>
    </w:p>
    <w:p>
      <w:pPr>
        <w:spacing w:before="0" w:after="80"/>
      </w:pPr>
      <w:r>
        <w:rPr>
          <w:i/>
          <w:sz w:val="20"/>
        </w:rPr>
        <w:t>EN: A New Route to High‐Performance Halide‐Based Solid‐State Batteries: Perfluoropolyether Enables Ion Transport Expansion and Interfacial Protection</w:t>
      </w:r>
    </w:p>
    <w:p>
      <w:pPr>
        <w:spacing w:before="0" w:after="120"/>
      </w:pPr>
      <w:r>
        <w:rPr>
          <w:b/>
        </w:rPr>
        <w:t xml:space="preserve">Source: </w:t>
      </w:r>
      <w:r>
        <w:t>Wiley: Advanced Energy Materials: Table of Contents</w:t>
      </w:r>
      <w:r>
        <w:t xml:space="preserve">    </w:t>
      </w:r>
      <w:r>
        <w:rPr>
          <w:b/>
        </w:rPr>
        <w:t xml:space="preserve">Pub date: </w:t>
      </w:r>
      <w:r>
        <w:t>2026-04-20 11:11:02+00:00</w:t>
      </w:r>
      <w:r>
        <w:t xml:space="preserve">    </w:t>
      </w:r>
      <w:r>
        <w:rPr>
          <w:b/>
        </w:rPr>
        <w:t xml:space="preserve">DOI: </w:t>
      </w:r>
      <w:hyperlink r:id="rId91">
        <w:r>
          <w:rPr>
            <w:color w:val="1155CC"/>
            <w:u w:val="single"/>
          </w:rPr>
          <w:t>10.1002/aenm.70963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基固态电池（SSBs）承诺具有高能量密度和固有安全性，但受到复合阴极中缓慢的Li+传输和界面不稳定性的限制。用流体有机物填充空隙可以提供顺应性界面接触。然而，卤化物固态电解质（SSEs）与有机物高度反应。在此，我们系统地评估了功能性有机分子与卤化物SSEs的化学相容性，并确定全氟聚醚（PFE）作为对成本效益高的卤化物SSEs Li1.75ZrCl4.75O0.5（LZCO）具有异常稳定的功能性有机物。由于其</w:t>
      </w:r>
    </w:p>
    <w:p>
      <w:pPr>
        <w:spacing w:before="0" w:after="200" w:lineRule="auto" w:line="276"/>
      </w:pPr>
      <w:r>
        <w:rPr>
          <w:b/>
        </w:rPr>
        <w:t xml:space="preserve">Abstract (EN): </w:t>
      </w:r>
      <w:r>
        <w:t>Halide‐based solid‐state batteries (SSBs) promise high energy density and inherent safety but are constrained by sluggish Li</w:t>
      </w:r>
      <w:r>
        <w:t xml:space="preserve"> </w:t>
      </w:r>
      <w:r>
        <w:t>+</w:t>
      </w:r>
      <w:r>
        <w:t xml:space="preserve"> </w:t>
      </w:r>
      <w:r>
        <w:t>transport and interfacial instabilities in composite cathodes. Filling voids with fluid organic could provide a compliant interface contact. Yet, halide SSEs are highly reactive with organics. Here, we systematically assess the chemical compatibility of functional organic molecules with halide SSEs and identify perfluoropolyether (PFE) as an exceptionally stable functional organic toward the cost‐effective halide SSEs Li</w:t>
      </w:r>
      <w:r>
        <w:t xml:space="preserve"> </w:t>
      </w:r>
      <w:r>
        <w:t>1.75</w:t>
      </w:r>
      <w:r>
        <w:t xml:space="preserve"> </w:t>
      </w:r>
      <w:r>
        <w:t>ZrCl</w:t>
      </w:r>
      <w:r>
        <w:t xml:space="preserve"> </w:t>
      </w:r>
      <w:r>
        <w:t>4.75</w:t>
      </w:r>
      <w:r>
        <w:t xml:space="preserve"> </w:t>
      </w:r>
      <w:r>
        <w:t>O</w:t>
      </w:r>
      <w:r>
        <w:t xml:space="preserve"> </w:t>
      </w:r>
      <w:r>
        <w:t>0.5</w:t>
      </w:r>
      <w:r>
        <w:t xml:space="preserve"> </w:t>
      </w:r>
      <w:r>
        <w:t>(LZCO). Owing to its low volatility, high wettability, and intrinsic nonflammability, PFE is readily integrated into composite cathodes via dry‐electrode processing without compromising the safety of SSBs. During cycling, PFE scavenges deintercalated Li</w:t>
      </w:r>
      <w:r>
        <w:t xml:space="preserve"> </w:t>
      </w:r>
      <w:r>
        <w:t>+</w:t>
      </w:r>
      <w:r>
        <w:t xml:space="preserve"> </w:t>
      </w:r>
      <w:r>
        <w:t>and forms an in situ fluoropolyether‐LiF hybrid cathode electrolyte interphase (CEI). This conformal CEI converts discrete point contacts between LiNi</w:t>
      </w:r>
      <w:r>
        <w:t xml:space="preserve"> </w:t>
      </w:r>
      <w:r>
        <w:t>0.82</w:t>
      </w:r>
      <w:r>
        <w:t xml:space="preserve"> </w:t>
      </w:r>
      <w:r>
        <w:t>Co</w:t>
      </w:r>
      <w:r>
        <w:t xml:space="preserve"> </w:t>
      </w:r>
      <w:r>
        <w:t>0.14</w:t>
      </w:r>
      <w:r>
        <w:t xml:space="preserve"> </w:t>
      </w:r>
      <w:r>
        <w:t>Mn</w:t>
      </w:r>
      <w:r>
        <w:t xml:space="preserve"> </w:t>
      </w:r>
      <w:r>
        <w:t>0.04</w:t>
      </w:r>
      <w:r>
        <w:t xml:space="preserve"> </w:t>
      </w:r>
      <w:r>
        <w:t>O</w:t>
      </w:r>
      <w:r>
        <w:rPr>
          <w:vertAlign w:val="subscript"/>
        </w:rPr>
        <w:t>2</w:t>
      </w:r>
      <w:r>
        <w:t>(Ni82) and LZCO into continuous areal contacts. Rapid Li</w:t>
      </w:r>
      <w:r>
        <w:t xml:space="preserve"> </w:t>
      </w:r>
      <w:r>
        <w:t>+</w:t>
      </w:r>
      <w:r>
        <w:t xml:space="preserve"> </w:t>
      </w:r>
      <w:r>
        <w:t>transport through the highly conductive CEI reactivates the previously isolated Ni82 particles. Concurrently, the robust CEI suppresses parasitic reactions including electrolyte oxidation, O</w:t>
      </w:r>
      <w:r>
        <w:rPr>
          <w:vertAlign w:val="subscript"/>
        </w:rPr>
        <w:t>2</w:t>
      </w:r>
      <w:r>
        <w:t>evolution, rock‐salt phase formation, Li/Ni mixing, and particle cracking of Ni82. Cathodes containing PFE deliver 206 mAh g</w:t>
      </w:r>
      <w:r>
        <w:t xml:space="preserve"> </w:t>
      </w:r>
      <w:r>
        <w:t>−1</w:t>
      </w:r>
      <w:r>
        <w:t xml:space="preserve"> </w:t>
      </w:r>
      <w:r>
        <w:t>at 0.1C and exhibit 83% capacity retention after 1500 cycles at 0.5C. Pouch‐cell validation underscores the scalability of PFE for commercially viable SSBs.</w:t>
      </w:r>
    </w:p>
    <w:p>
      <w:pPr>
        <w:spacing w:before="120" w:after="120"/>
      </w:pPr>
      <w:r>
        <w:rPr>
          <w:sz w:val="18"/>
        </w:rPr>
        <w:t>——————————————————————————————————————————————————————————————————————</w:t>
      </w:r>
    </w:p>
    <w:p>
      <w:pPr>
        <w:spacing w:before="160" w:after="40" w:line="240" w:lineRule="auto"/>
      </w:pPr>
      <w:r>
        <w:rPr>
          <w:b/>
        </w:rPr>
        <w:t xml:space="preserve">[5] </w:t>
      </w:r>
      <w:hyperlink r:id="rId92">
        <w:r>
          <w:rPr>
            <w:color w:val="1155CC"/>
            <w:u w:val="single"/>
          </w:rPr>
          <w:t>将阴离子化学整合到共溶剂电解质中以实现高性能水系锌金属电池</w:t>
        </w:r>
      </w:hyperlink>
    </w:p>
    <w:p>
      <w:pPr>
        <w:spacing w:before="0" w:after="80"/>
      </w:pPr>
      <w:r>
        <w:rPr>
          <w:i/>
          <w:sz w:val="20"/>
        </w:rPr>
        <w:t>EN: Integrating Anionic Chemistry in Cosolvent Electrolyte for High‐Performance Aqueous Zn Metal Batteries</w:t>
      </w:r>
    </w:p>
    <w:p>
      <w:pPr>
        <w:spacing w:before="0" w:after="120"/>
      </w:pPr>
      <w:r>
        <w:rPr>
          <w:b/>
        </w:rPr>
        <w:t xml:space="preserve">Source: </w:t>
      </w:r>
      <w:r>
        <w:t>Wiley: Advanced Energy Materials: Table of Contents</w:t>
      </w:r>
      <w:r>
        <w:t xml:space="preserve">    </w:t>
      </w:r>
      <w:r>
        <w:rPr>
          <w:b/>
        </w:rPr>
        <w:t xml:space="preserve">Pub date: </w:t>
      </w:r>
      <w:r>
        <w:t>2026-04-20 11:17:08+00:00</w:t>
      </w:r>
      <w:r>
        <w:t xml:space="preserve">    </w:t>
      </w:r>
      <w:r>
        <w:rPr>
          <w:b/>
        </w:rPr>
        <w:t xml:space="preserve">DOI: </w:t>
      </w:r>
      <w:hyperlink r:id="rId93">
        <w:r>
          <w:rPr>
            <w:color w:val="1155CC"/>
            <w:u w:val="single"/>
          </w:rPr>
          <w:t>10.1002/aenm.70974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成本且高度安全的水系锌金属电池（AZMBs）作为下一代储能系统具有巨大潜力。然而，水引起的副反应和锌枝晶生长被认为是阻碍AZMBs商业应用的两个主要挑战。在此，我们将阴离子化学整合到一种具有成本效益的共溶剂策略中以解决这些问题。具体而言，N,N-二甲基甲酰胺（DMF）作为共溶剂，扰乱了水之间的氢键网络并改变了Zn</w:t>
      </w:r>
      <w:r>
        <w:t xml:space="preserve"> </w:t>
      </w:r>
      <w:r>
        <w:t>2+</w:t>
      </w:r>
      <w:r>
        <w:t xml:space="preserve"> </w:t>
      </w:r>
      <w:r>
        <w:t>溶剂化结构，从而减少了水引起的副反应。具有功能基团（─COO</w:t>
      </w:r>
      <w:r>
        <w:t xml:space="preserve"> </w:t>
      </w:r>
      <w:r>
        <w:t>−</w:t>
      </w:r>
      <w:r>
        <w:t>和─OH）的葡萄糖酸钠（GAS）作为阴离子添加剂，可以p</w:t>
      </w:r>
    </w:p>
    <w:p>
      <w:pPr>
        <w:spacing w:before="0" w:after="200" w:lineRule="auto" w:line="276"/>
      </w:pPr>
      <w:r>
        <w:rPr>
          <w:b/>
        </w:rPr>
        <w:t xml:space="preserve">Abstract (EN): </w:t>
      </w:r>
      <w:r>
        <w:t>Low‐cost and highly safe aqueous zinc metal batteries (AZMBs) hold great promise as next‐generation energy storage systems. However, water‐induced side reactions and Zn dendrite growth are recognized as two major challenges hindering the commercial application of AZMBs. Here, we integrate anionic chemistry into a cost‐effective cosolvent strategy to address these issues. Specifically, N,N‐dimethylformamide (DMF), as a cosolvent, disturbs the hydrogen‐bond network among water and alters the Zn</w:t>
      </w:r>
      <w:r>
        <w:t xml:space="preserve"> </w:t>
      </w:r>
      <w:r>
        <w:t>2+</w:t>
      </w:r>
      <w:r>
        <w:t xml:space="preserve"> </w:t>
      </w:r>
      <w:r>
        <w:t>solvation structure, thereby reducing water‐induced side reactions. The sodium D‐gluconate (GAS) with the functional groups (─COO</w:t>
      </w:r>
      <w:r>
        <w:t xml:space="preserve"> </w:t>
      </w:r>
      <w:r>
        <w:t>−</w:t>
      </w:r>
      <w:r>
        <w:t>and ─OH), as an anionic additive, can preferentially anchor onto the Zn surface. The synergistic effect of the GAS anion in DMF cosolvent can guide the Zn</w:t>
      </w:r>
      <w:r>
        <w:t xml:space="preserve"> </w:t>
      </w:r>
      <w:r>
        <w:t>2+</w:t>
      </w:r>
      <w:r>
        <w:t xml:space="preserve"> </w:t>
      </w:r>
      <w:r>
        <w:t>migration and protect the Zn anode. Consequently, with this designed electrolyte, the Zn anodes achieve a lifespan of over 2100 h and a high reversibility with Coulombic efficiency of 99.60%. Furthermore, both the Zn//I</w:t>
      </w:r>
      <w:r>
        <w:rPr>
          <w:vertAlign w:val="subscript"/>
        </w:rPr>
        <w:t>2</w:t>
      </w:r>
      <w:r>
        <w:t>@AC and Zn//MnO</w:t>
      </w:r>
      <w:r>
        <w:rPr>
          <w:vertAlign w:val="subscript"/>
        </w:rPr>
        <w:t>2</w:t>
      </w:r>
      <w:r>
        <w:t>full cells deliver extended cycling stability alongside superior capacities. This study elucidates the role of solvent chemistry from multi‐dimension, providing an insight into the regulation of interfacial kinetics in next‐generation aqueous batteries.</w:t>
      </w:r>
    </w:p>
    <w:p>
      <w:pPr>
        <w:spacing w:before="120" w:after="120"/>
      </w:pPr>
      <w:r>
        <w:rPr>
          <w:sz w:val="18"/>
        </w:rPr>
        <w:t>——————————————————————————————————————————————————————————————————————</w:t>
      </w:r>
    </w:p>
    <w:p>
      <w:pPr>
        <w:spacing w:before="160" w:after="40" w:line="240" w:lineRule="auto"/>
      </w:pPr>
      <w:r>
        <w:rPr>
          <w:b/>
        </w:rPr>
        <w:t xml:space="preserve">[6] </w:t>
      </w:r>
      <w:hyperlink r:id="rId94">
        <w:r>
          <w:rPr>
            <w:color w:val="1155CC"/>
            <w:u w:val="single"/>
          </w:rPr>
          <w:t>用于高可逆性锌阳极的铬掺杂氧化锌疏水界面保护层</w:t>
        </w:r>
      </w:hyperlink>
    </w:p>
    <w:p>
      <w:pPr>
        <w:spacing w:before="0" w:after="80"/>
      </w:pPr>
      <w:r>
        <w:rPr>
          <w:i/>
          <w:sz w:val="20"/>
        </w:rPr>
        <w:t>EN: A Cr Doped ZnO Hydrophobic Interface Protective Layer for Highly Reversible Zinc Anodes</w:t>
      </w:r>
    </w:p>
    <w:p>
      <w:pPr>
        <w:spacing w:before="0" w:after="120"/>
      </w:pPr>
      <w:r>
        <w:rPr>
          <w:b/>
        </w:rPr>
        <w:t xml:space="preserve">Source: </w:t>
      </w:r>
      <w:r>
        <w:t>Wiley: Advanced Energy Materials: Table of Contents</w:t>
      </w:r>
      <w:r>
        <w:t xml:space="preserve">    </w:t>
      </w:r>
      <w:r>
        <w:rPr>
          <w:b/>
        </w:rPr>
        <w:t xml:space="preserve">Pub date: </w:t>
      </w:r>
      <w:r>
        <w:t>2026-04-20 11:19:24+00:00</w:t>
      </w:r>
      <w:r>
        <w:t xml:space="preserve">    </w:t>
      </w:r>
      <w:r>
        <w:rPr>
          <w:b/>
        </w:rPr>
        <w:t xml:space="preserve">DOI: </w:t>
      </w:r>
      <w:hyperlink r:id="rId95">
        <w:r>
          <w:rPr>
            <w:color w:val="1155CC"/>
            <w:u w:val="single"/>
          </w:rPr>
          <w:t>10.1002/aenm.70970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水系锌离子电池（AZIBs）由于其固有的安全性和高理论能量密度而受到越来越多的关注。然而，其实际性能仍受到枝晶生长以及Zn阳极上的副反应的困扰。在此，我们构建了一个多功能人工界面，均匀化离子通量，加速Zn2+扩散，并调节Zn沉积。锌亲和和疏水界面的协同效应有效诱导稳定的（101）取向Zn生长，结合多孔纳米颗粒网络。结果，组装的ZCR-Zn（Cr掺杂ZnO）对称电池在5 mA cm</w:t>
      </w:r>
    </w:p>
    <w:p>
      <w:pPr>
        <w:spacing w:before="0" w:after="200" w:lineRule="auto" w:line="276"/>
      </w:pPr>
      <w:r>
        <w:rPr>
          <w:b/>
        </w:rPr>
        <w:t xml:space="preserve">Abstract (EN): </w:t>
      </w:r>
      <w:r>
        <w:t>In recent years, aqueous zinc‐ion batteries (AZIBs) have attracted increasing attention due to their intrinsic safety and high theoretical energy density. However, their practical performance remains plagued by dendrite growth as well as side reactions on the Zn anode. Herein, we construct a multifunctional artificial interface that homogenizes ion flux, accelerates Zn</w:t>
      </w:r>
      <w:r>
        <w:t xml:space="preserve"> </w:t>
      </w:r>
      <w:r>
        <w:t>2+</w:t>
      </w:r>
      <w:r>
        <w:t xml:space="preserve"> </w:t>
      </w:r>
      <w:r>
        <w:t>diffusion, and regulates Zn deposition. The synergistic effect of a zincophilic and hydrophobic interface effectively induces stable (101)‐oriented Zn growth combined with a porous nanoparticle network. As a result, the assembled ZCR‐Zn (Cr‐doped ZnO) symmetric cells present ultralong cycling stability (over 2050 h) at 5 mA cm</w:t>
      </w:r>
      <w:r>
        <w:t xml:space="preserve"> </w:t>
      </w:r>
      <w:r>
        <w:t>−2</w:t>
      </w:r>
      <w:r>
        <w:t xml:space="preserve"> </w:t>
      </w:r>
      <w:r>
        <w:t>(1 mA h cm</w:t>
      </w:r>
      <w:r>
        <w:t xml:space="preserve"> </w:t>
      </w:r>
      <w:r>
        <w:t>−2</w:t>
      </w:r>
      <w:r>
        <w:t xml:space="preserve"> </w:t>
      </w:r>
      <w:r>
        <w:t>). Moreover, the ZCR‐Zn//V</w:t>
      </w:r>
      <w:r>
        <w:rPr>
          <w:vertAlign w:val="subscript"/>
        </w:rPr>
        <w:t>3</w:t>
      </w:r>
      <w:r>
        <w:t>O</w:t>
      </w:r>
      <w:r>
        <w:rPr>
          <w:vertAlign w:val="subscript"/>
        </w:rPr>
        <w:t>7</w:t>
      </w:r>
      <w:r>
        <w:t>·H</w:t>
      </w:r>
      <w:r>
        <w:rPr>
          <w:vertAlign w:val="subscript"/>
        </w:rPr>
        <w:t>2</w:t>
      </w:r>
      <w:r>
        <w:t>O devices deliver a specific capacity of 554.47 mA h g</w:t>
      </w:r>
      <w:r>
        <w:t xml:space="preserve"> </w:t>
      </w:r>
      <w:r>
        <w:t>−1</w:t>
      </w:r>
      <w:r>
        <w:t xml:space="preserve"> </w:t>
      </w:r>
      <w:r>
        <w:t>at 0.1 A g</w:t>
      </w:r>
      <w:r>
        <w:t xml:space="preserve"> </w:t>
      </w:r>
      <w:r>
        <w:t>−1</w:t>
      </w:r>
      <w:r>
        <w:t xml:space="preserve"> </w:t>
      </w:r>
      <w:r>
        <w:t>and retain a capacity retention of 94.6% after 1000 times cycling at 5.0 A g</w:t>
      </w:r>
      <w:r>
        <w:t xml:space="preserve"> </w:t>
      </w:r>
      <w:r>
        <w:t>−1</w:t>
      </w:r>
      <w:r>
        <w:t xml:space="preserve"> </w:t>
      </w:r>
      <w:r>
        <w:t>. This work proposes a scalable protection strategy to enable dendrite‐free and high‐performance Zn metal anodes.</w:t>
      </w:r>
    </w:p>
    <w:p>
      <w:pPr>
        <w:spacing w:before="120" w:after="120"/>
      </w:pPr>
      <w:r>
        <w:rPr>
          <w:sz w:val="18"/>
        </w:rPr>
        <w:t>——————————————————————————————————————————————————————————————————————</w:t>
      </w:r>
    </w:p>
    <w:p>
      <w:pPr>
        <w:spacing w:before="160" w:after="40" w:line="240" w:lineRule="auto"/>
      </w:pPr>
      <w:r>
        <w:rPr>
          <w:b/>
        </w:rPr>
        <w:t xml:space="preserve">[7] </w:t>
      </w:r>
      <w:hyperlink r:id="rId96">
        <w:r>
          <w:rPr>
            <w:color w:val="1155CC"/>
            <w:u w:val="single"/>
          </w:rPr>
          <w:t>局部高浓度电解质中静态和动态溶剂化结构的温度响应演变及机制探索</w:t>
        </w:r>
      </w:hyperlink>
    </w:p>
    <w:p>
      <w:pPr>
        <w:spacing w:before="0" w:after="80"/>
      </w:pPr>
      <w:r>
        <w:rPr>
          <w:i/>
          <w:sz w:val="20"/>
        </w:rPr>
        <w:t>EN: Temperature‐Responsive Evolution and Mechanism Exploration of Static and Dynamic Solvation Structures in Localized High‐Concentration Electrolytes</w:t>
      </w:r>
    </w:p>
    <w:p>
      <w:pPr>
        <w:spacing w:before="0" w:after="120"/>
      </w:pPr>
      <w:r>
        <w:rPr>
          <w:b/>
        </w:rPr>
        <w:t xml:space="preserve">Source: </w:t>
      </w:r>
      <w:r>
        <w:t>Wiley: Angewandte Chemie International Edition: Table of Contents</w:t>
      </w:r>
      <w:r>
        <w:t xml:space="preserve">    </w:t>
      </w:r>
      <w:r>
        <w:rPr>
          <w:b/>
        </w:rPr>
        <w:t xml:space="preserve">Pub date: </w:t>
      </w:r>
      <w:r>
        <w:t>2026-04-20 12:13:51+00:00</w:t>
      </w:r>
      <w:r>
        <w:t xml:space="preserve">    </w:t>
      </w:r>
      <w:r>
        <w:rPr>
          <w:b/>
        </w:rPr>
        <w:t xml:space="preserve">DOI: </w:t>
      </w:r>
      <w:hyperlink r:id="rId97">
        <w:r>
          <w:rPr>
            <w:color w:val="1155CC"/>
            <w:u w:val="single"/>
          </w:rPr>
          <w:t>10.1002/anie.3996345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局部高浓度电解质（LHCEs）中的溶剂化结构对离子传输和界面反应起着关键作用。然而，表征条件与实际操作环境之间的温度不匹配通常被忽视，模糊了对电化学性能的机制解释。作为一个关键参数，温度对电解质中的分子间相互作用具有显著影响。在这里，我们系统地阐明了不同成分的LHCEs中溶剂化结构的温度响应性及其潜在机制。它结合了原位变温小角X射线散射（SAXS）和拉曼光谱与分子动力学（MD）模拟和密度泛函理论（DFT）</w:t>
      </w:r>
    </w:p>
    <w:p>
      <w:pPr>
        <w:spacing w:before="0" w:after="200" w:lineRule="auto" w:line="276"/>
      </w:pPr>
      <w:r>
        <w:rPr>
          <w:b/>
        </w:rPr>
        <w:t xml:space="preserve">Abstract (EN): </w:t>
      </w:r>
      <w:r>
        <w:t>Solvation structures in localized high‐concentration electrolytes (LHCEs) critically govern ion transport and interfacial reactions. However, the temperature mismatch between characterization condition and actual operating environment has been usually overlooked, obscuring mechanistic interpretations of electrochemical performances. As a key parameter, temperature exerts a pronounced influence on intermolecular interactions in electrolytes. Here, we systematically elucidated the temperature responsiveness and underlying mechanism of solvation structures in LHCEs with varied compositions. It integrates in situ variable‐temperature small‐angle X‐ray scattering (SAXS) and Raman spectroscopy with molecular dynamics (MD) simulations and density functional theory (DFT) calculations. Beyond conventional static descriptors including coordination number (CN), radial distribution function (RDF) and cluster population, dynamic metrics including activity factor, cluster lifetime and ligand‐exchange event probability were also proposed to construct a unified static–dynamic framework for solvation‐structure evolution with temperature variation. Results show that elevating temperature attenuates solvation‐structure disparities arising from compositional difference. Moreover, high‐diluent electrolytes display distinctly different temperature sensitivity in static structural parameters versus dynamic metrics. Meanwhile, an ordered sequence of cluster transition process was revealed, wherein incorporation of an anion precedes dissociation of a solvent molecule. This work disentangles the coupled concentration–temperature effects on solvation structures in LHCEs and establishes the comprehensive understanding of structural evolution across wide temperature ranges, which provides experimentally validated theoretical guidance for the rational design of advanced electrolytes with superior interfacial stability and cycling performances.</w:t>
      </w:r>
    </w:p>
    <w:p>
      <w:pPr>
        <w:spacing w:before="120" w:after="120"/>
      </w:pPr>
      <w:r>
        <w:rPr>
          <w:sz w:val="18"/>
        </w:rPr>
        <w:t>——————————————————————————————————————————————————————————————————————</w:t>
      </w:r>
    </w:p>
    <w:p>
      <w:pPr>
        <w:spacing w:before="160" w:after="40" w:line="240" w:lineRule="auto"/>
      </w:pPr>
      <w:r>
        <w:rPr>
          <w:b/>
        </w:rPr>
        <w:t xml:space="preserve">[8] </w:t>
      </w:r>
      <w:hyperlink r:id="rId98">
        <w:r>
          <w:rPr>
            <w:color w:val="1155CC"/>
            <w:u w:val="single"/>
          </w:rPr>
          <w:t>[ASAP] 催化功能域在聚醚电解质中实现快速Li+传导用于准固态电池</w:t>
        </w:r>
      </w:hyperlink>
    </w:p>
    <w:p>
      <w:pPr>
        <w:spacing w:before="0" w:after="80"/>
      </w:pPr>
      <w:r>
        <w:rPr>
          <w:i/>
          <w:sz w:val="20"/>
        </w:rPr>
        <w:t>EN: [ASAP] Catalytic Functional Domain Enables Rapid Li+ Conduction in Polyether Electrolytes for Quasi-Solid-State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2026-04-20 19:54:12+00:00</w:t>
      </w:r>
      <w:r>
        <w:t xml:space="preserve">    </w:t>
      </w:r>
      <w:r>
        <w:rPr>
          <w:b/>
        </w:rPr>
        <w:t xml:space="preserve">DOI: </w:t>
      </w:r>
      <w:hyperlink r:id="rId99">
        <w:r>
          <w:rPr>
            <w:color w:val="1155CC"/>
            <w:u w:val="single"/>
          </w:rPr>
          <w:t>10.1021/jacs.6c03577</w:t>
        </w:r>
      </w:hyperlink>
    </w:p>
    <w:p>
      <w:pPr>
        <w:spacing w:before="0" w:after="120"/>
      </w:pPr>
      <w:r>
        <w:rPr>
          <w:b/>
        </w:rPr>
        <w:t xml:space="preserve">Notes: </w:t>
      </w:r>
      <w:r>
        <w:t>abstract_source=pubmed</w:t>
      </w:r>
    </w:p>
    <w:p>
      <w:pPr>
        <w:spacing w:before="0" w:after="80" w:lineRule="auto" w:line="276"/>
      </w:pPr>
      <w:r>
        <w:rPr>
          <w:b/>
        </w:rPr>
        <w:t xml:space="preserve">摘要（ZH）: </w:t>
      </w:r>
      <w:r>
        <w:t>聚醚电解质（PEs）由于其优异的界面兼容性和简单的加工性，在高性能锂（Li）金属电池中具有很高的前景。然而，其实际应用受到固有的低Li+导电性限制，主要是由于自由Li+浓度不足和强Li+-聚合物配位导致的缓慢Li+传输。在此，我们提出了一种创新的“催化功能域”策略，以实现PEs中快速Li+导电性，用于高性能准固态电池（QSSBs）。通过在原位聚合过程中引入具有弱路易斯酸性和高介电性能的Ti4+基催化位点，我们构建了催化功能区域，同时通过阴离子促进Li盐解离。</w:t>
      </w:r>
    </w:p>
    <w:p>
      <w:pPr>
        <w:spacing w:before="0" w:after="200" w:lineRule="auto" w:line="276"/>
      </w:pPr>
      <w:r>
        <w:rPr>
          <w:b/>
        </w:rPr>
        <w:t xml:space="preserve">Abstract (EN): </w:t>
      </w:r>
      <w:r>
        <w:t>Polyether electrolytes (PEs) are highly promising for high-performance lithium (Li) metal batteries due to their excellent interfacial compatibility and straightforward processability. However, their practical application is hindered by intrinsically low Li+ conduction, primarily resulting from insufficient free Li+ concentration and sluggish Li+ transport caused by strong Li+-polymer coordination. Herein, we propose an innovative "catalytic functional domain" strategy to enable fast Li+ conduction in PEs for high-performance quasi-solid-state batteries (QSSBs). By incorporating Ti4+-based catalytic sites with weak Lewis acidity and high-dielectric property during in situ polymerization, we construct catalytic functional regions that simultaneously facilitate Li salt dissociation via anion anchoring and weaken Li+-polymer coordination through electron withdrawal. The resulting electrolyte achieves an exceptional ionic conductivity of 1.14 mS cm-1 at 25 °C and an impressive Li+ transference number of 0.77. The assembled Li||Li symmetric cells demonstrate stable cycling for over 2800 h with dendrite-free Li deposition. Moreover, the Li||LiNi0.5Co0.2Mn0.3O2 cells retains 82.4 % of its initial capacity after 600 cycles at 1C, and the high-voltage Li||LiNi0.8Co0.1Mn0.1O2 cell sustains 403 cycles at 1C with 80% capacity retention. This work pioneers a catalytic-driven paradigm for designing advanced polymer electrolytes with accelerated Li+ conduction, providing new insights toward high-performance QSSBs.</w:t>
      </w:r>
    </w:p>
    <w:p>
      <w:pPr>
        <w:spacing w:before="120" w:after="120"/>
      </w:pPr>
      <w:r>
        <w:rPr>
          <w:sz w:val="18"/>
        </w:rPr>
        <w:t>——————————————————————————————————————————————————————————————————————</w:t>
      </w:r>
    </w:p>
    <w:p>
      <w:pPr>
        <w:spacing w:before="160" w:after="40" w:line="240" w:lineRule="auto"/>
      </w:pPr>
      <w:r>
        <w:rPr>
          <w:b/>
        </w:rPr>
        <w:t xml:space="preserve">[9] </w:t>
      </w:r>
      <w:hyperlink r:id="rId100">
        <w:r>
          <w:rPr>
            <w:color w:val="1155CC"/>
            <w:u w:val="single"/>
          </w:rPr>
          <w:t>用于低压和耐用全固态电池的离子弹性体界面</w:t>
        </w:r>
      </w:hyperlink>
    </w:p>
    <w:p>
      <w:pPr>
        <w:spacing w:before="0" w:after="80"/>
      </w:pPr>
      <w:r>
        <w:rPr>
          <w:i/>
          <w:sz w:val="20"/>
        </w:rPr>
        <w:t>EN: Ionic Elastomer Interface for Low‐Pressure and Durable All‐Solid‐State Batteries</w:t>
      </w:r>
    </w:p>
    <w:p>
      <w:pPr>
        <w:spacing w:before="0" w:after="120"/>
      </w:pPr>
      <w:r>
        <w:rPr>
          <w:b/>
        </w:rPr>
        <w:t xml:space="preserve">Source: </w:t>
      </w:r>
      <w:r>
        <w:t>Wiley: Advanced Energy Materials: Table of Contents</w:t>
      </w:r>
      <w:r>
        <w:t xml:space="preserve">    </w:t>
      </w:r>
      <w:r>
        <w:rPr>
          <w:b/>
        </w:rPr>
        <w:t xml:space="preserve">Pub date: </w:t>
      </w:r>
      <w:r>
        <w:t>2026-04-21 07:00:00+00:00</w:t>
      </w:r>
      <w:r>
        <w:t xml:space="preserve">    </w:t>
      </w:r>
      <w:r>
        <w:rPr>
          <w:b/>
        </w:rPr>
        <w:t xml:space="preserve">DOI: </w:t>
      </w:r>
      <w:hyperlink r:id="rId101">
        <w:r>
          <w:rPr>
            <w:color w:val="1155CC"/>
            <w:u w:val="single"/>
          </w:rPr>
          <w:t>10.1002/aenm.202504652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电池（ASSBs）由于其高能量密度和固有安全性而被认为是下一代储能系统的有力候选。然而，其实际应用受到需要高外部压力（通常为数十兆帕）以维持固-固界面接触并确保长期循环稳定性的阻碍。在此，我们报告了一种专门设计的离子弹性体，以在大幅降低的堆叠压力下实现稳定的ASSB操作。该弹性体结合了机械柔性的聚合物基质和离子导电相，提供了高室温离子电导率（0.3 mS cm−1）、低弹性模量（29.8 MPa）、优异的热稳定性</w:t>
      </w:r>
    </w:p>
    <w:p>
      <w:pPr>
        <w:spacing w:before="0" w:after="200" w:lineRule="auto" w:line="276"/>
      </w:pPr>
      <w:r>
        <w:rPr>
          <w:b/>
        </w:rPr>
        <w:t xml:space="preserve">Abstract (EN): </w:t>
      </w:r>
      <w:r>
        <w:t>All‐solid‐state batteries (ASSBs) hold significant promise as next‐generation energy storage systems due to their high energy density and intrinsic safety. However, their practical deployment is impeded by the need for high external pressure (typically tens of megapascals) to maintain solid–solid interfacial contact and ensure long‐term cycling stability. Here, we report an ionic elastomer specifically designed to enable stable ASSB operation under substantially reduced stack pressure. The elastomer combines a mechanically flexible polymer matrix with an ionically conductive phase, delivering high room‐temperature ionic conductivity (0.3 mS cm</w:t>
      </w:r>
      <w:r>
        <w:t xml:space="preserve"> </w:t>
      </w:r>
      <w:r>
        <w:t>−1</w:t>
      </w:r>
      <w:r>
        <w:t xml:space="preserve"> </w:t>
      </w:r>
      <w:r>
        <w:t>), a low elastic modulus (29.8 MPa), excellent thermal stability (≥400°C), and strong chemical compatibility with sulfide‐based solid‐state electrolytes (SSEs). When integrated with sulfide SSEs, the composite exhibits a remarkable room‐temperature ionic conductivity of 5.23 mS cm</w:t>
      </w:r>
      <w:r>
        <w:t xml:space="preserve"> </w:t>
      </w:r>
      <w:r>
        <w:t>−1</w:t>
      </w:r>
      <w:r>
        <w:t xml:space="preserve"> </w:t>
      </w:r>
      <w:r>
        <w:t>. Incorporation of this composite into ASSBs with high‐nickel cathodes (Ni ≥ 90%) yields an initial capacity of 200 mAh g</w:t>
      </w:r>
      <w:r>
        <w:t xml:space="preserve"> </w:t>
      </w:r>
      <w:r>
        <w:t>−1</w:t>
      </w:r>
      <w:r>
        <w:t xml:space="preserve"> </w:t>
      </w:r>
      <w:r>
        <w:t>at 0.05C and outstanding cycling stability over 700 cycles at 1C under a low stack pressure of just 5 MPa. This ionic‐elastomer strategy mitigates electrochemical‐mechanical degradation, eliminates the high‐pressure requirement, and offers a scalable pathway toward practical, durable ASSBs technologies.</w:t>
      </w:r>
    </w:p>
    <w:p>
      <w:pPr>
        <w:spacing w:before="120" w:after="120"/>
      </w:pPr>
      <w:r>
        <w:rPr>
          <w:sz w:val="18"/>
        </w:rPr>
        <w:t>——————————————————————————————————————————————————————————————————————</w:t>
      </w:r>
    </w:p>
    <w:p>
      <w:pPr>
        <w:spacing w:before="160" w:after="40" w:line="240" w:lineRule="auto"/>
      </w:pPr>
      <w:r>
        <w:rPr>
          <w:b/>
        </w:rPr>
        <w:t xml:space="preserve">[10] </w:t>
      </w:r>
      <w:hyperlink r:id="rId102">
        <w:r>
          <w:rPr>
            <w:color w:val="1155CC"/>
            <w:u w:val="single"/>
          </w:rPr>
          <w:t>溶剂化调控阻燃溴基电解质实现稳定循环双离子电池</w:t>
        </w:r>
      </w:hyperlink>
    </w:p>
    <w:p>
      <w:pPr>
        <w:spacing w:before="0" w:after="80"/>
      </w:pPr>
      <w:r>
        <w:rPr>
          <w:i/>
          <w:sz w:val="20"/>
        </w:rPr>
        <w:t>EN: Solvation Regulation of Flame‐Retardant Bromine‐Based Electrolyte Enables Stable Cycling Dual‐Ion Battery</w:t>
      </w:r>
    </w:p>
    <w:p>
      <w:pPr>
        <w:spacing w:before="0" w:after="120"/>
      </w:pPr>
      <w:r>
        <w:rPr>
          <w:b/>
        </w:rPr>
        <w:t xml:space="preserve">Source: </w:t>
      </w:r>
      <w:r>
        <w:t>Wiley: Advanced Materials: Table of Contents</w:t>
      </w:r>
      <w:r>
        <w:t xml:space="preserve">    </w:t>
      </w:r>
      <w:r>
        <w:rPr>
          <w:b/>
        </w:rPr>
        <w:t xml:space="preserve">Pub date: </w:t>
      </w:r>
      <w:r>
        <w:t>2026-04-21 10:36:22+00:00</w:t>
      </w:r>
      <w:r>
        <w:t xml:space="preserve">    </w:t>
      </w:r>
      <w:r>
        <w:rPr>
          <w:b/>
        </w:rPr>
        <w:t xml:space="preserve">DOI: </w:t>
      </w:r>
      <w:hyperlink r:id="rId103">
        <w:r>
          <w:rPr>
            <w:color w:val="1155CC"/>
            <w:u w:val="single"/>
          </w:rPr>
          <w:t>10.1002/adma.73110</w:t>
        </w:r>
      </w:hyperlink>
    </w:p>
    <w:p>
      <w:pPr>
        <w:spacing w:before="0" w:after="120"/>
      </w:pPr>
      <w:r>
        <w:rPr>
          <w:b/>
        </w:rPr>
        <w:t xml:space="preserve">Notes: </w:t>
      </w:r>
      <w:r>
        <w:t>abstract_source=crossref</w:t>
      </w:r>
    </w:p>
    <w:p>
      <w:pPr>
        <w:spacing w:before="0" w:after="80" w:lineRule="auto" w:line="276"/>
      </w:pPr>
      <w:r>
        <w:rPr>
          <w:b/>
        </w:rPr>
        <w:t xml:space="preserve">摘要（ZH）: </w:t>
      </w:r>
      <w:r>
        <w:t>摘要 双离子电池（DIBs）因其成本效益高、工作电压高和功率密度高的独特优势而成为一种有吸引力的电化学储能技术。然而，传统电解质面临关键挑战，包括氧化稳定性不足和严重的易燃性。在此，首次提出了一种用于DIBs的溴化电解质设计，并以乙酸乙酯（EA）为例进行溴化。结果表明，在高电压下有效抑制电解质分解，通过形成富含LiF/LiBr的界面增强电解质/电极兼容性，并同时实现对铝集流体的抗腐蚀能力。</w:t>
      </w:r>
    </w:p>
    <w:p>
      <w:pPr>
        <w:spacing w:before="0" w:after="200" w:lineRule="auto" w:line="276"/>
      </w:pPr>
      <w:r>
        <w:rPr>
          <w:b/>
        </w:rPr>
        <w:t xml:space="preserve">Abstract (EN): </w:t>
      </w:r>
      <w:r>
        <w:t>Dual‐ion batteries (DIBs) have emerged as an attractive electrochemical energy storage technology owing to the distinctive advantages of cost‐effectiveness, high operating voltage, and high power density. Nevertheless, conventional electrolytes face critical challenges including insufficient oxidation stability and severe flammability. Herein, a brominated electrolyte design for DIBs is proposed for the first time, and as an example of this strategy, ethyl acetate (EA) is selected for bromination. As a result, effectively suppressed electrolyte decomposition under high voltage, enhanced electrolyte/electrode compatibility by forming LiF/LiBr‐rich interfaces, and anti‐corrosive capability toward the aluminum current collector are simultaneously achieved with bromoethyl acetate (Br‐EA) based electrolyte. Besides, compared to fluorine‐based and chlorine‐based electrolytes, bromine‐based electrolyte demonstrates superior flame‐retardancy. With the developed 6.0 m LiFSI Br‐EA:DMC (1:1, v/v) electrolyte, the dual‐graphite battery maintains 85.6% capacity retention after 1000 cycles, among the best reported results; the pouch cell employing this electrolyte retains 79.8% of initial discharge capacity over 500 cycles, validating its practical feasibility. This research work establishes bromination design as a groundbreaking paradigm for high‐voltage and high‐safety battery systems.</w:t>
      </w:r>
    </w:p>
    <w:p>
      <w:pPr>
        <w:spacing w:before="120" w:after="120"/>
      </w:pPr>
      <w:r>
        <w:rPr>
          <w:sz w:val="18"/>
        </w:rPr>
        <w:t>——————————————————————————————————————————————————————————————————————</w:t>
      </w:r>
    </w:p>
    <w:p>
      <w:pPr>
        <w:spacing w:before="160" w:after="40" w:line="240" w:lineRule="auto"/>
      </w:pPr>
      <w:r>
        <w:rPr>
          <w:b/>
        </w:rPr>
        <w:t xml:space="preserve">[11] </w:t>
      </w:r>
      <w:hyperlink r:id="rId104">
        <w:r>
          <w:rPr>
            <w:color w:val="1155CC"/>
            <w:u w:val="single"/>
          </w:rPr>
          <w:t>从第一性原理出发的新型快速锂离子导体用于固态电解质</w:t>
        </w:r>
      </w:hyperlink>
    </w:p>
    <w:p>
      <w:pPr>
        <w:spacing w:before="0" w:after="80"/>
      </w:pPr>
      <w:r>
        <w:rPr>
          <w:i/>
          <w:sz w:val="20"/>
        </w:rPr>
        <w:t>EN: Novel fast Li-ion conductors for solid-state electrolytes from first-principles</w:t>
      </w:r>
    </w:p>
    <w:p>
      <w:pPr>
        <w:spacing w:before="0" w:after="120"/>
      </w:pPr>
      <w:r>
        <w:rPr>
          <w:b/>
        </w:rPr>
        <w:t xml:space="preserve">Source: </w:t>
      </w:r>
      <w:r>
        <w:t>RSC - Energy Environ. Sci.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我们提出了一种高通量计算筛选方法，用于快速锂离子导体的识别，以寻找在固态电解质中应用的有前景材料。从超过30,000个来自晶体学开放数据库、无机晶体结构数据库和材料数据科学平台的含锂实验结构开始，我们进行高度自动化的计算以识别电子绝缘体。在这些约1000个结构上，我们使用分子动力学模拟通过弹球模型估算锂离子扩散率，该模型描述了扩散锂离子的势能景观，其精度与密度泛函理论相似，但速度快200-500倍。我们研究了55种最有前景且以前未知的快速导体，采用完整的第一性原理</w:t>
      </w:r>
    </w:p>
    <w:p>
      <w:pPr>
        <w:spacing w:before="0" w:after="200" w:lineRule="auto" w:line="276"/>
      </w:pPr>
      <w:r>
        <w:rPr>
          <w:b/>
        </w:rPr>
        <w:t xml:space="preserve">Abstract (EN): </w:t>
      </w:r>
      <w:r>
        <w:t>We present a high-throughput computational screening for fast lithium-ion conductors to identify promising materials for application in solid-state electrolytes. Starting from more than 30,000 Li-containing experimental structures sourced from Crystallography Open Database, Inorganic Crystal Structure Database and Materials Platform for Data Science, we perform highly automated calculations to identify electronic insulators. On these ~1000 structures, we use molecular dynamics simulations to estimate Li-ion diffusivities using the pinball model, which describes the potential energy landscape of diffusing Li-ions with accuracy similar to density functional theory while being 200-500 times faster. We study the 55 most promising and previously unknown fast conductors with full first-principles molecular dynamics simulations at several temperatures to estimate their activation barriers. The results are discussed in detail for the 9 fastest conductors, including Li7NbO6 which shows a remarkable ionic conductivity of ~5 mS/cm at room temperature. We further present the entire screening protocol, including the workflows where the accuracy of the pinball model is improved self-consistently, necessary to automatically running the required calculations and analysing their results.</w:t>
      </w:r>
    </w:p>
    <w:p>
      <w:pPr>
        <w:spacing w:before="120" w:after="120"/>
      </w:pPr>
      <w:r>
        <w:rPr>
          <w:sz w:val="18"/>
        </w:rPr>
        <w:t>——————————————————————————————————————————————————————————————————————</w:t>
      </w:r>
    </w:p>
    <w:p>
      <w:pPr>
        <w:spacing w:before="160" w:after="40" w:line="240" w:lineRule="auto"/>
      </w:pPr>
      <w:r>
        <w:rPr>
          <w:b/>
        </w:rPr>
        <w:t xml:space="preserve">[12] </w:t>
      </w:r>
      <w:hyperlink r:id="rId105">
        <w:r>
          <w:rPr>
            <w:color w:val="1155CC"/>
            <w:u w:val="single"/>
          </w:rPr>
          <w:t>机械驱动的锂枝晶在石榴石固体电解质中的穿透</w:t>
        </w:r>
      </w:hyperlink>
    </w:p>
    <w:p>
      <w:pPr>
        <w:spacing w:before="0" w:after="80"/>
      </w:pPr>
      <w:r>
        <w:rPr>
          <w:i/>
          <w:sz w:val="20"/>
        </w:rPr>
        <w:t>EN: Mechanically driven Li dendrite penetration in garnet solid electrolyte</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106">
        <w:r>
          <w:rPr>
            <w:color w:val="1155CC"/>
            <w:u w:val="single"/>
          </w:rPr>
          <w:t>10.1038/s41586-026-10415-9</w:t>
        </w:r>
      </w:hyperlink>
    </w:p>
    <w:p>
      <w:pPr>
        <w:spacing w:before="0" w:after="120"/>
      </w:pPr>
      <w:r>
        <w:rPr>
          <w:b/>
        </w:rPr>
        <w:t xml:space="preserve">Notes: </w:t>
      </w:r>
      <w:r>
        <w:t>abstract_source=nature_html</w:t>
      </w:r>
    </w:p>
    <w:p>
      <w:pPr>
        <w:spacing w:before="0" w:after="80" w:lineRule="auto" w:line="276"/>
      </w:pPr>
      <w:r>
        <w:rPr>
          <w:b/>
        </w:rPr>
        <w:t xml:space="preserve">摘要（ZH）: </w:t>
      </w:r>
      <w:r>
        <w:t>全固态电池通过用固体电解质和锂金属替代易燃液体电解质和石墨阳极，承诺提高安全性和能量密度1,2,3,4。然而，软锂枝晶穿透硬陶瓷电解质仍然是实现全固态锂金属电池的重大障碍5,6,7。由于表征纳米级锂分布及其在枝晶尖端的微观结构的挑战，软锂枝晶如何破坏硬陶瓷电解质的机制仍在争论中7,8,9,10。在此，我们使用多尺度低温电子显微镜和微机械断裂模型研究了锂枝晶在石榴石电解质中驱动的断裂过程。我们直接可视化</w:t>
      </w:r>
    </w:p>
    <w:p>
      <w:pPr>
        <w:spacing w:before="0" w:after="200" w:lineRule="auto" w:line="276"/>
      </w:pPr>
      <w:r>
        <w:rPr>
          <w:b/>
        </w:rPr>
        <w:t xml:space="preserve">Abstract (EN): </w:t>
      </w:r>
      <w:r>
        <w:t>All-solid-state batteries promise improved safety and higher energy density by replacing flammable liquid electrolytes and graphite anodes with solid electrolytes and lithium metal1,2,3,4. However, the penetration of soft lithium dendrites into hard ceramic electrolytes remains a substantial obstacle to realizing all-solid-state lithium metal batteries5,6,7. The mechanism by which mechanically soft lithium dendrites fracture hard ceramic electrolytes remains under debate7,8,9,10 owing to the challenges of characterizing nanoscale lithium distribution and its microstructure at the dendrite tip11. Here we investigate the fracture process driven by lithium dendrites in garnet electrolytes using multiscale cryogenic electron microscopy and micromechanical fracture models. We directly visualize lithium dendrites fully filling nanoscale crack tips and extending into micrometre-scale cracks. Limited crystal lattice rotation and plasticity in lithium dendrites indicate that the plated lithium generates substantial hydrostatic stress, which induces tensile stress in the solid electrolyte and drives both intergranular and transgranular fracture. By contrast, the region ahead of the lithium dendrite tip shows no measurable enrichment of lithium or lithium metal nuclei. The mechanically driven lithium penetration in garnet solid electrolyte can be redirected by geometrically engineered voids in the electrolyte, thus mitigating short-circuiting. Our findings suggest that grain boundary toughening and defect engineering are effective strategies for designing dendrite-resistant solid electrolytes.</w:t>
      </w:r>
    </w:p>
    <w:p>
      <w:pPr>
        <w:spacing w:before="120" w:after="120"/>
      </w:pPr>
      <w:r>
        <w:rPr>
          <w:sz w:val="18"/>
        </w:rPr>
        <w:t>——————————————————————————————————————————————————————————————————————</w:t>
      </w:r>
    </w:p>
    <w:p>
      <w:pPr>
        <w:spacing w:before="160" w:after="40" w:line="240" w:lineRule="auto"/>
      </w:pPr>
      <w:r>
        <w:rPr>
          <w:b/>
        </w:rPr>
        <w:t xml:space="preserve">[13] </w:t>
      </w:r>
      <w:hyperlink r:id="rId107">
        <w:r>
          <w:rPr>
            <w:color w:val="1155CC"/>
            <w:u w:val="single"/>
          </w:rPr>
          <w:t>通过高分辨率液体结构映射重新审视含离子液体的水中盐电解质</w:t>
        </w:r>
      </w:hyperlink>
    </w:p>
    <w:p>
      <w:pPr>
        <w:spacing w:before="0" w:after="80"/>
      </w:pPr>
      <w:r>
        <w:rPr>
          <w:i/>
          <w:sz w:val="20"/>
        </w:rPr>
        <w:t>EN: Revisiting water-in-salt electrolytes with ionic liquid incorporation through high-resolution liquid-structure mapping</w:t>
      </w:r>
    </w:p>
    <w:p>
      <w:pPr>
        <w:spacing w:before="0" w:after="120"/>
      </w:pPr>
      <w:r>
        <w:rPr>
          <w:b/>
        </w:rPr>
        <w:t xml:space="preserve">Source: </w:t>
      </w:r>
      <w:r>
        <w:t>National Science Review Advance Access</w:t>
      </w:r>
      <w:r>
        <w:t xml:space="preserve">    </w:t>
      </w:r>
      <w:r>
        <w:rPr>
          <w:b/>
        </w:rPr>
        <w:t xml:space="preserve">Pub date: </w:t>
      </w:r>
      <w:r>
        <w:t>2026-04-22 00:00:00+00:00</w:t>
      </w:r>
      <w:r>
        <w:t xml:space="preserve">    </w:t>
      </w:r>
      <w:r>
        <w:rPr>
          <w:b/>
        </w:rPr>
        <w:t xml:space="preserve">DOI: </w:t>
      </w:r>
      <w:hyperlink r:id="rId108">
        <w:r>
          <w:rPr>
            <w:color w:val="1155CC"/>
            <w:u w:val="single"/>
          </w:rPr>
          <w:t>10.1093/nsr/nwag239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09">
        <w:r>
          <w:rPr>
            <w:color w:val="1155CC"/>
            <w:u w:val="single"/>
          </w:rPr>
          <w:t>水合物/水分共同辅助合成实现卤化物固态电解质的湿空气稳定性</w:t>
        </w:r>
      </w:hyperlink>
    </w:p>
    <w:p>
      <w:pPr>
        <w:spacing w:before="0" w:after="80"/>
      </w:pPr>
      <w:r>
        <w:rPr>
          <w:i/>
          <w:sz w:val="20"/>
        </w:rPr>
        <w:t>EN: Hydrate/moisture co-assisted synthesis enables humid-air stability of halide solid-state electrolytes</w:t>
      </w:r>
    </w:p>
    <w:p>
      <w:pPr>
        <w:spacing w:before="0" w:after="120"/>
      </w:pPr>
      <w:r>
        <w:rPr>
          <w:b/>
        </w:rPr>
        <w:t xml:space="preserve">Source: </w:t>
      </w:r>
      <w:r>
        <w:t>National Science Review Advance Access</w:t>
      </w:r>
      <w:r>
        <w:t xml:space="preserve">    </w:t>
      </w:r>
      <w:r>
        <w:rPr>
          <w:b/>
        </w:rPr>
        <w:t xml:space="preserve">Pub date: </w:t>
      </w:r>
      <w:r>
        <w:t>2026-04-22 00:00:00+00:00</w:t>
      </w:r>
      <w:r>
        <w:t xml:space="preserve">    </w:t>
      </w:r>
      <w:r>
        <w:rPr>
          <w:b/>
        </w:rPr>
        <w:t xml:space="preserve">DOI: </w:t>
      </w:r>
      <w:hyperlink r:id="rId110">
        <w:r>
          <w:rPr>
            <w:color w:val="1155CC"/>
            <w:u w:val="single"/>
          </w:rPr>
          <w:t>10.1093/nsr/nwag209</w:t>
        </w:r>
      </w:hyperlink>
    </w:p>
    <w:p>
      <w:pPr>
        <w:spacing w:before="0" w:after="120"/>
      </w:pPr>
      <w:r>
        <w:rPr>
          <w:b/>
        </w:rPr>
        <w:t xml:space="preserve">Notes: </w:t>
      </w:r>
      <w:r>
        <w:t>abstract_source=rss_oup</w:t>
      </w:r>
    </w:p>
    <w:p>
      <w:pPr>
        <w:spacing w:before="0" w:after="80" w:lineRule="auto" w:line="276"/>
      </w:pPr>
      <w:r>
        <w:rPr>
          <w:b/>
        </w:rPr>
        <w:t xml:space="preserve">摘要（ZH）: </w:t>
      </w:r>
      <w:r>
        <w:t>卤化物固态电解质（HSSEs）结合了高离子电导率和宽电化学稳定窗口，使其成为全固态锂电池（ASSLBs）的有前途的候选者。然而，其在潮湿空气中的稳定性差，要求超干燥的加工环境，严重限制了工业可扩展性。在此，我们报告了一种水辅助合成策略，在工业可行的干燥室条件下（露点2O和CO2）构建锆基核壳结构HSSE，Li2Zr1.5OCl6@Li2CO3（LZOC-H），在合成过程中原位形成富含Li2CO3的自生层</w:t>
      </w:r>
    </w:p>
    <w:p>
      <w:pPr>
        <w:spacing w:before="0" w:after="200" w:lineRule="auto" w:line="276"/>
      </w:pPr>
      <w:r>
        <w:rPr>
          <w:b/>
        </w:rPr>
        <w:t xml:space="preserve">Abstract (EN): </w:t>
      </w:r>
      <w:r>
        <w:t>Halide solid-state electrolytes (HSSEs) combine high ionic conductivity with wide electrochemical stability windows, making them promising candidates for all-solid-state lithium batteries (ASSLBs). However, their poor humid-air stability demands ultra-dry processing environments, severely limiting industrial scalability. Here, we report a water-assisted synthesis strategy to construct a zirconium-based core-shell structured HSSE, Li2Zr1.5OCl6@Li2CO3 (LZOC-H), under industrially viable dry-room conditions (dew point 2O and CO2 during synthesis, a self-derived Li2CO3-rich layer is formed in situ</w:t>
      </w:r>
    </w:p>
    <w:p>
      <w:pPr>
        <w:spacing w:before="120" w:after="120"/>
      </w:pPr>
      <w:r>
        <w:rPr>
          <w:sz w:val="18"/>
        </w:rPr>
        <w:t>——————————————————————————————————————————————————————————————————————</w:t>
      </w:r>
    </w:p>
    <w:p>
      <w:pPr>
        <w:spacing w:before="160" w:after="40" w:line="240" w:lineRule="auto"/>
      </w:pPr>
      <w:r>
        <w:rPr>
          <w:b/>
        </w:rPr>
        <w:t xml:space="preserve">[15] </w:t>
      </w:r>
      <w:hyperlink r:id="rId111">
        <w:r>
          <w:rPr>
            <w:color w:val="1155CC"/>
            <w:u w:val="single"/>
          </w:rPr>
          <w:t>量化固态电池的自放电率</w:t>
        </w:r>
      </w:hyperlink>
    </w:p>
    <w:p>
      <w:pPr>
        <w:spacing w:before="0" w:after="80"/>
      </w:pPr>
      <w:r>
        <w:rPr>
          <w:i/>
          <w:sz w:val="20"/>
        </w:rPr>
        <w:t>EN: Quantifying the self-discharge rate of solid-state batteries</w:t>
      </w:r>
    </w:p>
    <w:p>
      <w:pPr>
        <w:spacing w:before="0" w:after="120"/>
      </w:pPr>
      <w:r>
        <w:rPr>
          <w:b/>
        </w:rPr>
        <w:t xml:space="preserve">Source: </w:t>
      </w:r>
      <w:r>
        <w:t>Nature Energy</w:t>
      </w:r>
      <w:r>
        <w:t xml:space="preserve">    </w:t>
      </w:r>
      <w:r>
        <w:rPr>
          <w:b/>
        </w:rPr>
        <w:t xml:space="preserve">Pub date: </w:t>
      </w:r>
      <w:r>
        <w:t>2026-04-22 00:00:00+00:00</w:t>
      </w:r>
      <w:r>
        <w:t xml:space="preserve">    </w:t>
      </w:r>
      <w:r>
        <w:rPr>
          <w:b/>
        </w:rPr>
        <w:t xml:space="preserve">DOI: </w:t>
      </w:r>
      <w:hyperlink r:id="rId112">
        <w:r>
          <w:rPr>
            <w:color w:val="1155CC"/>
            <w:u w:val="single"/>
          </w:rPr>
          <w:t>10.1038/s41560-026-02038-1</w:t>
        </w:r>
      </w:hyperlink>
    </w:p>
    <w:p>
      <w:pPr>
        <w:spacing w:before="0" w:after="120"/>
      </w:pPr>
      <w:r>
        <w:rPr>
          <w:b/>
        </w:rPr>
        <w:t xml:space="preserve">Notes: </w:t>
      </w:r>
      <w:r>
        <w:t>abstract_source=nature_html</w:t>
      </w:r>
    </w:p>
    <w:p>
      <w:pPr>
        <w:spacing w:before="0" w:after="80" w:lineRule="auto" w:line="276"/>
      </w:pPr>
      <w:r>
        <w:rPr>
          <w:b/>
        </w:rPr>
        <w:t xml:space="preserve">摘要（ZH）: </w:t>
      </w:r>
      <w:r>
        <w:t>内部自放电对固态电池的商业化构成了一个关键但常常被忽视的挑战。它源于移动物种（通常是阳离子）在化学势梯度驱动下在电极之间的迁移，导致即使在储存期间也会逐渐失去电荷，从而最终削弱效率、可靠性和长期可行性。与液体电解质电池不同，固态电池的自放电可归因于通过固体隔膜的微小电子泄漏电流，这会缓慢消耗电池的储存电荷。我们在此提出一个分析模型，描述由残余电子导电性和固体隔膜中的化学势梯度引起的可逆内部自放电，具体取决于它</w:t>
      </w:r>
    </w:p>
    <w:p>
      <w:pPr>
        <w:spacing w:before="0" w:after="200" w:lineRule="auto" w:line="276"/>
      </w:pPr>
      <w:r>
        <w:rPr>
          <w:b/>
        </w:rPr>
        <w:t xml:space="preserve">Abstract (EN): </w:t>
      </w:r>
      <w:r>
        <w:t>Internal self-discharge poses a critical yet often overlooked challenge for the commercialization of solid-state batteries. It arises from the migration of mobile species, typically cations, between the electrodes driven by chemical potential gradients, leading to a gradual loss of charge even during storage, thus ultimately undermining efficiency, reliability and long-term viability. Unlike liquid-electrolyte batteries, self-discharge in solid-state batteries can be attributed to minor electronic leakage currents through the solid separator, which slowly drain the battery’s stored charge. Here we present an analytical model describing reversible internal self-discharge arising from residual electronic conductivity and the chemical potential gradient in the solid separator, depending on its intrinsic thermodynamic stability or artificial stabilization strategies. Our analysis highlights the need for accurate quantification of electronic properties in solid-state separators and the influence of material stability ranges by reviewing reports on different solid separator classes to guide separator selection, materials engineering and overall solid-state cell design.</w:t>
      </w:r>
    </w:p>
    <w:p>
      <w:pPr>
        <w:spacing w:before="120" w:after="120"/>
      </w:pPr>
      <w:r>
        <w:rPr>
          <w:sz w:val="18"/>
        </w:rPr>
        <w:t>——————————————————————————————————————————————————————————————————————</w:t>
      </w:r>
    </w:p>
    <w:p>
      <w:pPr>
        <w:spacing w:before="160" w:after="40" w:line="240" w:lineRule="auto"/>
      </w:pPr>
      <w:r>
        <w:rPr>
          <w:b/>
        </w:rPr>
        <w:t xml:space="preserve">[16] </w:t>
      </w:r>
      <w:hyperlink r:id="rId113">
        <w:r>
          <w:rPr>
            <w:color w:val="1155CC"/>
            <w:u w:val="single"/>
          </w:rPr>
          <w:t>通过Au驱动的界面工程抑制固态锂金属电池的枝晶形成</w:t>
        </w:r>
      </w:hyperlink>
    </w:p>
    <w:p>
      <w:pPr>
        <w:spacing w:before="0" w:after="80"/>
      </w:pPr>
      <w:r>
        <w:rPr>
          <w:i/>
          <w:sz w:val="20"/>
        </w:rPr>
        <w:t>EN: Suppressing Dendrite Formation through Au‐Driven Interfacial Engineering for Solid‐State Lithium‐Metal Batteries</w:t>
      </w:r>
    </w:p>
    <w:p>
      <w:pPr>
        <w:spacing w:before="0" w:after="120"/>
      </w:pPr>
      <w:r>
        <w:rPr>
          <w:b/>
        </w:rPr>
        <w:t xml:space="preserve">Source: </w:t>
      </w:r>
      <w:r>
        <w:t>Wiley: Advanced Energy Materials: Table of Contents</w:t>
      </w:r>
      <w:r>
        <w:t xml:space="preserve">    </w:t>
      </w:r>
      <w:r>
        <w:rPr>
          <w:b/>
        </w:rPr>
        <w:t xml:space="preserve">Pub date: </w:t>
      </w:r>
      <w:r>
        <w:t>2026-04-22 07:47:08+00:00</w:t>
      </w:r>
      <w:r>
        <w:t xml:space="preserve">    </w:t>
      </w:r>
      <w:r>
        <w:rPr>
          <w:b/>
        </w:rPr>
        <w:t xml:space="preserve">DOI: </w:t>
      </w:r>
      <w:hyperlink r:id="rId114">
        <w:r>
          <w:rPr>
            <w:color w:val="1155CC"/>
            <w:u w:val="single"/>
          </w:rPr>
          <w:t>10.1002/aenm.70984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调查了在锂金属负极上实施金纳米层涂层的效果。我们探讨了一层薄而导电的金层溅射到锂金属上时，在与基于聚乙二醇（PEO）的固态聚合物电解质（SPE）结合时改善界面电阻和操作稳定性的效果。我们证明了金涂层不仅能减轻过电位并提高库仑效率（CE），还可以防止在循环过程中形成不良的锂枝晶。电化学测量，包括阻抗谱（EIS）和同步加速器断层扫描（ST），显示金层促进了均匀的锂镀覆/剥离。此外，密度泛函理论（DFT）和nudged elasti</w:t>
      </w:r>
    </w:p>
    <w:p>
      <w:pPr>
        <w:spacing w:before="0" w:after="200" w:lineRule="auto" w:line="276"/>
      </w:pPr>
      <w:r>
        <w:rPr>
          <w:b/>
        </w:rPr>
        <w:t xml:space="preserve">Abstract (EN): </w:t>
      </w:r>
      <w:r>
        <w:t>This study investigates the implementation of an Au nanolayer coating on Li‐metal anodes. We explore the efficacy of a thin and conductive Au layer, sputtered onto Li metal, in improving the interfacial resistance and operational stability when combined with a poly(ethylene oxide)‐based solid‐state polymer electrolyte (SPE). We demonstrate that the Au coating not only mitigates overpotential and enhances the coulombic efficiency (CE) but also prevents the formation of undesirable lithium dendrites during cycling. Electrochemical measurements, including impedance spectroscopy (EIS), and synchrotron tomography (ST), reveal that the Au layer promotes homogeneous Li plating/stripping. In addition, density functional theory (DFT) and nudged elastic band (NEB) calculations show that Li adatom diffusion on Au(111) has a much lower energy barrier than on Li(100), enabling faster surface mobility and uniform Li deposition. The enhanced interfacial stability is further supported by the extended cyclability of up to 1000 cycles corresponding to nearly 1 year and 11 months of continuous operation with minimal capacity fade, observed in LiFePO</w:t>
      </w:r>
      <w:r>
        <w:rPr>
          <w:vertAlign w:val="subscript"/>
        </w:rPr>
        <w:t>4</w:t>
      </w:r>
      <w:r>
        <w:t>||SPE||Li full cells employing Au‐coated anodes. Surface analysis confirms the robustness of the solid‐electrolyte interphase layer and the protective role of the Au layer against oxidative degradation and dendritic growth, improving the safety and cyclability of solid‐state Li‐metal batteries.</w:t>
      </w:r>
    </w:p>
    <w:p>
      <w:pPr>
        <w:spacing w:before="120" w:after="120"/>
      </w:pPr>
      <w:r>
        <w:rPr>
          <w:sz w:val="18"/>
        </w:rPr>
        <w:t>——————————————————————————————————————————————————————————————————————</w:t>
      </w:r>
    </w:p>
    <w:p>
      <w:pPr>
        <w:spacing w:before="160" w:after="40" w:line="240" w:lineRule="auto"/>
      </w:pPr>
      <w:r>
        <w:rPr>
          <w:b/>
        </w:rPr>
        <w:t xml:space="preserve">[17] </w:t>
      </w:r>
      <w:hyperlink r:id="rId61">
        <w:r>
          <w:rPr>
            <w:color w:val="1155CC"/>
            <w:u w:val="single"/>
          </w:rPr>
          <w:t>一种具有富氟界面的低粘度电解质赋予稳定的高动力学和耐寒SPAN阴极</w:t>
        </w:r>
      </w:hyperlink>
    </w:p>
    <w:p>
      <w:pPr>
        <w:spacing w:before="0" w:after="80"/>
      </w:pPr>
      <w:r>
        <w:rPr>
          <w:i/>
          <w:sz w:val="20"/>
        </w:rPr>
        <w:t>EN: A Low‐Viscosity Electrolyte With Fluorine‐Rich Interphase Empowers Stable High‐kinetics and Cold‐Resistant SPAN Cathodes</w:t>
      </w:r>
    </w:p>
    <w:p>
      <w:pPr>
        <w:spacing w:before="0" w:after="120"/>
      </w:pPr>
      <w:r>
        <w:rPr>
          <w:b/>
        </w:rPr>
        <w:t xml:space="preserve">Source: </w:t>
      </w:r>
      <w:r>
        <w:t>Wiley: Advanced Energy Materials: Table of Contents</w:t>
      </w:r>
      <w:r>
        <w:t xml:space="preserve">    </w:t>
      </w:r>
      <w:r>
        <w:rPr>
          <w:b/>
        </w:rPr>
        <w:t xml:space="preserve">Pub date: </w:t>
      </w:r>
      <w:r>
        <w:t>2026-04-22 07:51:15+00:00</w:t>
      </w:r>
      <w:r>
        <w:t xml:space="preserve">    </w:t>
      </w:r>
      <w:r>
        <w:rPr>
          <w:b/>
        </w:rPr>
        <w:t xml:space="preserve">DOI: </w:t>
      </w:r>
      <w:hyperlink r:id="rId62">
        <w:r>
          <w:rPr>
            <w:color w:val="1155CC"/>
            <w:u w:val="single"/>
          </w:rPr>
          <w:t>10.1002/aenm.70976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聚丙烯腈（SPAN）由于其固有的稳定性和规避穿梭效应的能力，是锂金属电池的一种有前途的正极材料。然而，由于固有的缓慢动力学和不稳定的电极/电解质界面，实现高可逆容量和循环稳定性仍然具有挑战性。在此，我们设计了一种基于LiFSI的电解质，通过阴离子参与来调节溶剂化结构，使Li负极和SPAN正极上形成稳健的电极/电解质界面。这样的优化环境有效抑制了枝晶锂的生长，并在反复循环过程中保持SPAN正极的结构完整性。进一步通过其h</w:t>
      </w:r>
    </w:p>
    <w:p>
      <w:pPr>
        <w:spacing w:before="0" w:after="200" w:lineRule="auto" w:line="276"/>
      </w:pPr>
      <w:r>
        <w:rPr>
          <w:b/>
        </w:rPr>
        <w:t xml:space="preserve">Abstract (EN): </w:t>
      </w:r>
      <w:r>
        <w:t>Sulfurized polyacrylonitrile (SPAN) is a promising cathode material for lithium‐metal batteries due to its intrinsic stability and ability to circumvent the shuttle effect. However, it is still challenging to achieve high reversible capacity and cycling stability, mainly due to the intrinsic sluggish kinetics and unstable electrode/electrolyte interphases. Herein, we design a LiFSI‐based electrolyte that leverages anion participation to regulate the solvation structure, enabling robust electrode/electrolyte interphases on both the Li anode and SPAN cathode. Such an optimized environment effectively suppresses dendritic lithium growth and preserves the structural integrity of the SPAN cathode during repeated cycling. Further empowered by its high ionic conductivity of 13.63 mS cm</w:t>
      </w:r>
      <w:r>
        <w:t xml:space="preserve"> </w:t>
      </w:r>
      <w:r>
        <w:t>−1</w:t>
      </w:r>
      <w:r>
        <w:t xml:space="preserve"> </w:t>
      </w:r>
      <w:r>
        <w:t>, the Li/SPAN batteries achieve an outstanding reversible capacity of 1015 mAh g</w:t>
      </w:r>
      <w:r>
        <w:t xml:space="preserve"> </w:t>
      </w:r>
      <w:r>
        <w:t>S</w:t>
      </w:r>
      <w:r>
        <w:t xml:space="preserve"> </w:t>
      </w:r>
      <w:r>
        <w:t>−1</w:t>
      </w:r>
      <w:r>
        <w:t xml:space="preserve"> </w:t>
      </w:r>
      <w:r>
        <w:t>after 1350 cycles and retain a capacity of 880 mAh g</w:t>
      </w:r>
      <w:r>
        <w:t xml:space="preserve"> </w:t>
      </w:r>
      <w:r>
        <w:t>S</w:t>
      </w:r>
      <w:r>
        <w:t xml:space="preserve"> </w:t>
      </w:r>
      <w:r>
        <w:t>−1</w:t>
      </w:r>
      <w:r>
        <w:t xml:space="preserve"> </w:t>
      </w:r>
      <w:r>
        <w:t>after 400 cycles even at −20°C. Moreover, the assembled Li/SPAN pouch cell exhibits excellent cycling stability, maintaining a specific capacity of 1043 mAh g</w:t>
      </w:r>
      <w:r>
        <w:t xml:space="preserve"> </w:t>
      </w:r>
      <w:r>
        <w:t>S</w:t>
      </w:r>
      <w:r>
        <w:t xml:space="preserve"> </w:t>
      </w:r>
      <w:r>
        <w:t>−1</w:t>
      </w:r>
      <w:r>
        <w:t xml:space="preserve"> </w:t>
      </w:r>
      <w:r>
        <w:t>after 100 cycles at room temperature and exhibiting an ultralow capacity decay rate of 0.25% per cycle at −20°C. This work provides a rational electrolyte design strategy toward durable Li/SPAN batteries with enhanced low‐temperature performance.</w:t>
      </w:r>
    </w:p>
    <w:p>
      <w:pPr>
        <w:spacing w:before="120" w:after="120"/>
      </w:pPr>
      <w:r>
        <w:rPr>
          <w:sz w:val="18"/>
        </w:rPr>
        <w:t>——————————————————————————————————————————————————————————————————————</w:t>
      </w:r>
    </w:p>
    <w:p>
      <w:pPr>
        <w:spacing w:before="160" w:after="40" w:line="240" w:lineRule="auto"/>
      </w:pPr>
      <w:r>
        <w:rPr>
          <w:b/>
        </w:rPr>
        <w:t xml:space="preserve">[18] </w:t>
      </w:r>
      <w:hyperlink r:id="rId65">
        <w:r>
          <w:rPr>
            <w:color w:val="1155CC"/>
            <w:u w:val="single"/>
          </w:rPr>
          <w:t>使用原位7/6Li和33S NMR光谱监测锂硫电池中的氧化还原路径和性能限制</w:t>
        </w:r>
      </w:hyperlink>
    </w:p>
    <w:p>
      <w:pPr>
        <w:spacing w:before="0" w:after="80"/>
      </w:pPr>
      <w:r>
        <w:rPr>
          <w:i/>
          <w:sz w:val="20"/>
        </w:rPr>
        <w:t>EN: Monitoring Redox Pathways and Performance Limitations in Lithium‐Sulfur Batteries Using In Situ 7/6Li and 33S NMR Spectroscopies</w:t>
      </w:r>
    </w:p>
    <w:p>
      <w:pPr>
        <w:spacing w:before="0" w:after="120"/>
      </w:pPr>
      <w:r>
        <w:rPr>
          <w:b/>
        </w:rPr>
        <w:t xml:space="preserve">Source: </w:t>
      </w:r>
      <w:r>
        <w:t>Wiley: Angewandte Chemie International Edition: Table of Contents</w:t>
      </w:r>
      <w:r>
        <w:t xml:space="preserve">    </w:t>
      </w:r>
      <w:r>
        <w:rPr>
          <w:b/>
        </w:rPr>
        <w:t xml:space="preserve">Pub date: </w:t>
      </w:r>
      <w:r>
        <w:t>2026-04-23 04:20:03+00:00</w:t>
      </w:r>
      <w:r>
        <w:t xml:space="preserve">    </w:t>
      </w:r>
      <w:r>
        <w:rPr>
          <w:b/>
        </w:rPr>
        <w:t xml:space="preserve">DOI: </w:t>
      </w:r>
      <w:hyperlink r:id="rId66">
        <w:r>
          <w:rPr>
            <w:color w:val="1155CC"/>
            <w:u w:val="single"/>
          </w:rPr>
          <w:t>10.1002/anie.202525050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与传统锂离子系统相比，提供了高容量和降低的成本。然而，这种电池化学中发生的复杂氧化还原机制系列及伴随的结构转变通常与电池失效的不同途径相关。因此，深入理解这些机制对于加速这些电池的发展至关重要。首次报道了原位6/7Li和33S NMR光谱的结合，提供了硫氧化还原过程反应路径的实时结构信息。</w:t>
      </w:r>
    </w:p>
    <w:p>
      <w:pPr>
        <w:spacing w:before="0" w:after="200" w:lineRule="auto" w:line="276"/>
      </w:pPr>
      <w:r>
        <w:rPr>
          <w:b/>
        </w:rPr>
        <w:t xml:space="preserve">Abstract (EN): </w:t>
      </w:r>
      <w:r>
        <w:t>Lithium‐sulfur (Li‐S) batteries offer high capacity and reduced costs in comparison to the traditional lithium‐ion systems. However, the complex series of redox mechanisms that occur in this battery chemistry and accompanying structural transformations are often associated with different routes for cell failure. Therefore, a fundamental understanding of the underlying mechanisms is essential to accelerate the development of these batteries. The combination of</w:t>
      </w:r>
      <w:r>
        <w:t xml:space="preserve"> </w:t>
      </w:r>
      <w:r>
        <w:t>operando</w:t>
      </w:r>
      <w:r>
        <w:t xml:space="preserve"> </w:t>
      </w:r>
      <w:r>
        <w:t>6/7</w:t>
      </w:r>
      <w:r>
        <w:t xml:space="preserve"> </w:t>
      </w:r>
      <w:r>
        <w:t>Li and</w:t>
      </w:r>
      <w:r>
        <w:rPr>
          <w:vertAlign w:val="subscript"/>
        </w:rPr>
        <w:t>33</w:t>
      </w:r>
      <w:r>
        <w:t>S NMR spectroscopy is reported for the first time, providing real‐time structural information on the reaction pathways of the sulfur redox processes. The evolution of the polysulfides (poly‐S) in the electrolyte and dendrite formation on the anode was monitored with</w:t>
      </w:r>
      <w:r>
        <w:rPr>
          <w:vertAlign w:val="subscript"/>
        </w:rPr>
        <w:t>7</w:t>
      </w:r>
      <w:r>
        <w:t>Li and</w:t>
      </w:r>
      <w:r>
        <w:rPr>
          <w:vertAlign w:val="subscript"/>
        </w:rPr>
        <w:t>6</w:t>
      </w:r>
      <w:r>
        <w:t>Li NMR spectroscopy. Via</w:t>
      </w:r>
      <w:r>
        <w:rPr>
          <w:vertAlign w:val="subscript"/>
        </w:rPr>
        <w:t>33</w:t>
      </w:r>
      <w:r>
        <w:t>S NMR experiments, the exact onset of Li</w:t>
      </w:r>
      <w:r>
        <w:rPr>
          <w:vertAlign w:val="subscript"/>
        </w:rPr>
        <w:t>2</w:t>
      </w:r>
      <w:r>
        <w:t>S formation was determined. By following the evolution of poly‐S species and Li</w:t>
      </w:r>
      <w:r>
        <w:rPr>
          <w:vertAlign w:val="subscript"/>
        </w:rPr>
        <w:t>2</w:t>
      </w:r>
      <w:r>
        <w:t>S, we could track the entire redox pathway and identify performance‐limiting mechanisms. The accumulation of soluble poly‐S, resulting from an incomplete poly‐S to S</w:t>
      </w:r>
      <w:r>
        <w:rPr>
          <w:vertAlign w:val="subscript"/>
        </w:rPr>
        <w:t>8</w:t>
      </w:r>
      <w:r>
        <w:t>reduction reaction during charge, was identified as one process leading to capacity fade, while degradation via a poly‐S shuttle mechanism was negligible, at least during the first few cycles.</w:t>
      </w:r>
    </w:p>
    <w:p>
      <w:pPr>
        <w:spacing w:before="120" w:after="120"/>
      </w:pPr>
      <w:r>
        <w:rPr>
          <w:sz w:val="18"/>
        </w:rPr>
        <w:t>——————————————————————————————————————————————————————————————————————</w:t>
      </w:r>
    </w:p>
    <w:p>
      <w:pPr>
        <w:spacing w:before="160" w:after="40" w:line="240" w:lineRule="auto"/>
      </w:pPr>
      <w:r>
        <w:rPr>
          <w:b/>
        </w:rPr>
        <w:t xml:space="preserve">[19] </w:t>
      </w:r>
      <w:hyperlink r:id="rId80">
        <w:r>
          <w:rPr>
            <w:color w:val="1155CC"/>
            <w:u w:val="single"/>
          </w:rPr>
          <w:t>抑制固态电解质界面溶解实现高稳定性钠离子电池</w:t>
        </w:r>
      </w:hyperlink>
    </w:p>
    <w:p>
      <w:pPr>
        <w:spacing w:before="0" w:after="80"/>
      </w:pPr>
      <w:r>
        <w:rPr>
          <w:i/>
          <w:sz w:val="20"/>
        </w:rPr>
        <w:t>EN: Suppressing Dissolution of Solid Electrolyte Interphase Enables Highly Stable Sodium‐Ion Batteries</w:t>
      </w:r>
    </w:p>
    <w:p>
      <w:pPr>
        <w:spacing w:before="0" w:after="120"/>
      </w:pPr>
      <w:r>
        <w:rPr>
          <w:b/>
        </w:rPr>
        <w:t xml:space="preserve">Source: </w:t>
      </w:r>
      <w:r>
        <w:t>Wiley: Advanced Energy Materials: Table of Contents</w:t>
      </w:r>
      <w:r>
        <w:t xml:space="preserve">    </w:t>
      </w:r>
      <w:r>
        <w:rPr>
          <w:b/>
        </w:rPr>
        <w:t xml:space="preserve">Pub date: </w:t>
      </w:r>
      <w:r>
        <w:t>2026-04-23 06:43:16+00:00</w:t>
      </w:r>
      <w:r>
        <w:t xml:space="preserve">    </w:t>
      </w:r>
      <w:r>
        <w:rPr>
          <w:b/>
        </w:rPr>
        <w:t xml:space="preserve">DOI: </w:t>
      </w:r>
      <w:hyperlink r:id="rId81">
        <w:r>
          <w:rPr>
            <w:color w:val="1155CC"/>
            <w:u w:val="single"/>
          </w:rPr>
          <w:t>10.1002/aenm.70981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保持固体电解质界面（SEI）的完整性对于确保钠离子电池（SIBs）的循环稳定性至关重要。然而，传统的SEI在电化学循环过程中表现出微妙但持续的溶解，加速了电池性能的退化。同时，SEI溶解性、成分演变和循环可逆性之间的关系仍不明确。在此，我们通过含硼离子诱导的界面化学构建了一种坚固的、无机物丰富的SEI层，有效地通过最小化电极-电解质接触和抑制有机成分的反复生成-溶解过程来抑制SEI溶解。我们进一步阐明了SEI成分之间的关系</w:t>
      </w:r>
    </w:p>
    <w:p>
      <w:pPr>
        <w:spacing w:before="0" w:after="200" w:lineRule="auto" w:line="276"/>
      </w:pPr>
      <w:r>
        <w:rPr>
          <w:b/>
        </w:rPr>
        <w:t xml:space="preserve">Abstract (EN): </w:t>
      </w:r>
      <w:r>
        <w:t>Maintaining the integrity of solid electrolyte interphase (SEI) is pivotal for ensuring the cycling stability of sodium‐ion batteries (SIBs). However, conventional SEIs exhibit subtle yet persistent dissolution during electrochemical cycling, accelerating battery performance degradation. Meanwhile, the correlation between SEI solubility, composition evolution, and cycling reversibility remains ambiguous. Herein, we construct a robust, inorganic‐rich SEI layer via boron‐containing ion‐induced interfacial chemistry, which effectively suppresses SEI dissolution by minimizing electrode–electrolyte contact and inhibiting the repeated generating‐dissolving process of organic components. We further elucidate the correlation between SEI components and its solubility, and quantify that the average capacity loss caused by the dissolution of organic‐rich SEI is 1.36 times that of inorganic‐rich SEI. Benefiting from the stabilized SEI, the hard carbon (HC) anode delivers excellent cycling stability, retaining 81.9% capacity after 400 cycles even at 60°C. Moreover, the HC||O3‐NaNi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(NNFMO) full cell achieves 78.6% capacity retention over 300 cycles. This study provides fundamental insights into SEI dissolution mechanisms and presents an effective strategy to enhance the durability of SIBs.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15">
        <w:r>
          <w:rPr>
            <w:color w:val="1155CC"/>
            <w:u w:val="single"/>
          </w:rPr>
          <w:t>通过原位漫反射光谱重建锂离子电池的电化学</w:t>
        </w:r>
      </w:hyperlink>
    </w:p>
    <w:p>
      <w:pPr>
        <w:spacing w:before="0" w:after="80"/>
      </w:pPr>
      <w:r>
        <w:rPr>
          <w:i/>
          <w:sz w:val="20"/>
        </w:rPr>
        <w:t>EN: Reconstructing the Electrochemistry of Lithium-Ion Batteries Through Operando Diffuse Reflectance Spectroscopy</w:t>
      </w:r>
    </w:p>
    <w:p>
      <w:pPr>
        <w:spacing w:before="0" w:after="120"/>
      </w:pPr>
      <w:r>
        <w:rPr>
          <w:b/>
        </w:rPr>
        <w:t xml:space="preserve">Source: </w:t>
      </w:r>
      <w:r>
        <w:t>RSC - Energy Environ. Sci. latest articles</w:t>
      </w:r>
      <w:r>
        <w:t xml:space="preserve">    </w:t>
      </w:r>
      <w:r>
        <w:rPr>
          <w:b/>
        </w:rPr>
        <w:t xml:space="preserve">Pub date: </w:t>
      </w:r>
      <w:r>
        <w:t>2026-04-19 23:00:00+00:00</w:t>
      </w:r>
    </w:p>
    <w:p>
      <w:pPr>
        <w:spacing w:before="0" w:after="120"/>
      </w:pPr>
      <w:r>
        <w:rPr>
          <w:b/>
        </w:rPr>
        <w:t xml:space="preserve">Notes: </w:t>
      </w:r>
      <w:r>
        <w:t>abstract_source=rsc_html</w:t>
      </w:r>
    </w:p>
    <w:p>
      <w:pPr>
        <w:spacing w:before="0" w:after="80" w:lineRule="auto" w:line="276"/>
      </w:pPr>
      <w:r>
        <w:rPr>
          <w:b/>
        </w:rPr>
        <w:t xml:space="preserve">摘要（ZH）: </w:t>
      </w:r>
      <w:r>
        <w:t>实时研究电池对于理解其运行和降解机制至关重要。原位方法如X射线衍射、NMR和电子显微镜提供了详细的见解，但成本高、复杂且需要专门的电池设计，使其不适合长期循环或筛选。在此，我们提出使用原位漫反射光谱（DRS）来探测电池电极在充放电过程中的变化。该技术通过测量电池电极在循环过程中由于电子结构变化引起的反射光谱的细微变化来实现。通过将这些光学性质的变化与电池的荷电状态相关联，我们可以重建电池电化学的“第二视图”。我们展示了DRS可以用于确定</w:t>
      </w:r>
    </w:p>
    <w:p>
      <w:pPr>
        <w:spacing w:before="0" w:after="200" w:lineRule="auto" w:line="276"/>
      </w:pPr>
      <w:r>
        <w:rPr>
          <w:b/>
        </w:rPr>
        <w:t xml:space="preserve">Abstract (EN): </w:t>
      </w:r>
      <w:r>
        <w:t>Studying batteries in real time is essential for understanding their operation and degradation mechanisms. Operando methods such as X-ray diffraction, NMR, and electron microscopy provide detailed insights but are costly, complex, and require specialized cell designs, making them impractical for long-term cycling or screening. Here, we propose using operando diffuse reflectance spectroscopy (DRS) to probe battery electrodes as they charge and discharge. This technique measures subtle changes in the reflection spectrum of battery electrodes caused by electronic structure changes during cycling. By correlating these optical property changes with the state-of-charge of the battery, we can reconstruct a 'second view' of the electrochemistry of the battery. We show that DRS can be used to determine heterogeneity in state-of-charge, deconvolute solid state lithium-ion diffusion on the electrode and particle level, uncover the origin of first cycle capacity losses, and study surface limited behaviour. We apply operando DRS to a wide variety of battery materials to show that the proposed method enables the extraction of information that previously was only accessible using methods that are orders of magnitude more expensive.</w:t>
      </w:r>
    </w:p>
    <w:p>
      <w:pPr>
        <w:spacing w:before="120" w:after="120"/>
      </w:pPr>
      <w:r>
        <w:rPr>
          <w:sz w:val="18"/>
        </w:rPr>
        <w:t>——————————————————————————————————————————————————————————————————————</w:t>
      </w:r>
    </w:p>
    <w:p>
      <w:pPr>
        <w:spacing w:before="160" w:after="40" w:line="240" w:lineRule="auto"/>
      </w:pPr>
      <w:r>
        <w:rPr>
          <w:b/>
        </w:rPr>
        <w:t xml:space="preserve">[2] </w:t>
      </w:r>
      <w:hyperlink r:id="rId116">
        <w:r>
          <w:rPr>
            <w:color w:val="1155CC"/>
            <w:u w:val="single"/>
          </w:rPr>
          <w:t>通过自发声发射对电池故障进行早期预警：钠离子电池过充的案例研究</w:t>
        </w:r>
      </w:hyperlink>
    </w:p>
    <w:p>
      <w:pPr>
        <w:spacing w:before="0" w:after="80"/>
      </w:pPr>
      <w:r>
        <w:rPr>
          <w:i/>
          <w:sz w:val="20"/>
        </w:rPr>
        <w:t>EN: Early warning of battery failure via spontaneous acoustic emission: a case study of overcharging in sodium-ion batteries</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7">
        <w:r>
          <w:rPr>
            <w:color w:val="1155CC"/>
            <w:u w:val="single"/>
          </w:rPr>
          <w:t>[ASAP] 高能锂离子电池中氧气交叉引起的固态电解质界面不稳定性被忽视</w:t>
        </w:r>
      </w:hyperlink>
    </w:p>
    <w:p>
      <w:pPr>
        <w:spacing w:before="0" w:after="80"/>
      </w:pPr>
      <w:r>
        <w:rPr>
          <w:i/>
          <w:sz w:val="20"/>
        </w:rPr>
        <w:t>EN: [ASAP] Overlooked Solid Electrolyte Interphase Destabilization by Oxygen Gas Crossover in High-Energy Lithium-Ion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2026-04-21 18:38:48+00:00</w:t>
      </w:r>
      <w:r>
        <w:t xml:space="preserve">    </w:t>
      </w:r>
      <w:r>
        <w:rPr>
          <w:b/>
        </w:rPr>
        <w:t xml:space="preserve">DOI: </w:t>
      </w:r>
      <w:hyperlink r:id="rId118">
        <w:r>
          <w:rPr>
            <w:color w:val="1155CC"/>
            <w:u w:val="single"/>
          </w:rPr>
          <w:t>10.1021/jacs.5c18889</w:t>
        </w:r>
      </w:hyperlink>
    </w:p>
    <w:p>
      <w:pPr>
        <w:spacing w:before="0" w:after="120"/>
      </w:pPr>
      <w:r>
        <w:rPr>
          <w:b/>
        </w:rPr>
        <w:t xml:space="preserve">Notes: </w:t>
      </w:r>
      <w:r>
        <w:t>abstract_source=pubmed</w:t>
      </w:r>
    </w:p>
    <w:p>
      <w:pPr>
        <w:spacing w:before="0" w:after="80" w:lineRule="auto" w:line="276"/>
      </w:pPr>
      <w:r>
        <w:rPr>
          <w:b/>
        </w:rPr>
        <w:t xml:space="preserve">摘要（ZH）: </w:t>
      </w:r>
      <w:r>
        <w:t>通过高容量正极（例如，富镍氧化物、富锂锰氧化物）追求高能量密度锂离子电池（LIBs）不可避免地伴随着晶格氧释放和气体演化，但在全电池配置中氧交叉的系统性影响仍未得到充分探索。本研究调查了隔膜中氧气渗透如何触发LIBs的容量退化。通过调节隔膜渗透性和采用差分电化学质谱（DEMS），我们量化了氧气传输路径及其与界面不稳定性的相关性。结合低温透射电子显微镜和原子力显微镜，我们揭示了正极衍生的氧气穿透隔膜，攻击负极以加剧</w:t>
      </w:r>
    </w:p>
    <w:p>
      <w:pPr>
        <w:spacing w:before="0" w:after="200" w:lineRule="auto" w:line="276"/>
      </w:pPr>
      <w:r>
        <w:rPr>
          <w:b/>
        </w:rPr>
        <w:t xml:space="preserve">Abstract (EN): </w:t>
      </w:r>
      <w:r>
        <w:t>The pursuit of high-energy-density lithium-ion batteries (LIBs) through high-capacity cathodes (e.g., Ni-rich oxides, lithium-rich manganese oxides) is inevitably accompanied by lattice oxygen release and gas evolution, yet the systemic impacts of oxygen crossover in full-cell configurations remain underexplored. This study investigates how oxygen gas permeation across separators triggers capacity degradation in LIBs. By regulating separator permeability and employing differential electrochemical mass spectrometry (DEMS), we quantify oxygen transport pathways and their correlation with interfacial instability. Combined with cryogenic transmission electron microscopy and atomic force microscopy, we reveal that cathode-derived oxygen penetrates separators, attacking the anode to exacerbate heterogeneous solid electrolyte interphase (SEI) growth and mechanical destabilization. Continuous SEI fracture-reconstruction during cycling accelerates active lithium depletion and capacity fading. Employing low-permeability separators can effectively mitigate oxygen crossover and double the cycle life through stabilization of the anode interface. These findings establish oxygen gas crossover as one of the critical yet overlooked degradation vectors, bridging the knowledge gap between cathode oxygen release and anode failure mechanisms.</w:t>
      </w:r>
    </w:p>
    <w:p>
      <w:pPr>
        <w:spacing w:before="120" w:after="120"/>
      </w:pPr>
      <w:r>
        <w:rPr>
          <w:sz w:val="18"/>
        </w:rPr>
        <w:t>——————————————————————————————————————————————————————————————————————</w:t>
      </w:r>
    </w:p>
    <w:p>
      <w:pPr>
        <w:spacing w:before="160" w:after="40" w:line="240" w:lineRule="auto"/>
      </w:pPr>
      <w:r>
        <w:rPr>
          <w:b/>
        </w:rPr>
        <w:t xml:space="preserve">[4] </w:t>
      </w:r>
      <w:hyperlink r:id="rId119">
        <w:r>
          <w:rPr>
            <w:color w:val="1155CC"/>
            <w:u w:val="single"/>
          </w:rPr>
          <w:t>液态和准固态锂可充电电池的先进隔膜：设计与开发</w:t>
        </w:r>
      </w:hyperlink>
    </w:p>
    <w:p>
      <w:pPr>
        <w:spacing w:before="0" w:after="80"/>
      </w:pPr>
      <w:r>
        <w:rPr>
          <w:i/>
          <w:sz w:val="20"/>
        </w:rPr>
        <w:t>EN: Advanced Separators for Liquid and Quasi‐Solid Lithium Rechargeable Batteries: Design and Development</w:t>
      </w:r>
    </w:p>
    <w:p>
      <w:pPr>
        <w:spacing w:before="0" w:after="120"/>
      </w:pPr>
      <w:r>
        <w:rPr>
          <w:b/>
        </w:rPr>
        <w:t xml:space="preserve">Source: </w:t>
      </w:r>
      <w:r>
        <w:t>Wiley: Advanced Materials: Table of Contents</w:t>
      </w:r>
      <w:r>
        <w:t xml:space="preserve">    </w:t>
      </w:r>
      <w:r>
        <w:rPr>
          <w:b/>
        </w:rPr>
        <w:t xml:space="preserve">Pub date: </w:t>
      </w:r>
      <w:r>
        <w:t>2026-04-22 05:35:02+00:00</w:t>
      </w:r>
      <w:r>
        <w:t xml:space="preserve">    </w:t>
      </w:r>
      <w:r>
        <w:rPr>
          <w:b/>
        </w:rPr>
        <w:t xml:space="preserve">DOI: </w:t>
      </w:r>
      <w:hyperlink r:id="rId120">
        <w:r>
          <w:rPr>
            <w:color w:val="1155CC"/>
            <w:u w:val="single"/>
          </w:rPr>
          <w:t>10.1002/adma.73124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隔膜已从被动的聚合物屏障演变为多功能组件，关键地影响液态和准固态锂可充电电池的性能、安全性和寿命。本综述提供了对隔膜材料和结构的全面分析，涵盖商业聚烯烃及其陶瓷涂层、高温聚合物（PI、PEEK）、纳米纤维和生物衍生膜，以及用于准固态系统的交联凝胶/聚合物-陶瓷复合材料。系统地讨论了将孔径、孔隙率、曲折度、润湿性和Li</w:t>
      </w:r>
      <w:r>
        <w:t xml:space="preserve"> </w:t>
      </w:r>
      <w:r>
        <w:t>+</w:t>
      </w:r>
      <w:r>
        <w:t xml:space="preserve"> </w:t>
      </w:r>
      <w:r>
        <w:t>迁移与离子电导率和速率能力联系起来的设计原则，以及机械和热要求</w:t>
      </w:r>
    </w:p>
    <w:p>
      <w:pPr>
        <w:spacing w:before="0" w:after="200" w:lineRule="auto" w:line="276"/>
      </w:pPr>
      <w:r>
        <w:rPr>
          <w:b/>
        </w:rPr>
        <w:t xml:space="preserve">Abstract (EN): </w:t>
      </w:r>
      <w:r>
        <w:t>Separators have evolved from passive polymeric barriers into multifunctional components that critically govern the performance, safety, and lifetime of liquid and quasi‐solid lithium rechargeable batteries. This Review provides a comprehensive analysis of separator materials and architectures spanning commercial polyolefins and their ceramic coatings, high‑temperature polymers (PI, PEEK), nanofiber and bio‑derived membranes, and cross‐linked gel/polymer–ceramic composites for quasi‐solid systems. Design principles linking pore size, porosity, tortuosity, wettability, and Li</w:t>
      </w:r>
      <w:r>
        <w:t xml:space="preserve"> </w:t>
      </w:r>
      <w:r>
        <w:t>+</w:t>
      </w:r>
      <w:r>
        <w:t xml:space="preserve"> </w:t>
      </w:r>
      <w:r>
        <w:t>transference to ionic conductivity and rate capability are systematically discussed, alongside mechanical and thermal requirements such as puncture resistance, dimensional stability, shutdown behavior, and flame retardance. We compare major fabrication routes‐including dry and wet stretching, phase inversion, electrospinning, ceramic/oxide coating, UV/thermal crosslinking, and vacuum filtration/solution casting‐and relate their process windows to separator microstructure, electrochemical performance, and scalability. Separator–electrolyte–anode interactions are analyzed with emphasis on dendrite suppression, flux homogenization, and interface stabilization in lithium‑metal and quasi‑solid cells. Finally, market and techno‑economic trends are summarized, highlighting the trade‑offs between advanced functionality and roll‑to‑roll manufacturability, as well as emerging directions toward intelligent (advanced) separators and PFAS‑free, recyclable architectures. This review outlines quantitative targets and design strategies needed to translate next‑generation separator concepts into safe, high‑energy, and commercially viable lithium battery technologies.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21">
        <w:r>
          <w:rPr>
            <w:color w:val="1155CC"/>
            <w:u w:val="single"/>
          </w:rPr>
          <w:t>铁铬液流电池中反应动力学的原位测量和实验验证建模</w:t>
        </w:r>
      </w:hyperlink>
    </w:p>
    <w:p>
      <w:pPr>
        <w:spacing w:before="0" w:after="80"/>
      </w:pPr>
      <w:r>
        <w:rPr>
          <w:i/>
          <w:sz w:val="20"/>
        </w:rPr>
        <w:t>EN: In-situ measurements and experimentally-validated modeling of reaction kinetics in iron-chromium flow batteries</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2">
        <w:r>
          <w:rPr>
            <w:color w:val="1155CC"/>
            <w:u w:val="single"/>
          </w:rPr>
          <w:t>通过过度配位的不对称位点进行局部偶极工程以实现Li─CO2电池的超低充电电压</w:t>
        </w:r>
      </w:hyperlink>
    </w:p>
    <w:p>
      <w:pPr>
        <w:spacing w:before="0" w:after="80"/>
      </w:pPr>
      <w:r>
        <w:rPr>
          <w:i/>
          <w:sz w:val="20"/>
        </w:rPr>
        <w:t>EN: Local Dipole Engineering by Over‐Coordinated Asymmetric Sites for Ultralow Charge Voltage in Li─CO2 Battery</w:t>
      </w:r>
    </w:p>
    <w:p>
      <w:pPr>
        <w:spacing w:before="0" w:after="120"/>
      </w:pPr>
      <w:r>
        <w:rPr>
          <w:b/>
        </w:rPr>
        <w:t xml:space="preserve">Source: </w:t>
      </w:r>
      <w:r>
        <w:t>Wiley: Advanced Materials: Table of Contents</w:t>
      </w:r>
      <w:r>
        <w:t xml:space="preserve">    </w:t>
      </w:r>
      <w:r>
        <w:rPr>
          <w:b/>
        </w:rPr>
        <w:t xml:space="preserve">Pub date: </w:t>
      </w:r>
      <w:r>
        <w:t>2026-04-20 05:47:54+00:00</w:t>
      </w:r>
      <w:r>
        <w:t xml:space="preserve">    </w:t>
      </w:r>
      <w:r>
        <w:rPr>
          <w:b/>
        </w:rPr>
        <w:t xml:space="preserve">DOI: </w:t>
      </w:r>
      <w:hyperlink r:id="rId123">
        <w:r>
          <w:rPr>
            <w:color w:val="1155CC"/>
            <w:u w:val="single"/>
          </w:rPr>
          <w:t>10.1002/adma.73097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锂─CO</w:t>
      </w:r>
      <w:r>
        <w:rPr>
          <w:vertAlign w:val="subscript"/>
        </w:rPr>
        <w:t>2</w:t>
      </w:r>
      <w:r>
        <w:t>电池的实际应用受到Li</w:t>
      </w:r>
      <w:r>
        <w:rPr>
          <w:vertAlign w:val="subscript"/>
        </w:rPr>
        <w:t>2</w:t>
      </w:r>
      <w:r>
        <w:t>CO</w:t>
      </w:r>
      <w:r>
        <w:rPr>
          <w:vertAlign w:val="subscript"/>
        </w:rPr>
        <w:t>3</w:t>
      </w:r>
      <w:r>
        <w:t>分解困难的限制。虽然主要关注于C─O键的断裂，但Li─O断裂是初始且速率限制步骤。Li─O键强度是该过程的关键描述符，涉及增加其反键轨道的占据。Li</w:t>
      </w:r>
      <w:r>
        <w:rPr>
          <w:vertAlign w:val="subscript"/>
        </w:rPr>
        <w:t>2</w:t>
      </w:r>
      <w:r>
        <w:t>CO</w:t>
      </w:r>
      <w:r>
        <w:rPr>
          <w:vertAlign w:val="subscript"/>
        </w:rPr>
        <w:t>3</w:t>
      </w:r>
      <w:r>
        <w:t>的HOMO由O</w:t>
      </w:r>
      <w:r>
        <w:t xml:space="preserve"> </w:t>
      </w:r>
      <w:r>
        <w:t>p</w:t>
      </w:r>
      <w:r>
        <w:t xml:space="preserve"> </w:t>
      </w:r>
      <w:r>
        <w:t>轨道组成，与过渡金属的</w:t>
      </w:r>
      <w:r>
        <w:t xml:space="preserve"> </w:t>
      </w:r>
      <w:r>
        <w:t>d</w:t>
      </w:r>
      <w:r>
        <w:t xml:space="preserve"> </w:t>
      </w:r>
      <w:r>
        <w:t>轨道耦合。本文中，过度配位</w:t>
      </w:r>
    </w:p>
    <w:p>
      <w:pPr>
        <w:spacing w:before="0" w:after="200" w:lineRule="auto" w:line="276"/>
      </w:pPr>
      <w:r>
        <w:rPr>
          <w:b/>
        </w:rPr>
        <w:t xml:space="preserve">Abstract (EN): </w:t>
      </w:r>
      <w:r>
        <w:t>The practical implementation of Li─CO</w:t>
      </w:r>
      <w:r>
        <w:rPr>
          <w:vertAlign w:val="subscript"/>
        </w:rPr>
        <w:t>2</w:t>
      </w:r>
      <w:r>
        <w:t>batteries is constrained by the challenging decomposition of Li</w:t>
      </w:r>
      <w:r>
        <w:rPr>
          <w:vertAlign w:val="subscript"/>
        </w:rPr>
        <w:t>2</w:t>
      </w:r>
      <w:r>
        <w:t>CO</w:t>
      </w:r>
      <w:r>
        <w:rPr>
          <w:vertAlign w:val="subscript"/>
        </w:rPr>
        <w:t>3</w:t>
      </w:r>
      <w:r>
        <w:t>. While cleaving C─O bonds is predominantly focused on, Li─O cleavage is the initial and rate‐limiting step. The Li─O bond strength is a key descriptor for this process, which involves increasing the population of its antibonding orbital. The HOMO of Li</w:t>
      </w:r>
      <w:r>
        <w:rPr>
          <w:vertAlign w:val="subscript"/>
        </w:rPr>
        <w:t>2</w:t>
      </w:r>
      <w:r>
        <w:t>CO</w:t>
      </w:r>
      <w:r>
        <w:rPr>
          <w:vertAlign w:val="subscript"/>
        </w:rPr>
        <w:t>3</w:t>
      </w:r>
      <w:r>
        <w:t>is composed of O</w:t>
      </w:r>
      <w:r>
        <w:t xml:space="preserve"> </w:t>
      </w:r>
      <w:r>
        <w:t>p</w:t>
      </w:r>
      <w:r>
        <w:t xml:space="preserve"> </w:t>
      </w:r>
      <w:r>
        <w:t>‐orbitals that couple with</w:t>
      </w:r>
      <w:r>
        <w:t xml:space="preserve"> </w:t>
      </w:r>
      <w:r>
        <w:t>d</w:t>
      </w:r>
      <w:r>
        <w:t xml:space="preserve"> </w:t>
      </w:r>
      <w:r>
        <w:t>‐orbitals of transition metals. Herein, over‐coordination of metal sites modulates the electronic distribution in metal</w:t>
      </w:r>
      <w:r>
        <w:t xml:space="preserve"> </w:t>
      </w:r>
      <w:r>
        <w:t>d</w:t>
      </w:r>
      <w:r>
        <w:t xml:space="preserve"> </w:t>
      </w:r>
      <w:r>
        <w:t>‐orbitals and promotes O</w:t>
      </w:r>
      <w:r>
        <w:t xml:space="preserve"> </w:t>
      </w:r>
      <w:r>
        <w:t>p</w:t>
      </w:r>
      <w:r>
        <w:t xml:space="preserve"> </w:t>
      </w:r>
      <w:r>
        <w:t>‐orbital polarization, converting symmetric metal pairs into asymmetric pairs. This resulting localized dipole moment induces an asymmetric interfacial polarized electron density distribution and targeted bond polarization. The dipole at asymmetric sites polarizes O</w:t>
      </w:r>
      <w:r>
        <w:t xml:space="preserve"> </w:t>
      </w:r>
      <w:r>
        <w:t>p</w:t>
      </w:r>
      <w:r>
        <w:t xml:space="preserve"> </w:t>
      </w:r>
      <w:r>
        <w:t>‐orbitals and promotes electron transfer into the Li─O antibonding orbital. Using WB as proof‐of‐concept, this asymmetry electronic polarization increases the population of Li─O antibonding orbitals and weakens their interaction. This results in a markedly low decomposition energy barrier of 0.53 eV for Li</w:t>
      </w:r>
      <w:r>
        <w:rPr>
          <w:vertAlign w:val="subscript"/>
        </w:rPr>
        <w:t>2</w:t>
      </w:r>
      <w:r>
        <w:t>CO</w:t>
      </w:r>
      <w:r>
        <w:rPr>
          <w:vertAlign w:val="subscript"/>
        </w:rPr>
        <w:t>3</w:t>
      </w:r>
      <w:r>
        <w:t>and an ultralow charge voltage of 2.99 V. The battery also exhibits stable operation for 500 h at 120°C with high energy efficiency (74.43%). This work highlights local dipole engineering and establishes electronic asymmetry‐mediated activation for efficient Li─CO</w:t>
      </w:r>
      <w:r>
        <w:rPr>
          <w:vertAlign w:val="subscript"/>
        </w:rPr>
        <w:t>2</w:t>
      </w:r>
      <w:r>
        <w:t>batteries.</w:t>
      </w:r>
    </w:p>
    <w:p>
      <w:pPr>
        <w:spacing w:before="120" w:after="120"/>
      </w:pPr>
      <w:r>
        <w:rPr>
          <w:sz w:val="18"/>
        </w:rPr>
        <w:t>——————————————————————————————————————————————————————————————————————</w:t>
      </w:r>
    </w:p>
    <w:p>
      <w:pPr>
        <w:spacing w:before="160" w:after="40" w:line="240" w:lineRule="auto"/>
      </w:pPr>
      <w:r>
        <w:rPr>
          <w:b/>
        </w:rPr>
        <w:t xml:space="preserve">[3] </w:t>
      </w:r>
      <w:hyperlink r:id="rId124">
        <w:r>
          <w:rPr>
            <w:color w:val="1155CC"/>
            <w:u w:val="single"/>
          </w:rPr>
          <w:t>三位一体协同电极作为超稳定、高速锌-卤素电池的高性能电催化宿主</w:t>
        </w:r>
      </w:hyperlink>
    </w:p>
    <w:p>
      <w:pPr>
        <w:spacing w:before="0" w:after="80"/>
      </w:pPr>
      <w:r>
        <w:rPr>
          <w:i/>
          <w:sz w:val="20"/>
        </w:rPr>
        <w:t>EN: Trinity Cooperative Electrode as a High‐Performance Electrocatalytic Host for Ultra‐Stable, High‐Rate Zinc–Halogen Batteries</w:t>
      </w:r>
    </w:p>
    <w:p>
      <w:pPr>
        <w:spacing w:before="0" w:after="120"/>
      </w:pPr>
      <w:r>
        <w:rPr>
          <w:b/>
        </w:rPr>
        <w:t xml:space="preserve">Source: </w:t>
      </w:r>
      <w:r>
        <w:t>Wiley: Angewandte Chemie International Edition: Table of Contents</w:t>
      </w:r>
      <w:r>
        <w:t xml:space="preserve">    </w:t>
      </w:r>
      <w:r>
        <w:rPr>
          <w:b/>
        </w:rPr>
        <w:t xml:space="preserve">Pub date: </w:t>
      </w:r>
      <w:r>
        <w:t>2026-04-20 05:52:13+00:00</w:t>
      </w:r>
      <w:r>
        <w:t xml:space="preserve">    </w:t>
      </w:r>
      <w:r>
        <w:rPr>
          <w:b/>
        </w:rPr>
        <w:t xml:space="preserve">DOI: </w:t>
      </w:r>
      <w:hyperlink r:id="rId125">
        <w:r>
          <w:rPr>
            <w:color w:val="1155CC"/>
            <w:u w:val="single"/>
          </w:rPr>
          <w:t>10.1002/anie.3832443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卤素电池（ZHBs）具有安全性和低成本，但受到卤素溶解、穿梭效应和界面动力学缓慢的阻碍。我们提出了一种三位一体协同电极（TCE），它集成了导电聚合物、超分子溶剂基质和弹性聚合物网络，以同时增强电子导电性、机械/溶剂稳定性和卤素固定。通过原位/非原位表征和分子动力学模拟阐明了碘的转化路径。在ZnI</w:t>
      </w:r>
      <w:r>
        <w:rPr>
          <w:vertAlign w:val="subscript"/>
        </w:rPr>
        <w:t>2</w:t>
      </w:r>
      <w:r>
        <w:t>+ Zn(CF</w:t>
      </w:r>
      <w:r>
        <w:rPr>
          <w:vertAlign w:val="subscript"/>
        </w:rPr>
        <w:t>3</w:t>
      </w:r>
      <w:r>
        <w:t>SO</w:t>
      </w:r>
      <w:r>
        <w:rPr>
          <w:vertAlign w:val="subscript"/>
        </w:rPr>
        <w:t>3</w:t>
      </w:r>
      <w:r>
        <w:t>)</w:t>
      </w:r>
      <w:r>
        <w:rPr>
          <w:vertAlign w:val="subscript"/>
        </w:rPr>
        <w:t>2</w:t>
      </w:r>
      <w:r>
        <w:t>电解质中，基于TCE的电池</w:t>
      </w:r>
    </w:p>
    <w:p>
      <w:pPr>
        <w:spacing w:before="0" w:after="200" w:lineRule="auto" w:line="276"/>
      </w:pPr>
      <w:r>
        <w:rPr>
          <w:b/>
        </w:rPr>
        <w:t xml:space="preserve">Abstract (EN): </w:t>
      </w:r>
      <w:r>
        <w:t>Aqueous zinc–halogen batteries (ZHBs) offer safety and low cost but are hindered by halogen dissolution, shuttle effects, and sluggish interfacial kinetics. We present a trinity cooperative electrode (TCE) that integrates a conductive polymer, a supramolecular solvent matrix, and an elastic polymer network to simultaneously enhance electronic conductivity, mechanical/solvent stability, and halogen immobilization. The iodine conversion pathway is elucidated by in situ/ex situ characterizations and molecular dynamics simulations. In ZnI</w:t>
      </w:r>
      <w:r>
        <w:rPr>
          <w:vertAlign w:val="subscript"/>
        </w:rPr>
        <w:t>2</w:t>
      </w:r>
      <w:r>
        <w:t>+ Zn(CF</w:t>
      </w:r>
      <w:r>
        <w:rPr>
          <w:vertAlign w:val="subscript"/>
        </w:rPr>
        <w:t>3</w:t>
      </w:r>
      <w:r>
        <w:t>SO</w:t>
      </w:r>
      <w:r>
        <w:rPr>
          <w:vertAlign w:val="subscript"/>
        </w:rPr>
        <w:t>3</w:t>
      </w:r>
      <w:r>
        <w:t>)</w:t>
      </w:r>
      <w:r>
        <w:rPr>
          <w:vertAlign w:val="subscript"/>
        </w:rPr>
        <w:t>2</w:t>
      </w:r>
      <w:r>
        <w:t>electrolytes, TCE‐based cells deliver 255 mAh g</w:t>
      </w:r>
      <w:r>
        <w:t xml:space="preserve"> </w:t>
      </w:r>
      <w:r>
        <w:t>−1</w:t>
      </w:r>
      <w:r>
        <w:t xml:space="preserve"> </w:t>
      </w:r>
      <w:r>
        <w:t>at 1 A g</w:t>
      </w:r>
      <w:r>
        <w:t xml:space="preserve"> </w:t>
      </w:r>
      <w:r>
        <w:t>−1</w:t>
      </w:r>
      <w:r>
        <w:t xml:space="preserve"> </w:t>
      </w:r>
      <w:r>
        <w:t>, retain 150 mAh g</w:t>
      </w:r>
      <w:r>
        <w:t xml:space="preserve"> </w:t>
      </w:r>
      <w:r>
        <w:t>−1</w:t>
      </w:r>
      <w:r>
        <w:t xml:space="preserve"> </w:t>
      </w:r>
      <w:r>
        <w:t>at 50 A g</w:t>
      </w:r>
      <w:r>
        <w:t xml:space="preserve"> </w:t>
      </w:r>
      <w:r>
        <w:t>−1</w:t>
      </w:r>
      <w:r>
        <w:t xml:space="preserve"> </w:t>
      </w:r>
      <w:r>
        <w:t>for &amp;gt; 50 000 cycles, and operate reliably at −10°C. The TCE also catalyzes Br</w:t>
      </w:r>
      <w:r>
        <w:t xml:space="preserve"> </w:t>
      </w:r>
      <w:r>
        <w:t>−</w:t>
      </w:r>
      <w:r>
        <w:t>/Br</w:t>
      </w:r>
      <w:r>
        <w:rPr>
          <w:vertAlign w:val="subscript"/>
        </w:rPr>
        <w:t>2</w:t>
      </w:r>
      <w:r>
        <w:t>conversion in Zn(CF</w:t>
      </w:r>
      <w:r>
        <w:rPr>
          <w:vertAlign w:val="subscript"/>
        </w:rPr>
        <w:t>3</w:t>
      </w:r>
      <w:r>
        <w:t>SO</w:t>
      </w:r>
      <w:r>
        <w:rPr>
          <w:vertAlign w:val="subscript"/>
        </w:rPr>
        <w:t>3</w:t>
      </w:r>
      <w:r>
        <w:t>)</w:t>
      </w:r>
      <w:r>
        <w:rPr>
          <w:vertAlign w:val="subscript"/>
        </w:rPr>
        <w:t>2</w:t>
      </w:r>
      <w:r>
        <w:t>+ ZnBr</w:t>
      </w:r>
      <w:r>
        <w:rPr>
          <w:vertAlign w:val="subscript"/>
        </w:rPr>
        <w:t>2</w:t>
      </w:r>
      <w:r>
        <w:t>and enables sequential multielectron reactions in a ternary Zn(CF</w:t>
      </w:r>
      <w:r>
        <w:rPr>
          <w:vertAlign w:val="subscript"/>
        </w:rPr>
        <w:t>3</w:t>
      </w:r>
      <w:r>
        <w:t>SO</w:t>
      </w:r>
      <w:r>
        <w:rPr>
          <w:vertAlign w:val="subscript"/>
        </w:rPr>
        <w:t>3</w:t>
      </w:r>
      <w:r>
        <w:t>)</w:t>
      </w:r>
      <w:r>
        <w:rPr>
          <w:vertAlign w:val="subscript"/>
        </w:rPr>
        <w:t>2</w:t>
      </w:r>
      <w:r>
        <w:t>+ ZnI</w:t>
      </w:r>
      <w:r>
        <w:rPr>
          <w:vertAlign w:val="subscript"/>
        </w:rPr>
        <w:t>2</w:t>
      </w:r>
      <w:r>
        <w:t>+ ZnBr</w:t>
      </w:r>
      <w:r>
        <w:rPr>
          <w:vertAlign w:val="subscript"/>
        </w:rPr>
        <w:t>2</w:t>
      </w:r>
      <w:r>
        <w:t>electrolyte, achieving ∼200 mAh g</w:t>
      </w:r>
      <w:r>
        <w:t xml:space="preserve"> </w:t>
      </w:r>
      <w:r>
        <w:t>−1</w:t>
      </w:r>
      <w:r>
        <w:t xml:space="preserve"> </w:t>
      </w:r>
      <w:r>
        <w:t>at 30 A g</w:t>
      </w:r>
      <w:r>
        <w:t xml:space="preserve"> </w:t>
      </w:r>
      <w:r>
        <w:t>−1</w:t>
      </w:r>
      <w:r>
        <w:t xml:space="preserve"> </w:t>
      </w:r>
      <w:r>
        <w:t>for &amp;gt; 22 000 cycles. This approach advances high‐energy, long‐life ZHBs through pseudocapacitive interfacial chemistry.</w:t>
      </w:r>
    </w:p>
    <w:p>
      <w:pPr>
        <w:spacing w:before="120" w:after="120"/>
      </w:pPr>
      <w:r>
        <w:rPr>
          <w:sz w:val="18"/>
        </w:rPr>
        <w:t>——————————————————————————————————————————————————————————————————————</w:t>
      </w:r>
    </w:p>
    <w:p>
      <w:pPr>
        <w:spacing w:before="160" w:after="40" w:line="240" w:lineRule="auto"/>
      </w:pPr>
      <w:r>
        <w:rPr>
          <w:b/>
        </w:rPr>
        <w:t xml:space="preserve">[4] </w:t>
      </w:r>
      <w:hyperlink r:id="rId126">
        <w:r>
          <w:rPr>
            <w:color w:val="1155CC"/>
            <w:u w:val="single"/>
          </w:rPr>
          <w:t>提高全钒液流电池在宽温度范围内的性能：电极、膜和电解质的机制、挑战和优化策略</w:t>
        </w:r>
      </w:hyperlink>
    </w:p>
    <w:p>
      <w:pPr>
        <w:spacing w:before="0" w:after="80"/>
      </w:pPr>
      <w:r>
        <w:rPr>
          <w:i/>
          <w:sz w:val="20"/>
        </w:rPr>
        <w:t>EN: Enhancing Redox Flow Battery Performance Across Wide Temperature Ranges: Mechanisms, Challenges, and Optimization Strategies for Electrodes, Membranes, and Electrolytes</w:t>
      </w:r>
    </w:p>
    <w:p>
      <w:pPr>
        <w:spacing w:before="0" w:after="120"/>
      </w:pPr>
      <w:r>
        <w:rPr>
          <w:b/>
        </w:rPr>
        <w:t xml:space="preserve">Source: </w:t>
      </w:r>
      <w:r>
        <w:t>RSC - Energy Environ. Sci. latest articles</w:t>
      </w:r>
      <w:r>
        <w:t xml:space="preserve">    </w:t>
      </w:r>
      <w:r>
        <w:rPr>
          <w:b/>
        </w:rPr>
        <w:t xml:space="preserve">Pub date: </w:t>
      </w:r>
      <w:r>
        <w:t>2026-04-20 23:00:00+00:00</w:t>
      </w:r>
    </w:p>
    <w:p>
      <w:pPr>
        <w:spacing w:before="0" w:after="120"/>
      </w:pPr>
      <w:r>
        <w:rPr>
          <w:b/>
        </w:rPr>
        <w:t xml:space="preserve">Notes: </w:t>
      </w:r>
      <w:r>
        <w:t>abstract_source=rsc_html</w:t>
      </w:r>
    </w:p>
    <w:p>
      <w:pPr>
        <w:spacing w:before="0" w:after="80" w:lineRule="auto" w:line="276"/>
      </w:pPr>
      <w:r>
        <w:rPr>
          <w:b/>
        </w:rPr>
        <w:t xml:space="preserve">摘要（ZH）: </w:t>
      </w:r>
      <w:r>
        <w:t>氧化还原液流电池（RFBs）由于其安全性、长时间储能能力、延长的循环寿命和选址灵活性，越来越被认为是大规模储能的理想选择。然而，其实际应用受到对宽温度范围适应性差的显著阻碍。高温（&gt;45 ℃）可能导致活性材料沉淀、膜降解和副反应增加，而低温（</w:t>
      </w:r>
    </w:p>
    <w:p>
      <w:pPr>
        <w:spacing w:before="0" w:after="200" w:lineRule="auto" w:line="276"/>
      </w:pPr>
      <w:r>
        <w:rPr>
          <w:b/>
        </w:rPr>
        <w:t xml:space="preserve">Abstract (EN): </w:t>
      </w:r>
      <w:r>
        <w:t>Redox flow batteries (RFBs) are increasingly recognized as ideal candidates for largescale energy storage due to their safety, long-duration storage capabilities, extended cycle life, and flexibility in site selection. However, their practical applications are significantly hindered by poor adaptability to wide temperature ranges. Elevated temperatures (&gt;45 ℃) can cause precipitation of active materials, membrane degradation, and increased side reactions, while low temperatures (</w:t>
      </w:r>
    </w:p>
    <w:p>
      <w:pPr>
        <w:spacing w:before="120" w:after="120"/>
      </w:pPr>
      <w:r>
        <w:rPr>
          <w:sz w:val="18"/>
        </w:rPr>
        <w:t>——————————————————————————————————————————————————————————————————————</w:t>
      </w:r>
    </w:p>
    <w:p>
      <w:pPr>
        <w:spacing w:before="160" w:after="40" w:line="240" w:lineRule="auto"/>
      </w:pPr>
      <w:r>
        <w:rPr>
          <w:b/>
        </w:rPr>
        <w:t xml:space="preserve">[5] </w:t>
      </w:r>
      <w:hyperlink r:id="rId127">
        <w:r>
          <w:rPr>
            <w:color w:val="1155CC"/>
            <w:u w:val="single"/>
          </w:rPr>
          <w:t>电活性金属有机框架实现单向电化学电容器和逻辑门 (MOF‐CAPode)</w:t>
        </w:r>
      </w:hyperlink>
    </w:p>
    <w:p>
      <w:pPr>
        <w:spacing w:before="0" w:after="80"/>
      </w:pPr>
      <w:r>
        <w:rPr>
          <w:i/>
          <w:sz w:val="20"/>
        </w:rPr>
        <w:t>EN: Electroactive Metal–Organic Frameworks Enabling Unidirectional Electrochemical Capacitors and Logic Gates (MOF‐CAPode)</w:t>
      </w:r>
    </w:p>
    <w:p>
      <w:pPr>
        <w:spacing w:before="0" w:after="120"/>
      </w:pPr>
      <w:r>
        <w:rPr>
          <w:b/>
        </w:rPr>
        <w:t xml:space="preserve">Source: </w:t>
      </w:r>
      <w:r>
        <w:t>Wiley: Angewandte Chemie International Edition: Table of Contents</w:t>
      </w:r>
      <w:r>
        <w:t xml:space="preserve">    </w:t>
      </w:r>
      <w:r>
        <w:rPr>
          <w:b/>
        </w:rPr>
        <w:t xml:space="preserve">Pub date: </w:t>
      </w:r>
      <w:r>
        <w:t>2026-04-21 10:25:34+00:00</w:t>
      </w:r>
      <w:r>
        <w:t xml:space="preserve">    </w:t>
      </w:r>
      <w:r>
        <w:rPr>
          <w:b/>
        </w:rPr>
        <w:t xml:space="preserve">DOI: </w:t>
      </w:r>
      <w:hyperlink r:id="rId128">
        <w:r>
          <w:rPr>
            <w:color w:val="1155CC"/>
            <w:u w:val="single"/>
          </w:rPr>
          <w:t>10.1002/anie.2048229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从概念到实现，报告了将多孔氧化还原活性金属有机框架（MOFs）集成到不对称电化学电容器中以组装电化学电容二极管（CAPodes）。CAPodes 是二极管的创新电化学电容器模拟器，旨在用于单向电荷存储和逻辑门应用。新型设备故意利用两种具有特征氧化还原电位的不同电活性金属有机框架，分别作为正极或负极极化电极材料。这里展示的第一个概念验证设备利用了</w:t>
      </w:r>
      <w:r>
        <w:t xml:space="preserve"> </w:t>
      </w:r>
      <w:r>
        <w:t>N,N,N',N'</w:t>
      </w:r>
      <w:r>
        <w:t xml:space="preserve"> </w:t>
      </w:r>
      <w:r>
        <w:t>‐be 氧化时的 Chichibabin 类双自由基形成。</w:t>
      </w:r>
    </w:p>
    <w:p>
      <w:pPr>
        <w:spacing w:before="0" w:after="200" w:lineRule="auto" w:line="276"/>
      </w:pPr>
      <w:r>
        <w:rPr>
          <w:b/>
        </w:rPr>
        <w:t xml:space="preserve">Abstract (EN): </w:t>
      </w:r>
      <w:r>
        <w:t>From concept to realization, the integration of porous redox‐active metal–organic frameworks (MOFs) into asymmetric electrochemical capacitors for the assembly of electrochemical capacitor‐diodes (CAPodes) is reported. CAPodes are innovative electrochemical capacitor analogues of diodes, designed for unidirectional charge storage and logic gate applications. The novel devices deliberately utilize two distinct electroactive metal–organic frameworks with characteristic redox potentials acting as positively or negatively polarizable electrode materials, respectively. The first proof‐of‐concept devices presented here make use of the Chichibabin‐like diradicaloid formation upon oxidation of the</w:t>
      </w:r>
      <w:r>
        <w:t xml:space="preserve"> </w:t>
      </w:r>
      <w:r>
        <w:t>N,N,N',N'</w:t>
      </w:r>
      <w:r>
        <w:t xml:space="preserve"> </w:t>
      </w:r>
      <w:r>
        <w:t>‐benzidinetetrabenzoate linker in DUT‐65/66 and</w:t>
      </w:r>
      <w:r>
        <w:t xml:space="preserve"> </w:t>
      </w:r>
      <w:r>
        <w:t>N,N,N',N'</w:t>
      </w:r>
      <w:r>
        <w:t xml:space="preserve"> </w:t>
      </w:r>
      <w:r>
        <w:t>‐(1,4‐phenylenebis‐(azanetriyl))‐tetrabenzoate in DUT‐232/233 at high oxidation potentials as a positively polarizable electrode material paired with the highly reversible two‐step reduction in Zn(ndi) (ndi</w:t>
      </w:r>
      <w:r>
        <w:rPr>
          <w:vertAlign w:val="subscript"/>
        </w:rPr>
        <w:t>2</w:t>
      </w:r>
      <w:r>
        <w:t>−</w:t>
      </w:r>
      <w:r>
        <w:t>= 1,4‐bis[(3,5‐dimethyl)‐pyrazolate‐4‐yl]naphthalene‐diimide). The novel porous MOF‐CAPode achieves a remarkable figure of merit with rectification ratios (RR) up to</w:t>
      </w:r>
      <w:r>
        <w:t xml:space="preserve"> </w:t>
      </w:r>
      <w:r>
        <w:t>RR</w:t>
      </w:r>
      <w:r>
        <w:t xml:space="preserve"> </w:t>
      </w:r>
      <w:r>
        <w:t>I</w:t>
      </w:r>
      <w:r>
        <w:t xml:space="preserve"> </w:t>
      </w:r>
      <w:r>
        <w:t>= 23 and</w:t>
      </w:r>
      <w:r>
        <w:t xml:space="preserve"> </w:t>
      </w:r>
      <w:r>
        <w:t>RR</w:t>
      </w:r>
      <w:r>
        <w:t xml:space="preserve"> </w:t>
      </w:r>
      <w:r>
        <w:t>II</w:t>
      </w:r>
      <w:r>
        <w:t xml:space="preserve"> </w:t>
      </w:r>
      <w:r>
        <w:t>= 94% at 10 mV s</w:t>
      </w:r>
      <w:r>
        <w:t xml:space="preserve"> </w:t>
      </w:r>
      <w:r>
        <w:t>−1</w:t>
      </w:r>
      <w:r>
        <w:t xml:space="preserve"> </w:t>
      </w:r>
      <w:r>
        <w:t>. The new MOF‐based CAPodes operate efficiently in “AND” and “OR” logic gates, demonstrating logic operation under varying input voltages up to 3.0 V and frequencies of up to 40 mHz.</w:t>
      </w:r>
    </w:p>
    <w:p>
      <w:pPr>
        <w:spacing w:before="120" w:after="120"/>
      </w:pPr>
      <w:r>
        <w:rPr>
          <w:sz w:val="18"/>
        </w:rPr>
        <w:t>——————————————————————————————————————————————————————————————————————</w:t>
      </w:r>
    </w:p>
    <w:p>
      <w:pPr>
        <w:spacing w:before="160" w:after="40" w:line="240" w:lineRule="auto"/>
      </w:pPr>
      <w:r>
        <w:rPr>
          <w:b/>
        </w:rPr>
        <w:t xml:space="preserve">[6] </w:t>
      </w:r>
      <w:hyperlink r:id="rId129">
        <w:r>
          <w:rPr>
            <w:color w:val="1155CC"/>
            <w:u w:val="single"/>
          </w:rPr>
          <w:t>在开环流动电池中耦合能量存储的己二酸光电合成</w:t>
        </w:r>
      </w:hyperlink>
    </w:p>
    <w:p>
      <w:pPr>
        <w:spacing w:before="0" w:after="80"/>
      </w:pPr>
      <w:r>
        <w:rPr>
          <w:i/>
          <w:sz w:val="20"/>
        </w:rPr>
        <w:t>EN: Photoelectrosynthesis of adipic acid coupled with energy storage in an open-loop flow battery</w:t>
      </w:r>
    </w:p>
    <w:p>
      <w:pPr>
        <w:spacing w:before="0" w:after="120"/>
      </w:pPr>
      <w:r>
        <w:rPr>
          <w:b/>
        </w:rPr>
        <w:t xml:space="preserve">Source: </w:t>
      </w:r>
      <w:r>
        <w:t>National Science Review Advance Access</w:t>
      </w:r>
      <w:r>
        <w:t xml:space="preserve">    </w:t>
      </w:r>
      <w:r>
        <w:rPr>
          <w:b/>
        </w:rPr>
        <w:t xml:space="preserve">Pub date: </w:t>
      </w:r>
      <w:r>
        <w:t>2026-04-22 00:00:00+00:00</w:t>
      </w:r>
      <w:r>
        <w:t xml:space="preserve">    </w:t>
      </w:r>
      <w:r>
        <w:rPr>
          <w:b/>
        </w:rPr>
        <w:t xml:space="preserve">DOI: </w:t>
      </w:r>
      <w:hyperlink r:id="rId130">
        <w:r>
          <w:rPr>
            <w:color w:val="1155CC"/>
            <w:u w:val="single"/>
          </w:rPr>
          <w:t>10.1093/nsr/nwag236</w:t>
        </w:r>
      </w:hyperlink>
    </w:p>
    <w:p>
      <w:pPr>
        <w:spacing w:before="0" w:after="120"/>
      </w:pPr>
      <w:r>
        <w:rPr>
          <w:b/>
        </w:rPr>
        <w:t xml:space="preserve">Notes: </w:t>
      </w:r>
      <w:r>
        <w:t>abstract_source=rss_oup</w:t>
      </w:r>
    </w:p>
    <w:p>
      <w:pPr>
        <w:spacing w:before="0" w:after="80" w:lineRule="auto" w:line="276"/>
      </w:pPr>
      <w:r>
        <w:rPr>
          <w:b/>
        </w:rPr>
        <w:t xml:space="preserve">摘要（ZH）: </w:t>
      </w:r>
      <w:r>
        <w:t>环己酮（CYC）到己二酸的光电化学（PEC）氧化提供了一种新的可持续合成方法，而高效和选择性转化仍然是一个重大挑战。此外，传统的PEC系统通常需要阳光和外部偏压以确保化学品的高效和稳定生产，导致能量利用效率低和单一应用场景。在此，我们通过用NiFeCu（氧）氢氧化物（NiFeCu(OH)2/TiO2）修饰TiO2纳米棒阵列，构建了一个高性能光阳极，用于从CYC合成己二酸，实现了5.6 μmol cm−2 h−1的己二酸产量，在1.0 V vs. RHE下选择性达到约95%，优于已报道的PEC CYC氧化为己二酸的选择性</w:t>
      </w:r>
    </w:p>
    <w:p>
      <w:pPr>
        <w:spacing w:before="0" w:after="200" w:lineRule="auto" w:line="276"/>
      </w:pPr>
      <w:r>
        <w:rPr>
          <w:b/>
        </w:rPr>
        <w:t xml:space="preserve">Abstract (EN): </w:t>
      </w:r>
      <w:r>
        <w:t>Photoelectrochemical (PEC) oxidation of cyclohexanone (CYC) to adipic acid offers a new sustainable synthesis approach, while efficient and selective transformation continues to pose a significant challenge. Moreover, traditional PEC systems typically require both sunlight and an external bias to ensure efficient and stable chemicals production, resulting in low energy utilization efficiency and onefold application scenarios. Herein, we construct a high-performance photoanode for PEC synthesis of adipic acid from CYC by modifying TiO2 nanorods array with NiFeCu (oxy)hydroxides (NiFeCu(OH)2/TiO2), achieving 5.6 μmol cm−2 h−1 adipic acid production with ∼95% high selectivity at 1.0 V vs. RHE, outperforming the selectivity of the reported works for PEC CYC oxidation to adipic acid at low applied potentials. We demonstrated that the Cu modification in NiFe(OH)2/TiO2 promotes the generation of adsorbed hydroxyl radicals (OH*) to form reactive Ni/Fe2+δ</w:t>
      </w:r>
    </w:p>
    <w:p>
      <w:pPr>
        <w:spacing w:before="120" w:after="120"/>
      </w:pPr>
      <w:r>
        <w:rPr>
          <w:sz w:val="18"/>
        </w:rPr>
        <w:t>——————————————————————————————————————————————————————————————————————</w:t>
      </w:r>
    </w:p>
    <w:p>
      <w:pPr>
        <w:spacing w:before="160" w:after="40" w:line="240" w:lineRule="auto"/>
      </w:pPr>
      <w:r>
        <w:rPr>
          <w:b/>
        </w:rPr>
        <w:t xml:space="preserve">[7] </w:t>
      </w:r>
      <w:hyperlink r:id="rId131">
        <w:r>
          <w:rPr>
            <w:color w:val="1155CC"/>
            <w:u w:val="single"/>
          </w:rPr>
          <w:t>MXene结构的孔隙工程：迈向高性能水系电化学能量存储</w:t>
        </w:r>
      </w:hyperlink>
    </w:p>
    <w:p>
      <w:pPr>
        <w:spacing w:before="0" w:after="80"/>
      </w:pPr>
      <w:r>
        <w:rPr>
          <w:i/>
          <w:sz w:val="20"/>
        </w:rPr>
        <w:t>EN: Porosity Engineering of MXene Architectures: Toward High‐Performance Aqueous Electrochemical Energy Storage</w:t>
      </w:r>
    </w:p>
    <w:p>
      <w:pPr>
        <w:spacing w:before="0" w:after="120"/>
      </w:pPr>
      <w:r>
        <w:rPr>
          <w:b/>
        </w:rPr>
        <w:t xml:space="preserve">Source: </w:t>
      </w:r>
      <w:r>
        <w:t>Wiley: Advanced Materials: Table of Contents</w:t>
      </w:r>
      <w:r>
        <w:t xml:space="preserve">    </w:t>
      </w:r>
      <w:r>
        <w:rPr>
          <w:b/>
        </w:rPr>
        <w:t xml:space="preserve">Pub date: </w:t>
      </w:r>
      <w:r>
        <w:t>2026-04-22 05:30:37+00:00</w:t>
      </w:r>
      <w:r>
        <w:t xml:space="preserve">    </w:t>
      </w:r>
      <w:r>
        <w:rPr>
          <w:b/>
        </w:rPr>
        <w:t xml:space="preserve">DOI: </w:t>
      </w:r>
      <w:hyperlink r:id="rId132">
        <w:r>
          <w:rPr>
            <w:color w:val="1155CC"/>
            <w:u w:val="single"/>
          </w:rPr>
          <w:t>10.1002/adma.202515392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电化学储能系统（EESs）因其固有的安全性、环境友好性和快速充放电能力而受到越来越多的关注，使其成为下一代可持续能源技术的有前途的候选者。在各种电极材料中，MXenes因其优异的电导率、层状结构和可调节的表面功能而特别吸引人。然而，其实际应用仍受到纳米片堆叠、离子可达性有限和结构不稳定等问题的阻碍。孔隙工程已成为通过扩展离子扩散路径、增加电活性位点的暴露来缓解这些问题的关键策略，并增强</w:t>
      </w:r>
    </w:p>
    <w:p>
      <w:pPr>
        <w:spacing w:before="0" w:after="200" w:lineRule="auto" w:line="276"/>
      </w:pPr>
      <w:r>
        <w:rPr>
          <w:b/>
        </w:rPr>
        <w:t xml:space="preserve">Abstract (EN): </w:t>
      </w:r>
      <w:r>
        <w:t>Aqueous electrochemical energy storage systems (EESs) have garnered growing attention due to their inherent safety, environmental friendliness, and rapid charge–discharge capabilities, positioning them as promising candidates for next‐generation sustainable energy technologies. Among various electrode materials, MXenes are particularly appealing owing to their excellent electrical conductivity, layered structure, and tunable surface functionalities. However, their practical application is still hindered by issues such as nanosheet restacking, limited ion accessibility, and structural instability. Porosity engineering has emerged as a key strategy to mitigate these issues by expanding ion diffusion pathways, increasing the exposure of electroactive sites, and enhancing structural robustness. This review first outlines the structural features, porosity characteristics, and charge storage mechanisms of MXenes in aqueous EESs. It then provides a systematic overview of porosity engineering strategies, including chemically engineered porosification, functionalization‐induced porosification, energy field‐assisted porosification, template‐assisted porosification, integration with porous functional components, self‐assembly/self‐supporting‐driven porosification, and advanced manufacturing techniques. Furthermore, the impact of porosity modulation on the redox electrochemistry of MXenes is critically discussed to elucidate structure–property relationships across diverse aqueous EESs (including alkali‐metal‐ion batteries, multivalent‐metal‐ion batteries, and supercapacitors). Finally, existing contradictions, challenges, and future directions for designing porous MXene architectures are presented to accelerate their practical development in aqueous EESs.</w:t>
      </w:r>
    </w:p>
    <w:p>
      <w:pPr>
        <w:spacing w:before="120" w:after="120"/>
      </w:pPr>
      <w:r>
        <w:rPr>
          <w:sz w:val="18"/>
        </w:rPr>
        <w:t>——————————————————————————————————————————————————————————————————————</w:t>
      </w:r>
    </w:p>
    <w:p>
      <w:pPr>
        <w:spacing w:before="160" w:after="40" w:line="240" w:lineRule="auto"/>
      </w:pPr>
      <w:r>
        <w:rPr>
          <w:b/>
        </w:rPr>
        <w:t xml:space="preserve">[8] </w:t>
      </w:r>
      <w:hyperlink r:id="rId133">
        <w:r>
          <w:rPr>
            <w:color w:val="1155CC"/>
            <w:u w:val="single"/>
          </w:rPr>
          <w:t>阳极和阴极的协同双界面工程实现高性能海水基Zn–卤素电池</w:t>
        </w:r>
      </w:hyperlink>
    </w:p>
    <w:p>
      <w:pPr>
        <w:spacing w:before="0" w:after="80"/>
      </w:pPr>
      <w:r>
        <w:rPr>
          <w:i/>
          <w:sz w:val="20"/>
        </w:rPr>
        <w:t>EN: Synergistic Dual‐Interface Engineering of Anode and Cathode Enabling High‐Performance Seawater‐Based Zn–Halogen Batteries</w:t>
      </w:r>
    </w:p>
    <w:p>
      <w:pPr>
        <w:spacing w:before="0" w:after="120"/>
      </w:pPr>
      <w:r>
        <w:rPr>
          <w:b/>
        </w:rPr>
        <w:t xml:space="preserve">Source: </w:t>
      </w:r>
      <w:r>
        <w:t>Wiley: Advanced Materials: Table of Contents</w:t>
      </w:r>
      <w:r>
        <w:t xml:space="preserve">    </w:t>
      </w:r>
      <w:r>
        <w:rPr>
          <w:b/>
        </w:rPr>
        <w:t xml:space="preserve">Pub date: </w:t>
      </w:r>
      <w:r>
        <w:t>2026-04-22 05:32:15+00:00</w:t>
      </w:r>
      <w:r>
        <w:t xml:space="preserve">    </w:t>
      </w:r>
      <w:r>
        <w:rPr>
          <w:b/>
        </w:rPr>
        <w:t xml:space="preserve">DOI: </w:t>
      </w:r>
      <w:hyperlink r:id="rId134">
        <w:r>
          <w:rPr>
            <w:color w:val="1155CC"/>
            <w:u w:val="single"/>
          </w:rPr>
          <w:t>10.1002/adma.73130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海水锌卤电池（SZHBs）受到与水相关的副反应和阳极上的Cl</w:t>
      </w:r>
      <w:r>
        <w:t xml:space="preserve"> </w:t>
      </w:r>
      <w:r>
        <w:t>−</w:t>
      </w:r>
      <w:r>
        <w:t>点蚀的影响，同时在正极上出现多卤素物种穿梭、动力学缓慢和I</w:t>
      </w:r>
      <w:r>
        <w:t xml:space="preserve"> </w:t>
      </w:r>
      <w:r>
        <w:t>+</w:t>
      </w:r>
      <w:r>
        <w:t xml:space="preserve"> </w:t>
      </w:r>
      <w:r>
        <w:t>水解的问题。在此，提出了一种双界面改性策略，以调节正极和阳极的微环境，提高SZHBs的电化学性能。在阳极，形成有机-无机混合固体电解质界面，防止水和Cl</w:t>
      </w:r>
      <w:r>
        <w:t xml:space="preserve"> </w:t>
      </w:r>
      <w:r>
        <w:t>−</w:t>
      </w:r>
      <w:r>
        <w:t>接触电极，同时确保Zn</w:t>
      </w:r>
      <w:r>
        <w:t xml:space="preserve"> </w:t>
      </w:r>
      <w:r>
        <w:t>2+</w:t>
      </w:r>
      <w:r>
        <w:t xml:space="preserve"> </w:t>
      </w:r>
      <w:r>
        <w:t>的均匀沉积。</w:t>
      </w:r>
    </w:p>
    <w:p>
      <w:pPr>
        <w:spacing w:before="0" w:after="200" w:lineRule="auto" w:line="276"/>
      </w:pPr>
      <w:r>
        <w:rPr>
          <w:b/>
        </w:rPr>
        <w:t xml:space="preserve">Abstract (EN): </w:t>
      </w:r>
      <w:r>
        <w:t>Seawater zinc‐halogen batteries (SZHBs) are affected by water‐related side reactions and Cl</w:t>
      </w:r>
      <w:r>
        <w:t xml:space="preserve"> </w:t>
      </w:r>
      <w:r>
        <w:t>−</w:t>
      </w:r>
      <w:r>
        <w:t>pitting corrosion on the anode, while problems arise from polyhaline species shuttle, sluggish kinetics, and I</w:t>
      </w:r>
      <w:r>
        <w:t xml:space="preserve"> </w:t>
      </w:r>
      <w:r>
        <w:t>+</w:t>
      </w:r>
      <w:r>
        <w:t xml:space="preserve"> </w:t>
      </w:r>
      <w:r>
        <w:t>hydrolysis on the cathode. Herein, a dual‐interface modification strategy is proposed to regulate the microenvironment of the cathode and anode, improving the electrochemical performance of SZHBs. At the anode, the formation of an organic–inorganic hybrid solid electrolyte interphase prevents water and Cl</w:t>
      </w:r>
      <w:r>
        <w:t xml:space="preserve"> </w:t>
      </w:r>
      <w:r>
        <w:t>−</w:t>
      </w:r>
      <w:r>
        <w:t>from contacting the electrode while ensuring uniform deposition of Zn</w:t>
      </w:r>
      <w:r>
        <w:t xml:space="preserve"> </w:t>
      </w:r>
      <w:r>
        <w:t>2+</w:t>
      </w:r>
      <w:r>
        <w:t xml:space="preserve"> </w:t>
      </w:r>
      <w:r>
        <w:t>. At the cathode, the shuttling and conversion behaviours of I</w:t>
      </w:r>
      <w:r>
        <w:rPr>
          <w:vertAlign w:val="subscript"/>
        </w:rPr>
        <w:t>3</w:t>
      </w:r>
      <w:r>
        <w:t>−</w:t>
      </w:r>
      <w:r>
        <w:t>are modulated by electrostatic forces introduced via additives acting on I</w:t>
      </w:r>
      <w:r>
        <w:rPr>
          <w:vertAlign w:val="subscript"/>
        </w:rPr>
        <w:t>3</w:t>
      </w:r>
      <w:r>
        <w:t>−</w:t>
      </w:r>
      <w:r>
        <w:t>. Lewis base sites and multi‐site hydrogen bonds simultaneously regulate the activity of I</w:t>
      </w:r>
      <w:r>
        <w:t xml:space="preserve"> </w:t>
      </w:r>
      <w:r>
        <w:t>+</w:t>
      </w:r>
      <w:r>
        <w:t xml:space="preserve"> </w:t>
      </w:r>
      <w:r>
        <w:t>and water, inhibiting the hydrolysis of I</w:t>
      </w:r>
      <w:r>
        <w:t xml:space="preserve"> </w:t>
      </w:r>
      <w:r>
        <w:t>+</w:t>
      </w:r>
      <w:r>
        <w:t xml:space="preserve"> </w:t>
      </w:r>
      <w:r>
        <w:t>. Improving the stability of dual‐interface enables Zn||I</w:t>
      </w:r>
      <w:r>
        <w:rPr>
          <w:vertAlign w:val="subscript"/>
        </w:rPr>
        <w:t>2</w:t>
      </w:r>
      <w:r>
        <w:t>pouch cells to maintain the high average capacity of 1.545 Ah after 250 cycles with a high energy density of 249 Wh kg</w:t>
      </w:r>
      <w:r>
        <w:t xml:space="preserve"> </w:t>
      </w:r>
      <w:r>
        <w:t>−1</w:t>
      </w:r>
      <w:r>
        <w:t xml:space="preserve"> </w:t>
      </w:r>
      <w:r>
        <w:t>based on cathode material in the modified aqueous electrolyte, and run 120 cycles in the modified seawater electrolyte. The electrochemical performance of Zn‐bromine batteries is significantly enhanced in a modified seawater electrolyte. This study achieved Ah‐level SZHBs pouch cells, opening a new pathway toward the practical application of seawater batteries.</w:t>
      </w:r>
    </w:p>
    <w:p>
      <w:pPr>
        <w:spacing w:before="120" w:after="120"/>
      </w:pPr>
      <w:r>
        <w:rPr>
          <w:sz w:val="18"/>
        </w:rPr>
        <w:t>——————————————————————————————————————————————————————————————————————</w:t>
      </w:r>
    </w:p>
    <w:p>
      <w:pPr>
        <w:spacing w:before="160" w:after="40" w:line="240" w:lineRule="auto"/>
      </w:pPr>
      <w:r>
        <w:rPr>
          <w:b/>
        </w:rPr>
        <w:t xml:space="preserve">[9] </w:t>
      </w:r>
      <w:hyperlink r:id="rId135">
        <w:r>
          <w:rPr>
            <w:color w:val="1155CC"/>
            <w:u w:val="single"/>
          </w:rPr>
          <w:t>通过π sp-p 键合捐赠激活碘化锌的sp杂化实现Ah级别的海水基可穿戴锌-碘袋电池</w:t>
        </w:r>
      </w:hyperlink>
    </w:p>
    <w:p>
      <w:pPr>
        <w:spacing w:before="0" w:after="80"/>
      </w:pPr>
      <w:r>
        <w:rPr>
          <w:i/>
          <w:sz w:val="20"/>
        </w:rPr>
        <w:t>EN: Activating sp Hybridization of Zinc Iodide via π sp-p Bonding Donation Enables Ah-Level Seawater-based Wearable Zinc-Iodine Pouch Cells</w:t>
      </w:r>
    </w:p>
    <w:p>
      <w:pPr>
        <w:spacing w:before="0" w:after="120"/>
      </w:pPr>
      <w:r>
        <w:rPr>
          <w:b/>
        </w:rPr>
        <w:t xml:space="preserve">Source: </w:t>
      </w:r>
      <w:r>
        <w:t>RSC - Energy Environ. Sci. latest articles</w:t>
      </w:r>
      <w:r>
        <w:t xml:space="preserve">    </w:t>
      </w:r>
      <w:r>
        <w:rPr>
          <w:b/>
        </w:rPr>
        <w:t xml:space="preserve">Pub date: </w:t>
      </w:r>
      <w:r>
        <w:t>2026-04-22 23:00:00+00:00</w:t>
      </w:r>
    </w:p>
    <w:p>
      <w:pPr>
        <w:spacing w:before="0" w:after="120"/>
      </w:pPr>
      <w:r>
        <w:rPr>
          <w:b/>
        </w:rPr>
        <w:t xml:space="preserve">Notes: </w:t>
      </w:r>
      <w:r>
        <w:t>abstract_source=rsc_html</w:t>
      </w:r>
    </w:p>
    <w:p>
      <w:pPr>
        <w:spacing w:before="0" w:after="80" w:lineRule="auto" w:line="276"/>
      </w:pPr>
      <w:r>
        <w:rPr>
          <w:b/>
        </w:rPr>
        <w:t xml:space="preserve">摘要（ZH）: </w:t>
      </w:r>
      <w:r>
        <w:t>基于海水的锌-碘电池因其固有的安全性、低成本和丰富的电解质资源而在海洋能量存储、海上可再生能源整合、深海机器人电源供应方面具有前景。然而，其实际应用受到复杂海水电解质中锌阳极不稳定性的限制，这加速了腐蚀和枝晶生长，以及碘阴极的缓慢动力学和严重的多碘化物迁移，导致可逆性差。在此，我们开发了一种多功能催化策略，通过钝化保护同时稳定锌-电解质界面，并通过杂化πsp-p轨道相互作用激活碘的氧化还原化学，实现高效的锌-碘转化，同时抑制寄生多碘化物反应。</w:t>
      </w:r>
    </w:p>
    <w:p>
      <w:pPr>
        <w:spacing w:before="0" w:after="200" w:lineRule="auto" w:line="276"/>
      </w:pPr>
      <w:r>
        <w:rPr>
          <w:b/>
        </w:rPr>
        <w:t xml:space="preserve">Abstract (EN): </w:t>
      </w:r>
      <w:r>
        <w:t>Seawater-based zinc-iodine batteries are promising for marine energy storage, offshore renewable integration, deep-sea robot power supply owing to their intrinsic safety, low cost and abundant electrolyte resources. Their practical deployment, however, is limited by zinc anode instability in complex seawater electrolytes, which accelerates corrosion and dendrite growth, and by iodine cathodes with sluggish kinetics and severe polyiodide migration, resulting in poor reversibility. Here we develop a multifunctional catalytic strategy that simultaneously stabilizes the zinc-electrolyte interface via passivation protection and activates iodine redox chemistry through hybridized πsp-p orbital interactions, enabling efficient zinc-iodine conversion while suppressing parasitic polyiodide reactions. Consequently, flexible the modified cells retain a stable capacity of 130 mAh/g over 25000 cycles and deliver Ah-level capacities of 1.01 Ah and 0.41 Ah with 100 and 2700 cycles, respectively, while maintaining mechanical robustness and stable operation from 0 to 25 oC, underscoring their potential for practical seawater-based batteries toward offshore energy storage.</w:t>
      </w:r>
    </w:p>
    <w:p>
      <w:pPr>
        <w:spacing w:before="120" w:after="120"/>
      </w:pPr>
      <w:r>
        <w:rPr>
          <w:sz w:val="18"/>
        </w:rPr>
        <w:t>——————————————————————————————————————————————————————————————————————</w:t>
      </w:r>
    </w:p>
    <w:p>
      <w:pPr>
        <w:spacing w:before="160" w:after="40" w:line="240" w:lineRule="auto"/>
      </w:pPr>
      <w:r>
        <w:rPr>
          <w:b/>
        </w:rPr>
        <w:t xml:space="preserve">[10] </w:t>
      </w:r>
      <w:hyperlink r:id="rId136">
        <w:r>
          <w:rPr>
            <w:color w:val="1155CC"/>
            <w:u w:val="single"/>
          </w:rPr>
          <w:t>通过多功能交替纳米层压涂层实现聚合物介电材料的优异高温电容性能</w:t>
        </w:r>
      </w:hyperlink>
    </w:p>
    <w:p>
      <w:pPr>
        <w:spacing w:before="0" w:after="80"/>
      </w:pPr>
      <w:r>
        <w:rPr>
          <w:i/>
          <w:sz w:val="20"/>
        </w:rPr>
        <w:t>EN: Enabling superior high-temperature capacitive performance in polymer dielectrics by multifunctional alternating nanolaminate coating</w:t>
      </w:r>
    </w:p>
    <w:p>
      <w:pPr>
        <w:spacing w:before="0" w:after="120"/>
      </w:pPr>
      <w:r>
        <w:rPr>
          <w:b/>
        </w:rPr>
        <w:t xml:space="preserve">Source: </w:t>
      </w:r>
      <w:r>
        <w:t>RSC - Energy Environ. Sci. latest articles</w:t>
      </w:r>
      <w:r>
        <w:t xml:space="preserve">    </w:t>
      </w:r>
      <w:r>
        <w:rPr>
          <w:b/>
        </w:rPr>
        <w:t xml:space="preserve">Pub date: </w:t>
      </w:r>
      <w:r>
        <w:t>2026-04-22 23:00:00+00:00</w:t>
      </w:r>
    </w:p>
    <w:p>
      <w:pPr>
        <w:spacing w:before="0" w:after="120"/>
      </w:pPr>
      <w:r>
        <w:rPr>
          <w:b/>
        </w:rPr>
        <w:t xml:space="preserve">Notes: </w:t>
      </w:r>
      <w:r>
        <w:t>abstract_source=rsc_html</w:t>
      </w:r>
    </w:p>
    <w:p>
      <w:pPr>
        <w:spacing w:before="0" w:after="80" w:lineRule="auto" w:line="276"/>
      </w:pPr>
      <w:r>
        <w:rPr>
          <w:b/>
        </w:rPr>
        <w:t xml:space="preserve">摘要（ZH）: </w:t>
      </w:r>
      <w:r>
        <w:t>在高温下实现聚合物电容器的高能量存储性能仍然是下一代电力电子设备的关键挑战，因为电极/聚合物界面的电荷注入导致的导电损耗。传统的无机阻挡层受限于带隙（Eg）和介电常数（K）之间的固有权衡。即使是提供最佳Eg和K平衡的氧化铝（Al2O3），其电荷阻挡性能也达到了材料限制的上限。在此，我们提出了一种反直觉的界面设计，通过在Al2O3阻挡框架内战略性地嵌入窄带隙、高K的氧化锆（ZrO2）纳米层来克服这一限制。一个超薄（~36 nm）的交替Al2O3/ZrO2纳米层被均匀地沉积在两个表面上。</w:t>
      </w:r>
    </w:p>
    <w:p>
      <w:pPr>
        <w:spacing w:before="0" w:after="200" w:lineRule="auto" w:line="276"/>
      </w:pPr>
      <w:r>
        <w:rPr>
          <w:b/>
        </w:rPr>
        <w:t xml:space="preserve">Abstract (EN): </w:t>
      </w:r>
      <w:r>
        <w:t>Achieving high energy‑storage performance in polymer capacitors at elevated temperatures remains a critical challenge for next‑generation power electronics, due to conduction loss caused by charge injection at electrode/polymer interfaces. Conventional inorganic barrier layers are constrained by an intrinsic trade‑off between bandgap (Eg) and permittivity (K). Even aluminum oxide (Al2O3), which offers the best balance of Eg and K, reaches a material‑limited ceiling in charge‑blocking performance. Herein, we propose a counterintuitive interfacial design that overcomes this limitation by strategically embedding narrower‑Eg, high‑K zirconium oxide (ZrO2) nanolayers within an Al2O3 barrier framework. An ultrathin (~36 nm) alternating Al2O3/ZrO2 nanolaminate was uniformly deposited on both surfaces of the polymer film via atomic layer deposition. Combined experimental and phase‑field simulation results reveal that the wide‑Eg Al2O3 outer layers provide a high injection barrier, while the embedded ZrO2 interlayers (~3 nm), with higher permittivity, introduce deep‑level charge traps and enable lateral electric‑field redistribution. This architecture integrates charge‑blocking, charge-trapping, and electric field‑modulating functions, which collectively suppress charge injection and deflect electrical‑tree propagation, thereby outperforming conventional single‑layer coatings. As a result, the nanolaminate‑coated polycarbonate achieves a record discharge energy density of 8.50 J cm-3 with an ultrahigh efficiency of 96.4% at 150 °C, surpassing all previously reported polymer‑based dielectrics. Moreover, this strategy demonstrates broad applicability across various polymer substrates, with coated films retaining excellent mechanical flexibility and uniform capacitive performance, indicating compatibility with roll‑to‑roll manufacturing. This work provides a feasible and scalable route for developing polymer dielectrics with superior high-temperature capacitive performance.</w:t>
      </w:r>
    </w:p>
    <w:p>
      <w:pPr>
        <w:spacing w:before="120" w:after="120"/>
      </w:pPr>
      <w:r>
        <w:rPr>
          <w:sz w:val="18"/>
        </w:rPr>
        <w:t>——————————————————————————————————————————————————————————————————————</w:t>
      </w:r>
    </w:p>
    <w:p>
      <w:pPr>
        <w:spacing w:before="160" w:after="40" w:line="240" w:lineRule="auto"/>
      </w:pPr>
      <w:r>
        <w:rPr>
          <w:b/>
        </w:rPr>
        <w:t xml:space="preserve">[11] </w:t>
      </w:r>
      <w:hyperlink r:id="rId137">
        <w:r>
          <w:rPr>
            <w:color w:val="1155CC"/>
            <w:u w:val="single"/>
          </w:rPr>
          <w:t>在具有Au@MOF阴极的Li−O2电池中等离子体控制反应路径的原位机制研究（Adv. Energy Mater. 16/2026）</w:t>
        </w:r>
      </w:hyperlink>
    </w:p>
    <w:p>
      <w:pPr>
        <w:spacing w:before="0" w:after="80"/>
      </w:pPr>
      <w:r>
        <w:rPr>
          <w:i/>
          <w:sz w:val="20"/>
        </w:rPr>
        <w:t>EN: In Situ Mechanistic Study of Plasmon‐Governed Reaction Pathways in Li−O2 Batteries With a Au@MOF Cathode (Adv. Energy Mater. 16/2026)</w:t>
      </w:r>
    </w:p>
    <w:p>
      <w:pPr>
        <w:spacing w:before="0" w:after="120"/>
      </w:pPr>
      <w:r>
        <w:rPr>
          <w:b/>
        </w:rPr>
        <w:t xml:space="preserve">Source: </w:t>
      </w:r>
      <w:r>
        <w:t>Wiley: Advanced Energy Materials: Table of Contents</w:t>
      </w:r>
      <w:r>
        <w:t xml:space="preserve">    </w:t>
      </w:r>
      <w:r>
        <w:rPr>
          <w:b/>
        </w:rPr>
        <w:t xml:space="preserve">Pub date: </w:t>
      </w:r>
      <w:r>
        <w:t>2026-04-23 06:54:18+00:00</w:t>
      </w:r>
      <w:r>
        <w:t xml:space="preserve">    </w:t>
      </w:r>
      <w:r>
        <w:rPr>
          <w:b/>
        </w:rPr>
        <w:t xml:space="preserve">DOI: </w:t>
      </w:r>
      <w:hyperlink r:id="rId138">
        <w:r>
          <w:rPr>
            <w:color w:val="1155CC"/>
            <w:u w:val="single"/>
          </w:rPr>
          <w:t>10.1002/aenm.70860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9">
        <w:r>
          <w:rPr>
            <w:color w:val="1155CC"/>
            <w:u w:val="single"/>
          </w:rPr>
          <w:t>开放式混合吸收压缩热泵循环的过热蒸汽生成</w:t>
        </w:r>
      </w:hyperlink>
    </w:p>
    <w:p>
      <w:pPr>
        <w:spacing w:before="0" w:after="80"/>
      </w:pPr>
      <w:r>
        <w:rPr>
          <w:i/>
          <w:sz w:val="20"/>
        </w:rPr>
        <w:t>EN: Superheated steam generation with open hybrid absorption-compression heat pump cycle</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0">
        <w:r>
          <w:rPr>
            <w:color w:val="1155CC"/>
            <w:u w:val="single"/>
          </w:rPr>
          <w:t>优化熔盐热能储存（TES）单元的容量以增强燃煤电厂的灵活性</w:t>
        </w:r>
      </w:hyperlink>
    </w:p>
    <w:p>
      <w:pPr>
        <w:spacing w:before="0" w:after="80"/>
      </w:pPr>
      <w:r>
        <w:rPr>
          <w:i/>
          <w:sz w:val="20"/>
        </w:rPr>
        <w:t>EN: Optimizing the capacity of a molten salt thermal energy storage (TES) unit for enhancing the flexibility of a coal-fired power plant</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1">
        <w:r>
          <w:rPr>
            <w:color w:val="1155CC"/>
            <w:u w:val="single"/>
          </w:rPr>
          <w:t>光热相变复合材料的结构设计与能量管理性能</w:t>
        </w:r>
      </w:hyperlink>
    </w:p>
    <w:p>
      <w:pPr>
        <w:spacing w:before="0" w:after="80"/>
      </w:pPr>
      <w:r>
        <w:rPr>
          <w:i/>
          <w:sz w:val="20"/>
        </w:rPr>
        <w:t>EN: Structural Design and Energy Management Performance of Photothermal Phase Change Composites</w:t>
      </w:r>
    </w:p>
    <w:p>
      <w:pPr>
        <w:spacing w:before="0" w:after="120"/>
      </w:pPr>
      <w:r>
        <w:rPr>
          <w:b/>
        </w:rPr>
        <w:t xml:space="preserve">Source: </w:t>
      </w:r>
      <w:r>
        <w:t>Wiley: Advanced Materials: Table of Contents</w:t>
      </w:r>
      <w:r>
        <w:t xml:space="preserve">    </w:t>
      </w:r>
      <w:r>
        <w:rPr>
          <w:b/>
        </w:rPr>
        <w:t xml:space="preserve">Pub date: </w:t>
      </w:r>
      <w:r>
        <w:t>2026-04-18 03:55:28+00:00</w:t>
      </w:r>
      <w:r>
        <w:t xml:space="preserve">    </w:t>
      </w:r>
      <w:r>
        <w:rPr>
          <w:b/>
        </w:rPr>
        <w:t xml:space="preserve">DOI: </w:t>
      </w:r>
      <w:hyperlink r:id="rId142">
        <w:r>
          <w:rPr>
            <w:color w:val="1155CC"/>
            <w:u w:val="single"/>
          </w:rPr>
          <w:t>10.1002/adma.73115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相变复合材料在太阳能转换和储存中引起了广泛关注。其性能，包括光热转换、相变热储存和热传导，关键取决于其从纳米尺度到宏观尺度的多尺度结构设计。本文综述了光热相变复合材料的结构设计原则，包括光响应异构体、连续热网络、核壳/层状异质结构、梯度功能布局和仿生分层结构等。阐明了这些结构如何以协同方式调节光吸收、热储存和热传输行为。讨论重点是整合的复合系统。</w:t>
      </w:r>
    </w:p>
    <w:p>
      <w:pPr>
        <w:spacing w:before="0" w:after="200" w:lineRule="auto" w:line="276"/>
      </w:pPr>
      <w:r>
        <w:rPr>
          <w:b/>
        </w:rPr>
        <w:t xml:space="preserve">Abstract (EN): </w:t>
      </w:r>
      <w:r>
        <w:t>Photothermal phase change composites have garnered extensive attention in solar energy conversion and storage. The performance, including photothermal conversion, phase change heat storage, and thermal conduction, depends critically on their multiscale structural design—from the nanoscale to the macroscale. This review summarizes the structural design principles for photothermal phase change composites, including photoresponsive isomer, continuous thermal networks, core–shell/layered heterostructures, gradient functional layouts, and bioinspired hierarchical architectures, etc. It elucidates how these structures regulate light absorption, heat storage, and heat transport behaviors in a synergistic manner. The discussion focuses on composite systems that integrate carbon‐based scaffolds, porous inorganic supports, phase change materials (PCMs), and molecular solar thermal fuels (STFs), covering their fabrication approaches and performance optimization mechanisms. Representative applications in solar energy utilization, building energy efficiency, electronic thermal management, and flexible wearable systems are reviewed comprehensively. Finally, the review addresses key challenges—including structural stability, scalable manufacturing, and multifunctional integration—and outlines future directions toward intelligent, sustainable, and system‐level solutions. This work provides a theoretical foundation and practical guidance for the design of high‐performance photothermal phase change composites.</w:t>
      </w:r>
    </w:p>
    <w:p>
      <w:pPr>
        <w:spacing w:before="120" w:after="120"/>
      </w:pPr>
      <w:r>
        <w:rPr>
          <w:sz w:val="18"/>
        </w:rPr>
        <w:t>——————————————————————————————————————————————————————————————————————</w:t>
      </w:r>
    </w:p>
    <w:p>
      <w:pPr>
        <w:spacing w:before="160" w:after="40" w:line="240" w:lineRule="auto"/>
      </w:pPr>
      <w:r>
        <w:rPr>
          <w:b/>
        </w:rPr>
        <w:t xml:space="preserve">[4] </w:t>
      </w:r>
      <w:hyperlink r:id="rId143">
        <w:r>
          <w:rPr>
            <w:color w:val="1155CC"/>
            <w:u w:val="single"/>
          </w:rPr>
          <w:t>深层闭环先进地热系统在未来净零瑞士电力系统中的作用</w:t>
        </w:r>
      </w:hyperlink>
    </w:p>
    <w:p>
      <w:pPr>
        <w:spacing w:before="0" w:after="80"/>
      </w:pPr>
      <w:r>
        <w:rPr>
          <w:i/>
          <w:sz w:val="20"/>
        </w:rPr>
        <w:t>EN: The role of deep closed-loop advanced geothermal systems in the future net-zero Swiss power system</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4">
        <w:r>
          <w:rPr>
            <w:color w:val="1155CC"/>
            <w:u w:val="single"/>
          </w:rPr>
          <w:t>面向热管理的全固态磁制冷装置</w:t>
        </w:r>
      </w:hyperlink>
    </w:p>
    <w:p>
      <w:pPr>
        <w:spacing w:before="0" w:after="80"/>
      </w:pPr>
      <w:r>
        <w:rPr>
          <w:i/>
          <w:sz w:val="20"/>
        </w:rPr>
        <w:t>EN: Full solid-state magnetic refrigeration device toward thermal management</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145">
        <w:r>
          <w:rPr>
            <w:color w:val="1155CC"/>
            <w:u w:val="single"/>
          </w:rPr>
          <w:t>10.1073/pnas.2534684123</w:t>
        </w:r>
      </w:hyperlink>
    </w:p>
    <w:p>
      <w:pPr>
        <w:spacing w:before="0" w:after="120"/>
      </w:pPr>
      <w:r>
        <w:rPr>
          <w:b/>
        </w:rPr>
        <w:t xml:space="preserve">Notes: </w:t>
      </w:r>
      <w:r>
        <w:t>abstract_source=crossref</w:t>
      </w:r>
    </w:p>
    <w:p>
      <w:pPr>
        <w:spacing w:before="0" w:after="80" w:lineRule="auto" w:line="276"/>
      </w:pPr>
      <w:r>
        <w:rPr>
          <w:b/>
        </w:rPr>
        <w:t xml:space="preserve">摘要（ZH）: </w:t>
      </w:r>
      <w:r>
        <w:t>由于信息技术的繁荣，对电子设备热管理的需求迅速增加。然而，两种主要的替代方案，即对流冷却和蒸汽压缩技术，在微芯片的有效制冷方面存在局限性，即气体的低对流传热系数和需要大型压缩机，更不用说压缩机冷却的低效率及其使用温室制冷剂。在此，我们建立了一种基于固体热传导材料的混合再生的全固态磁制冷装置，具有可扩展性和简单结构，旨在通过固体对固体接触为具有不同足迹的目标提供主动的点对点热管理。即使在固有的扩展</w:t>
      </w:r>
    </w:p>
    <w:p>
      <w:pPr>
        <w:spacing w:before="0" w:after="200" w:lineRule="auto" w:line="276"/>
      </w:pPr>
      <w:r>
        <w:rPr>
          <w:b/>
        </w:rPr>
        <w:t xml:space="preserve">Abstract (EN): </w:t>
      </w:r>
      <w:r>
        <w:t>The demand for thermal management of electronics is rapidly increasing due to the prosperity of information technology. However, the two major alternatives, convective cooling and vapor compression technologies, have limitations for the effective refrigeration of microchips, namely the low convective heat-transfer coefficient of gas, and the need of large compressors, not to mention the low efficiency of compressor cooling and its use of greenhouse refrigerant. Herein, we establish a full solid-state magnetic refrigeration device with scalability and simple structure based on hybrid regeneration utilizing solid heat transfer materials, aiming at offering active point-to-point thermal management through solid-to-solid contact to targets with different footprints. Even with the intrinsic experimental imperfections of a laboratory demonstrator, the device shows a high heat-transfer coefficient</w:t>
      </w:r>
      <w:r>
        <w:t xml:space="preserve"> </w:t>
      </w:r>
      <w:r>
        <w:t>h</w:t>
      </w:r>
      <w:r>
        <w:t xml:space="preserve"> </w:t>
      </w:r>
      <w:r>
        <w:t>of 336 W m</w:t>
      </w:r>
      <w:r>
        <w:t xml:space="preserve"> </w:t>
      </w:r>
      <w:r>
        <w:t>−2</w:t>
      </w:r>
      <w:r>
        <w:t xml:space="preserve"> </w:t>
      </w:r>
      <w:r>
        <w:t>K</w:t>
      </w:r>
      <w:r>
        <w:t xml:space="preserve"> </w:t>
      </w:r>
      <w:r>
        <w:t>−1</w:t>
      </w:r>
      <w:r>
        <w:t xml:space="preserve"> </w:t>
      </w:r>
      <w:r>
        <w:t>(typically forced air convection by electric fans have &amp;lt;100 W m</w:t>
      </w:r>
      <w:r>
        <w:t xml:space="preserve"> </w:t>
      </w:r>
      <w:r>
        <w:t>−2</w:t>
      </w:r>
      <w:r>
        <w:t xml:space="preserve"> </w:t>
      </w:r>
      <w:r>
        <w:t>K</w:t>
      </w:r>
      <w:r>
        <w:t xml:space="preserve"> </w:t>
      </w:r>
      <w:r>
        <w:t>−1</w:t>
      </w:r>
      <w:r>
        <w:t xml:space="preserve"> </w:t>
      </w:r>
      <w:r>
        <w:t>), a high unit cascade heat-transfer coefficient</w:t>
      </w:r>
      <w:r>
        <w:t xml:space="preserve"> </w:t>
      </w:r>
      <w:r>
        <w:t>h</w:t>
      </w:r>
      <w:r>
        <w:t xml:space="preserve"> </w:t>
      </w:r>
      <w:r>
        <w:t>/</w:t>
      </w:r>
      <w:r>
        <w:t>n</w:t>
      </w:r>
      <w:r>
        <w:t xml:space="preserve"> </w:t>
      </w:r>
      <w:r>
        <w:t>of 168 W m</w:t>
      </w:r>
      <w:r>
        <w:t xml:space="preserve"> </w:t>
      </w:r>
      <w:r>
        <w:t>−2</w:t>
      </w:r>
      <w:r>
        <w:t xml:space="preserve"> </w:t>
      </w:r>
      <w:r>
        <w:t>K</w:t>
      </w:r>
      <w:r>
        <w:t xml:space="preserve"> </w:t>
      </w:r>
      <w:r>
        <w:t>−1</w:t>
      </w:r>
      <w:r>
        <w:t xml:space="preserve"> </w:t>
      </w:r>
      <w:r>
        <w:t>, and a large area cooling power</w:t>
      </w:r>
      <w:r>
        <w:t xml:space="preserve"> </w:t>
      </w:r>
      <w:r>
        <w:t>W</w:t>
      </w:r>
      <w:r>
        <w:t xml:space="preserve"> </w:t>
      </w:r>
      <w:r>
        <w:t>of 0.72 W cm</w:t>
      </w:r>
      <w:r>
        <w:t xml:space="preserve"> </w:t>
      </w:r>
      <w:r>
        <w:t>−2</w:t>
      </w:r>
      <w:r>
        <w:t xml:space="preserve"> </w:t>
      </w:r>
      <w:r>
        <w:t>at the temperature difference between environment</w:t>
      </w:r>
      <w:r>
        <w:t xml:space="preserve"> </w:t>
      </w:r>
      <w:r>
        <w:t>T</w:t>
      </w:r>
      <w:r>
        <w:t xml:space="preserve"> </w:t>
      </w:r>
      <w:r>
        <w:t>e</w:t>
      </w:r>
      <w:r>
        <w:t xml:space="preserve"> </w:t>
      </w:r>
      <w:r>
        <w:t>and hot object</w:t>
      </w:r>
      <w:r>
        <w:t xml:space="preserve"> </w:t>
      </w:r>
      <w:r>
        <w:t>T</w:t>
      </w:r>
      <w:r>
        <w:t xml:space="preserve"> </w:t>
      </w:r>
      <w:r>
        <w:t>o</w:t>
      </w:r>
      <w:r>
        <w:t xml:space="preserve"> </w:t>
      </w:r>
      <w:r>
        <w:t>of −20 K, which make our full solid-state design the best in the field of thermal management compared to reported full solid-state caloric devices.</w:t>
      </w:r>
    </w:p>
    <w:p>
      <w:pPr>
        <w:spacing w:before="120" w:after="120"/>
      </w:pPr>
      <w:r>
        <w:rPr>
          <w:sz w:val="18"/>
        </w:rPr>
        <w:t>——————————————————————————————————————————————————————————————————————</w:t>
      </w:r>
    </w:p>
    <w:p>
      <w:pPr>
        <w:spacing w:before="160" w:after="40" w:line="240" w:lineRule="auto"/>
      </w:pPr>
      <w:r>
        <w:rPr>
          <w:b/>
        </w:rPr>
        <w:t xml:space="preserve">[6] </w:t>
      </w:r>
      <w:hyperlink r:id="rId146">
        <w:r>
          <w:rPr>
            <w:color w:val="1155CC"/>
            <w:u w:val="single"/>
          </w:rPr>
          <w:t>多功能铜掺杂增强n型BiSbSe3中的电子传输和热电性能</w:t>
        </w:r>
      </w:hyperlink>
    </w:p>
    <w:p>
      <w:pPr>
        <w:spacing w:before="0" w:after="80"/>
      </w:pPr>
      <w:r>
        <w:rPr>
          <w:i/>
          <w:sz w:val="20"/>
        </w:rPr>
        <w:t>EN: Multifunctional Cu Doping Enhances Electron Transport and Thermoelectric Performance in n‐Type BiSbSe3</w:t>
      </w:r>
    </w:p>
    <w:p>
      <w:pPr>
        <w:spacing w:before="0" w:after="120"/>
      </w:pPr>
      <w:r>
        <w:rPr>
          <w:b/>
        </w:rPr>
        <w:t xml:space="preserve">Source: </w:t>
      </w:r>
      <w:r>
        <w:t>Wiley: Advanced Materials: Table of Contents</w:t>
      </w:r>
      <w:r>
        <w:t xml:space="preserve">    </w:t>
      </w:r>
      <w:r>
        <w:rPr>
          <w:b/>
        </w:rPr>
        <w:t xml:space="preserve">Pub date: </w:t>
      </w:r>
      <w:r>
        <w:t>2026-04-20 11:18:40+00:00</w:t>
      </w:r>
      <w:r>
        <w:t xml:space="preserve">    </w:t>
      </w:r>
      <w:r>
        <w:rPr>
          <w:b/>
        </w:rPr>
        <w:t xml:space="preserve">DOI: </w:t>
      </w:r>
      <w:hyperlink r:id="rId147">
        <w:r>
          <w:rPr>
            <w:color w:val="1155CC"/>
            <w:u w:val="single"/>
          </w:rPr>
          <w:t>10.1002/adma.73098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电材料BiSbSe3通过其弱键合的链状结构具有本质上低的晶格热导率。然而，这些弱的链间键也严重限制了载流子迁移率。在此，我们证明了Cu掺杂通过双重机制有效缓解了这一限制。Cu原子掺入到替代和间隙位点中增加了电荷密度，直接促进了电子传输。同时，Cu掺杂在高温下优化了载流子浓度，减少了能带简并并降低了有效质量，有助于提高高温载流子迁移率。这种协同优化</w:t>
      </w:r>
    </w:p>
    <w:p>
      <w:pPr>
        <w:spacing w:before="0" w:after="200" w:lineRule="auto" w:line="276"/>
      </w:pPr>
      <w:r>
        <w:rPr>
          <w:b/>
        </w:rPr>
        <w:t xml:space="preserve">Abstract (EN): </w:t>
      </w:r>
      <w:r>
        <w:t>The thermoelectric material BiSbSe</w:t>
      </w:r>
      <w:r>
        <w:rPr>
          <w:vertAlign w:val="subscript"/>
        </w:rPr>
        <w:t>3</w:t>
      </w:r>
      <w:r>
        <w:t>possesses an intrinsically low lattice thermal conductivity through its weakly bonded chain‐like structure. However, these weak inter‐chain bonds also severely limit carrier mobility. Herein, we demonstrate that Cu doping effectively alleviates this limitation through dual mechanisms. The incorporation of Cu atoms into both substitutional and interstitial sites increases the charge density, directly facilitating electron transport. Concurrently, Cu‐doping optimizes carrier concentration at elevated temperatures, reducing band degeneracy and lowering the effective mass, contributing to the improvement in high‐temperature carrier mobility. This synergistic optimization yields a 135% enhancement in the average power factor between 600 and 800 K, obtaining a maximum</w:t>
      </w:r>
      <w:r>
        <w:t xml:space="preserve"> </w:t>
      </w:r>
      <w:r>
        <w:t>ZT</w:t>
      </w:r>
      <w:r>
        <w:t xml:space="preserve"> </w:t>
      </w:r>
      <w:r>
        <w:t>of ∼1.2 at 800 K and an average</w:t>
      </w:r>
      <w:r>
        <w:t xml:space="preserve"> </w:t>
      </w:r>
      <w:r>
        <w:t>ZT</w:t>
      </w:r>
      <w:r>
        <w:t xml:space="preserve"> </w:t>
      </w:r>
      <w:r>
        <w:t>of ∼0.85. A single‐leg device fabricated from an optimal BiSbSe</w:t>
      </w:r>
      <w:r>
        <w:rPr>
          <w:vertAlign w:val="subscript"/>
        </w:rPr>
        <w:t>3</w:t>
      </w:r>
      <w:r>
        <w:t>‐0.05Cu sample attains a thermoelectric conversion efficiency of ∼6.3% under a temperature difference of 475 K. These results validate the Cu‐mediated charge‐density modulation as an effective strategy for decoupling electron and phonon transport, underscoring the practical promise of this low‐cost BiSbSe</w:t>
      </w:r>
      <w:r>
        <w:rPr>
          <w:vertAlign w:val="subscript"/>
        </w:rPr>
        <w:t>3</w:t>
      </w:r>
      <w:r>
        <w:t>‐based thermoelctric material.</w:t>
      </w:r>
    </w:p>
    <w:p>
      <w:pPr>
        <w:spacing w:before="120" w:after="120"/>
      </w:pPr>
      <w:r>
        <w:rPr>
          <w:sz w:val="18"/>
        </w:rPr>
        <w:t>——————————————————————————————————————————————————————————————————————</w:t>
      </w:r>
    </w:p>
    <w:p>
      <w:pPr>
        <w:spacing w:before="160" w:after="40" w:line="240" w:lineRule="auto"/>
      </w:pPr>
      <w:r>
        <w:rPr>
          <w:b/>
        </w:rPr>
        <w:t xml:space="preserve">[7] </w:t>
      </w:r>
      <w:hyperlink r:id="rId148">
        <w:r>
          <w:rPr>
            <w:color w:val="1155CC"/>
            <w:u w:val="single"/>
          </w:rPr>
          <w:t>稀土钇掺杂提升高性能AgSbTe2热电材料</w:t>
        </w:r>
      </w:hyperlink>
    </w:p>
    <w:p>
      <w:pPr>
        <w:spacing w:before="0" w:after="80"/>
      </w:pPr>
      <w:r>
        <w:rPr>
          <w:i/>
          <w:sz w:val="20"/>
        </w:rPr>
        <w:t>EN: Rare‐Earth Yttrium Doping Advances High‐Performance AgSbTe2 Thermoelectrics</w:t>
      </w:r>
    </w:p>
    <w:p>
      <w:pPr>
        <w:spacing w:before="0" w:after="120"/>
      </w:pPr>
      <w:r>
        <w:rPr>
          <w:b/>
        </w:rPr>
        <w:t xml:space="preserve">Source: </w:t>
      </w:r>
      <w:r>
        <w:t>Wiley: Advanced Energy Materials: Table of Contents</w:t>
      </w:r>
      <w:r>
        <w:t xml:space="preserve">    </w:t>
      </w:r>
      <w:r>
        <w:rPr>
          <w:b/>
        </w:rPr>
        <w:t xml:space="preserve">Pub date: </w:t>
      </w:r>
      <w:r>
        <w:t>2026-04-21 11:08:57+00:00</w:t>
      </w:r>
      <w:r>
        <w:t xml:space="preserve">    </w:t>
      </w:r>
      <w:r>
        <w:rPr>
          <w:b/>
        </w:rPr>
        <w:t xml:space="preserve">DOI: </w:t>
      </w:r>
      <w:hyperlink r:id="rId149">
        <w:r>
          <w:rPr>
            <w:color w:val="1155CC"/>
            <w:u w:val="single"/>
          </w:rPr>
          <w:t>10.1002/aenm.202505258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热电材料需要同时优化电子和热传输以实现高性能。AgSbTe</w:t>
      </w:r>
      <w:r>
        <w:rPr>
          <w:vertAlign w:val="subscript"/>
        </w:rPr>
        <w:t>2</w:t>
      </w:r>
      <w:r>
        <w:t>是一种有前景的p型热电材料，但其载流子调节受到限制，其晶格热导率仍然不理想。在此，我们引入钇（Y）掺杂到AgSbTe</w:t>
      </w:r>
      <w:r>
        <w:rPr>
          <w:vertAlign w:val="subscript"/>
        </w:rPr>
        <w:t>2</w:t>
      </w:r>
      <w:r>
        <w:t>中，作为解决这些挑战的双重策略。优化名义上的Y掺杂成分会诱导形成富Y的析出物，这些析出物与Ag</w:t>
      </w:r>
      <w:r>
        <w:rPr>
          <w:vertAlign w:val="subscript"/>
        </w:rPr>
        <w:t>2</w:t>
      </w:r>
      <w:r>
        <w:t>Te二次相建立了相干界面，既增强了声子散射又稳定了微观结构。这种方法减少了超</w:t>
      </w:r>
    </w:p>
    <w:p>
      <w:pPr>
        <w:spacing w:before="0" w:after="200" w:lineRule="auto" w:line="276"/>
      </w:pPr>
      <w:r>
        <w:rPr>
          <w:b/>
        </w:rPr>
        <w:t xml:space="preserve">Abstract (EN): </w:t>
      </w:r>
      <w:r>
        <w:t>Thermoelectric materials require the simultaneous optimization of electronic and thermal transport to achieve high performance. AgSbTe</w:t>
      </w:r>
      <w:r>
        <w:rPr>
          <w:vertAlign w:val="subscript"/>
        </w:rPr>
        <w:t>2</w:t>
      </w:r>
      <w:r>
        <w:t>is a promising p‐type thermoelectric material, yet its carrier tuning is limited, and its lattice thermal conductivity remains suboptimal. Here, we introduce Yttrium (Y) doping into AgSbTe</w:t>
      </w:r>
      <w:r>
        <w:rPr>
          <w:vertAlign w:val="subscript"/>
        </w:rPr>
        <w:t>2</w:t>
      </w:r>
      <w:r>
        <w:t>as a dual strategy to address these challenges. Optimizing the nominal Y doping composition induces the formation of Y‐rich precipitates that establish coherent interfaces with Ag</w:t>
      </w:r>
      <w:r>
        <w:rPr>
          <w:vertAlign w:val="subscript"/>
        </w:rPr>
        <w:t>2</w:t>
      </w:r>
      <w:r>
        <w:t>Te secondary phases, which both enhance phonon scattering and stabilize the microstructure. This approach reduces an ultralow lattice thermal conductivity to 0.26 W m</w:t>
      </w:r>
      <w:r>
        <w:t xml:space="preserve"> </w:t>
      </w:r>
      <w:r>
        <w:t>−1</w:t>
      </w:r>
      <w:r>
        <w:t xml:space="preserve"> </w:t>
      </w:r>
      <w:r>
        <w:t>K</w:t>
      </w:r>
      <w:r>
        <w:t xml:space="preserve"> </w:t>
      </w:r>
      <w:r>
        <w:t>−1</w:t>
      </w:r>
      <w:r>
        <w:t xml:space="preserve"> </w:t>
      </w:r>
      <w:r>
        <w:t>. Complementary first‐principles calculations reveal that local hybridization broadens the valence band pockets and modifies the density of states, thereby increasing the effective carrier concentration. These synergistic effects yield a peak figure‐of‐merit</w:t>
      </w:r>
      <w:r>
        <w:t xml:space="preserve"> </w:t>
      </w:r>
      <w:r>
        <w:t>ZT</w:t>
      </w:r>
      <w:r>
        <w:t xml:space="preserve"> </w:t>
      </w:r>
      <w:r>
        <w:t>of ∼2 at 623 K and an average</w:t>
      </w:r>
      <w:r>
        <w:t xml:space="preserve"> </w:t>
      </w:r>
      <w:r>
        <w:t>ZT</w:t>
      </w:r>
      <w:r>
        <w:t xml:space="preserve"> </w:t>
      </w:r>
      <w:r>
        <w:t>of 1.5 over 323–623 K. Engineering</w:t>
      </w:r>
      <w:r>
        <w:t xml:space="preserve"> </w:t>
      </w:r>
      <w:r>
        <w:t>ZT</w:t>
      </w:r>
      <w:r>
        <w:t xml:space="preserve"> </w:t>
      </w:r>
      <w:r>
        <w:t>analysis further predicts a conversion efficiency of 14.4 % at a temperature difference of 323 K, highlighting the potential of rare‐earth doping as a pathway for advancing high‐performance thermoelectrics. In addition, experimentally measured single‐leg performance demonstrates a peak conversion efficiency of ∼7.3 % at a temperature difference of 325 K, providing an initial device‐level validation of the Y‐doped AgSbTe</w:t>
      </w:r>
      <w:r>
        <w:rPr>
          <w:vertAlign w:val="subscript"/>
        </w:rPr>
        <w:t>2</w:t>
      </w:r>
      <w:r>
        <w:t>system.</w:t>
      </w:r>
    </w:p>
    <w:p>
      <w:pPr>
        <w:spacing w:before="120" w:after="120"/>
      </w:pPr>
      <w:r>
        <w:rPr>
          <w:sz w:val="18"/>
        </w:rPr>
        <w:t>——————————————————————————————————————————————————————————————————————</w:t>
      </w:r>
    </w:p>
    <w:p>
      <w:pPr>
        <w:spacing w:before="160" w:after="40" w:line="240" w:lineRule="auto"/>
      </w:pPr>
      <w:r>
        <w:rPr>
          <w:b/>
        </w:rPr>
        <w:t xml:space="preserve">[8] </w:t>
      </w:r>
      <w:hyperlink r:id="rId150">
        <w:r>
          <w:rPr>
            <w:color w:val="1155CC"/>
            <w:u w:val="single"/>
          </w:rPr>
          <w:t>Ag2Se基热电材料和器件：进展、挑战和展望</w:t>
        </w:r>
      </w:hyperlink>
    </w:p>
    <w:p>
      <w:pPr>
        <w:spacing w:before="0" w:after="80"/>
      </w:pPr>
      <w:r>
        <w:rPr>
          <w:i/>
          <w:sz w:val="20"/>
        </w:rPr>
        <w:t>EN: Ag2Se-based thermoelectric materials and devices: Progress, challenges, and perspectives</w:t>
      </w:r>
    </w:p>
    <w:p>
      <w:pPr>
        <w:spacing w:before="0" w:after="120"/>
      </w:pPr>
      <w:r>
        <w:rPr>
          <w:b/>
        </w:rPr>
        <w:t xml:space="preserve">Source: </w:t>
      </w:r>
      <w:r>
        <w:t>RSC - Energy Environ. Sci.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Ag2Se因其极高的载流子迁移率、固有的低晶格热导率、可扩展的合成路线和相对较低的材料成本，已成为近室温能量收集和固态冷却最有前途的n型热电候选材料之一。这些优势使Ag2Se在可穿戴电子设备和物联网（IoT）应用中的可持续电源供应方面特别具有吸引力。近年来，材料工程和设备设计的密集努力推动了基于Ag2Se的热电材料的快速进展，这需要及时和全面的综述。本文系统总结了Ag2Se热电材料在块体、薄膜中的合成、改性和应用的最新进展</w:t>
      </w:r>
    </w:p>
    <w:p>
      <w:pPr>
        <w:spacing w:before="0" w:after="200" w:lineRule="auto" w:line="276"/>
      </w:pPr>
      <w:r>
        <w:rPr>
          <w:b/>
        </w:rPr>
        <w:t xml:space="preserve">Abstract (EN): </w:t>
      </w:r>
      <w:r>
        <w:t>Ag2Se has emerged as one of the most promising n-type thermoelectric candidates for near-room-temperature energy harvesting and solid-state cooling, owing to its exceptionally high carrier mobility, intrinsically low lattice thermal conductivity, scalable synthesis routes, and relatively low material cost. These advantages make Ag2Se particularly attractive for sustainable power supply in wearable electronics and Internet-of-Things (IoT) applications. In recent years, intensive efforts in materials engineering and device design have driven rapid progress in Ag2Se-based thermoelectrics, which calls for a timely and comprehensive review. This article systematically summarizes the latest advances in the synthesis, modification, and application of Ag2Se thermoelectric materials in bulk, thin-film, and fiber forms. Recent breakthroughs in device integration are also critically examined, highlighting high-efficiency flexible thermoelectric generators, active cooling modules, and mechanically robust self-powered sensors enabled by this emerging material system. By linking fundamental transport mechanisms with practical device architectures, this review identifies key strategies to address challenges in stability and scalability, thereby facilitating the commercialization of flexible Ag2Se-based thermoelectric technologies.</w:t>
      </w:r>
    </w:p>
    <w:p>
      <w:pPr>
        <w:spacing w:before="120" w:after="120"/>
      </w:pPr>
      <w:r>
        <w:rPr>
          <w:sz w:val="18"/>
        </w:rPr>
        <w:t>——————————————————————————————————————————————————————————————————————</w:t>
      </w:r>
    </w:p>
    <w:p>
      <w:pPr>
        <w:spacing w:before="160" w:after="40" w:line="240" w:lineRule="auto"/>
      </w:pPr>
      <w:r>
        <w:rPr>
          <w:b/>
        </w:rPr>
        <w:t xml:space="preserve">[9] </w:t>
      </w:r>
      <w:hyperlink r:id="rId151">
        <w:r>
          <w:rPr>
            <w:color w:val="1155CC"/>
            <w:u w:val="single"/>
          </w:rPr>
          <w:t>具有分级孔的热电薄膜</w:t>
        </w:r>
      </w:hyperlink>
    </w:p>
    <w:p>
      <w:pPr>
        <w:spacing w:before="0" w:after="80"/>
      </w:pPr>
      <w:r>
        <w:rPr>
          <w:i/>
          <w:sz w:val="20"/>
        </w:rPr>
        <w:t>EN: Thermoelectric films with hierarchical pores</w:t>
      </w:r>
    </w:p>
    <w:p>
      <w:pPr>
        <w:spacing w:before="0" w:after="120"/>
      </w:pPr>
      <w:r>
        <w:rPr>
          <w:b/>
        </w:rPr>
        <w:t xml:space="preserve">Source: </w:t>
      </w:r>
      <w:r>
        <w:t>Nature Electronics</w:t>
      </w:r>
      <w:r>
        <w:t xml:space="preserve">    </w:t>
      </w:r>
      <w:r>
        <w:rPr>
          <w:b/>
        </w:rPr>
        <w:t xml:space="preserve">Pub date: </w:t>
      </w:r>
      <w:r>
        <w:t>2026-04-22 00:00:00+00:00</w:t>
      </w:r>
      <w:r>
        <w:t xml:space="preserve">    </w:t>
      </w:r>
      <w:r>
        <w:rPr>
          <w:b/>
        </w:rPr>
        <w:t xml:space="preserve">DOI: </w:t>
      </w:r>
      <w:hyperlink r:id="rId152">
        <w:r>
          <w:rPr>
            <w:color w:val="1155CC"/>
            <w:u w:val="single"/>
          </w:rPr>
          <w:t>10.1038/s41928-026-01628-x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53">
        <w:r>
          <w:rPr>
            <w:color w:val="1155CC"/>
            <w:u w:val="single"/>
          </w:rPr>
          <w:t>具有94%光热转换效率的柔性有机自由基共晶体</w:t>
        </w:r>
      </w:hyperlink>
    </w:p>
    <w:p>
      <w:pPr>
        <w:spacing w:before="0" w:after="80"/>
      </w:pPr>
      <w:r>
        <w:rPr>
          <w:i/>
          <w:sz w:val="20"/>
        </w:rPr>
        <w:t>EN: Flexible Organic Radical Cocrystal With 94% Photothermal Conversion Efficiency</w:t>
      </w:r>
    </w:p>
    <w:p>
      <w:pPr>
        <w:spacing w:before="0" w:after="120"/>
      </w:pPr>
      <w:r>
        <w:rPr>
          <w:b/>
        </w:rPr>
        <w:t xml:space="preserve">Source: </w:t>
      </w:r>
      <w:r>
        <w:t>Wiley: Angewandte Chemie International Edition: Table of Contents</w:t>
      </w:r>
      <w:r>
        <w:t xml:space="preserve">    </w:t>
      </w:r>
      <w:r>
        <w:rPr>
          <w:b/>
        </w:rPr>
        <w:t xml:space="preserve">Pub date: </w:t>
      </w:r>
      <w:r>
        <w:t>2026-04-22 07:35:54+00:00</w:t>
      </w:r>
      <w:r>
        <w:t xml:space="preserve">    </w:t>
      </w:r>
      <w:r>
        <w:rPr>
          <w:b/>
        </w:rPr>
        <w:t xml:space="preserve">DOI: </w:t>
      </w:r>
      <w:hyperlink r:id="rId154">
        <w:r>
          <w:rPr>
            <w:color w:val="1155CC"/>
            <w:u w:val="single"/>
          </w:rPr>
          <w:t>10.1002/anie.1702104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颗粒碳、金属、聚合物或半导体制成的柔性光热材料通常存在界面不兼容性，导致长期使用后出现开裂和分层。这些限制使得柔性复合材料难以同时满足长期界面稳定性和高光热性能的要求。在此，我们通过使用柔性有机晶体克服了这些持久的挑战，其中吸收剂是结构均匀的自由基共晶，通过两个分子组分之间的电荷转移（CT）实现强光吸收。我们将电子供体苝（PE）和受体萘二酰亚胺（NDI）共晶化，制备出机械柔性的c</w:t>
      </w:r>
    </w:p>
    <w:p>
      <w:pPr>
        <w:spacing w:before="0" w:after="200" w:lineRule="auto" w:line="276"/>
      </w:pPr>
      <w:r>
        <w:rPr>
          <w:b/>
        </w:rPr>
        <w:t xml:space="preserve">Abstract (EN): </w:t>
      </w:r>
      <w:r>
        <w:t>Flexible photothermal materials made of particulate carbon, metal, polymer, or semiconductors often suffer from interfacial incompatibility, leading to cracking and delamination over prolonged use. These limitations make it difficult for flexible composite materials to simultaneously meet the requirements of long‐term interfacial stability and high photothermal performance. Here we circumvented these persistent challenges by using flexible organic crystals, where the absorber is a structurally homogeneous radical cocrystal and strong light absorption is accomplished by charge transfer (CT) between two molecular components. We cocrystallized electron donor perylene (PE) and acceptor naphthalene diimide (NDI) to prepare mechanically flexible, centimeter‐size cocrystals (PE‐NDI), which demonstrate persistent radical characteristics with a spin coherence time of 2.1 µs. Prominent donor–acceptor interaction (−87.7 kJ mol</w:t>
      </w:r>
      <w:r>
        <w:t xml:space="preserve"> </w:t>
      </w:r>
      <w:r>
        <w:t>−1</w:t>
      </w:r>
      <w:r>
        <w:t xml:space="preserve"> </w:t>
      </w:r>
      <w:r>
        <w:t>) facilitates strong light absorption from 200 to 780 nm, while hydrogen bonds are thought to account for the reversible elastic bending. Excitation at 685 nm yields an extraordinarily high photothermal conversion efficiency of 94%. Integration of PE‐NDI in a thermoelectric generator enabled direct solar energy harvesting via a photo‐thermo‐electric conversion sequence, demonstrating the potential of flexible cocrystals for renewable energy harvesting. This work highlights the untapped potential of mechanically compliant organic crystals as flexible, single‐component, lightweight photothermal materials.</w:t>
      </w:r>
    </w:p>
    <w:p>
      <w:pPr>
        <w:spacing w:before="120" w:after="120"/>
      </w:pPr>
      <w:r>
        <w:rPr>
          <w:sz w:val="18"/>
        </w:rPr>
        <w:t>——————————————————————————————————————————————————————————————————————</w:t>
      </w:r>
    </w:p>
    <w:p>
      <w:pPr>
        <w:spacing w:before="160" w:after="40" w:line="240" w:lineRule="auto"/>
      </w:pPr>
      <w:r>
        <w:rPr>
          <w:b/>
        </w:rPr>
        <w:t xml:space="preserve">[11] </w:t>
      </w:r>
      <w:hyperlink r:id="rId155">
        <w:r>
          <w:rPr>
            <w:color w:val="1155CC"/>
            <w:u w:val="single"/>
          </w:rPr>
          <w:t>在Dewar嘧啶酮中超过1.6兆焦耳每千克的分子太阳能热能存储</w:t>
        </w:r>
      </w:hyperlink>
    </w:p>
    <w:p>
      <w:pPr>
        <w:spacing w:before="0" w:after="80"/>
      </w:pPr>
      <w:r>
        <w:rPr>
          <w:i/>
          <w:sz w:val="20"/>
        </w:rPr>
        <w:t>EN: Molecular solar thermal energy storage in Dewar pyrimidone beyond 1.6 megajoules per kilogram</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56">
        <w:r>
          <w:rPr>
            <w:color w:val="1155CC"/>
            <w:u w:val="single"/>
          </w:rPr>
          <w:t>10.1126/science.aec6413</w:t>
        </w:r>
      </w:hyperlink>
    </w:p>
    <w:p>
      <w:pPr>
        <w:spacing w:before="0" w:after="120"/>
      </w:pPr>
      <w:r>
        <w:rPr>
          <w:b/>
        </w:rPr>
        <w:t xml:space="preserve">Notes: </w:t>
      </w:r>
      <w:r>
        <w:t>abstract_source=crossref</w:t>
      </w:r>
    </w:p>
    <w:p>
      <w:pPr>
        <w:spacing w:before="0" w:after="80" w:lineRule="auto" w:line="276"/>
      </w:pPr>
      <w:r>
        <w:rPr>
          <w:b/>
        </w:rPr>
        <w:t xml:space="preserve">摘要（ZH）: </w:t>
      </w:r>
      <w:r>
        <w:t>将阳光以紧凑且可充电的形式储存仍然是太阳能利用的核心挑战。分子太阳能热（MOST）储能系统利用光子能量并按需释放为热量，提供了一种直接的方法，但长期以来未能达到实际标准。受DNA结构的启发，我们报告了一种基于嘧啶酮的MOST系统，该系统在300纳米激发时将能量储存在应变的Dewar光异构体中。该系统在设计时考虑了可持续性，操作时无需溶剂，并且在克服该领域最大障碍之一的同时，与水环境兼容——即储存热量的受控提取和转移。在酸催化下，Dewar异构体释放出足够的热量以煮沸水（约0.5毫升）。这些</w:t>
      </w:r>
    </w:p>
    <w:p>
      <w:pPr>
        <w:spacing w:before="0" w:after="200" w:lineRule="auto" w:line="276"/>
      </w:pPr>
      <w:r>
        <w:rPr>
          <w:b/>
        </w:rPr>
        <w:t xml:space="preserve">Abstract (EN): </w:t>
      </w:r>
      <w:r>
        <w:t>Storing sunlight in a compact and rechargeable form remains a central challenge for solar energy utilization. Molecular solar thermal (MOST) energy storage systems, which harness photon energy and release it as heat on demand, provide a direct approach but have long failed to meet practical benchmarks. Inspired by the architecture of DNA, we report a pyrimidone-based MOST system that stores energy in the strained Dewar photoisomer upon excitation at 300 nanometers. Designed with sustainability in mind, the system operates solvent free and remains compatible with aqueous environments while overcoming one of the field’s greatest hurdles—the controlled extraction and transfer of stored heat. When catalyzed by acid, the Dewar isomer releases enough heat to boil water (~0.5 milliliters). These advances help point the way toward decentralized solar heat storage and off-grid energy solutions.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57">
        <w:r>
          <w:rPr>
            <w:color w:val="1155CC"/>
            <w:u w:val="single"/>
          </w:rPr>
          <w:t>切尔诺贝利四十年后，更多核灾难不可避免——为此做好准备</w:t>
        </w:r>
      </w:hyperlink>
    </w:p>
    <w:p>
      <w:pPr>
        <w:spacing w:before="0" w:after="80"/>
      </w:pPr>
      <w:r>
        <w:rPr>
          <w:i/>
          <w:sz w:val="20"/>
        </w:rPr>
        <w:t>EN: Forty years after Chornobyl, more nuclear disasters are inevitable — plan for them</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158">
        <w:r>
          <w:rPr>
            <w:color w:val="1155CC"/>
            <w:u w:val="single"/>
          </w:rPr>
          <w:t>10.1038/d41586-026-01255-8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59">
        <w:r>
          <w:rPr>
            <w:color w:val="1155CC"/>
            <w:u w:val="single"/>
          </w:rPr>
          <w:t>深深的不安</w:t>
        </w:r>
      </w:hyperlink>
    </w:p>
    <w:p>
      <w:pPr>
        <w:spacing w:before="0" w:after="80"/>
      </w:pPr>
      <w:r>
        <w:rPr>
          <w:i/>
          <w:sz w:val="20"/>
        </w:rPr>
        <w:t>EN: Deep unease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60">
        <w:r>
          <w:rPr>
            <w:color w:val="1155CC"/>
            <w:u w:val="single"/>
          </w:rPr>
          <w:t>10.1126/science.aei2477</w:t>
        </w:r>
      </w:hyperlink>
    </w:p>
    <w:p>
      <w:pPr>
        <w:spacing w:before="0" w:after="120"/>
      </w:pPr>
      <w:r>
        <w:rPr>
          <w:b/>
        </w:rPr>
        <w:t xml:space="preserve">Notes: </w:t>
      </w:r>
      <w:r>
        <w:t>abstract_source=crossref</w:t>
      </w:r>
    </w:p>
    <w:p>
      <w:pPr>
        <w:spacing w:before="0" w:after="80" w:lineRule="auto" w:line="276"/>
      </w:pPr>
      <w:r>
        <w:rPr>
          <w:b/>
        </w:rPr>
        <w:t xml:space="preserve">摘要（ZH）: </w:t>
      </w:r>
      <w:r>
        <w:t>扩大使用流体从含水层中提取铀的矿井的推动引发了对地下水污染的担忧</w:t>
      </w:r>
    </w:p>
    <w:p>
      <w:pPr>
        <w:spacing w:before="0" w:after="200" w:lineRule="auto" w:line="276"/>
      </w:pPr>
      <w:r>
        <w:rPr>
          <w:b/>
        </w:rPr>
        <w:t xml:space="preserve">Abstract (EN): </w:t>
      </w:r>
      <w:r>
        <w:t>A push to expand mines that use fluids to extract uranium from aquifers is raising concerns about groundwater pollution</w:t>
      </w:r>
    </w:p>
    <w:p>
      <w:pPr>
        <w:spacing w:before="120" w:after="120"/>
      </w:pPr>
      <w:r>
        <w:rPr>
          <w:sz w:val="18"/>
        </w:rPr>
        <w:t>——————————————————————————————————————————————————————————————————————</w:t>
      </w:r>
    </w:p>
    <w:p>
      <w:pPr>
        <w:spacing w:before="160" w:after="40" w:line="240" w:lineRule="auto"/>
      </w:pPr>
      <w:r>
        <w:rPr>
          <w:b/>
        </w:rPr>
        <w:t xml:space="preserve">[3] </w:t>
      </w:r>
      <w:hyperlink r:id="rId161">
        <w:r>
          <w:rPr>
            <w:color w:val="1155CC"/>
            <w:u w:val="single"/>
          </w:rPr>
          <w:t>解决辐射风险争议</w:t>
        </w:r>
      </w:hyperlink>
    </w:p>
    <w:p>
      <w:pPr>
        <w:spacing w:before="0" w:after="80"/>
      </w:pPr>
      <w:r>
        <w:rPr>
          <w:i/>
          <w:sz w:val="20"/>
        </w:rPr>
        <w:t>EN: Resolving the radiation risk debate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62">
        <w:r>
          <w:rPr>
            <w:color w:val="1155CC"/>
            <w:u w:val="single"/>
          </w:rPr>
          <w:t>10.1126/science.aei0907</w:t>
        </w:r>
      </w:hyperlink>
    </w:p>
    <w:p>
      <w:pPr>
        <w:spacing w:before="0" w:after="120"/>
      </w:pPr>
      <w:r>
        <w:rPr>
          <w:b/>
        </w:rPr>
        <w:t xml:space="preserve">Notes: </w:t>
      </w:r>
      <w:r>
        <w:t>abstract_source=crossref</w:t>
      </w:r>
    </w:p>
    <w:p>
      <w:pPr>
        <w:spacing w:before="0" w:after="80" w:lineRule="auto" w:line="276"/>
      </w:pPr>
      <w:r>
        <w:rPr>
          <w:b/>
        </w:rPr>
        <w:t xml:space="preserve">摘要（ZH）: </w:t>
      </w:r>
      <w:r>
        <w:t>当美国总统特朗普在2025年5月签署一项行政命令，要求通过指示联邦机构重新考虑辐射防护标准是否过于严格，以简化核能的采用时，他重新点燃了一场在辐射科学领域已经持续了数十年的辩论。争议的核心是线性无阈值（LNT）模型——即任何量的辐射，无论多小，都会产生有害的生物效应。要解决LNT是合理的预防措施还是对不完整科学的昂贵误用，不仅需要更好的论据，还需要更好的数据。</w:t>
      </w:r>
    </w:p>
    <w:p>
      <w:pPr>
        <w:spacing w:before="0" w:after="200" w:lineRule="auto" w:line="276"/>
      </w:pPr>
      <w:r>
        <w:rPr>
          <w:b/>
        </w:rPr>
        <w:t xml:space="preserve">Abstract (EN): </w:t>
      </w:r>
      <w:r>
        <w:t>When US President Trump signed an executive order in May 2025 seeking to streamline the adoption of nuclear energy by directing federal agencies to reconsider whether radiation protection standards have been unnecessarily strict, he reignited a debate that has smoldered in radiation science for decades. At the heart of the controversy is the linear nonthreshold (LNT) model—the idea that any amount of radiation, no matter how small, has damaging biological effects. Resolving whether LNT is a reasonable precaution or a costly misapplication of incomplete science will require not just better arguments, but better data.</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63">
        <w:r>
          <w:rPr>
            <w:color w:val="1155CC"/>
            <w:u w:val="single"/>
          </w:rPr>
          <w:t>解码基于多孔传输层的氢氧PEMFCs的降解：来自6600周期原位耐久性测试的见解</w:t>
        </w:r>
      </w:hyperlink>
    </w:p>
    <w:p>
      <w:pPr>
        <w:spacing w:before="0" w:after="80"/>
      </w:pPr>
      <w:r>
        <w:rPr>
          <w:i/>
          <w:sz w:val="20"/>
        </w:rPr>
        <w:t>EN: Deciphering degradation in porous transport layer-based hydrogen‑oxygen PEMFCs: Insights from 6600-cycle operando durability tests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4">
        <w:r>
          <w:rPr>
            <w:color w:val="1155CC"/>
            <w:u w:val="single"/>
          </w:rPr>
          <w:t>胡萝卜与大棒：加速氢能和电转X经济的工具比较分析</w:t>
        </w:r>
      </w:hyperlink>
    </w:p>
    <w:p>
      <w:pPr>
        <w:spacing w:before="0" w:after="80"/>
      </w:pPr>
      <w:r>
        <w:rPr>
          <w:i/>
          <w:sz w:val="20"/>
        </w:rPr>
        <w:t>EN: Carrot and stick: A comparative analysis of instruments for accelerating the hydrogen and power-to-X economy</w:t>
      </w:r>
    </w:p>
    <w:p>
      <w:pPr>
        <w:spacing w:before="0" w:after="120"/>
      </w:pPr>
      <w:r>
        <w:rPr>
          <w:b/>
        </w:rPr>
        <w:t xml:space="preserve">Source: </w:t>
      </w:r>
      <w:r>
        <w:t>ScienceDirect Publication: Energy Policy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5">
        <w:r>
          <w:rPr>
            <w:color w:val="1155CC"/>
            <w:u w:val="single"/>
          </w:rPr>
          <w:t>将氢能整合到可计算的一般均衡模型中</w:t>
        </w:r>
      </w:hyperlink>
    </w:p>
    <w:p>
      <w:pPr>
        <w:spacing w:before="0" w:after="80"/>
      </w:pPr>
      <w:r>
        <w:rPr>
          <w:i/>
          <w:sz w:val="20"/>
        </w:rPr>
        <w:t>EN: Integrating hydrogen into a computable general equilibrium model</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6">
        <w:r>
          <w:rPr>
            <w:color w:val="1155CC"/>
            <w:u w:val="single"/>
          </w:rPr>
          <w:t>基于分层多智能体TD3的多能耦合单元灵活配置与多目标优化，考虑氨能储存</w:t>
        </w:r>
      </w:hyperlink>
    </w:p>
    <w:p>
      <w:pPr>
        <w:spacing w:before="0" w:after="80"/>
      </w:pPr>
      <w:r>
        <w:rPr>
          <w:i/>
          <w:sz w:val="20"/>
        </w:rPr>
        <w:t>EN: Flexible configuration and multi-objective optimization of multi-energy coupling units considering ammonia energy storage based on hierarchical multi-agent TD3</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67">
        <w:r>
          <w:rPr>
            <w:color w:val="1155CC"/>
            <w:u w:val="single"/>
          </w:rPr>
          <w:t>从酞菁盐衍生的单原子/纳米簇协同电极用于高效硝酸盐电还原为氨</w:t>
        </w:r>
      </w:hyperlink>
    </w:p>
    <w:p>
      <w:pPr>
        <w:spacing w:before="0" w:after="80"/>
      </w:pPr>
      <w:r>
        <w:rPr>
          <w:i/>
          <w:sz w:val="20"/>
        </w:rPr>
        <w:t>EN: Single‐Atom/Nanocluster Synergistic Electrode Derived From Phthalocyanine Salts for Efficient Electroreduction of Nitrate to Ammonia</w:t>
      </w:r>
    </w:p>
    <w:p>
      <w:pPr>
        <w:spacing w:before="0" w:after="120"/>
      </w:pPr>
      <w:r>
        <w:rPr>
          <w:b/>
        </w:rPr>
        <w:t xml:space="preserve">Source: </w:t>
      </w:r>
      <w:r>
        <w:t>Wiley: Angewandte Chemie International Edition: Table of Contents</w:t>
      </w:r>
      <w:r>
        <w:t xml:space="preserve">    </w:t>
      </w:r>
      <w:r>
        <w:rPr>
          <w:b/>
        </w:rPr>
        <w:t xml:space="preserve">Pub date: </w:t>
      </w:r>
      <w:r>
        <w:t>2026-04-18 13:33:09+00:00</w:t>
      </w:r>
      <w:r>
        <w:t xml:space="preserve">    </w:t>
      </w:r>
      <w:r>
        <w:rPr>
          <w:b/>
        </w:rPr>
        <w:t xml:space="preserve">DOI: </w:t>
      </w:r>
      <w:hyperlink r:id="rId168">
        <w:r>
          <w:rPr>
            <w:color w:val="1155CC"/>
            <w:u w:val="single"/>
          </w:rPr>
          <w:t>10.1002/anie.3220743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反应生成氨是一种有前景的途径，可以闭合全球氮循环，但其实际应用受到现有电催化剂低转化效率的阻碍。在此，我们开发了一种多尺度调控策略，构建了一种铜-钴共修饰的碳纳米纤维基自支撑电极（CuCo-CNF），其中使用酞菁盐作为前体选择性锚定Cu纳米簇和Co单原子。得益于双活性位点之间的协同作用，CuCo-CNF电极表现出优异的NH</w:t>
      </w:r>
      <w:r>
        <w:rPr>
          <w:vertAlign w:val="subscript"/>
        </w:rPr>
        <w:t>3</w:t>
      </w:r>
      <w:r>
        <w:t>产率，达到11.3 mg h</w:t>
      </w:r>
      <w:r>
        <w:t xml:space="preserve"> </w:t>
      </w:r>
      <w:r>
        <w:t>−1</w:t>
      </w:r>
      <w:r>
        <w:t xml:space="preserve"> </w:t>
      </w:r>
      <w:r>
        <w:t>cm</w:t>
      </w:r>
      <w:r>
        <w:t xml:space="preserve"> </w:t>
      </w:r>
      <w:r>
        <w:t>−2</w:t>
      </w:r>
    </w:p>
    <w:p>
      <w:pPr>
        <w:spacing w:before="0" w:after="200" w:lineRule="auto" w:line="276"/>
      </w:pPr>
      <w:r>
        <w:rPr>
          <w:b/>
        </w:rPr>
        <w:t xml:space="preserve">Abstract (EN): </w:t>
      </w:r>
      <w:r>
        <w:t>Electrochemical nitrate reduction reactions to ammonia represent a promising route to close the global nitrogen cycle, but their practical implementation is hindered by the low conversion efficiency of existing electrocatalysts. Herein, we develop a multiscale regulation strategy to construct a copper‐cobalt co‐modified carbon‐nanofiber‐based self‐supporting electrode (CuCo‐CNF), in which Cu nanoclusters and Co single atoms are selectively anchored using phthalocyanine salts as precursors. Benefiting from the synergistic interaction between dual active sites, the CuCo‐CNF electrode exhibits an outstanding NH</w:t>
      </w:r>
      <w:r>
        <w:rPr>
          <w:vertAlign w:val="subscript"/>
        </w:rPr>
        <w:t>3</w:t>
      </w:r>
      <w:r>
        <w:t>yield rate of 11.3 mg h</w:t>
      </w:r>
      <w:r>
        <w:t xml:space="preserve"> </w:t>
      </w:r>
      <w:r>
        <w:t>−1</w:t>
      </w:r>
      <w:r>
        <w:t xml:space="preserve"> </w:t>
      </w:r>
      <w:r>
        <w:t>cm</w:t>
      </w:r>
      <w:r>
        <w:t xml:space="preserve"> </w:t>
      </w:r>
      <w:r>
        <w:t>−2</w:t>
      </w:r>
      <w:r>
        <w:t xml:space="preserve"> </w:t>
      </w:r>
      <w:r>
        <w:t>with a Faradaic efficiency of 95.84% at −0.7 V versus RHE, outperforming carbon‐nanofiber‐based electrodes. It has been demonstrated that Cu nanoclusters significantly enhance NO</w:t>
      </w:r>
      <w:r>
        <w:rPr>
          <w:vertAlign w:val="subscript"/>
        </w:rPr>
        <w:t>3</w:t>
      </w:r>
      <w:r>
        <w:t>−</w:t>
      </w:r>
      <w:r>
        <w:t>adsorption, reducing the adsorption energy from 0.66 eV on isolated Cu atoms to −1.34 eV, thereby accelerating the initial NO</w:t>
      </w:r>
      <w:r>
        <w:rPr>
          <w:vertAlign w:val="subscript"/>
        </w:rPr>
        <w:t>3</w:t>
      </w:r>
      <w:r>
        <w:t>RR kinetics. Moreover, the free‐energy barrier of the rate‐limiting step is substantially lower on Cu nanoclusters (*NO</w:t>
      </w:r>
      <w:r>
        <w:rPr>
          <w:vertAlign w:val="subscript"/>
        </w:rPr>
        <w:t>2</w:t>
      </w:r>
      <w:r>
        <w:t>→ *NO</w:t>
      </w:r>
      <w:r>
        <w:rPr>
          <w:vertAlign w:val="subscript"/>
        </w:rPr>
        <w:t>2</w:t>
      </w:r>
      <w:r>
        <w:t>H, +0.59 eV) than on Cu single atoms (*NO → *NOH, +1.02 eV). Meanwhile, the incorporation of cobalt heteroatoms further promotes active hydrogen generation, further enhancing both reaction rate and NH</w:t>
      </w:r>
      <w:r>
        <w:rPr>
          <w:vertAlign w:val="subscript"/>
        </w:rPr>
        <w:t>3</w:t>
      </w:r>
      <w:r>
        <w:t>selectivity. This work establishes an effective strategy for constructing self‐supporting electrodes and offers valuable mechanistic insights into efficient and selective electrocatalytic nitrate‐to‐ammonia conversion.</w:t>
      </w:r>
    </w:p>
    <w:p>
      <w:pPr>
        <w:spacing w:before="120" w:after="120"/>
      </w:pPr>
      <w:r>
        <w:rPr>
          <w:sz w:val="18"/>
        </w:rPr>
        <w:t>——————————————————————————————————————————————————————————————————————</w:t>
      </w:r>
    </w:p>
    <w:p>
      <w:pPr>
        <w:spacing w:before="160" w:after="40" w:line="240" w:lineRule="auto"/>
      </w:pPr>
      <w:r>
        <w:rPr>
          <w:b/>
        </w:rPr>
        <w:t xml:space="preserve">[6] </w:t>
      </w:r>
      <w:hyperlink r:id="rId169">
        <w:r>
          <w:rPr>
            <w:color w:val="1155CC"/>
            <w:u w:val="single"/>
          </w:rPr>
          <w:t>可再生氢：PPA和附加性要求对选定欧洲国家的系统性影响</w:t>
        </w:r>
      </w:hyperlink>
    </w:p>
    <w:p>
      <w:pPr>
        <w:spacing w:before="0" w:after="80"/>
      </w:pPr>
      <w:r>
        <w:rPr>
          <w:i/>
          <w:sz w:val="20"/>
        </w:rPr>
        <w:t>EN: Renewable hydrogen: The system-wide impact of PPAs and additionality requirements for selected European countries</w:t>
      </w:r>
    </w:p>
    <w:p>
      <w:pPr>
        <w:spacing w:before="0" w:after="120"/>
      </w:pPr>
      <w:r>
        <w:rPr>
          <w:b/>
        </w:rPr>
        <w:t xml:space="preserve">Source: </w:t>
      </w:r>
      <w:r>
        <w:t>ScienceDirect Publication: Energy Policy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0">
        <w:r>
          <w:rPr>
            <w:color w:val="1155CC"/>
            <w:u w:val="single"/>
          </w:rPr>
          <w:t>非热等离子体水相甲烷重整：富氢合成气生产的工艺评估与优化</w:t>
        </w:r>
      </w:hyperlink>
    </w:p>
    <w:p>
      <w:pPr>
        <w:spacing w:before="0" w:after="80"/>
      </w:pPr>
      <w:r>
        <w:rPr>
          <w:i/>
          <w:sz w:val="20"/>
        </w:rPr>
        <w:t>EN: Aqueous-phase methane reforming by nonthermal plasma: Process evaluation and optimization for hydrogen-rich syngas production</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1">
        <w:r>
          <w:rPr>
            <w:color w:val="1155CC"/>
            <w:u w:val="single"/>
          </w:rPr>
          <w:t>促进氢气，减少排放：低碳氢气的监管设计</w:t>
        </w:r>
      </w:hyperlink>
    </w:p>
    <w:p>
      <w:pPr>
        <w:spacing w:before="0" w:after="80"/>
      </w:pPr>
      <w:r>
        <w:rPr>
          <w:i/>
          <w:sz w:val="20"/>
        </w:rPr>
        <w:t>EN: Boosting hydrogen, slashing emissions: the regulatory design of low-carbon hydrogen</w:t>
      </w:r>
    </w:p>
    <w:p>
      <w:pPr>
        <w:spacing w:before="0" w:after="120"/>
      </w:pPr>
      <w:r>
        <w:rPr>
          <w:b/>
        </w:rPr>
        <w:t xml:space="preserve">Source: </w:t>
      </w:r>
      <w:r>
        <w:t>ScienceDirect Publication: Energy Policy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2">
        <w:r>
          <w:rPr>
            <w:color w:val="1155CC"/>
            <w:u w:val="single"/>
          </w:rPr>
          <w:t>单个铟原子塑造CO2到甲醇的催化作用</w:t>
        </w:r>
      </w:hyperlink>
    </w:p>
    <w:p>
      <w:pPr>
        <w:spacing w:before="0" w:after="80"/>
      </w:pPr>
      <w:r>
        <w:rPr>
          <w:i/>
          <w:sz w:val="20"/>
        </w:rPr>
        <w:t>EN: Single indium atoms shape CO2-to-methanol catalysis</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173">
        <w:r>
          <w:rPr>
            <w:color w:val="1155CC"/>
            <w:u w:val="single"/>
          </w:rPr>
          <w:t>10.1038/s41565-026-02160-x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74">
        <w:r>
          <w:rPr>
            <w:color w:val="1155CC"/>
            <w:u w:val="single"/>
          </w:rPr>
          <w:t>从多尺度流体动力学角度看水电解中的气泡管理</w:t>
        </w:r>
      </w:hyperlink>
    </w:p>
    <w:p>
      <w:pPr>
        <w:spacing w:before="0" w:after="80"/>
      </w:pPr>
      <w:r>
        <w:rPr>
          <w:i/>
          <w:sz w:val="20"/>
        </w:rPr>
        <w:t>EN: A multiscale fluid dynamics perspective on bubble management in water electrolysis</w:t>
      </w:r>
    </w:p>
    <w:p>
      <w:pPr>
        <w:spacing w:before="0" w:after="120"/>
      </w:pPr>
      <w:r>
        <w:rPr>
          <w:b/>
        </w:rPr>
        <w:t xml:space="preserve">Source: </w:t>
      </w:r>
      <w:r>
        <w:t>Joule</w:t>
      </w:r>
      <w:r>
        <w:t xml:space="preserve">    </w:t>
      </w:r>
      <w:r>
        <w:rPr>
          <w:b/>
        </w:rPr>
        <w:t xml:space="preserve">Pub date: </w:t>
      </w:r>
      <w:r>
        <w:t>2026-04-20 00:00:00+00:00</w:t>
      </w:r>
      <w:r>
        <w:t xml:space="preserve">    </w:t>
      </w:r>
      <w:r>
        <w:rPr>
          <w:b/>
        </w:rPr>
        <w:t xml:space="preserve">DOI: </w:t>
      </w:r>
      <w:hyperlink r:id="rId175">
        <w:r>
          <w:rPr>
            <w:color w:val="1155CC"/>
            <w:u w:val="single"/>
          </w:rPr>
          <w:t>10.1016/j.joule.2026.102429</w:t>
        </w:r>
      </w:hyperlink>
    </w:p>
    <w:p>
      <w:pPr>
        <w:spacing w:before="0" w:after="120"/>
      </w:pPr>
      <w:r>
        <w:rPr>
          <w:b/>
        </w:rPr>
        <w:t xml:space="preserve">Notes: </w:t>
      </w:r>
      <w:r>
        <w:t>abstract_source=rss_cell</w:t>
      </w:r>
    </w:p>
    <w:p>
      <w:pPr>
        <w:spacing w:before="0" w:after="80" w:lineRule="auto" w:line="276"/>
      </w:pPr>
      <w:r>
        <w:rPr>
          <w:b/>
        </w:rPr>
        <w:t xml:space="preserve">摘要（ZH）: </w:t>
      </w:r>
      <w:r>
        <w:t>在气体析出电化学系统中，气泡动力学及其引起的损失日益被认为是关键的效率瓶颈，特别是在较高电流密度下运行时。本文概述了气泡尺度的物理学；审视了跨学科工具和新兴的气泡管理策略，包括AI引导的优化和脉冲电解；并概述了将电化学与流体动力学结合以实现更高效电解槽设计的未来方向。</w:t>
      </w:r>
    </w:p>
    <w:p>
      <w:pPr>
        <w:spacing w:before="0" w:after="200" w:lineRule="auto" w:line="276"/>
      </w:pPr>
      <w:r>
        <w:rPr>
          <w:b/>
        </w:rPr>
        <w:t xml:space="preserve">Abstract (EN): </w:t>
      </w:r>
      <w:r>
        <w:t>In gas-evolving electrochemical systems, gas bubble dynamics and the corresponding bubble-induced losses are increasingly recognized as a key efficiency bottleneck, particularly when operating at higher current densities. This perspective overviews the bubble-scale physics; examines the cross-disciplinary tools and emerging strategies for bubble management, including AI-guided optimization and pulsed electrolysis; and outlines future directions to bridge electrochemistry and fluid dynamics toward a more efficient electrolyzer design.</w:t>
      </w:r>
    </w:p>
    <w:p>
      <w:pPr>
        <w:spacing w:before="120" w:after="120"/>
      </w:pPr>
      <w:r>
        <w:rPr>
          <w:sz w:val="18"/>
        </w:rPr>
        <w:t>——————————————————————————————————————————————————————————————————————</w:t>
      </w:r>
    </w:p>
    <w:p>
      <w:pPr>
        <w:spacing w:before="160" w:after="40" w:line="240" w:lineRule="auto"/>
      </w:pPr>
      <w:r>
        <w:rPr>
          <w:b/>
        </w:rPr>
        <w:t xml:space="preserve">[11] </w:t>
      </w:r>
      <w:hyperlink r:id="rId176">
        <w:r>
          <w:rPr>
            <w:color w:val="1155CC"/>
            <w:u w:val="single"/>
          </w:rPr>
          <w:t>海上风能枢纽的集成设计与运行：多矢量绿色氢和氨网络</w:t>
        </w:r>
      </w:hyperlink>
    </w:p>
    <w:p>
      <w:pPr>
        <w:spacing w:before="0" w:after="80"/>
      </w:pPr>
      <w:r>
        <w:rPr>
          <w:i/>
          <w:sz w:val="20"/>
        </w:rPr>
        <w:t>EN: Integrated design and operation of offshore wind energy hubs: Multi-vector green hydrogen and ammonia networks</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77">
        <w:r>
          <w:rPr>
            <w:color w:val="1155CC"/>
            <w:u w:val="single"/>
          </w:rPr>
          <w:t>在CO2/H2O共电解下固体氧化物电解池堆的空间分辨退化行为</w:t>
        </w:r>
      </w:hyperlink>
    </w:p>
    <w:p>
      <w:pPr>
        <w:spacing w:before="0" w:after="80"/>
      </w:pPr>
      <w:r>
        <w:rPr>
          <w:i/>
          <w:sz w:val="20"/>
        </w:rPr>
        <w:t>EN: Spatially resolved degradation behavior of a solid oxide electrolysis cell stack under CO2/H2O CO-electrolysis</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6">
        <w:r>
          <w:rPr>
            <w:color w:val="1155CC"/>
            <w:u w:val="single"/>
          </w:rPr>
          <w:t>增强独立光伏-电解槽系统的操作弹性：单级和双级电力接口架构的比较分析</w:t>
        </w:r>
      </w:hyperlink>
    </w:p>
    <w:p>
      <w:pPr>
        <w:spacing w:before="0" w:after="80"/>
      </w:pPr>
      <w:r>
        <w:rPr>
          <w:i/>
          <w:sz w:val="20"/>
        </w:rPr>
        <w:t>EN: Enhancing operational resilience of standalone photovoltaic-electrolyzer systems: A comparative analysis of single- and dual-stage power interface architectures</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78">
        <w:r>
          <w:rPr>
            <w:color w:val="1155CC"/>
            <w:u w:val="single"/>
          </w:rPr>
          <w:t>自激活电催化剂用于水分解：推进结构-性能理解及其超越</w:t>
        </w:r>
      </w:hyperlink>
    </w:p>
    <w:p>
      <w:pPr>
        <w:spacing w:before="0" w:after="80"/>
      </w:pPr>
      <w:r>
        <w:rPr>
          <w:i/>
          <w:sz w:val="20"/>
        </w:rPr>
        <w:t>EN: Self‐Activating Electrocatalysts for Water Splitting: Advancing Structure–Performance Understanding and Beyond</w:t>
      </w:r>
    </w:p>
    <w:p>
      <w:pPr>
        <w:spacing w:before="0" w:after="120"/>
      </w:pPr>
      <w:r>
        <w:rPr>
          <w:b/>
        </w:rPr>
        <w:t xml:space="preserve">Source: </w:t>
      </w:r>
      <w:r>
        <w:t>Wiley: Advanced Energy Materials: Table of Contents</w:t>
      </w:r>
      <w:r>
        <w:t xml:space="preserve">    </w:t>
      </w:r>
      <w:r>
        <w:rPr>
          <w:b/>
        </w:rPr>
        <w:t xml:space="preserve">Pub date: </w:t>
      </w:r>
      <w:r>
        <w:t>2026-04-20 11:13:57+00:00</w:t>
      </w:r>
      <w:r>
        <w:t xml:space="preserve">    </w:t>
      </w:r>
      <w:r>
        <w:rPr>
          <w:b/>
        </w:rPr>
        <w:t xml:space="preserve">DOI: </w:t>
      </w:r>
      <w:hyperlink r:id="rId179">
        <w:r>
          <w:rPr>
            <w:color w:val="1155CC"/>
            <w:u w:val="single"/>
          </w:rPr>
          <w:t>10.1002/aenm.202506766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激活电催化剂代表了水分解催化中的一种新兴范式，将重点从静态材料转向在电化学偏压下自适应、动态演变的界面。然而，对其结构-性能关系的机制的统一理解仍然有限。本综述提供了关键的机制见解，并强调了在操作条件下催化剂演变的前沿发展。我们总结了自激活催化剂在氧气析出反应（OER）和氢气析出反应（HER）中的最新进展，强调了增强活性和稳定性的关键驱动力，包括催化剂-电解质界面演变、催化剂-载体</w:t>
      </w:r>
    </w:p>
    <w:p>
      <w:pPr>
        <w:spacing w:before="0" w:after="200" w:lineRule="auto" w:line="276"/>
      </w:pPr>
      <w:r>
        <w:rPr>
          <w:b/>
        </w:rPr>
        <w:t xml:space="preserve">Abstract (EN): </w:t>
      </w:r>
      <w:r>
        <w:t>Self‐activating electrocatalysts represent an emerging paradigm in water‐splitting catalysis, shifting the focus from static materials toward adaptive, dynamically evolving interfaces under electrochemical bias. Yet, a unified understanding of the mechanisms that govern their structure–performance relationships remains limited. This review provides critical mechanistic insights and highlights cutting‐edge developments that illuminate catalyst evolution under operating conditions. We summarize recent advances in self‐activating catalysts for both the oxygen evolution reaction (OER) and hydrogen evolution reaction (HER), emphasizing the key driving forces behind enhanced activity and stability, including catalyst–electrolyte interfacial evolution, catalyst–support interaction, morphology, and crystallinity adaptation. By integrating and comparing frequently used mechanistic descriptors, we establish a conceptual framework that captures the core features of self‐activation across both OER and HER. Finally, we identify current knowledge gaps and outline future research directions that may accelerate the translation of self‐activating electrocatalysts toward scalable, cost‐effective, and sustainable hydrogen production.</w:t>
      </w:r>
    </w:p>
    <w:p>
      <w:pPr>
        <w:spacing w:before="120" w:after="120"/>
      </w:pPr>
      <w:r>
        <w:rPr>
          <w:sz w:val="18"/>
        </w:rPr>
        <w:t>——————————————————————————————————————————————————————————————————————</w:t>
      </w:r>
    </w:p>
    <w:p>
      <w:pPr>
        <w:spacing w:before="160" w:after="40" w:line="240" w:lineRule="auto"/>
      </w:pPr>
      <w:r>
        <w:rPr>
          <w:b/>
        </w:rPr>
        <w:t xml:space="preserve">[15] </w:t>
      </w:r>
      <w:hyperlink r:id="rId180">
        <w:r>
          <w:rPr>
            <w:color w:val="1155CC"/>
            <w:u w:val="single"/>
          </w:rPr>
          <w:t>增强的晶格极化和定向电荷传输至铂表面位点加速了钴掺杂BiFeO3压电催化氢气演化中的Volmer步骤</w:t>
        </w:r>
      </w:hyperlink>
    </w:p>
    <w:p>
      <w:pPr>
        <w:spacing w:before="0" w:after="80"/>
      </w:pPr>
      <w:r>
        <w:rPr>
          <w:i/>
          <w:sz w:val="20"/>
        </w:rPr>
        <w:t>EN: Enhanced Lattice Polarization and Directed Charge Transport Toward Pt Surface Sites Accelerate the Volmer Step in Piezocatalytic H2 Evolution on Co‐Doped BiFeO3</w:t>
      </w:r>
    </w:p>
    <w:p>
      <w:pPr>
        <w:spacing w:before="0" w:after="120"/>
      </w:pPr>
      <w:r>
        <w:rPr>
          <w:b/>
        </w:rPr>
        <w:t xml:space="preserve">Source: </w:t>
      </w:r>
      <w:r>
        <w:t>Wiley: Advanced Energy Materials: Table of Contents</w:t>
      </w:r>
      <w:r>
        <w:t xml:space="preserve">    </w:t>
      </w:r>
      <w:r>
        <w:rPr>
          <w:b/>
        </w:rPr>
        <w:t xml:space="preserve">Pub date: </w:t>
      </w:r>
      <w:r>
        <w:t>2026-04-20 11:20:06+00:00</w:t>
      </w:r>
      <w:r>
        <w:t xml:space="preserve">    </w:t>
      </w:r>
      <w:r>
        <w:rPr>
          <w:b/>
        </w:rPr>
        <w:t xml:space="preserve">DOI: </w:t>
      </w:r>
      <w:hyperlink r:id="rId181">
        <w:r>
          <w:rPr>
            <w:color w:val="1155CC"/>
            <w:u w:val="single"/>
          </w:rPr>
          <w:t>10.1002/aenm.70895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压电催化剂利用机械刺激产生压电极化以进行氢气演化；然而，极化诱导电荷向表面反应动力学的有效转化仍然是一个关键限制，特别是在决定速率的Volmer水解离步骤中。在此，我们报告了一种用铂表面位点（Pt/BCFO）修饰的Co掺杂BiFeO</w:t>
      </w:r>
      <w:r>
        <w:rPr>
          <w:vertAlign w:val="subscript"/>
        </w:rPr>
        <w:t>3</w:t>
      </w:r>
      <w:r>
        <w:t>压电催化剂（BCFO），其中晶格极化增强和表面反应动力学通过不同但互补的作用进行调节。Co掺杂引起的晶格畸变增强了压电极化，促进了定向电荷传输并增加了表面电荷的可用性。Pt位点促进</w:t>
      </w:r>
    </w:p>
    <w:p>
      <w:pPr>
        <w:spacing w:before="0" w:after="200" w:lineRule="auto" w:line="276"/>
      </w:pPr>
      <w:r>
        <w:rPr>
          <w:b/>
        </w:rPr>
        <w:t xml:space="preserve">Abstract (EN): </w:t>
      </w:r>
      <w:r>
        <w:t>Piezocatalysts utilize mechanical stimulation to generate piezoelectric polarization for hydrogen evolution; however, the effective translation of polarization‐induced charges into surface reaction kinetics remains a key limitation, particularly for the rate‐determining Volmer water dissociation step. Here, we report a Co‐doped BiFeO</w:t>
      </w:r>
      <w:r>
        <w:rPr>
          <w:vertAlign w:val="subscript"/>
        </w:rPr>
        <w:t>3</w:t>
      </w:r>
      <w:r>
        <w:t>piezocatalyst (BCFO) modified with platinum surface sites (Pt/BCFO), in which lattice polarization enhancement and surface reaction kinetics are regulated through distinct yet complementary roles. Co doping induces lattice distortion that enhances piezoelectric polarization, promoting directional charge transport and increasing surface charge availability. Pt sites facilitate water dissociation, thereby accelerating the Volmer step without altering the lattice polarization behavior. Piezoresponse force microscopy, photoluminescence, and electrochemical analyses confirm enhanced polarization‐induced charge separation and transport, while density functional theory calculations reveal a substantially reduced water dissociation barrier on Pt sites. As a result, the Pt/BCFO catalyst achieves a piezocatalytic hydrogen evolution rate of 1896.4 µmol g</w:t>
      </w:r>
      <w:r>
        <w:t xml:space="preserve"> </w:t>
      </w:r>
      <w:r>
        <w:t>−</w:t>
      </w:r>
      <w:r>
        <w:rPr>
          <w:vertAlign w:val="subscript"/>
        </w:rPr>
        <w:t>1</w:t>
      </w:r>
      <w:r>
        <w:t>h</w:t>
      </w:r>
      <w:r>
        <w:t xml:space="preserve"> </w:t>
      </w:r>
      <w:r>
        <w:t>−</w:t>
      </w:r>
      <w:r>
        <w:rPr>
          <w:vertAlign w:val="subscript"/>
        </w:rPr>
        <w:t>1</w:t>
      </w:r>
      <w:r>
        <w:t>, corresponding to a 16‐fold enhancement compared to pristine BiFeO</w:t>
      </w:r>
      <w:r>
        <w:rPr>
          <w:vertAlign w:val="subscript"/>
        </w:rPr>
        <w:t>3</w:t>
      </w:r>
      <w:r>
        <w:t>. Furthermore, composite films incorporating the catalyst into a poly(vinylidene fluoride) matrix demonstrate effective mechanical energy harvesting and convenient catalyst recovery. This work establishes a direct mechanistic link between lattice polarization and surface reaction kinetics for accelerating the Volmer step in piezocatalytic hydrogen evolution.</w:t>
      </w:r>
    </w:p>
    <w:p>
      <w:pPr>
        <w:spacing w:before="120" w:after="120"/>
      </w:pPr>
      <w:r>
        <w:rPr>
          <w:sz w:val="18"/>
        </w:rPr>
        <w:t>——————————————————————————————————————————————————————————————————————</w:t>
      </w:r>
    </w:p>
    <w:p>
      <w:pPr>
        <w:spacing w:before="160" w:after="40" w:line="240" w:lineRule="auto"/>
      </w:pPr>
      <w:r>
        <w:rPr>
          <w:b/>
        </w:rPr>
        <w:t xml:space="preserve">[16] </w:t>
      </w:r>
      <w:hyperlink r:id="rId182">
        <w:r>
          <w:rPr>
            <w:color w:val="1155CC"/>
            <w:u w:val="single"/>
          </w:rPr>
          <w:t>绿色氢枢纽的综合评审：技术、服务、挑战和未来展望</w:t>
        </w:r>
      </w:hyperlink>
    </w:p>
    <w:p>
      <w:pPr>
        <w:spacing w:before="0" w:after="80"/>
      </w:pPr>
      <w:r>
        <w:rPr>
          <w:i/>
          <w:sz w:val="20"/>
        </w:rPr>
        <w:t>EN: A comprehensive review of green hydrogen hubs: Technologies, services, challenges, and future perspectives</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83">
        <w:r>
          <w:rPr>
            <w:color w:val="1155CC"/>
            <w:u w:val="single"/>
          </w:rPr>
          <w:t>基于固体氧化物电解池的氢气生产站的电氢尺寸和运行优化，考虑堆栈退化</w:t>
        </w:r>
      </w:hyperlink>
    </w:p>
    <w:p>
      <w:pPr>
        <w:spacing w:before="0" w:after="80"/>
      </w:pPr>
      <w:r>
        <w:rPr>
          <w:i/>
          <w:sz w:val="20"/>
        </w:rPr>
        <w:t>EN: Electro‑hydrogen sizing and operation optimization for a hydrogen production station based on solid oxide electrolysis cells considering stack degradation</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184">
        <w:r>
          <w:rPr>
            <w:color w:val="1155CC"/>
            <w:u w:val="single"/>
          </w:rPr>
          <w:t>由离子有机笼启用的界面电荷调节微环境以提升电催化硝酸盐还原为氨</w:t>
        </w:r>
      </w:hyperlink>
    </w:p>
    <w:p>
      <w:pPr>
        <w:spacing w:before="0" w:after="80"/>
      </w:pPr>
      <w:r>
        <w:rPr>
          <w:i/>
          <w:sz w:val="20"/>
        </w:rPr>
        <w:t>EN: Interfacial Charge‐Regulated Microenvironments Enabled by Ionic Organic Cages for Boosting Electrocatalytic Nitrate Reduction to Ammonia</w:t>
      </w:r>
    </w:p>
    <w:p>
      <w:pPr>
        <w:spacing w:before="0" w:after="120"/>
      </w:pPr>
      <w:r>
        <w:rPr>
          <w:b/>
        </w:rPr>
        <w:t xml:space="preserve">Source: </w:t>
      </w:r>
      <w:r>
        <w:t>Wiley: Angewandte Chemie International Edition: Table of Contents</w:t>
      </w:r>
      <w:r>
        <w:t xml:space="preserve">    </w:t>
      </w:r>
      <w:r>
        <w:rPr>
          <w:b/>
        </w:rPr>
        <w:t xml:space="preserve">Pub date: </w:t>
      </w:r>
      <w:r>
        <w:t>2026-04-21 10:30:52+00:00</w:t>
      </w:r>
      <w:r>
        <w:t xml:space="preserve">    </w:t>
      </w:r>
      <w:r>
        <w:rPr>
          <w:b/>
        </w:rPr>
        <w:t xml:space="preserve">DOI: </w:t>
      </w:r>
      <w:hyperlink r:id="rId185">
        <w:r>
          <w:rPr>
            <w:color w:val="1155CC"/>
            <w:u w:val="single"/>
          </w:rPr>
          <w:t>10.1002/anie.4155022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氨（NH</w:t>
      </w:r>
      <w:r>
        <w:rPr>
          <w:vertAlign w:val="subscript"/>
        </w:rPr>
        <w:t>3</w:t>
      </w:r>
      <w:r>
        <w:t>）对农业和工业至关重要，但哈伯–博施法能耗高且碳排放大。电化学硝酸盐还原反应（NO</w:t>
      </w:r>
      <w:r>
        <w:rPr>
          <w:vertAlign w:val="subscript"/>
        </w:rPr>
        <w:t>3</w:t>
      </w:r>
      <w:r>
        <w:t>RR）通过将NH</w:t>
      </w:r>
      <w:r>
        <w:rPr>
          <w:vertAlign w:val="subscript"/>
        </w:rPr>
        <w:t>3</w:t>
      </w:r>
      <w:r>
        <w:t>合成与水处理相结合，提供了一种可持续的替代方案。然而，弱NO</w:t>
      </w:r>
      <w:r>
        <w:rPr>
          <w:vertAlign w:val="subscript"/>
        </w:rPr>
        <w:t>3</w:t>
      </w:r>
      <w:r>
        <w:t>−</w:t>
      </w:r>
      <w:r>
        <w:t>吸附、竞争性氢析出和次优催化剂微环境等挑战阻碍了性能。在此，我们报道了一系列电催化剂，Pd⊂QA-Cage</w:t>
      </w:r>
      <w:r>
        <w:t xml:space="preserve"> </w:t>
      </w:r>
      <w:r>
        <w:t>x</w:t>
      </w:r>
      <w:r>
        <w:t xml:space="preserve"> </w:t>
      </w:r>
      <w:r>
        <w:t>+</w:t>
      </w:r>
    </w:p>
    <w:p>
      <w:pPr>
        <w:spacing w:before="0" w:after="200" w:lineRule="auto" w:line="276"/>
      </w:pPr>
      <w:r>
        <w:rPr>
          <w:b/>
        </w:rPr>
        <w:t xml:space="preserve">Abstract (EN): </w:t>
      </w:r>
      <w:r>
        <w:t>Ammonia (NH</w:t>
      </w:r>
      <w:r>
        <w:rPr>
          <w:vertAlign w:val="subscript"/>
        </w:rPr>
        <w:t>3</w:t>
      </w:r>
      <w:r>
        <w:t>) is essential for agriculture and industry, yet the Haber–Bosch process is energy‐intensive and carbon‐emissive. Electrochemical nitrate reduction reaction (NO</w:t>
      </w:r>
      <w:r>
        <w:rPr>
          <w:vertAlign w:val="subscript"/>
        </w:rPr>
        <w:t>3</w:t>
      </w:r>
      <w:r>
        <w:t>RR) offers a sustainable alternative by coupling NH</w:t>
      </w:r>
      <w:r>
        <w:rPr>
          <w:vertAlign w:val="subscript"/>
        </w:rPr>
        <w:t>3</w:t>
      </w:r>
      <w:r>
        <w:t>synthesis with water remediation. However, challenges such as weak NO</w:t>
      </w:r>
      <w:r>
        <w:rPr>
          <w:vertAlign w:val="subscript"/>
        </w:rPr>
        <w:t>3</w:t>
      </w:r>
      <w:r>
        <w:t>−</w:t>
      </w:r>
      <w:r>
        <w:t>adsorption, competing hydrogen evolution, and suboptimal catalyst microenvironments hinder performance. Here, we report a family of electrocatalysts, Pd⊂QA‐Cage</w:t>
      </w:r>
      <w:r>
        <w:t xml:space="preserve"> </w:t>
      </w:r>
      <w:r>
        <w:t>x</w:t>
      </w:r>
      <w:r>
        <w:t xml:space="preserve"> </w:t>
      </w:r>
      <w:r>
        <w:t>+</w:t>
      </w:r>
      <w:r>
        <w:t xml:space="preserve"> </w:t>
      </w:r>
      <w:r>
        <w:t>(</w:t>
      </w:r>
      <w:r>
        <w:t xml:space="preserve"> </w:t>
      </w:r>
      <w:r>
        <w:t>x</w:t>
      </w:r>
      <w:r>
        <w:t xml:space="preserve"> </w:t>
      </w:r>
      <w:r>
        <w:t>= 24, 12, 6), constructed by encapsulating Pd clusters within quaternized organic cages. These discrete hosts enable uniform metal cluster confinement and precise control over the interfacial microenvironment. Increasing cage charge density enriches interfacial NO</w:t>
      </w:r>
      <w:r>
        <w:rPr>
          <w:vertAlign w:val="subscript"/>
        </w:rPr>
        <w:t>3</w:t>
      </w:r>
      <w:r>
        <w:t>−</w:t>
      </w:r>
      <w:r>
        <w:t>concentration, upshifts Pd</w:t>
      </w:r>
      <w:r>
        <w:t xml:space="preserve"> </w:t>
      </w:r>
      <w:r>
        <w:t>d</w:t>
      </w:r>
      <w:r>
        <w:t xml:space="preserve"> </w:t>
      </w:r>
      <w:r>
        <w:t>‐band center, and enhances *NO</w:t>
      </w:r>
      <w:r>
        <w:rPr>
          <w:vertAlign w:val="subscript"/>
        </w:rPr>
        <w:t>3</w:t>
      </w:r>
      <w:r>
        <w:t>activation. Simultaneously, potential‐driven electron transfer from the counterion (Cl</w:t>
      </w:r>
      <w:r>
        <w:t xml:space="preserve"> </w:t>
      </w:r>
      <w:r>
        <w:t>−</w:t>
      </w:r>
      <w:r>
        <w:t>) to –NH</w:t>
      </w:r>
      <w:r>
        <w:rPr>
          <w:vertAlign w:val="subscript"/>
        </w:rPr>
        <w:t>2</w:t>
      </w:r>
      <w:r>
        <w:t>+</w:t>
      </w:r>
      <w:r>
        <w:t xml:space="preserve"> </w:t>
      </w:r>
      <w:r>
        <w:t>– generates stable radicals in the cage skeleton, which mediate water activation to form hydrogen radicals (H•) that spill over to Pd sites, accelerating intermediate hydrogenation. The optimized Pd⊂QA‐Cage</w:t>
      </w:r>
      <w:r>
        <w:t xml:space="preserve"> </w:t>
      </w:r>
      <w:r>
        <w:t>24+</w:t>
      </w:r>
      <w:r>
        <w:t xml:space="preserve"> </w:t>
      </w:r>
      <w:r>
        <w:t>delivers a Faradaic efficiency of 95.44% and an NH</w:t>
      </w:r>
      <w:r>
        <w:rPr>
          <w:vertAlign w:val="subscript"/>
        </w:rPr>
        <w:t>3</w:t>
      </w:r>
      <w:r>
        <w:t>yield of 25.70 mg h</w:t>
      </w:r>
      <w:r>
        <w:t xml:space="preserve"> </w:t>
      </w:r>
      <w:r>
        <w:t>−</w:t>
      </w:r>
      <w:r>
        <w:rPr>
          <w:vertAlign w:val="subscript"/>
        </w:rPr>
        <w:t>1</w:t>
      </w:r>
      <w:r>
        <w:t>mg</w:t>
      </w:r>
      <w:r>
        <w:t xml:space="preserve"> </w:t>
      </w:r>
      <w:r>
        <w:t>cat</w:t>
      </w:r>
      <w:r>
        <w:t xml:space="preserve"> </w:t>
      </w:r>
      <w:r>
        <w:t>−</w:t>
      </w:r>
      <w:r>
        <w:rPr>
          <w:vertAlign w:val="subscript"/>
        </w:rPr>
        <w:t>1</w:t>
      </w:r>
      <w:r>
        <w:t>in neutral electrolytes, outperforming its lower‐charge analogs. Moreover, it enables &amp;gt; 99.4% nitrate removal from eutrophic seawater, reducing NO</w:t>
      </w:r>
      <w:r>
        <w:rPr>
          <w:vertAlign w:val="subscript"/>
        </w:rPr>
        <w:t>3</w:t>
      </w:r>
      <w:r>
        <w:t>−</w:t>
      </w:r>
      <w:r>
        <w:t>concentrations below potable water standards. This work introduces ionic cages as programmable interfacial modifiers, offering a supramolecular strategy to regulate electrochemical microenvironments and boost electrocatalytic NO</w:t>
      </w:r>
      <w:r>
        <w:rPr>
          <w:vertAlign w:val="subscript"/>
        </w:rPr>
        <w:t>3</w:t>
      </w:r>
      <w:r>
        <w:t>RR performance.</w:t>
      </w:r>
    </w:p>
    <w:p>
      <w:pPr>
        <w:spacing w:before="120" w:after="120"/>
      </w:pPr>
      <w:r>
        <w:rPr>
          <w:sz w:val="18"/>
        </w:rPr>
        <w:t>——————————————————————————————————————————————————————————————————————</w:t>
      </w:r>
    </w:p>
    <w:p>
      <w:pPr>
        <w:spacing w:before="160" w:after="40" w:line="240" w:lineRule="auto"/>
      </w:pPr>
      <w:r>
        <w:rPr>
          <w:b/>
        </w:rPr>
        <w:t xml:space="preserve">[19] </w:t>
      </w:r>
      <w:hyperlink r:id="rId186">
        <w:r>
          <w:rPr>
            <w:color w:val="1155CC"/>
            <w:u w:val="single"/>
          </w:rPr>
          <w:t>研究在高温下钴上的CO电解以生产C4+烃类</w:t>
        </w:r>
      </w:hyperlink>
    </w:p>
    <w:p>
      <w:pPr>
        <w:spacing w:before="0" w:after="80"/>
      </w:pPr>
      <w:r>
        <w:rPr>
          <w:i/>
          <w:sz w:val="20"/>
        </w:rPr>
        <w:t>EN: Investigating CO Electrolysis on cobalt at elevated temperatures to produce C4+ hydrocarbons</w:t>
      </w:r>
    </w:p>
    <w:p>
      <w:pPr>
        <w:spacing w:before="0" w:after="120"/>
      </w:pPr>
      <w:r>
        <w:rPr>
          <w:b/>
        </w:rPr>
        <w:t xml:space="preserve">Source: </w:t>
      </w:r>
      <w:r>
        <w:t>RSC - Energy Environ. Sci.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去化石化航空和航运业需要可扩展的、碳中和的高能量密度液体燃料路线。CO2电解已成为碳中和燃料的一个有前途的途径，但基于Cu的催化剂主要限于生产短链（</w:t>
      </w:r>
    </w:p>
    <w:p>
      <w:pPr>
        <w:spacing w:before="0" w:after="200" w:lineRule="auto" w:line="276"/>
      </w:pPr>
      <w:r>
        <w:rPr>
          <w:b/>
        </w:rPr>
        <w:t xml:space="preserve">Abstract (EN): </w:t>
      </w:r>
      <w:r>
        <w:t>Defossilizing aviation and shipping industries require scalable, carbon-neutral routes to energy-dense liquid fuels. CO 2 electrolysis has emerged as a promising route to carbon-neutral fuels, but Cu-based catalysts are largely limited to producing short-chain (</w:t>
      </w:r>
    </w:p>
    <w:p>
      <w:pPr>
        <w:spacing w:before="120" w:after="120"/>
      </w:pPr>
      <w:r>
        <w:rPr>
          <w:sz w:val="18"/>
        </w:rPr>
        <w:t>——————————————————————————————————————————————————————————————————————</w:t>
      </w:r>
    </w:p>
    <w:p>
      <w:pPr>
        <w:spacing w:before="160" w:after="40" w:line="240" w:lineRule="auto"/>
      </w:pPr>
      <w:r>
        <w:rPr>
          <w:b/>
        </w:rPr>
        <w:t xml:space="preserve">[20] </w:t>
      </w:r>
      <w:hyperlink r:id="rId187">
        <w:r>
          <w:rPr>
            <w:color w:val="1155CC"/>
            <w:u w:val="single"/>
          </w:rPr>
          <w:t>超越氧化锆：氧化铪重新定义了CO₂到甲醇合成中基于In2O3催化剂的支撑设计</w:t>
        </w:r>
      </w:hyperlink>
    </w:p>
    <w:p>
      <w:pPr>
        <w:spacing w:before="0" w:after="80"/>
      </w:pPr>
      <w:r>
        <w:rPr>
          <w:i/>
          <w:sz w:val="20"/>
        </w:rPr>
        <w:t>EN: Beyond zirconia: hafnia redefines support design for In2O3-based catalyst in CO₂-to-methanol synthesis</w:t>
      </w:r>
    </w:p>
    <w:p>
      <w:pPr>
        <w:spacing w:before="0" w:after="120"/>
      </w:pPr>
      <w:r>
        <w:rPr>
          <w:b/>
        </w:rPr>
        <w:t xml:space="preserve">Source: </w:t>
      </w:r>
      <w:r>
        <w:t>National Science Review Advance Access</w:t>
      </w:r>
      <w:r>
        <w:t xml:space="preserve">    </w:t>
      </w:r>
      <w:r>
        <w:rPr>
          <w:b/>
        </w:rPr>
        <w:t xml:space="preserve">Pub date: </w:t>
      </w:r>
      <w:r>
        <w:t>2026-04-22 00:00:00+00:00</w:t>
      </w:r>
      <w:r>
        <w:t xml:space="preserve">    </w:t>
      </w:r>
      <w:r>
        <w:rPr>
          <w:b/>
        </w:rPr>
        <w:t xml:space="preserve">DOI: </w:t>
      </w:r>
      <w:hyperlink r:id="rId188">
        <w:r>
          <w:rPr>
            <w:color w:val="1155CC"/>
            <w:u w:val="single"/>
          </w:rPr>
          <w:t>10.1093/nsr/nwag242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89">
        <w:r>
          <w:rPr>
            <w:color w:val="1155CC"/>
            <w:u w:val="single"/>
          </w:rPr>
          <w:t>水电解槽绿色氢气工艺系统的前瞻性可持续性评估：基于货币化的方法</w:t>
        </w:r>
      </w:hyperlink>
    </w:p>
    <w:p>
      <w:pPr>
        <w:spacing w:before="0" w:after="80"/>
      </w:pPr>
      <w:r>
        <w:rPr>
          <w:i/>
          <w:sz w:val="20"/>
        </w:rPr>
        <w:t>EN: Prospective sustainability assessment of water electrolyzer green hydrogen process systems: a monetization-based approach</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90">
        <w:r>
          <w:rPr>
            <w:color w:val="1155CC"/>
            <w:u w:val="single"/>
          </w:rPr>
          <w:t>基于可再生氢的工业生产的地缘经济情景</w:t>
        </w:r>
      </w:hyperlink>
    </w:p>
    <w:p>
      <w:pPr>
        <w:spacing w:before="0" w:after="80"/>
      </w:pPr>
      <w:r>
        <w:rPr>
          <w:i/>
          <w:sz w:val="20"/>
        </w:rPr>
        <w:t>EN: Geoeconomic scenarios of renewable-hydrogen-based industrial production</w:t>
      </w:r>
    </w:p>
    <w:p>
      <w:pPr>
        <w:spacing w:before="0" w:after="120"/>
      </w:pPr>
      <w:r>
        <w:rPr>
          <w:b/>
        </w:rPr>
        <w:t xml:space="preserve">Source: </w:t>
      </w:r>
      <w:r>
        <w:t>Nature Reviews Clean Technology</w:t>
      </w:r>
      <w:r>
        <w:t xml:space="preserve">    </w:t>
      </w:r>
      <w:r>
        <w:rPr>
          <w:b/>
        </w:rPr>
        <w:t xml:space="preserve">Pub date: </w:t>
      </w:r>
      <w:r>
        <w:t>2026-04-22 00:00:00+00:00</w:t>
      </w:r>
      <w:r>
        <w:t xml:space="preserve">    </w:t>
      </w:r>
      <w:r>
        <w:rPr>
          <w:b/>
        </w:rPr>
        <w:t xml:space="preserve">DOI: </w:t>
      </w:r>
      <w:hyperlink r:id="rId191">
        <w:r>
          <w:rPr>
            <w:color w:val="1155CC"/>
            <w:u w:val="single"/>
          </w:rPr>
          <w:t>10.1038/s44359-026-00164-3</w:t>
        </w:r>
      </w:hyperlink>
    </w:p>
    <w:p>
      <w:pPr>
        <w:spacing w:before="0" w:after="120"/>
      </w:pPr>
      <w:r>
        <w:rPr>
          <w:b/>
        </w:rPr>
        <w:t xml:space="preserve">Notes: </w:t>
      </w:r>
      <w:r>
        <w:t>abstract_source=nature_html</w:t>
      </w:r>
    </w:p>
    <w:p>
      <w:pPr>
        <w:spacing w:before="0" w:after="80" w:lineRule="auto" w:line="276"/>
      </w:pPr>
      <w:r>
        <w:rPr>
          <w:b/>
        </w:rPr>
        <w:t xml:space="preserve">摘要（ZH）: </w:t>
      </w:r>
      <w:r>
        <w:t>可再生氢可能在去碳化能源密集型产业和实现净零经济中发挥作用。关于可再生氢的生产和使用对工业价值链和生产地理的影响存在争议，因为工业集群的位置与可再生氢的大规模生产潜力之间存在不匹配。这一观点考察了影响工业中可再生氢使用的地缘经济因素，并讨论了对全球价值链的潜在影响。我们讨论了基于可再生氢生产的三种未来情景。在燃料转换情景中，可再生氢取代化石燃料，而不对工业价值链进行重大重塑，假设长距离氢运输的基础设施可以</w:t>
      </w:r>
    </w:p>
    <w:p>
      <w:pPr>
        <w:spacing w:before="0" w:after="200" w:lineRule="auto" w:line="276"/>
      </w:pPr>
      <w:r>
        <w:rPr>
          <w:b/>
        </w:rPr>
        <w:t xml:space="preserve">Abstract (EN): </w:t>
      </w:r>
      <w:r>
        <w:t>Renewable hydrogen could have a role in decarbonizing energy-intensive industries and in achieving net-zero economies. The impacts of renewable-hydrogen production and use on industrial value chains and the geography of production are debated, as there is a mismatch between the locations of industrial clusters and potential large-scale production of renewable hydrogen. This Perspective examines the geoeconomic factors affecting the use of renewable hydrogen in industry and discusses the potential impacts on global value chains. We discuss three future scenarios of renewable-hydrogen-based production. In a fuel-switch scenario, renewable hydrogen displaces fossil fuels without major reshaping of industrial value chains, assuming that infrastructure for long-distance hydrogen transport can be deployed. Another scenario is industrial relocation, where industries shift to regions with abundant hydrogen production potential, thus reducing the need for direct hydrogen transport. Finally, a hybrid scenario describes the co-location of hydrogen production and intermediate production, with final production at existing industrial hubs. These scenarios each have geopolitical, environmental and justice implications that require thorough analysis and targeted policy responses to ensure a just hydrogen transition.</w:t>
      </w:r>
    </w:p>
    <w:p>
      <w:pPr>
        <w:spacing w:before="120" w:after="120"/>
      </w:pPr>
      <w:r>
        <w:rPr>
          <w:sz w:val="18"/>
        </w:rPr>
        <w:t>——————————————————————————————————————————————————————————————————————</w:t>
      </w:r>
    </w:p>
    <w:p>
      <w:pPr>
        <w:spacing w:before="160" w:after="40" w:line="240" w:lineRule="auto"/>
      </w:pPr>
      <w:r>
        <w:rPr>
          <w:b/>
        </w:rPr>
        <w:t xml:space="preserve">[23] </w:t>
      </w:r>
      <w:hyperlink r:id="rId192">
        <w:r>
          <w:rPr>
            <w:color w:val="1155CC"/>
            <w:u w:val="single"/>
          </w:rPr>
          <w:t>钨介导的羟基供应增强了PtIr在高性能直接氨燃料电池中对电化学氨氧化的活性</w:t>
        </w:r>
      </w:hyperlink>
    </w:p>
    <w:p>
      <w:pPr>
        <w:spacing w:before="0" w:after="80"/>
      </w:pPr>
      <w:r>
        <w:rPr>
          <w:i/>
          <w:sz w:val="20"/>
        </w:rPr>
        <w:t>EN: Tungsten‐Mediated Hydroxyl Supply Enhances PtIr Activity Toward Electrochemical Ammonia Oxidation for High‐Performance Direct Ammonia Fuel Cells</w:t>
      </w:r>
    </w:p>
    <w:p>
      <w:pPr>
        <w:spacing w:before="0" w:after="120"/>
      </w:pPr>
      <w:r>
        <w:rPr>
          <w:b/>
        </w:rPr>
        <w:t xml:space="preserve">Source: </w:t>
      </w:r>
      <w:r>
        <w:t>Wiley: Advanced Energy Materials: Table of Contents</w:t>
      </w:r>
      <w:r>
        <w:t xml:space="preserve">    </w:t>
      </w:r>
      <w:r>
        <w:rPr>
          <w:b/>
        </w:rPr>
        <w:t xml:space="preserve">Pub date: </w:t>
      </w:r>
      <w:r>
        <w:t>2026-04-22 07:53:17+00:00</w:t>
      </w:r>
      <w:r>
        <w:t xml:space="preserve">    </w:t>
      </w:r>
      <w:r>
        <w:rPr>
          <w:b/>
        </w:rPr>
        <w:t xml:space="preserve">DOI: </w:t>
      </w:r>
      <w:hyperlink r:id="rId193">
        <w:r>
          <w:rPr>
            <w:color w:val="1155CC"/>
            <w:u w:val="single"/>
          </w:rPr>
          <w:t>10.1002/aenm.70968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低温直接氨燃料电池（DAFCs）在发电方面受到越来越多的关注，但阳极氨氧化反应（AOR）仍然存在相当大的过电位。这个多步反应涉及由OH</w:t>
      </w:r>
      <w:r>
        <w:t xml:space="preserve"> </w:t>
      </w:r>
      <w:r>
        <w:t>–</w:t>
      </w:r>
      <w:r>
        <w:t xml:space="preserve"> </w:t>
      </w:r>
      <w:r>
        <w:t>触发的吸附氨的连续脱氢，而OH</w:t>
      </w:r>
      <w:r>
        <w:t xml:space="preserve"> </w:t>
      </w:r>
      <w:r>
        <w:t>–</w:t>
      </w:r>
      <w:r>
        <w:t xml:space="preserve"> </w:t>
      </w:r>
      <w:r>
        <w:t>的消耗动力学过快，无法及时从体相电解质中补充，这显著限制了即使是最先进的PtIr催化剂的AOR。在此，我们通过提出一种钨介导的羟基供应策略来解决这一挑战。钨具有高亲氧性，其掺入PtIr替代溶</w:t>
      </w:r>
    </w:p>
    <w:p>
      <w:pPr>
        <w:spacing w:before="0" w:after="200" w:lineRule="auto" w:line="276"/>
      </w:pPr>
      <w:r>
        <w:rPr>
          <w:b/>
        </w:rPr>
        <w:t xml:space="preserve">Abstract (EN): </w:t>
      </w:r>
      <w:r>
        <w:t>Low‐temperature direct ammonia fuel cells (DAFCs) have gained increasing attention for power generation, but the anodic ammonia oxidation reaction (AOR) still suffers from considerable overpotential. This multistep reaction involves the successive dehydrogenation of adsorbed ammonia triggered by OH</w:t>
      </w:r>
      <w:r>
        <w:t xml:space="preserve"> </w:t>
      </w:r>
      <w:r>
        <w:t>–</w:t>
      </w:r>
      <w:r>
        <w:t xml:space="preserve"> </w:t>
      </w:r>
      <w:r>
        <w:t>, whereas the consumption kinetics of OH</w:t>
      </w:r>
      <w:r>
        <w:t xml:space="preserve"> </w:t>
      </w:r>
      <w:r>
        <w:t>–</w:t>
      </w:r>
      <w:r>
        <w:t xml:space="preserve"> </w:t>
      </w:r>
      <w:r>
        <w:t>is too fast to be timely supplemented from bulk electrolyte, which significantly restricts the AOR even for the state‐of‐the‐art PtIr catalyst. Herein, we address this challenge by proposing a tungsten‐mediated hydroxyl supply strategy. Tungsten features high oxophilicity and its incorporation into the PtIr substitutional solid‐solution alloy could effectively trigger O‐down (H</w:t>
      </w:r>
      <w:r>
        <w:rPr>
          <w:vertAlign w:val="subscript"/>
        </w:rPr>
        <w:t>2</w:t>
      </w:r>
      <w:r>
        <w:t>O↓) conformation in interfacial water as demonstrated by in situ attenuated total reflection‐Fourier transform infrared (ATR‐FTIR) characterization. This H</w:t>
      </w:r>
      <w:r>
        <w:rPr>
          <w:vertAlign w:val="subscript"/>
        </w:rPr>
        <w:t>2</w:t>
      </w:r>
      <w:r>
        <w:t>O↓ conformation promotes OH</w:t>
      </w:r>
      <w:r>
        <w:t xml:space="preserve"> </w:t>
      </w:r>
      <w:r>
        <w:t>–</w:t>
      </w:r>
      <w:r>
        <w:t xml:space="preserve"> </w:t>
      </w:r>
      <w:r>
        <w:t>transport, which is directly evidenced by an ultralow reaction order with respect to OH</w:t>
      </w:r>
      <w:r>
        <w:t xml:space="preserve"> </w:t>
      </w:r>
      <w:r>
        <w:t>–</w:t>
      </w:r>
      <w:r>
        <w:t xml:space="preserve"> </w:t>
      </w:r>
      <w:r>
        <w:t>concentration in bulk electrolyte. The hydroxyl dependency of the system is thus greatly alleviated, and the facilitated AOR kinetics is confirmed by a series of in situ characterizations. The optimal PtIrW delivers a superior current density as high as 132.41 A g</w:t>
      </w:r>
      <w:r>
        <w:t xml:space="preserve"> </w:t>
      </w:r>
      <w:r>
        <w:t>−1</w:t>
      </w:r>
      <w:r>
        <w:t xml:space="preserve"> </w:t>
      </w:r>
      <w:r>
        <w:t>, representing more than 5‐fold enhancement over commercial PtIr. Once assembled in a DAFC, a remarkable peak power density of 186.03 mW cm</w:t>
      </w:r>
      <w:r>
        <w:t xml:space="preserve"> </w:t>
      </w:r>
      <w:r>
        <w:t>−2</w:t>
      </w:r>
      <w:r>
        <w:t xml:space="preserve"> </w:t>
      </w:r>
      <w:r>
        <w:t>is achieved at 60°C.</w:t>
      </w:r>
    </w:p>
    <w:p>
      <w:pPr>
        <w:spacing w:before="120" w:after="120"/>
      </w:pPr>
      <w:r>
        <w:rPr>
          <w:sz w:val="18"/>
        </w:rPr>
        <w:t>——————————————————————————————————————————————————————————————————————</w:t>
      </w:r>
    </w:p>
    <w:p>
      <w:pPr>
        <w:spacing w:before="160" w:after="40" w:line="240" w:lineRule="auto"/>
      </w:pPr>
      <w:r>
        <w:rPr>
          <w:b/>
        </w:rPr>
        <w:t xml:space="preserve">[24] </w:t>
      </w:r>
      <w:hyperlink r:id="rId194">
        <w:r>
          <w:rPr>
            <w:color w:val="1155CC"/>
            <w:u w:val="single"/>
          </w:rPr>
          <w:t>向高效锂介导的流动电池氨合成迈进一步</w:t>
        </w:r>
      </w:hyperlink>
    </w:p>
    <w:p>
      <w:pPr>
        <w:spacing w:before="0" w:after="80"/>
      </w:pPr>
      <w:r>
        <w:rPr>
          <w:i/>
          <w:sz w:val="20"/>
        </w:rPr>
        <w:t>EN: One step further to efficient Li-mediated ammonia synthesis in flow cells</w:t>
      </w:r>
    </w:p>
    <w:p>
      <w:pPr>
        <w:spacing w:before="0" w:after="120"/>
      </w:pPr>
      <w:r>
        <w:rPr>
          <w:b/>
        </w:rPr>
        <w:t xml:space="preserve">Source: </w:t>
      </w:r>
      <w:r>
        <w:t>Chem</w:t>
      </w:r>
      <w:r>
        <w:t xml:space="preserve">    </w:t>
      </w:r>
      <w:r>
        <w:rPr>
          <w:b/>
        </w:rPr>
        <w:t xml:space="preserve">Pub date: </w:t>
      </w:r>
      <w:r>
        <w:t>2026-04-23 00:00:00+00:00</w:t>
      </w:r>
      <w:r>
        <w:t xml:space="preserve">    </w:t>
      </w:r>
      <w:r>
        <w:rPr>
          <w:b/>
        </w:rPr>
        <w:t xml:space="preserve">DOI: </w:t>
      </w:r>
      <w:hyperlink r:id="rId195">
        <w:r>
          <w:rPr>
            <w:color w:val="1155CC"/>
            <w:u w:val="single"/>
          </w:rPr>
          <w:t>10.1016/j.chempr.2026.103062</w:t>
        </w:r>
      </w:hyperlink>
    </w:p>
    <w:p>
      <w:pPr>
        <w:spacing w:before="0" w:after="120"/>
      </w:pPr>
      <w:r>
        <w:rPr>
          <w:b/>
        </w:rPr>
        <w:t xml:space="preserve">Notes: </w:t>
      </w:r>
      <w:r>
        <w:t>abstract_source=rss_cell</w:t>
      </w:r>
    </w:p>
    <w:p>
      <w:pPr>
        <w:spacing w:before="0" w:after="80" w:lineRule="auto" w:line="276"/>
      </w:pPr>
      <w:r>
        <w:rPr>
          <w:b/>
        </w:rPr>
        <w:t xml:space="preserve">摘要（ZH）: </w:t>
      </w:r>
      <w:r>
        <w:t>在2月12日的《科学》杂志中，李及其同事报道了一种通过调节固体电解质界面在高电流密度下维持足够锂供应的策略，以实现锂介导的氨合成。他们的方法在100 mA cm−2下实现了98%的法拉第效率和21%的卓越能量效率，推动了锂介导氨合成技术的工业化进程更进一步。</w:t>
      </w:r>
    </w:p>
    <w:p>
      <w:pPr>
        <w:spacing w:before="0" w:after="200" w:lineRule="auto" w:line="276"/>
      </w:pPr>
      <w:r>
        <w:rPr>
          <w:b/>
        </w:rPr>
        <w:t xml:space="preserve">Abstract (EN): </w:t>
      </w:r>
      <w:r>
        <w:t>In the February 12 issue of Science, Li and co-workers report a strategy for maintaining sufficient lithium supply at high current densities in Li-mediated ammonia synthesis by tuning the solid-electrolyte interphase. Their method achieves a landmark Faradaic efficiency of 98% with an outstanding energy efficiency of 21% at 100 mA cm−2, advancing the industrialization of Li-mediated ammonia synthesis technology one step further.</w:t>
      </w:r>
    </w:p>
    <w:p>
      <w:pPr>
        <w:spacing w:before="120" w:after="120"/>
      </w:pPr>
      <w:r>
        <w:rPr>
          <w:sz w:val="18"/>
        </w:rPr>
        <w:t>——————————————————————————————————————————————————————————————————————</w:t>
      </w:r>
    </w:p>
    <w:p>
      <w:pPr>
        <w:spacing w:before="160" w:after="40" w:line="240" w:lineRule="auto"/>
      </w:pPr>
      <w:r>
        <w:rPr>
          <w:b/>
        </w:rPr>
        <w:t xml:space="preserve">[25] </w:t>
      </w:r>
      <w:hyperlink r:id="rId196">
        <w:r>
          <w:rPr>
            <w:color w:val="1155CC"/>
            <w:u w:val="single"/>
          </w:rPr>
          <w:t>太阳能-微波协同系统中水分解的两步制氢实验研究</w:t>
        </w:r>
      </w:hyperlink>
    </w:p>
    <w:p>
      <w:pPr>
        <w:spacing w:before="0" w:after="80"/>
      </w:pPr>
      <w:r>
        <w:rPr>
          <w:i/>
          <w:sz w:val="20"/>
        </w:rPr>
        <w:t>EN: Experimental study on two-step hydrogen production from water decomposition by solar-microwave synergism system</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197">
        <w:r>
          <w:rPr>
            <w:color w:val="1155CC"/>
            <w:u w:val="single"/>
          </w:rPr>
          <w:t>在中温氢气生产中使用锂基吸附剂的吸附增强化学循环重整中增强甲烷转化</w:t>
        </w:r>
      </w:hyperlink>
    </w:p>
    <w:p>
      <w:pPr>
        <w:spacing w:before="0" w:after="80"/>
      </w:pPr>
      <w:r>
        <w:rPr>
          <w:i/>
          <w:sz w:val="20"/>
        </w:rPr>
        <w:t>EN: Enhanced methane conversion in sorption enhanced chemical looping reforming for mid temperature hydrogen production using lithium-based sorbents</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98">
        <w:r>
          <w:rPr>
            <w:color w:val="1155CC"/>
            <w:u w:val="single"/>
          </w:rPr>
          <w:t>碳排放交易机制、诱导技术变革与绿色创新：中国上市公司的证据</w:t>
        </w:r>
      </w:hyperlink>
    </w:p>
    <w:p>
      <w:pPr>
        <w:spacing w:before="0" w:after="80"/>
      </w:pPr>
      <w:r>
        <w:rPr>
          <w:i/>
          <w:sz w:val="20"/>
        </w:rPr>
        <w:t>EN: Carbon emission trading scheme, induced technological change, and green innovation: Evidence from listed companies in China</w:t>
      </w:r>
    </w:p>
    <w:p>
      <w:pPr>
        <w:spacing w:before="0" w:after="120"/>
      </w:pPr>
      <w:r>
        <w:rPr>
          <w:b/>
        </w:rPr>
        <w:t xml:space="preserve">Source: </w:t>
      </w:r>
      <w:r>
        <w:t>ScienceDirect Publication: Energy Policy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99">
        <w:r>
          <w:rPr>
            <w:color w:val="1155CC"/>
            <w:u w:val="single"/>
          </w:rPr>
          <w:t>森林燃料BECCS导致数十年的排放增加</w:t>
        </w:r>
      </w:hyperlink>
    </w:p>
    <w:p>
      <w:pPr>
        <w:spacing w:before="0" w:after="80"/>
      </w:pPr>
      <w:r>
        <w:rPr>
          <w:i/>
          <w:sz w:val="20"/>
        </w:rPr>
        <w:t>EN: Decades of increased emissions from forest-fuelled BECCS</w:t>
      </w:r>
    </w:p>
    <w:p>
      <w:pPr>
        <w:spacing w:before="0" w:after="120"/>
      </w:pPr>
      <w:r>
        <w:rPr>
          <w:b/>
        </w:rPr>
        <w:t xml:space="preserve">Source: </w:t>
      </w:r>
      <w:r>
        <w:t>Nature Sustainability</w:t>
      </w:r>
      <w:r>
        <w:t xml:space="preserve">    </w:t>
      </w:r>
      <w:r>
        <w:rPr>
          <w:b/>
        </w:rPr>
        <w:t xml:space="preserve">Pub date: </w:t>
      </w:r>
      <w:r>
        <w:t>2026-04-20 00:00:00+00:00</w:t>
      </w:r>
      <w:r>
        <w:t xml:space="preserve">    </w:t>
      </w:r>
      <w:r>
        <w:rPr>
          <w:b/>
        </w:rPr>
        <w:t xml:space="preserve">DOI: </w:t>
      </w:r>
      <w:hyperlink r:id="rId200">
        <w:r>
          <w:rPr>
            <w:color w:val="1155CC"/>
            <w:u w:val="single"/>
          </w:rPr>
          <w:t>10.1038/s41893-026-01817-8</w:t>
        </w:r>
      </w:hyperlink>
    </w:p>
    <w:p>
      <w:pPr>
        <w:spacing w:before="0" w:after="120"/>
      </w:pPr>
      <w:r>
        <w:rPr>
          <w:b/>
        </w:rPr>
        <w:t xml:space="preserve">Notes: </w:t>
      </w:r>
      <w:r>
        <w:t>abstract_source=nature_html</w:t>
      </w:r>
    </w:p>
    <w:p>
      <w:pPr>
        <w:spacing w:before="0" w:after="80" w:lineRule="auto" w:line="276"/>
      </w:pPr>
      <w:r>
        <w:rPr>
          <w:b/>
        </w:rPr>
        <w:t xml:space="preserve">摘要（ZH）: </w:t>
      </w:r>
      <w:r>
        <w:t>气候政策是否应鼓励使用现有森林木材的生物能源与碳捕获和储存（BECCS）？尽管综合评估模型中的减排路径通常依赖于由能源作物驱动的BECCS，欧洲政府正转向财政支持从现有森林获取的BECCS。为了估算其排放和财务成本，我们开发了一个模型，该模型透明地跟踪从森林到最终用途的碳流动，并允许政策制定者轻松更改假设。在模拟多种木材来源情景时，我们发现BECCS在150年内不太可能产生负排放，可能在几十年内产生比使用不带碳捕获的天然气更高的排放，并可能将电力成本增加约3.5倍。仅限的</w:t>
      </w:r>
    </w:p>
    <w:p>
      <w:pPr>
        <w:spacing w:before="0" w:after="200" w:lineRule="auto" w:line="276"/>
      </w:pPr>
      <w:r>
        <w:rPr>
          <w:b/>
        </w:rPr>
        <w:t xml:space="preserve">Abstract (EN): </w:t>
      </w:r>
      <w:r>
        <w:t>Should climate policies encourage bioenergy with carbon capture and storage (BECCS) using wood from existing forests? Although mitigation pathways in integrated assessment models often rely on BECCS fuelled by energy crops, European governments are moving to financially support BECCS sourced instead from existing forests. To estimate its emissions and financial costs, we develop a model that transparently tracks carbon flows from forest to end use and allows policymakers to easily alter assumptions. Modelling multiple wood-sourcing scenarios, we found that BECCS is unlikely to generate negative emissions within 150 years, is likely to produce higher emissions for decades than using natural gas without carbon capture and is likely to increase electricity costs by ~3.5-fold. Only limited improvements occur even if half of the wood comes from residues and half from fast-growing plantations. These results reflect the fact that most emissions occur before the power plant and therefore cannot be captured, and that wood has twice the carbon intensity of natural gas and generates electricity less efficiently. These results counsel against emerging BECCS policies, and our easy-to-use model allows policymakers to evaluate results and different scenarios themselves.</w:t>
      </w:r>
    </w:p>
    <w:p>
      <w:pPr>
        <w:spacing w:before="120" w:after="120"/>
      </w:pPr>
      <w:r>
        <w:rPr>
          <w:sz w:val="18"/>
        </w:rPr>
        <w:t>——————————————————————————————————————————————————————————————————————</w:t>
      </w:r>
    </w:p>
    <w:p>
      <w:pPr>
        <w:spacing w:before="160" w:after="40" w:line="240" w:lineRule="auto"/>
      </w:pPr>
      <w:r>
        <w:rPr>
          <w:b/>
        </w:rPr>
        <w:t xml:space="preserve">[2] </w:t>
      </w:r>
      <w:hyperlink r:id="rId201">
        <w:r>
          <w:rPr>
            <w:color w:val="1155CC"/>
            <w:u w:val="single"/>
          </w:rPr>
          <w:t>配体保护策略用于高选择性和稳定的电化学CO2甲烷化</w:t>
        </w:r>
      </w:hyperlink>
    </w:p>
    <w:p>
      <w:pPr>
        <w:spacing w:before="0" w:after="80"/>
      </w:pPr>
      <w:r>
        <w:rPr>
          <w:i/>
          <w:sz w:val="20"/>
        </w:rPr>
        <w:t>EN: Ligand Protection Strategy for Highly Selective and Stable Electrochemical CO2 Methanation</w:t>
      </w:r>
    </w:p>
    <w:p>
      <w:pPr>
        <w:spacing w:before="0" w:after="120"/>
      </w:pPr>
      <w:r>
        <w:rPr>
          <w:b/>
        </w:rPr>
        <w:t xml:space="preserve">Source: </w:t>
      </w:r>
      <w:r>
        <w:t>Wiley: Angewandte Chemie International Edition: Table of Contents</w:t>
      </w:r>
      <w:r>
        <w:t xml:space="preserve">    </w:t>
      </w:r>
      <w:r>
        <w:rPr>
          <w:b/>
        </w:rPr>
        <w:t xml:space="preserve">Pub date: </w:t>
      </w:r>
      <w:r>
        <w:t>2026-04-20 05:39:51+00:00</w:t>
      </w:r>
      <w:r>
        <w:t xml:space="preserve">    </w:t>
      </w:r>
      <w:r>
        <w:rPr>
          <w:b/>
        </w:rPr>
        <w:t xml:space="preserve">DOI: </w:t>
      </w:r>
      <w:hyperlink r:id="rId202">
        <w:r>
          <w:rPr>
            <w:color w:val="1155CC"/>
            <w:u w:val="single"/>
          </w:rPr>
          <w:t>10.1002/anie.7136576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大规模电化学CO</w:t>
      </w:r>
      <w:r>
        <w:rPr>
          <w:vertAlign w:val="subscript"/>
        </w:rPr>
        <w:t>2</w:t>
      </w:r>
      <w:r>
        <w:t>甲烷化是实现碳中和的有前途途径。构建高效催化位点和维持位点稳定性对于实现CO</w:t>
      </w:r>
      <w:r>
        <w:rPr>
          <w:vertAlign w:val="subscript"/>
        </w:rPr>
        <w:t>2</w:t>
      </w:r>
      <w:r>
        <w:t>到CH</w:t>
      </w:r>
      <w:r>
        <w:rPr>
          <w:vertAlign w:val="subscript"/>
        </w:rPr>
        <w:t>4</w:t>
      </w:r>
      <w:r>
        <w:t>的高效转化至关重要。在此，我们设计了一种La</w:t>
      </w:r>
      <w:r>
        <w:rPr>
          <w:vertAlign w:val="subscript"/>
        </w:rPr>
        <w:t>2</w:t>
      </w:r>
      <w:r>
        <w:t>O</w:t>
      </w:r>
      <w:r>
        <w:rPr>
          <w:vertAlign w:val="subscript"/>
        </w:rPr>
        <w:t>3</w:t>
      </w:r>
      <w:r>
        <w:t>支持的含氧Cu簇，功能化为己硫醇（HT）分子催化剂（HT@O-Cu</w:t>
      </w:r>
      <w:r>
        <w:t xml:space="preserve"> </w:t>
      </w:r>
      <w:r>
        <w:t>c</w:t>
      </w:r>
      <w:r>
        <w:t xml:space="preserve"> </w:t>
      </w:r>
      <w:r>
        <w:t>/La</w:t>
      </w:r>
      <w:r>
        <w:rPr>
          <w:vertAlign w:val="subscript"/>
        </w:rPr>
        <w:t>2</w:t>
      </w:r>
      <w:r>
        <w:t>O</w:t>
      </w:r>
      <w:r>
        <w:rPr>
          <w:vertAlign w:val="subscript"/>
        </w:rPr>
        <w:t>3</w:t>
      </w:r>
      <w:r>
        <w:t>），实现了高CH</w:t>
      </w:r>
    </w:p>
    <w:p>
      <w:pPr>
        <w:spacing w:before="0" w:after="200" w:lineRule="auto" w:line="276"/>
      </w:pPr>
      <w:r>
        <w:rPr>
          <w:b/>
        </w:rPr>
        <w:t xml:space="preserve">Abstract (EN): </w:t>
      </w:r>
      <w:r>
        <w:t>The large‐scale electrochemical CO</w:t>
      </w:r>
      <w:r>
        <w:rPr>
          <w:vertAlign w:val="subscript"/>
        </w:rPr>
        <w:t>2</w:t>
      </w:r>
      <w:r>
        <w:t>methanation represents a promising route toward carbon neutrality. The construction of efficient catalytic sites and the maintenance of the site stability are crucial to achieving high‐efficiency conversion of CO</w:t>
      </w:r>
      <w:r>
        <w:rPr>
          <w:vertAlign w:val="subscript"/>
        </w:rPr>
        <w:t>2</w:t>
      </w:r>
      <w:r>
        <w:t>‐to‐CH</w:t>
      </w:r>
      <w:r>
        <w:rPr>
          <w:vertAlign w:val="subscript"/>
        </w:rPr>
        <w:t>4</w:t>
      </w:r>
      <w:r>
        <w:t>. Herein, we design a La</w:t>
      </w:r>
      <w:r>
        <w:rPr>
          <w:vertAlign w:val="subscript"/>
        </w:rPr>
        <w:t>2</w:t>
      </w:r>
      <w:r>
        <w:t>O</w:t>
      </w:r>
      <w:r>
        <w:rPr>
          <w:vertAlign w:val="subscript"/>
        </w:rPr>
        <w:t>3</w:t>
      </w:r>
      <w:r>
        <w:t>‐supported oxygen‐containing Cu clusters functionalized with hexanethiol (HT) molecules catalyst (HT@O‐Cu</w:t>
      </w:r>
      <w:r>
        <w:t xml:space="preserve"> </w:t>
      </w:r>
      <w:r>
        <w:t>c</w:t>
      </w:r>
      <w:r>
        <w:t xml:space="preserve"> </w:t>
      </w:r>
      <w:r>
        <w:t>/La</w:t>
      </w:r>
      <w:r>
        <w:rPr>
          <w:vertAlign w:val="subscript"/>
        </w:rPr>
        <w:t>2</w:t>
      </w:r>
      <w:r>
        <w:t>O</w:t>
      </w:r>
      <w:r>
        <w:rPr>
          <w:vertAlign w:val="subscript"/>
        </w:rPr>
        <w:t>3</w:t>
      </w:r>
      <w:r>
        <w:t>), achieving a high CH</w:t>
      </w:r>
      <w:r>
        <w:rPr>
          <w:vertAlign w:val="subscript"/>
        </w:rPr>
        <w:t>4</w:t>
      </w:r>
      <w:r>
        <w:t>Faradaic efficiency (FE</w:t>
      </w:r>
      <w:r>
        <w:t xml:space="preserve"> </w:t>
      </w:r>
      <w:r>
        <w:t>CH4</w:t>
      </w:r>
      <w:r>
        <w:t xml:space="preserve"> </w:t>
      </w:r>
      <w:r>
        <w:t>) of 77.8% with a partial current density of 389.2 mA cm</w:t>
      </w:r>
      <w:r>
        <w:t xml:space="preserve"> </w:t>
      </w:r>
      <w:r>
        <w:t>−2</w:t>
      </w:r>
      <w:r>
        <w:t xml:space="preserve"> </w:t>
      </w:r>
      <w:r>
        <w:t>, and demonstrating excellent stability over a 250 h operation period. The thiol‐ligand was modified at the interface between O‐Cu</w:t>
      </w:r>
      <w:r>
        <w:t xml:space="preserve"> </w:t>
      </w:r>
      <w:r>
        <w:t>c</w:t>
      </w:r>
      <w:r>
        <w:t xml:space="preserve"> </w:t>
      </w:r>
      <w:r>
        <w:t>and La</w:t>
      </w:r>
      <w:r>
        <w:rPr>
          <w:vertAlign w:val="subscript"/>
        </w:rPr>
        <w:t>2</w:t>
      </w:r>
      <w:r>
        <w:t>O</w:t>
      </w:r>
      <w:r>
        <w:rPr>
          <w:vertAlign w:val="subscript"/>
        </w:rPr>
        <w:t>3</w:t>
      </w:r>
      <w:r>
        <w:t>via S‐coordination, enabling electron transfer between La and Cu sites and establishing a stable electronic supplementary channel that continuously stabilizes the low‐coordinated Cu</w:t>
      </w:r>
      <w:r>
        <w:t xml:space="preserve"> </w:t>
      </w:r>
      <w:r>
        <w:t>δ+</w:t>
      </w:r>
      <w:r>
        <w:t xml:space="preserve"> </w:t>
      </w:r>
      <w:r>
        <w:t>(0.4 &amp;lt; δ &amp;lt; 0.5) active state during the electrochemical process. Moreover, mechanistic studies reveal that the ligand modification optimizes *CO adsorption on Cu sites and steers *CHO hydrogenation toward *CH</w:t>
      </w:r>
      <w:r>
        <w:rPr>
          <w:vertAlign w:val="subscript"/>
        </w:rPr>
        <w:t>2</w:t>
      </w:r>
      <w:r>
        <w:t>OH. The electronic channel effect can strengthen the bond energy of Cu–C, facilitating the desorption of *OH. The La‐mediated water activation generates abundant protons, which drives the *CH</w:t>
      </w:r>
      <w:r>
        <w:rPr>
          <w:vertAlign w:val="subscript"/>
        </w:rPr>
        <w:t>2</w:t>
      </w:r>
      <w:r>
        <w:t>─*CH</w:t>
      </w:r>
      <w:r>
        <w:rPr>
          <w:vertAlign w:val="subscript"/>
        </w:rPr>
        <w:t>3</w:t>
      </w:r>
      <w:r>
        <w:t>─*CH</w:t>
      </w:r>
      <w:r>
        <w:rPr>
          <w:vertAlign w:val="subscript"/>
        </w:rPr>
        <w:t>4</w:t>
      </w:r>
      <w:r>
        <w:t>directional hydrogenation step, ultimately achieving highly selective CH</w:t>
      </w:r>
      <w:r>
        <w:rPr>
          <w:vertAlign w:val="subscript"/>
        </w:rPr>
        <w:t>4</w:t>
      </w:r>
      <w:r>
        <w:t>production.</w:t>
      </w:r>
    </w:p>
    <w:p>
      <w:pPr>
        <w:spacing w:before="120" w:after="120"/>
      </w:pPr>
      <w:r>
        <w:rPr>
          <w:sz w:val="18"/>
        </w:rPr>
        <w:t>——————————————————————————————————————————————————————————————————————</w:t>
      </w:r>
    </w:p>
    <w:p>
      <w:pPr>
        <w:spacing w:before="160" w:after="40" w:line="240" w:lineRule="auto"/>
      </w:pPr>
      <w:r>
        <w:rPr>
          <w:b/>
        </w:rPr>
        <w:t xml:space="preserve">[3] </w:t>
      </w:r>
      <w:hyperlink r:id="rId203">
        <w:r>
          <w:rPr>
            <w:color w:val="1155CC"/>
            <w:u w:val="single"/>
          </w:rPr>
          <w:t>为什么在铜电催化剂上CO2还原过程中甲醇生成被抑制？</w:t>
        </w:r>
      </w:hyperlink>
    </w:p>
    <w:p>
      <w:pPr>
        <w:spacing w:before="0" w:after="80"/>
      </w:pPr>
      <w:r>
        <w:rPr>
          <w:i/>
          <w:sz w:val="20"/>
        </w:rPr>
        <w:t>EN: Why Is Methanol Formation Suppressed in CO2 Reduction Over Copper Electrocatalysts?</w:t>
      </w:r>
    </w:p>
    <w:p>
      <w:pPr>
        <w:spacing w:before="0" w:after="120"/>
      </w:pPr>
      <w:r>
        <w:rPr>
          <w:b/>
        </w:rPr>
        <w:t xml:space="preserve">Source: </w:t>
      </w:r>
      <w:r>
        <w:t>Wiley: Angewandte Chemie International Edition: Table of Contents</w:t>
      </w:r>
      <w:r>
        <w:t xml:space="preserve">    </w:t>
      </w:r>
      <w:r>
        <w:rPr>
          <w:b/>
        </w:rPr>
        <w:t xml:space="preserve">Pub date: </w:t>
      </w:r>
      <w:r>
        <w:t>2026-04-20 06:59:19+00:00</w:t>
      </w:r>
      <w:r>
        <w:t xml:space="preserve">    </w:t>
      </w:r>
      <w:r>
        <w:rPr>
          <w:b/>
        </w:rPr>
        <w:t xml:space="preserve">DOI: </w:t>
      </w:r>
      <w:hyperlink r:id="rId204">
        <w:r>
          <w:rPr>
            <w:color w:val="1155CC"/>
            <w:u w:val="single"/>
          </w:rPr>
          <w:t>10.1002/anie.8893584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二氧化碳（CO2）还原（CO2RR）生成甲醇（CH3OH）为其能量密集的工业合成提供了一种可持续的替代方案。然而，在典型的铜催化剂上，C2+物种和CH4通常是主要产物，没有CH3OH的形成。在此，采用恒电位显式溶剂方法，我们系统地比较了C2+产物的热力学和动力学（涵盖21种可能的C–C偶联路径），CH</w:t>
      </w:r>
    </w:p>
    <w:p>
      <w:pPr>
        <w:spacing w:before="0" w:after="200" w:lineRule="auto" w:line="276"/>
      </w:pPr>
      <w:r>
        <w:rPr>
          <w:b/>
        </w:rPr>
        <w:t xml:space="preserve">Abstract (EN): </w:t>
      </w:r>
      <w:r>
        <w:t>Electrocatalytic CO</w:t>
      </w:r>
      <w:r>
        <w:rPr>
          <w:vertAlign w:val="subscript"/>
        </w:rPr>
        <w:t>2</w:t>
      </w:r>
      <w:r>
        <w:t>reduction (CO</w:t>
      </w:r>
      <w:r>
        <w:rPr>
          <w:vertAlign w:val="subscript"/>
        </w:rPr>
        <w:t>2</w:t>
      </w:r>
      <w:r>
        <w:t>RR) to produce methanol (CH</w:t>
      </w:r>
      <w:r>
        <w:rPr>
          <w:vertAlign w:val="subscript"/>
        </w:rPr>
        <w:t>3</w:t>
      </w:r>
      <w:r>
        <w:t>OH) provides a sustainable alternative to its energy‐intensive industrial synthesis. However, C</w:t>
      </w:r>
      <w:r>
        <w:t xml:space="preserve"> </w:t>
      </w:r>
      <w:r>
        <w:t>2+</w:t>
      </w:r>
      <w:r>
        <w:t xml:space="preserve"> </w:t>
      </w:r>
      <w:r>
        <w:t>species and CH</w:t>
      </w:r>
      <w:r>
        <w:rPr>
          <w:vertAlign w:val="subscript"/>
        </w:rPr>
        <w:t>4</w:t>
      </w:r>
      <w:r>
        <w:t>are typically the dominant products on prototypical Cu catalysts, with no CH</w:t>
      </w:r>
      <w:r>
        <w:rPr>
          <w:vertAlign w:val="subscript"/>
        </w:rPr>
        <w:t>3</w:t>
      </w:r>
      <w:r>
        <w:t>OH formation. Herein, employing constant‐potential explicit solvent methods, we systematically compared the thermodynamics and kinetics of C</w:t>
      </w:r>
      <w:r>
        <w:t xml:space="preserve"> </w:t>
      </w:r>
      <w:r>
        <w:t>2+</w:t>
      </w:r>
      <w:r>
        <w:t xml:space="preserve"> </w:t>
      </w:r>
      <w:r>
        <w:t>products (covering 21 possible C–C coupling paths), CH</w:t>
      </w:r>
      <w:r>
        <w:rPr>
          <w:vertAlign w:val="subscript"/>
        </w:rPr>
        <w:t>4</w:t>
      </w:r>
      <w:r>
        <w:t>, and CH</w:t>
      </w:r>
      <w:r>
        <w:rPr>
          <w:vertAlign w:val="subscript"/>
        </w:rPr>
        <w:t>3</w:t>
      </w:r>
      <w:r>
        <w:t>OH formation to uncover the origin of intrinsic suppression of CH</w:t>
      </w:r>
      <w:r>
        <w:rPr>
          <w:vertAlign w:val="subscript"/>
        </w:rPr>
        <w:t>3</w:t>
      </w:r>
      <w:r>
        <w:t>OH. Nine C–C coupling pathways exhibit significantly lower barriers than C</w:t>
      </w:r>
      <w:r>
        <w:rPr>
          <w:vertAlign w:val="subscript"/>
        </w:rPr>
        <w:t>1</w:t>
      </w:r>
      <w:r>
        <w:t>products, underscoring the facile formation of C</w:t>
      </w:r>
      <w:r>
        <w:t xml:space="preserve"> </w:t>
      </w:r>
      <w:r>
        <w:t>2+</w:t>
      </w:r>
      <w:r>
        <w:t xml:space="preserve"> </w:t>
      </w:r>
      <w:r>
        <w:t>products via multiple accessible routes beyond conventional CO–CO coupling. For C</w:t>
      </w:r>
      <w:r>
        <w:rPr>
          <w:vertAlign w:val="subscript"/>
        </w:rPr>
        <w:t>1</w:t>
      </w:r>
      <w:r>
        <w:t>products, the selectivity‐determining intermediate *CH</w:t>
      </w:r>
      <w:r>
        <w:rPr>
          <w:vertAlign w:val="subscript"/>
        </w:rPr>
        <w:t>2</w:t>
      </w:r>
      <w:r>
        <w:t>OH favors C–O bond cleavage toward CH</w:t>
      </w:r>
      <w:r>
        <w:rPr>
          <w:vertAlign w:val="subscript"/>
        </w:rPr>
        <w:t>4</w:t>
      </w:r>
      <w:r>
        <w:t>rather than hydrogenation to CH</w:t>
      </w:r>
      <w:r>
        <w:rPr>
          <w:vertAlign w:val="subscript"/>
        </w:rPr>
        <w:t>3</w:t>
      </w:r>
      <w:r>
        <w:t>OH, placing CH</w:t>
      </w:r>
      <w:r>
        <w:rPr>
          <w:vertAlign w:val="subscript"/>
        </w:rPr>
        <w:t>3</w:t>
      </w:r>
      <w:r>
        <w:t>OH formation at a kinetic disadvantage. This mechanism remains valid irrespective of Cu surface structures or applied potentials, and simulated Faradaic efficiencies (FE) align well with experimental trends, further validating our theoretical insight. Building on this, we propose a strategy that involves redirecting the pathway from *COOH to *HCOO and selectively stabilizing *CH</w:t>
      </w:r>
      <w:r>
        <w:rPr>
          <w:vertAlign w:val="subscript"/>
        </w:rPr>
        <w:t>2</w:t>
      </w:r>
      <w:r>
        <w:t>OH to steer its hydrogenation toward CH</w:t>
      </w:r>
      <w:r>
        <w:rPr>
          <w:vertAlign w:val="subscript"/>
        </w:rPr>
        <w:t>3</w:t>
      </w:r>
      <w:r>
        <w:t>OH. These findings establish a foundation for selective CH</w:t>
      </w:r>
      <w:r>
        <w:rPr>
          <w:vertAlign w:val="subscript"/>
        </w:rPr>
        <w:t>3</w:t>
      </w:r>
      <w:r>
        <w:t>OH production and highlight its synthesis as a key direction in electrocatalytic CO</w:t>
      </w:r>
      <w:r>
        <w:rPr>
          <w:vertAlign w:val="subscript"/>
        </w:rPr>
        <w:t>2</w:t>
      </w:r>
      <w:r>
        <w:t>conversion.</w:t>
      </w:r>
    </w:p>
    <w:p>
      <w:pPr>
        <w:spacing w:before="120" w:after="120"/>
      </w:pPr>
      <w:r>
        <w:rPr>
          <w:sz w:val="18"/>
        </w:rPr>
        <w:t>——————————————————————————————————————————————————————————————————————</w:t>
      </w:r>
    </w:p>
    <w:p>
      <w:pPr>
        <w:spacing w:before="160" w:after="40" w:line="240" w:lineRule="auto"/>
      </w:pPr>
      <w:r>
        <w:rPr>
          <w:b/>
        </w:rPr>
        <w:t xml:space="preserve">[4] </w:t>
      </w:r>
      <w:hyperlink r:id="rId205">
        <w:r>
          <w:rPr>
            <w:color w:val="1155CC"/>
            <w:u w:val="single"/>
          </w:rPr>
          <w:t>[ASAP] CO2 转化化学：综述</w:t>
        </w:r>
      </w:hyperlink>
    </w:p>
    <w:p>
      <w:pPr>
        <w:spacing w:before="0" w:after="80"/>
      </w:pPr>
      <w:r>
        <w:rPr>
          <w:i/>
          <w:sz w:val="20"/>
        </w:rPr>
        <w:t>EN: [ASAP] The Chemistry of CO2 Conversion: A Review</w:t>
      </w:r>
    </w:p>
    <w:p>
      <w:pPr>
        <w:spacing w:before="0" w:after="120"/>
      </w:pPr>
      <w:r>
        <w:rPr>
          <w:b/>
        </w:rPr>
        <w:t xml:space="preserve">Source: </w:t>
      </w:r>
      <w:r>
        <w:t>Chemical Reviews: Latest Articles (ACS Publications)</w:t>
      </w:r>
      <w:r>
        <w:t xml:space="preserve">    </w:t>
      </w:r>
      <w:r>
        <w:rPr>
          <w:b/>
        </w:rPr>
        <w:t xml:space="preserve">Pub date: </w:t>
      </w:r>
      <w:r>
        <w:t>2026-04-21 17:10:52+00:00</w:t>
      </w:r>
      <w:r>
        <w:t xml:space="preserve">    </w:t>
      </w:r>
      <w:r>
        <w:rPr>
          <w:b/>
        </w:rPr>
        <w:t xml:space="preserve">DOI: </w:t>
      </w:r>
      <w:hyperlink r:id="rId206">
        <w:r>
          <w:rPr>
            <w:color w:val="1155CC"/>
            <w:u w:val="single"/>
          </w:rPr>
          <w:t>10.1021/acs.chemrev.5c00361</w:t>
        </w:r>
      </w:hyperlink>
    </w:p>
    <w:p>
      <w:pPr>
        <w:spacing w:before="0" w:after="120"/>
      </w:pPr>
      <w:r>
        <w:rPr>
          <w:b/>
        </w:rPr>
        <w:t xml:space="preserve">Notes: </w:t>
      </w:r>
      <w:r>
        <w:t>abstract_source=pubmed</w:t>
      </w:r>
    </w:p>
    <w:p>
      <w:pPr>
        <w:spacing w:before="0" w:after="80" w:lineRule="auto" w:line="276"/>
      </w:pPr>
      <w:r>
        <w:rPr>
          <w:b/>
        </w:rPr>
        <w:t xml:space="preserve">摘要（ZH）: </w:t>
      </w:r>
      <w:r>
        <w:t>在过去的一个世纪里，二氧化碳（CO2）在科学上很少受到关注，除了它作为全球经济工业化的副产品的角色。由于环境问题日益严重，这一趋势最近被颠覆，CO2被明确地带入了公众意识。这一活动的激增促成了一个曾经难以想象的想法，现在在科学界中普遍存在：CO2，这种碳氢化合物燃烧的高度稳定的副产品，能否被回收并转化回有用的化学品和燃料？由于其普遍存在的性质和真正巨大的数量，人们认为基于CO2的产品可以为降低许多顶级工业产品的环境影响提供有意义的途径，同时也</w:t>
      </w:r>
    </w:p>
    <w:p>
      <w:pPr>
        <w:spacing w:before="0" w:after="200" w:lineRule="auto" w:line="276"/>
      </w:pPr>
      <w:r>
        <w:rPr>
          <w:b/>
        </w:rPr>
        <w:t xml:space="preserve">Abstract (EN): </w:t>
      </w:r>
      <w:r>
        <w:t>For much of the past century, carbon dioxide (CO2) has received little attention scientifically outside of its role as a byproduct in the industrialization of the global economy. This trend has recently been upended where, due to mounting environmental concerns, CO2 has been brought squarely into the public consciousness. This surge in activity has contributed to a once unimaginable idea now pervading the scientific community: could CO2, a highly stable byproduct of hydrocarbon combustion, be recycled and converted back into useful chemicals and fuels? Owing to its ubiquitous nature and availability at truly massive quantities, it is thought that CO2-based products could offer a meaningful pathway toward lowering the environmental impact of many of the top industrial products while also enhancing supply chain diversification and resilience. In this manuscript we provide a holistic review of the pathways for CO2 conversion, the underlying chemistry and challenges involved in the transformation to products, and considerations for commercialization.</w:t>
      </w:r>
    </w:p>
    <w:p>
      <w:pPr>
        <w:spacing w:before="120" w:after="120"/>
      </w:pPr>
      <w:r>
        <w:rPr>
          <w:sz w:val="18"/>
        </w:rPr>
        <w:t>——————————————————————————————————————————————————————————————————————</w:t>
      </w:r>
    </w:p>
    <w:p>
      <w:pPr>
        <w:spacing w:before="160" w:after="40" w:line="240" w:lineRule="auto"/>
      </w:pPr>
      <w:r>
        <w:rPr>
          <w:b/>
        </w:rPr>
        <w:t xml:space="preserve">[5] </w:t>
      </w:r>
      <w:hyperlink r:id="rId207">
        <w:r>
          <w:rPr>
            <w:color w:val="1155CC"/>
            <w:u w:val="single"/>
          </w:rPr>
          <w:t>CO和CO2电解的堆栈级挑战</w:t>
        </w:r>
      </w:hyperlink>
    </w:p>
    <w:p>
      <w:pPr>
        <w:spacing w:before="0" w:after="80"/>
      </w:pPr>
      <w:r>
        <w:rPr>
          <w:i/>
          <w:sz w:val="20"/>
        </w:rPr>
        <w:t>EN: Stack-level challenges for CO and CO2 electrolysis</w:t>
      </w:r>
    </w:p>
    <w:p>
      <w:pPr>
        <w:spacing w:before="0" w:after="120"/>
      </w:pPr>
      <w:r>
        <w:rPr>
          <w:b/>
        </w:rPr>
        <w:t xml:space="preserve">Source: </w:t>
      </w:r>
      <w:r>
        <w:t>Nature Chemical Engineering</w:t>
      </w:r>
      <w:r>
        <w:t xml:space="preserve">    </w:t>
      </w:r>
      <w:r>
        <w:rPr>
          <w:b/>
        </w:rPr>
        <w:t xml:space="preserve">Pub date: </w:t>
      </w:r>
      <w:r>
        <w:t>2026-04-22 00:00:00+00:00</w:t>
      </w:r>
      <w:r>
        <w:t xml:space="preserve">    </w:t>
      </w:r>
      <w:r>
        <w:rPr>
          <w:b/>
        </w:rPr>
        <w:t xml:space="preserve">DOI: </w:t>
      </w:r>
      <w:hyperlink r:id="rId208">
        <w:r>
          <w:rPr>
            <w:color w:val="1155CC"/>
            <w:u w:val="single"/>
          </w:rPr>
          <w:t>10.1038/s44286-026-00378-z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09">
        <w:r>
          <w:rPr>
            <w:color w:val="1155CC"/>
            <w:u w:val="single"/>
          </w:rPr>
          <w:t>异质电催化CO2还原中的协同质子和电子转移</w:t>
        </w:r>
      </w:hyperlink>
    </w:p>
    <w:p>
      <w:pPr>
        <w:spacing w:before="0" w:after="80"/>
      </w:pPr>
      <w:r>
        <w:rPr>
          <w:i/>
          <w:sz w:val="20"/>
        </w:rPr>
        <w:t>EN: Concerted Proton and Electron Transfer in Heterogeneous Electrocatalytic CO2 Reduction</w:t>
      </w:r>
    </w:p>
    <w:p>
      <w:pPr>
        <w:spacing w:before="0" w:after="120"/>
      </w:pPr>
      <w:r>
        <w:rPr>
          <w:b/>
        </w:rPr>
        <w:t xml:space="preserve">Source: </w:t>
      </w:r>
      <w:r>
        <w:t>Wiley: Angewandte Chemie International Edition: Table of Contents</w:t>
      </w:r>
      <w:r>
        <w:t xml:space="preserve">    </w:t>
      </w:r>
      <w:r>
        <w:rPr>
          <w:b/>
        </w:rPr>
        <w:t xml:space="preserve">Pub date: </w:t>
      </w:r>
      <w:r>
        <w:t>2026-04-22 07:52:16+00:00</w:t>
      </w:r>
      <w:r>
        <w:t xml:space="preserve">    </w:t>
      </w:r>
      <w:r>
        <w:rPr>
          <w:b/>
        </w:rPr>
        <w:t xml:space="preserve">DOI: </w:t>
      </w:r>
      <w:hyperlink r:id="rId210">
        <w:r>
          <w:rPr>
            <w:color w:val="1155CC"/>
            <w:u w:val="single"/>
          </w:rPr>
          <w:t>10.1002/anie.202515715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了解质子如何影响电极表面的异质电催化CO</w:t>
      </w:r>
      <w:r>
        <w:rPr>
          <w:vertAlign w:val="subscript"/>
        </w:rPr>
        <w:t>2</w:t>
      </w:r>
      <w:r>
        <w:t>还原对于推进高效能量的碳转化技术至关重要。在此，我们展示了在Ag、Au和Zn表面上，协同质子-电子转移（CPET）路径使CO</w:t>
      </w:r>
      <w:r>
        <w:rPr>
          <w:vertAlign w:val="subscript"/>
        </w:rPr>
        <w:t>2</w:t>
      </w:r>
      <w:r>
        <w:t>转化为CO的过电位降低至比常见的阳离子稳定机制低约400 mV，这些机制在较高过电位下主导反应性。使用正电荷和中性质子供体，我们展示了CPET在低过电位下运行，但受限于质子供应速率。动力学同位素效应测量和红外吸附光谱</w:t>
      </w:r>
    </w:p>
    <w:p>
      <w:pPr>
        <w:spacing w:before="0" w:after="200" w:lineRule="auto" w:line="276"/>
      </w:pPr>
      <w:r>
        <w:rPr>
          <w:b/>
        </w:rPr>
        <w:t xml:space="preserve">Abstract (EN): </w:t>
      </w:r>
      <w:r>
        <w:t>Understanding how protons influence heterogeneous electrocatalytic CO</w:t>
      </w:r>
      <w:r>
        <w:rPr>
          <w:vertAlign w:val="subscript"/>
        </w:rPr>
        <w:t>2</w:t>
      </w:r>
      <w:r>
        <w:t>reduction on electrode surfaces is critical for advancing energy‐efficient carbon conversion technologies. Here, we show that on Ag, Au, and Zn surfaces, a concerted proton‐electron transfer (CPET) pathway enables CO</w:t>
      </w:r>
      <w:r>
        <w:rPr>
          <w:vertAlign w:val="subscript"/>
        </w:rPr>
        <w:t>2</w:t>
      </w:r>
      <w:r>
        <w:t>‐to‐CO conversion at up to ∼400 mV lower overpotential than commonly proposed cation‐stabilized mechanisms, which dominate reactivity at higher overpotentials. Using both positively charged and neutral proton donors, we show that CPET operates at low overpotentials but is limited by the rate of proton supply. Kinetic isotope effect measurements and infrared adsorption spectroscopy support the involvement of protons in the rate‐determining step. Furthermore, our data shed light on the complex competition for proton donors between CO</w:t>
      </w:r>
      <w:r>
        <w:rPr>
          <w:vertAlign w:val="subscript"/>
        </w:rPr>
        <w:t>2</w:t>
      </w:r>
      <w:r>
        <w:t>reduction, carbonate acidification, and hydrogen evolution, explaining commonly reported product trends. Our findings suggest that enhancing proton flux and suppressing the hydrogen evolution reaction can further promote CPET‐based CO</w:t>
      </w:r>
      <w:r>
        <w:rPr>
          <w:vertAlign w:val="subscript"/>
        </w:rPr>
        <w:t>2</w:t>
      </w:r>
      <w:r>
        <w:t>reduction, offering a pathway to more efficient electrocatalytic processes.</w:t>
      </w:r>
    </w:p>
    <w:p>
      <w:pPr>
        <w:spacing w:before="120" w:after="120"/>
      </w:pPr>
      <w:r>
        <w:rPr>
          <w:sz w:val="18"/>
        </w:rPr>
        <w:t>——————————————————————————————————————————————————————————————————————</w:t>
      </w:r>
    </w:p>
    <w:p>
      <w:pPr>
        <w:spacing w:before="160" w:after="40" w:line="240" w:lineRule="auto"/>
      </w:pPr>
      <w:r>
        <w:rPr>
          <w:b/>
        </w:rPr>
        <w:t xml:space="preserve">[7] </w:t>
      </w:r>
      <w:hyperlink r:id="rId211">
        <w:r>
          <w:rPr>
            <w:color w:val="1155CC"/>
            <w:u w:val="single"/>
          </w:rPr>
          <w:t>[ASAP] 下沉-蛇形流场工程通过局部CO2富集和水管理解锁安培级CO2电解</w:t>
        </w:r>
      </w:hyperlink>
    </w:p>
    <w:p>
      <w:pPr>
        <w:spacing w:before="0" w:after="80"/>
      </w:pPr>
      <w:r>
        <w:rPr>
          <w:i/>
          <w:sz w:val="20"/>
        </w:rPr>
        <w:t>EN: [ASAP] Sunken-Serpentine Flow-Field Engineering Unlocks Ampere-Level CO2 Electrolysis via Local CO2 Enrichment and Water Management</w:t>
      </w:r>
    </w:p>
    <w:p>
      <w:pPr>
        <w:spacing w:before="0" w:after="120"/>
      </w:pPr>
      <w:r>
        <w:rPr>
          <w:b/>
        </w:rPr>
        <w:t xml:space="preserve">Source: </w:t>
      </w:r>
      <w:r>
        <w:t>ACS Energy Letters: Latest Articles (ACS Publications)</w:t>
      </w:r>
      <w:r>
        <w:t xml:space="preserve">    </w:t>
      </w:r>
      <w:r>
        <w:rPr>
          <w:b/>
        </w:rPr>
        <w:t xml:space="preserve">Pub date: </w:t>
      </w:r>
      <w:r>
        <w:t>2026-04-22 11:44:19+00:00</w:t>
      </w:r>
      <w:r>
        <w:t xml:space="preserve">    </w:t>
      </w:r>
      <w:r>
        <w:rPr>
          <w:b/>
        </w:rPr>
        <w:t xml:space="preserve">DOI: </w:t>
      </w:r>
      <w:hyperlink r:id="rId212">
        <w:r>
          <w:rPr>
            <w:color w:val="1155CC"/>
            <w:u w:val="single"/>
          </w:rPr>
          <w:t>10.1021/acsenergylett.6c00640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13">
        <w:r>
          <w:rPr>
            <w:color w:val="1155CC"/>
            <w:u w:val="single"/>
          </w:rPr>
          <w:t>[ASAP] 调节有机电解质中的质子活性以选择性地将CO2转化为长链烃</w:t>
        </w:r>
      </w:hyperlink>
    </w:p>
    <w:p>
      <w:pPr>
        <w:spacing w:before="0" w:after="80"/>
      </w:pPr>
      <w:r>
        <w:rPr>
          <w:i/>
          <w:sz w:val="20"/>
        </w:rPr>
        <w:t>EN: [ASAP] Tuning Proton Activity in Organic Electrolytes for Selective CO2-to-Long-Chain Hydrocarbon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2026-04-22 14:47:28+00:00</w:t>
      </w:r>
      <w:r>
        <w:t xml:space="preserve">    </w:t>
      </w:r>
      <w:r>
        <w:rPr>
          <w:b/>
        </w:rPr>
        <w:t xml:space="preserve">DOI: </w:t>
      </w:r>
      <w:hyperlink r:id="rId214">
        <w:r>
          <w:rPr>
            <w:color w:val="1155CC"/>
            <w:u w:val="single"/>
          </w:rPr>
          <w:t>10.1021/jacs.6c02735</w:t>
        </w:r>
      </w:hyperlink>
    </w:p>
    <w:p>
      <w:pPr>
        <w:spacing w:before="0" w:after="120"/>
      </w:pPr>
      <w:r>
        <w:rPr>
          <w:b/>
        </w:rPr>
        <w:t xml:space="preserve">Notes: </w:t>
      </w:r>
      <w:r>
        <w:t>abstract_source=openalex</w:t>
      </w:r>
    </w:p>
    <w:p>
      <w:pPr>
        <w:spacing w:before="0" w:after="80" w:lineRule="auto" w:line="276"/>
      </w:pPr>
      <w:r>
        <w:rPr>
          <w:b/>
        </w:rPr>
        <w:t xml:space="preserve">摘要（ZH）: </w:t>
      </w:r>
      <w:r>
        <w:t>将二氧化碳（CO&lt;sub&gt;2&lt;/sub&gt;）电化学还原为长链烃（HCs），使用来自水的质子和可再生电力，是合成碳中性液体燃料的潜在途径。最近的研究表明，镍基催化剂可以推动这一转化；然而，它们选择性生成烃的能力通常受到与水还原为氢气（H&lt;sub&gt;2&lt;/sub&gt;）竞争的限制。在这项工作中，通过引入一系列醇质子供体，系统地调节了在非质子二甲基亚砜（DMSO）电解质中的质子活性。在这一供体系列中，HCs的选择性对质子供体的酸度表现出火山形依赖性。C&lt;sub&gt;1&lt;/sub&gt;-C&lt;sub&gt;6&lt;/sub&gt; HCs的法拉第效率从</w:t>
      </w:r>
    </w:p>
    <w:p>
      <w:pPr>
        <w:spacing w:before="0" w:after="200" w:lineRule="auto" w:line="276"/>
      </w:pPr>
      <w:r>
        <w:rPr>
          <w:b/>
        </w:rPr>
        <w:t xml:space="preserve">Abstract (EN): </w:t>
      </w:r>
      <w:r>
        <w:t>The electrochemical reduction of carbon dioxide (CO&lt;sub&gt;2&lt;/sub&gt;) into long-chain hydrocarbons (HCs), using protons from water and renewable electricity, is a potential pathway to synthesizing carbon-neutral liquid fuels. Recent studies have shown that nickel-based catalysts can drive this transformation; however, their ability to selectively generate hydrocarbons is often limited by the competing water reduction to hydrogen gas (H&lt;sub&gt;2&lt;/sub&gt;). In this work, proton activity in an aprotic dimethyl sulfoxide (DMSO) electrolyte is systematically tuned by introducing a series of alcohol proton donors. Across this donor series, the selectivity of HCs exhibits a volcano-shaped dependence on the acidity of the proton donors. The Faradaic efficiency of C&lt;sub&gt;1&lt;/sub&gt;-C&lt;sub&gt;6&lt;/sub&gt; HCs increases from 4.0% in aqueous 0.1 M KHCO&lt;sub&gt;3&lt;/sub&gt; electrolyte to 22.1% in DMSO electrolyte spiked with 0.2 M ethylene glycol (EG). Nuclear magnetic resonance (NMR) spectroscopy shows that at 0.2 M, EG preferentially forms DMSO-EG hydrogen bonds that inhibit EG-EG clustering, thereby maintaining a well-dispersed proton donor environment. This solvation structure establishes a moderate proton-activity regime that facilitates CO- hydrogen bonds that inhibit EG-EG clustering, thereby maintaining a well-dispersed proton donor environment. This solvation structure establishes a moderate proton-activity regime that facilitates CO&lt;sub&gt;2&lt;/sub&gt; activation and C-C chain growth, while suppressing H&lt;sub&gt;2&lt;/sub&gt; formation. Collectively, our results reveal that tuning both the molecular structure of the proton donor and its concentration-dependent solvation behavior in DMSO provides a strategy to delineate and access the proton-activity window that maximizes the CO&lt;sub&gt;2&lt;/sub&gt;-to-HC conversion.</w:t>
      </w:r>
    </w:p>
    <w:p>
      <w:pPr>
        <w:spacing w:before="120" w:after="120"/>
      </w:pPr>
      <w:r>
        <w:rPr>
          <w:sz w:val="18"/>
        </w:rPr>
        <w:t>——————————————————————————————————————————————————————————————————————</w:t>
      </w:r>
    </w:p>
    <w:p>
      <w:pPr>
        <w:spacing w:before="160" w:after="40" w:line="240" w:lineRule="auto"/>
      </w:pPr>
      <w:r>
        <w:rPr>
          <w:b/>
        </w:rPr>
        <w:t xml:space="preserve">[9] </w:t>
      </w:r>
      <w:hyperlink r:id="rId215">
        <w:r>
          <w:rPr>
            <w:color w:val="1155CC"/>
            <w:u w:val="single"/>
          </w:rPr>
          <w:t>分子工程的稳健聚电解质用于连续CO2电还原为纯甲酸</w:t>
        </w:r>
      </w:hyperlink>
    </w:p>
    <w:p>
      <w:pPr>
        <w:spacing w:before="0" w:after="80"/>
      </w:pPr>
      <w:r>
        <w:rPr>
          <w:i/>
          <w:sz w:val="20"/>
        </w:rPr>
        <w:t>EN: Molecularly Engineered Robust Polyelectrolyte for Continuous CO2 Electroreduction to Pure Formic Acid</w:t>
      </w:r>
    </w:p>
    <w:p>
      <w:pPr>
        <w:spacing w:before="0" w:after="120"/>
      </w:pPr>
      <w:r>
        <w:rPr>
          <w:b/>
        </w:rPr>
        <w:t xml:space="preserve">Source: </w:t>
      </w:r>
      <w:r>
        <w:t>Wiley: Angewandte Chemie International Edition: Table of Contents</w:t>
      </w:r>
      <w:r>
        <w:t xml:space="preserve">    </w:t>
      </w:r>
      <w:r>
        <w:rPr>
          <w:b/>
        </w:rPr>
        <w:t xml:space="preserve">Pub date: </w:t>
      </w:r>
      <w:r>
        <w:t>2026-04-23 06:45:35+00:00</w:t>
      </w:r>
      <w:r>
        <w:t xml:space="preserve">    </w:t>
      </w:r>
      <w:r>
        <w:rPr>
          <w:b/>
        </w:rPr>
        <w:t xml:space="preserve">DOI: </w:t>
      </w:r>
      <w:hyperlink r:id="rId216">
        <w:r>
          <w:rPr>
            <w:color w:val="1155CC"/>
            <w:u w:val="single"/>
          </w:rPr>
          <w:t>10.1002/anie.3692505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O2转化为液体燃料需要在催化和产品分离方面进行协调推进，而当前的研究更强调前者，而忽视了对工业可行性至关重要的分离挑战。传统的液体电解质因碳酸盐形成而导致效率损失，而固态系统则面临机械和离子传输的限制。在此，我们报告了一种机械上具有弹性的三甲基铵聚电解质，用于CO2转化为液体产品而不消耗电解质。分子排列的三甲基铵聚阳离子形成连续的氢氧化物导电通道，实现了创纪录的电导率（53 mS cm</w:t>
      </w:r>
    </w:p>
    <w:p>
      <w:pPr>
        <w:spacing w:before="0" w:after="200" w:lineRule="auto" w:line="276"/>
      </w:pPr>
      <w:r>
        <w:rPr>
          <w:b/>
        </w:rPr>
        <w:t xml:space="preserve">Abstract (EN): </w:t>
      </w:r>
      <w:r>
        <w:t>Electrocatalytic CO</w:t>
      </w:r>
      <w:r>
        <w:rPr>
          <w:vertAlign w:val="subscript"/>
        </w:rPr>
        <w:t>2</w:t>
      </w:r>
      <w:r>
        <w:t>conversion to liquid fuels requires coordinated advances in catalysis and product isolation, whereas current research emphasizes the former over separation challenges essential for industrial viability. Traditional liquid electrolytes incur efficiency losses from carbonate formation, while solid‐state systems face mechanical and ionic‐transport limitations. Here, we report a mechanically resilient trimethylammonium polyelectrolyte for CO</w:t>
      </w:r>
      <w:r>
        <w:rPr>
          <w:vertAlign w:val="subscript"/>
        </w:rPr>
        <w:t>2</w:t>
      </w:r>
      <w:r>
        <w:t>‐to‐liquid product conversion without electrolyte consumption. The molecularly aligned trimethylammonium polycations create continuous hydroxide‐conducting channels, achieving record conductivity (53 mS cm</w:t>
      </w:r>
      <w:r>
        <w:t xml:space="preserve"> </w:t>
      </w:r>
      <w:r>
        <w:t>−1</w:t>
      </w:r>
      <w:r>
        <w:t xml:space="preserve"> </w:t>
      </w:r>
      <w:r>
        <w:t>, 20°C) that outperforms state‐of‐the‐art solid electrolytes. The mechanically robust polyelectrolyte maintains structural integrity and high ionic conductivity during rapid‐water‐flux operation, supporting continuous flow production of pure formic acid at a partial current density of 288 mA cm</w:t>
      </w:r>
      <w:r>
        <w:t xml:space="preserve"> </w:t>
      </w:r>
      <w:r>
        <w:t>−2</w:t>
      </w:r>
      <w:r>
        <w:t xml:space="preserve"> </w:t>
      </w:r>
      <w:r>
        <w:t>in liter scale. The molecularly engineered polyelectrolytes address the catalysis and product‐separation dichotomy by enabling continuous CO</w:t>
      </w:r>
      <w:r>
        <w:rPr>
          <w:vertAlign w:val="subscript"/>
        </w:rPr>
        <w:t>2</w:t>
      </w:r>
      <w:r>
        <w:t>‐to‐liquid‐fuel conversion and autonomous product isolation under industrial operating conditions, delivering a scalable pathway for pure liquid‐fuel‐production electrolyzers.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17">
        <w:r>
          <w:rPr>
            <w:color w:val="1155CC"/>
            <w:u w:val="single"/>
          </w:rPr>
          <w:t>[ASAP] 通过区域选择性酶水解实现序列控制共聚酰胺的环形结构</w:t>
        </w:r>
      </w:hyperlink>
    </w:p>
    <w:p>
      <w:pPr>
        <w:spacing w:before="0" w:after="80"/>
      </w:pPr>
      <w:r>
        <w:rPr>
          <w:i/>
          <w:sz w:val="20"/>
        </w:rPr>
        <w:t>EN: [ASAP] Circularity in Sequence-Controlled Copolyamides Enabled by Regioselective Enzymatic Hydrolysis</w:t>
      </w:r>
    </w:p>
    <w:p>
      <w:pPr>
        <w:spacing w:before="0" w:after="120"/>
      </w:pPr>
      <w:r>
        <w:rPr>
          <w:b/>
        </w:rPr>
        <w:t xml:space="preserve">Source: </w:t>
      </w:r>
      <w:r>
        <w:t>Journal of the American Chemical Society: Latest Articles (ACS Publications)</w:t>
      </w:r>
      <w:r>
        <w:t xml:space="preserve">    </w:t>
      </w:r>
      <w:r>
        <w:rPr>
          <w:b/>
        </w:rPr>
        <w:t xml:space="preserve">Pub date: </w:t>
      </w:r>
      <w:r>
        <w:t>2026-04-21 08:19:26+00:00</w:t>
      </w:r>
      <w:r>
        <w:t xml:space="preserve">    </w:t>
      </w:r>
      <w:r>
        <w:rPr>
          <w:b/>
        </w:rPr>
        <w:t xml:space="preserve">DOI: </w:t>
      </w:r>
      <w:hyperlink r:id="rId218">
        <w:r>
          <w:rPr>
            <w:color w:val="1155CC"/>
            <w:u w:val="single"/>
          </w:rPr>
          <w:t>10.1021/jacs.6c03466</w:t>
        </w:r>
      </w:hyperlink>
    </w:p>
    <w:p>
      <w:pPr>
        <w:spacing w:before="0" w:after="120"/>
      </w:pPr>
      <w:r>
        <w:rPr>
          <w:b/>
        </w:rPr>
        <w:t xml:space="preserve">Notes: </w:t>
      </w:r>
      <w:r>
        <w:t>abstract_source=pubmed</w:t>
      </w:r>
    </w:p>
    <w:p>
      <w:pPr>
        <w:spacing w:before="0" w:after="80" w:lineRule="auto" w:line="276"/>
      </w:pPr>
      <w:r>
        <w:rPr>
          <w:b/>
        </w:rPr>
        <w:t xml:space="preserve">摘要（ZH）: </w:t>
      </w:r>
      <w:r>
        <w:t>序列控制聚合物能够精确控制大分子结构和功能，但其合成和生命周期管理仍然是基本挑战。实现高序列保真度在合成上要求很高，而传统的解聚方法缺乏区域选择性，导致编码分子信息的不可逆损失，限制了聚合物的循环性。酶催化提供了一种潜在的解决方案，通过结合底物特异性和选择性键断裂。在此，我们报告了聚（X,AMA）的合成、表征和区域选择性酶解聚，该序列控制的共聚酰胺由交替的己二胺-己二酸（MA）和对二甲苯二胺-己二酸（XA）重复单元组成。聚（X,AMA）被合成</w:t>
      </w:r>
    </w:p>
    <w:p>
      <w:pPr>
        <w:spacing w:before="0" w:after="200" w:lineRule="auto" w:line="276"/>
      </w:pPr>
      <w:r>
        <w:rPr>
          <w:b/>
        </w:rPr>
        <w:t xml:space="preserve">Abstract (EN): </w:t>
      </w:r>
      <w:r>
        <w:t>Sequence-controlled polymers enable precise control over macromolecular structures and function, but both their synthesis and end-of-life management remain fundamental challenges. Achieving high sequence fidelity is synthetically demanding, and conventional depolymerization methods lack regioselectivity, leading to irreversible loss of encoded molecular information and limiting polymer circularity. Enzymatic catalysis offers a potential solution by combining substrate specificity with selective bond cleavage. Here, we report the synthesis, characterization, and regioselective enzymatic depolymerization of poly(X,AMA), a sequence-controlled copolyamide composed of alternating hexamethylenediamine-adipic acid (MA) and p-xylylenediamine-adipic acid (XA) repeat units. Poly(X,AMA) was synthesized via solid-state polycondensation (SSP) of sequence-defined oligomers, enabling precise control over repeat-unit order. Polymer microstructure and sequence fidelity were confirmed by 13C NMR spectroscopy and MALDI-TOF mass spectrometry. Comparison with a statistical copolymer analogue and Nylon-66 demonstrated pronounced differences in crystallinity, morphology, and thermal behavior arising from sequence control. Screening of 96 Nylon hydrolase homologues against poly(X,AMA) revealed strongly enzyme-dependent depolymerization profiles. While tetrad formation was generally favored, enzymes displayed pronounced sequence selectivity, preferentially releasing distinct sequence-defined tetrads XAMA or MAXA. SSP of sequence-defined tetrad MAXA produced a copolyamide with near identical monomer ordering as poly(X,AMA). Computational modeling of enzyme-substrate complexes identified structural features consistent with the observed regioselectivity. Together, these results establish selective enzymatic depolymerization as a viable strategy for the circular recycling of sequence-controlled polymers and provide a foundation for the rational engineering of enzymes for programmable polymer deconstruction.</w:t>
      </w:r>
    </w:p>
    <w:p>
      <w:pPr>
        <w:spacing w:before="120" w:after="120"/>
      </w:pPr>
      <w:r>
        <w:rPr>
          <w:sz w:val="18"/>
        </w:rPr>
        <w:t>——————————————————————————————————————————————————————————————————————</w:t>
      </w:r>
    </w:p>
    <w:p>
      <w:pPr>
        <w:spacing w:before="160" w:after="40" w:line="240" w:lineRule="auto"/>
      </w:pPr>
      <w:r>
        <w:rPr>
          <w:b/>
        </w:rPr>
        <w:t xml:space="preserve">[2] </w:t>
      </w:r>
      <w:hyperlink r:id="rId219">
        <w:r>
          <w:rPr>
            <w:color w:val="1155CC"/>
            <w:u w:val="single"/>
          </w:rPr>
          <w:t>用于实际可回收复合材料应用的阻碍苯撑双缩醛环氧树脂的生命周期集成分子设计</w:t>
        </w:r>
      </w:hyperlink>
    </w:p>
    <w:p>
      <w:pPr>
        <w:spacing w:before="0" w:after="80"/>
      </w:pPr>
      <w:r>
        <w:rPr>
          <w:i/>
          <w:sz w:val="20"/>
        </w:rPr>
        <w:t>EN: Life‐Cycle‐Integrated Molecular Design of Hindered Phenylene Biacetal Epoxies for Practical Recyclable Composite Applications</w:t>
      </w:r>
    </w:p>
    <w:p>
      <w:pPr>
        <w:spacing w:before="0" w:after="120"/>
      </w:pPr>
      <w:r>
        <w:rPr>
          <w:b/>
        </w:rPr>
        <w:t xml:space="preserve">Source: </w:t>
      </w:r>
      <w:r>
        <w:t>Wiley: Angewandte Chemie International Edition: Table of Contents</w:t>
      </w:r>
      <w:r>
        <w:t xml:space="preserve">    </w:t>
      </w:r>
      <w:r>
        <w:rPr>
          <w:b/>
        </w:rPr>
        <w:t xml:space="preserve">Pub date: </w:t>
      </w:r>
      <w:r>
        <w:t>2026-04-22 05:25:54+00:00</w:t>
      </w:r>
      <w:r>
        <w:t xml:space="preserve">    </w:t>
      </w:r>
      <w:r>
        <w:rPr>
          <w:b/>
        </w:rPr>
        <w:t xml:space="preserve">DOI: </w:t>
      </w:r>
      <w:hyperlink r:id="rId220">
        <w:r>
          <w:rPr>
            <w:color w:val="1155CC"/>
            <w:u w:val="single"/>
          </w:rPr>
          <w:t>10.1002/anie.9945235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纤维增强聚合物（CFRP）复合材料是轻量化风能基础设施的核心，但由于永久性环氧热固性基体而在生命周期末期循环性差。在此，我们提出了一种基于受阻苯撑双缩醛结构的循环环氧树脂的生命周期集成分子设计策略，克服了可扩展合成、可加工性、高服役性能、化学可回收性和长期稳定性之间的长期工业权衡。树脂通过一锅可扩展合成（≥200 g）制备，产生与真空辅助树脂注入成型（VARI）兼容的液体单体，在55°C下加工窗口超过60分钟。所得网络表现出强</w:t>
      </w:r>
    </w:p>
    <w:p>
      <w:pPr>
        <w:spacing w:before="0" w:after="200" w:lineRule="auto" w:line="276"/>
      </w:pPr>
      <w:r>
        <w:rPr>
          <w:b/>
        </w:rPr>
        <w:t xml:space="preserve">Abstract (EN): </w:t>
      </w:r>
      <w:r>
        <w:t>Carbon‐fiber reinforced polymer (CFRP) composites are central to lightweight wind‐energy infrastructure but suffer from poor end‐of‐life circularity due to permanent epoxy thermoset matrices. Here we present a life‐cycle‐integrated molecular design strategy for circular epoxy resins based on a hindered phenylene biacetal architecture, overcoming the longstanding industrial trade‐offs between scalable synthesis, processability, high in‐service performance, chemical recyclability, and long‐term stability. The resins are prepared through one‐pot scalable synthesis (≥200 g), producing liquid monomers compatible with vacuum‐assisted resin infusion molding (VARI) with processing windows exceeding 60 min at 55°C. The resulting networks exhibit strong thermal–mechanical properties (</w:t>
      </w:r>
      <w:r>
        <w:t xml:space="preserve"> </w:t>
      </w:r>
      <w:r>
        <w:t>T</w:t>
      </w:r>
      <w:r>
        <w:t xml:space="preserve"> </w:t>
      </w:r>
      <w:r>
        <w:t>g</w:t>
      </w:r>
      <w:r>
        <w:t xml:space="preserve"> </w:t>
      </w:r>
      <w:r>
        <w:t>= 119°C–136°C, tensile strength ≥72 MPa) and significantly improved impact resistance (+83% vs. commercial bisphenol A epoxy), together with excellent durability, including negligible creep at 180°C and stable properties after prolonged hygrothermal aging (60°C/90% RH, 32 days). Dormant dynamic acetal linkages enable weak‐acid‐triggered deconstruction at room temperature, allowing 100% nondestructive carbon‐fiber recovery and &amp;gt;80% recovery of high‐purity monomeric precursors. Artificial‐intelligence‐assisted life‐cycle assessment indicates a 45%–56% reduction in cradle‐to‐grave CO</w:t>
      </w:r>
      <w:r>
        <w:rPr>
          <w:vertAlign w:val="subscript"/>
        </w:rPr>
        <w:t>2</w:t>
      </w:r>
      <w:r>
        <w:t>emissions compared with conventional CFRP disposal, with a total resource reutilization/upcycling rate exceeding 92%. This platform provides a practical pathway toward circular structural composites for net‐zero infrastructure.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21">
        <w:r>
          <w:rPr>
            <w:color w:val="1155CC"/>
            <w:u w:val="single"/>
          </w:rPr>
          <w:t>智能电网中移动边缘计算的计算卸载和资源分配</w:t>
        </w:r>
      </w:hyperlink>
    </w:p>
    <w:p>
      <w:pPr>
        <w:spacing w:before="0" w:after="80"/>
      </w:pPr>
      <w:r>
        <w:rPr>
          <w:i/>
          <w:sz w:val="20"/>
        </w:rPr>
        <w:t>EN: Computation offloading and resource allocation for Mobile edge computing in smart grid</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22">
        <w:r>
          <w:rPr>
            <w:color w:val="1155CC"/>
            <w:u w:val="single"/>
          </w:rPr>
          <w:t>Akkermansia muciniphila的膜蛋白Amuc_1098通过TLR2信号传导和甘油磷脂代谢重塑缓解急性胰腺炎</w:t>
        </w:r>
      </w:hyperlink>
    </w:p>
    <w:p>
      <w:pPr>
        <w:spacing w:before="0" w:after="80"/>
      </w:pPr>
      <w:r>
        <w:rPr>
          <w:i/>
          <w:sz w:val="20"/>
        </w:rPr>
        <w:t>EN: The membrane protein Amuc_1098 from Akkermansia muciniphila alleviates acute pancreatitis via TLR2 signaling and glycerophospholipid metabolism remodeling</w:t>
      </w:r>
    </w:p>
    <w:p>
      <w:pPr>
        <w:spacing w:before="0" w:after="120"/>
      </w:pPr>
      <w:r>
        <w:rPr>
          <w:b/>
        </w:rPr>
        <w:t xml:space="preserve">Source: </w:t>
      </w:r>
      <w:r>
        <w:t>Nature Communications</w:t>
      </w:r>
      <w:r>
        <w:t xml:space="preserve">    </w:t>
      </w:r>
      <w:r>
        <w:rPr>
          <w:b/>
        </w:rPr>
        <w:t xml:space="preserve">Pub date: </w:t>
      </w:r>
      <w:r>
        <w:t>2026-04-18 00:00:00+00:00</w:t>
      </w:r>
      <w:r>
        <w:t xml:space="preserve">    </w:t>
      </w:r>
      <w:r>
        <w:rPr>
          <w:b/>
        </w:rPr>
        <w:t xml:space="preserve">DOI: </w:t>
      </w:r>
      <w:hyperlink r:id="rId223">
        <w:r>
          <w:rPr>
            <w:color w:val="1155CC"/>
            <w:u w:val="single"/>
          </w:rPr>
          <w:t>10.1038/s41467-026-71140-5</w:t>
        </w:r>
      </w:hyperlink>
    </w:p>
    <w:p>
      <w:pPr>
        <w:spacing w:before="0" w:after="120"/>
      </w:pPr>
      <w:r>
        <w:rPr>
          <w:b/>
        </w:rPr>
        <w:t xml:space="preserve">Notes: </w:t>
      </w:r>
      <w:r>
        <w:t>abstract_source=nature_html</w:t>
      </w:r>
    </w:p>
    <w:p>
      <w:pPr>
        <w:spacing w:before="0" w:after="80" w:lineRule="auto" w:line="276"/>
      </w:pPr>
      <w:r>
        <w:rPr>
          <w:b/>
        </w:rPr>
        <w:t xml:space="preserve">摘要（ZH）: </w:t>
      </w:r>
      <w:r>
        <w:t>急性胰腺炎是一种复杂的炎症性疾病，具有高发病率和死亡率，与肠道屏障功能障碍、肠道微生物群失调和异常脂质代谢密切相关。研究表明，Akkermansia muciniphila 通过生物活性成分如 Amuc 蛋白对宿主产生有益影响。在此，我们研究了 Amuc_1098 对由 caerulein 联合脂多糖或 L-精氨酸诱导的小鼠急性胰腺炎的影响。我们发现口服 Amuc_1098 可减少胰腺组织损伤以及血清淀粉酶和脂肪酶水平。从机制上看，它部分依赖于 TLR2 抑制 NF-κB 信号，从而降低促炎因子（TNF-α、IL-1β、IL-6）的水平和脾脏中的巨噬细胞比例，胰腺</w:t>
      </w:r>
    </w:p>
    <w:p>
      <w:pPr>
        <w:spacing w:before="0" w:after="200" w:lineRule="auto" w:line="276"/>
      </w:pPr>
      <w:r>
        <w:rPr>
          <w:b/>
        </w:rPr>
        <w:t xml:space="preserve">Abstract (EN): </w:t>
      </w:r>
      <w:r>
        <w:t>Acute pancreatitis is a complex inflammatory disease with high morbidity and mortality, closely associated with intestinal barrier dysfunction, gut microbiota dysbiosis and abnormal lipid metabolism. Akkermansia muciniphila has been shown to exert beneficial effects on the host via bioactive components such as Amuc proteins. Here, we investigate the effect of Amuc_1098 on acute pancreatitis in mice induced by caerulein combined with lipopolysaccharide or L-arginine. We show that oral administration of Amuc_1098 reduces pancreatic tissue injury and the levels of serum amylase and lipase. Mechanistically, it suppressed NF-κB signaling partially dependent on TLR2, thereby reducing the levels of pro-inflammatory factors (TNF-α, IL-1β, IL-6) and the proportion of macrophages in the spleen, pancreas and intestine, and reversed downregulation of colonic tight junction proteins via TLR2 to protect intestinal barrier function. Amuc_1098 improves disrupted glycerophospholipid metabolism seen in both acute pancreatitis patients and mice. Together, these results suggest that Amuc_1098 alleviates acute pancreatitis severity by exerting anti-inflammatory effects, reducing macrophage infiltration, enhancing colonic tight junction proteins, and regulating intestinal flora and glycerophospholipid metabolism.</w:t>
      </w:r>
    </w:p>
    <w:p>
      <w:pPr>
        <w:spacing w:before="120" w:after="120"/>
      </w:pPr>
      <w:r>
        <w:rPr>
          <w:sz w:val="18"/>
        </w:rPr>
        <w:t>——————————————————————————————————————————————————————————————————————</w:t>
      </w:r>
    </w:p>
    <w:p>
      <w:pPr>
        <w:spacing w:before="160" w:after="40" w:line="240" w:lineRule="auto"/>
      </w:pPr>
      <w:r>
        <w:rPr>
          <w:b/>
        </w:rPr>
        <w:t xml:space="preserve">[3] </w:t>
      </w:r>
      <w:hyperlink r:id="rId224">
        <w:r>
          <w:rPr>
            <w:color w:val="1155CC"/>
            <w:u w:val="single"/>
          </w:rPr>
          <w:t>重型车辆技术经济评估的标准化框架：来自最新文献综述的见解</w:t>
        </w:r>
      </w:hyperlink>
    </w:p>
    <w:p>
      <w:pPr>
        <w:spacing w:before="0" w:after="80"/>
      </w:pPr>
      <w:r>
        <w:rPr>
          <w:i/>
          <w:sz w:val="20"/>
        </w:rPr>
        <w:t>EN: Standardized framework for techno-economic assessment of heavy-duty vehicles: Insights from a state-of-the-art review</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25">
        <w:r>
          <w:rPr>
            <w:color w:val="1155CC"/>
            <w:u w:val="single"/>
          </w:rPr>
          <w:t>风力涡轮机技术的最新进展：2015-2025年创新和挑战的综述</w:t>
        </w:r>
      </w:hyperlink>
    </w:p>
    <w:p>
      <w:pPr>
        <w:spacing w:before="0" w:after="80"/>
      </w:pPr>
      <w:r>
        <w:rPr>
          <w:i/>
          <w:sz w:val="20"/>
        </w:rPr>
        <w:t>EN: Recent advances in wind turbine technologies: a review of innovations and challenges in the last years (2015–2025)</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26">
        <w:r>
          <w:rPr>
            <w:color w:val="1155CC"/>
            <w:u w:val="single"/>
          </w:rPr>
          <w:t>胆囊收缩素协调促性腺激素依赖和非依赖途径以调控斑马鱼性腺发育</w:t>
        </w:r>
      </w:hyperlink>
    </w:p>
    <w:p>
      <w:pPr>
        <w:spacing w:before="0" w:after="80"/>
      </w:pPr>
      <w:r>
        <w:rPr>
          <w:i/>
          <w:sz w:val="20"/>
        </w:rPr>
        <w:t>EN: Cholecystokinin coordinates gonadotropin-dependent and independent pathways to orchestrate zebrafish gonadal development</w:t>
      </w:r>
    </w:p>
    <w:p>
      <w:pPr>
        <w:spacing w:before="0" w:after="120"/>
      </w:pPr>
      <w:r>
        <w:rPr>
          <w:b/>
        </w:rPr>
        <w:t xml:space="preserve">Source: </w:t>
      </w:r>
      <w:r>
        <w:t>Nature Communications</w:t>
      </w:r>
      <w:r>
        <w:t xml:space="preserve">    </w:t>
      </w:r>
      <w:r>
        <w:rPr>
          <w:b/>
        </w:rPr>
        <w:t xml:space="preserve">Pub date: </w:t>
      </w:r>
      <w:r>
        <w:t>2026-04-18 00:00:00+00:00</w:t>
      </w:r>
      <w:r>
        <w:t xml:space="preserve">    </w:t>
      </w:r>
      <w:r>
        <w:rPr>
          <w:b/>
        </w:rPr>
        <w:t xml:space="preserve">DOI: </w:t>
      </w:r>
      <w:hyperlink r:id="rId227">
        <w:r>
          <w:rPr>
            <w:color w:val="1155CC"/>
            <w:u w:val="single"/>
          </w:rPr>
          <w:t>10.1038/s41467-026-72039-x</w:t>
        </w:r>
      </w:hyperlink>
    </w:p>
    <w:p>
      <w:pPr>
        <w:spacing w:before="0" w:after="120"/>
      </w:pPr>
      <w:r>
        <w:rPr>
          <w:b/>
        </w:rPr>
        <w:t xml:space="preserve">Notes: </w:t>
      </w:r>
      <w:r>
        <w:t>abstract_source=nature_html</w:t>
      </w:r>
    </w:p>
    <w:p>
      <w:pPr>
        <w:spacing w:before="0" w:after="80" w:lineRule="auto" w:line="276"/>
      </w:pPr>
      <w:r>
        <w:rPr>
          <w:b/>
        </w:rPr>
        <w:t xml:space="preserve">摘要（ZH）: </w:t>
      </w:r>
      <w:r>
        <w:t>胆囊收缩素（CCK）被确立为硬骨鱼类生殖腺发育的关键调节因子，不仅作为促卵泡激素释放激素（FSH-RH）发挥作用，还通过三种不同机制刺激生殖腺发育。具体而言，（1）CCK 通过 CCKBRb 在特定的双激素亚群中直接激活垂体 lhb 转录，并间接增强下丘脑 gnrh3 表达以调节 LH 合成和分泌。然而，CCK 在 LH 调节中的生理作用需要进一步研究，其效果可能涉及直接和间接机制，包括针对特定的双激素亚群。（2）CCK 在胚胎发生期间对原始生殖细胞（PGC）增殖施加无促性腺激素的控制，这可以通过</w:t>
      </w:r>
    </w:p>
    <w:p>
      <w:pPr>
        <w:spacing w:before="0" w:after="200" w:lineRule="auto" w:line="276"/>
      </w:pPr>
      <w:r>
        <w:rPr>
          <w:b/>
        </w:rPr>
        <w:t xml:space="preserve">Abstract (EN): </w:t>
      </w:r>
      <w:r>
        <w:t>Cholecystokinin (CCK) is established as a critical regulator of teleost gonadal development, functioning not only as a follicle-stimulating-hormone-releasing hormone (FSH-RH) but also stimulating gonadal development through three distinct mechanisms. Specifically, (1) CCK directly activates pituitary lhb transcription via CCKBRb in a specific bi-hormonal subpopulation, and indirectly enhances hypothalamic gnrh3 expression to regulate LH synthesis and secretion. However, CCK’s physiological role in LH regulation requires further investigation, and its effect may involve both direct and indirect mechanisms, including targeting a specific bi-hormonal subpopulation. (2) CCK exerts gonadotropin-independent control over primordial germ cell (PGC) proliferation during embryogenesis, evidenced by significantly reduced PGC numbers in cck1−/−;cck2−/− and cckbrb−/− mutants, a phenotype absent in fshb−/− and lhb−/−;fshb−/− zebrafish. (3) CCK initiates meiosis and maintains gonadal somatic cell survival by suppressing apoptosis; these processes are abrogated in CCK-deficient mutants but remain intact in gonadotropin-deficient lines. Collectively, hypothalamic and peripheral CCK cells regulate gonadal function through gonadotropin-dependent and gonadotropin-independent pathways, respectively, thereby coordinating gonadal development from germline establishment to maturation.</w:t>
      </w:r>
    </w:p>
    <w:p>
      <w:pPr>
        <w:spacing w:before="120" w:after="120"/>
      </w:pPr>
      <w:r>
        <w:rPr>
          <w:sz w:val="18"/>
        </w:rPr>
        <w:t>——————————————————————————————————————————————————————————————————————</w:t>
      </w:r>
    </w:p>
    <w:p>
      <w:pPr>
        <w:spacing w:before="160" w:after="40" w:line="240" w:lineRule="auto"/>
      </w:pPr>
      <w:r>
        <w:rPr>
          <w:b/>
        </w:rPr>
        <w:t xml:space="preserve">[6] </w:t>
      </w:r>
      <w:hyperlink r:id="rId228">
        <w:r>
          <w:rPr>
            <w:color w:val="1155CC"/>
            <w:u w:val="single"/>
          </w:rPr>
          <w:t>废水情报预测在医疗设施中临床相关和耐药Candidozyma auris的出现</w:t>
        </w:r>
      </w:hyperlink>
    </w:p>
    <w:p>
      <w:pPr>
        <w:spacing w:before="0" w:after="80"/>
      </w:pPr>
      <w:r>
        <w:rPr>
          <w:i/>
          <w:sz w:val="20"/>
        </w:rPr>
        <w:t>EN: Wastewater intelligence predicts the emergence of clinically-relevant and drug-resistant Candidozyma auris at healthcare facilities</w:t>
      </w:r>
    </w:p>
    <w:p>
      <w:pPr>
        <w:spacing w:before="0" w:after="120"/>
      </w:pPr>
      <w:r>
        <w:rPr>
          <w:b/>
        </w:rPr>
        <w:t xml:space="preserve">Source: </w:t>
      </w:r>
      <w:r>
        <w:t>Nature Communications</w:t>
      </w:r>
      <w:r>
        <w:t xml:space="preserve">    </w:t>
      </w:r>
      <w:r>
        <w:rPr>
          <w:b/>
        </w:rPr>
        <w:t xml:space="preserve">Pub date: </w:t>
      </w:r>
      <w:r>
        <w:t>2026-04-18 00:00:00+00:00</w:t>
      </w:r>
      <w:r>
        <w:t xml:space="preserve">    </w:t>
      </w:r>
      <w:r>
        <w:rPr>
          <w:b/>
        </w:rPr>
        <w:t xml:space="preserve">DOI: </w:t>
      </w:r>
      <w:hyperlink r:id="rId229">
        <w:r>
          <w:rPr>
            <w:color w:val="1155CC"/>
            <w:u w:val="single"/>
          </w:rPr>
          <w:t>10.1038/s41467-026-71960-5</w:t>
        </w:r>
      </w:hyperlink>
    </w:p>
    <w:p>
      <w:pPr>
        <w:spacing w:before="0" w:after="120"/>
      </w:pPr>
      <w:r>
        <w:rPr>
          <w:b/>
        </w:rPr>
        <w:t xml:space="preserve">Notes: </w:t>
      </w:r>
      <w:r>
        <w:t>abstract_source=nature_html</w:t>
      </w:r>
    </w:p>
    <w:p>
      <w:pPr>
        <w:spacing w:before="0" w:after="80" w:lineRule="auto" w:line="276"/>
      </w:pPr>
      <w:r>
        <w:rPr>
          <w:b/>
        </w:rPr>
        <w:t xml:space="preserve">摘要（ZH）: </w:t>
      </w:r>
      <w:r>
        <w:t>Candidozyma auris（原 Candida auris）抗真菌耐药性的快速进化对传统公共卫生监测方法提出了重大挑战，特别是在检测新出现的和高度传播的耐药变体方面。在此，我们使用在 COVID-19 大流行期间最初开发的废水流行病学工具，实施了一种高分辨率、设施级别的预警系统，以监测 C. auris 感染和耐药模式。我们在南内华达州的评估表明，医疗设施的上游污水监测提供了显著的敏感性（p 90% 基因组一致性在 443 个废水衍生基因组和 2945 个临床分离株之间。我们还检测到以前未报告的亚系和耐药突变，包括</w:t>
      </w:r>
    </w:p>
    <w:p>
      <w:pPr>
        <w:spacing w:before="0" w:after="200" w:lineRule="auto" w:line="276"/>
      </w:pPr>
      <w:r>
        <w:rPr>
          <w:b/>
        </w:rPr>
        <w:t xml:space="preserve">Abstract (EN): </w:t>
      </w:r>
      <w:r>
        <w:t>The rapid evolution of antifungal resistance in Candidozyma auris (formerly Candida auris) presents significant challenges for conventional public health surveillance methods, particularly in detecting emergent and highly transmissible drug-resistant variants. Here, using wastewater-based epidemiology tools initially developed during the COVID-19 pandemic, we implement a high-resolution, facility-level early warning system to monitor C. auris infections and resistance patterns. Our evaluation across Southern Nevada demonstrates that upstream sewage monitoring at healthcare facilities provides significant sensitivity (p 90% genomic concordance between 443 wastewater-derived genomes and 2945 clinical isolates. We also detect previously unreported subclades and resistance mutations, including FKS1 Phe635Leu and co-occurring ERG11/FKS1 variants in wastewater samples up to nearly five months before their appearance in clinical settings. Transcriptomic profiling of drug-resistant isolates under antifungal and stress conditions identifies previously uncharacterized adaptation mechanisms, including differential regulation of ribosomal assembly pathways and cell cycle checkpoints. These findings highlight how wastewater intelligence can enhance traditional public health approaches for early detection and monitoring of C. auris outbreaks and antifungal resistance.</w:t>
      </w:r>
    </w:p>
    <w:p>
      <w:pPr>
        <w:spacing w:before="120" w:after="120"/>
      </w:pPr>
      <w:r>
        <w:rPr>
          <w:sz w:val="18"/>
        </w:rPr>
        <w:t>——————————————————————————————————————————————————————————————————————</w:t>
      </w:r>
    </w:p>
    <w:p>
      <w:pPr>
        <w:spacing w:before="160" w:after="40" w:line="240" w:lineRule="auto"/>
      </w:pPr>
      <w:r>
        <w:rPr>
          <w:b/>
        </w:rPr>
        <w:t xml:space="preserve">[7] </w:t>
      </w:r>
      <w:hyperlink r:id="rId230">
        <w:r>
          <w:rPr>
            <w:color w:val="1155CC"/>
            <w:u w:val="single"/>
          </w:rPr>
          <w:t>磁性缪子测量和基因治疗进展赢得300万美元突破奖</w:t>
        </w:r>
      </w:hyperlink>
    </w:p>
    <w:p>
      <w:pPr>
        <w:spacing w:before="0" w:after="80"/>
      </w:pPr>
      <w:r>
        <w:rPr>
          <w:i/>
          <w:sz w:val="20"/>
        </w:rPr>
        <w:t>EN: Magnetic muon measurements and gene-therapy advances win US$3 million Breakthrough prizes</w:t>
      </w:r>
    </w:p>
    <w:p>
      <w:pPr>
        <w:spacing w:before="0" w:after="120"/>
      </w:pPr>
      <w:r>
        <w:rPr>
          <w:b/>
        </w:rPr>
        <w:t xml:space="preserve">Source: </w:t>
      </w:r>
      <w:r>
        <w:t>Nature</w:t>
      </w:r>
      <w:r>
        <w:t xml:space="preserve">    </w:t>
      </w:r>
      <w:r>
        <w:rPr>
          <w:b/>
        </w:rPr>
        <w:t xml:space="preserve">Pub date: </w:t>
      </w:r>
      <w:r>
        <w:t>2026-04-18 00:00:00+00:00</w:t>
      </w:r>
      <w:r>
        <w:t xml:space="preserve">    </w:t>
      </w:r>
      <w:r>
        <w:rPr>
          <w:b/>
        </w:rPr>
        <w:t xml:space="preserve">DOI: </w:t>
      </w:r>
      <w:hyperlink r:id="rId231">
        <w:r>
          <w:rPr>
            <w:color w:val="1155CC"/>
            <w:u w:val="single"/>
          </w:rPr>
          <w:t>10.1038/d41586-026-01014-9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32">
        <w:r>
          <w:rPr>
            <w:color w:val="1155CC"/>
            <w:u w:val="single"/>
          </w:rPr>
          <w:t>高脂食物诱导的条件味觉厌恶的中脑回路</w:t>
        </w:r>
      </w:hyperlink>
    </w:p>
    <w:p>
      <w:pPr>
        <w:spacing w:before="0" w:after="80"/>
      </w:pPr>
      <w:r>
        <w:rPr>
          <w:i/>
          <w:sz w:val="20"/>
        </w:rPr>
        <w:t>EN: A midbrain circuit for high-fat-food induced conditioned taste aversion</w:t>
      </w:r>
    </w:p>
    <w:p>
      <w:pPr>
        <w:spacing w:before="0" w:after="120"/>
      </w:pPr>
      <w:r>
        <w:rPr>
          <w:b/>
        </w:rPr>
        <w:t xml:space="preserve">Source: </w:t>
      </w:r>
      <w:r>
        <w:t>Nature Communications</w:t>
      </w:r>
      <w:r>
        <w:t xml:space="preserve">    </w:t>
      </w:r>
      <w:r>
        <w:rPr>
          <w:b/>
        </w:rPr>
        <w:t xml:space="preserve">Pub date: </w:t>
      </w:r>
      <w:r>
        <w:t>2026-04-18 00:00:00+00:00</w:t>
      </w:r>
      <w:r>
        <w:t xml:space="preserve">    </w:t>
      </w:r>
      <w:r>
        <w:rPr>
          <w:b/>
        </w:rPr>
        <w:t xml:space="preserve">DOI: </w:t>
      </w:r>
      <w:hyperlink r:id="rId233">
        <w:r>
          <w:rPr>
            <w:color w:val="1155CC"/>
            <w:u w:val="single"/>
          </w:rPr>
          <w:t>10.1038/s41467-026-72107-2</w:t>
        </w:r>
      </w:hyperlink>
    </w:p>
    <w:p>
      <w:pPr>
        <w:spacing w:before="0" w:after="120"/>
      </w:pPr>
      <w:r>
        <w:rPr>
          <w:b/>
        </w:rPr>
        <w:t xml:space="preserve">Notes: </w:t>
      </w:r>
      <w:r>
        <w:t>abstract_source=nature_html</w:t>
      </w:r>
    </w:p>
    <w:p>
      <w:pPr>
        <w:spacing w:before="0" w:after="80" w:lineRule="auto" w:line="276"/>
      </w:pPr>
      <w:r>
        <w:rPr>
          <w:b/>
        </w:rPr>
        <w:t xml:space="preserve">摘要（ZH）: </w:t>
      </w:r>
      <w:r>
        <w:t>条件性味觉厌恶（CTA）是一种生存机制，可以防止摄入有害食物。然而，其神经回路，特别是固体食物厌恶的回路，尚未被充分理解。使用一种将高脂食物（HFF）与LiCl注射配对的雄性小鼠模型，我们确定了中缝核区（MRR）对CTA至关重要。MRR谷氨酸能神经元的光遗传学激活可以替代LiCl注射，诱导强烈的HFF厌恶。CTA后，MRR神经元的钙信号在接近HFF时增加。我们发现从内侧前视区（MPOA）到MRR的谷氨酸能投射是必要的；刺激该回路模拟LiCl，诱发HFF厌恶。CTA后，MRR神经元的突触变化包括mEPSC频率增加和配对脉冲比率的改变。</w:t>
      </w:r>
    </w:p>
    <w:p>
      <w:pPr>
        <w:spacing w:before="0" w:after="200" w:lineRule="auto" w:line="276"/>
      </w:pPr>
      <w:r>
        <w:rPr>
          <w:b/>
        </w:rPr>
        <w:t xml:space="preserve">Abstract (EN): </w:t>
      </w:r>
      <w:r>
        <w:t>Conditioned taste aversion (CTA) is a survival mechanism that prevents consumption of harmful foods. Yet its neural circuits, especially those for solid food aversion, are poorly understood. Using a male mouse model where high-fat food (HFF) was paired with LiCl injections, we identified the median raphe region (MRR) as essential for CTA. Optogenetic activation of MRR glutamatergic neurons replaced LiCl injections, inducing robust HFF aversion. Calcium signaling in MRR neurons increased upon HFF approach post-CTA. We uncovered a necessary glutamatergic projection from the medial preoptic area (MPOA) to the MRR; stimulating this circuit mimicked LiCl, to elicit HFF aversion. Following CTA, synaptic changes in MRR neurons included an increased mEPSC frequency and an altered paired-pulse ratio in the MPOAVgluT2-MRR pathway. Finally, MRR projections to the medial septum and lateral habenula differentially encode and retrieve CTA memory. These findings define a circuit for aversion learning, offering insights into maladaptive eating behaviors.</w:t>
      </w:r>
    </w:p>
    <w:p>
      <w:pPr>
        <w:spacing w:before="120" w:after="120"/>
      </w:pPr>
      <w:r>
        <w:rPr>
          <w:sz w:val="18"/>
        </w:rPr>
        <w:t>——————————————————————————————————————————————————————————————————————</w:t>
      </w:r>
    </w:p>
    <w:p>
      <w:pPr>
        <w:spacing w:before="160" w:after="40" w:line="240" w:lineRule="auto"/>
      </w:pPr>
      <w:r>
        <w:rPr>
          <w:b/>
        </w:rPr>
        <w:t xml:space="preserve">[9] </w:t>
      </w:r>
      <w:hyperlink r:id="rId234">
        <w:r>
          <w:rPr>
            <w:color w:val="1155CC"/>
            <w:u w:val="single"/>
          </w:rPr>
          <w:t>背腹图式发育系统漂移与环节动物自主发育的转变有关</w:t>
        </w:r>
      </w:hyperlink>
    </w:p>
    <w:p>
      <w:pPr>
        <w:spacing w:before="0" w:after="80"/>
      </w:pPr>
      <w:r>
        <w:rPr>
          <w:i/>
          <w:sz w:val="20"/>
        </w:rPr>
        <w:t>EN: Developmental system drift in dorsoventral patterning is linked to transitions to autonomous development in Annelida</w:t>
      </w:r>
    </w:p>
    <w:p>
      <w:pPr>
        <w:spacing w:before="0" w:after="120"/>
      </w:pPr>
      <w:r>
        <w:rPr>
          <w:b/>
        </w:rPr>
        <w:t xml:space="preserve">Source: </w:t>
      </w:r>
      <w:r>
        <w:t>Nature Communications</w:t>
      </w:r>
      <w:r>
        <w:t xml:space="preserve">    </w:t>
      </w:r>
      <w:r>
        <w:rPr>
          <w:b/>
        </w:rPr>
        <w:t xml:space="preserve">Pub date: </w:t>
      </w:r>
      <w:r>
        <w:t>2026-04-18 00:00:00+00:00</w:t>
      </w:r>
      <w:r>
        <w:t xml:space="preserve">    </w:t>
      </w:r>
      <w:r>
        <w:rPr>
          <w:b/>
        </w:rPr>
        <w:t xml:space="preserve">DOI: </w:t>
      </w:r>
      <w:hyperlink r:id="rId235">
        <w:r>
          <w:rPr>
            <w:color w:val="1155CC"/>
            <w:u w:val="single"/>
          </w:rPr>
          <w:t>10.1038/s41467-026-71950-7</w:t>
        </w:r>
      </w:hyperlink>
    </w:p>
    <w:p>
      <w:pPr>
        <w:spacing w:before="0" w:after="120"/>
      </w:pPr>
      <w:r>
        <w:rPr>
          <w:b/>
        </w:rPr>
        <w:t xml:space="preserve">Notes: </w:t>
      </w:r>
      <w:r>
        <w:t>abstract_source=nature_html</w:t>
      </w:r>
    </w:p>
    <w:p>
      <w:pPr>
        <w:spacing w:before="0" w:after="80" w:lineRule="auto" w:line="276"/>
      </w:pPr>
      <w:r>
        <w:rPr>
          <w:b/>
        </w:rPr>
        <w:t xml:space="preserve">摘要（ZH）: </w:t>
      </w:r>
      <w:r>
        <w:t>骨形态发生蛋白（BMP）通路是双侧对称动物中背腹轴模式的祖先信号系统。然而，在包括软体动物和环节动物在内的大型双侧动物类群Spiralia中，BMP的轴向功能在不同物种中有所不同，模糊了该通路的祖先发育角色。在此，我们研究了四种环节动物，证明BMP在祖先上位于ERK1/2下游，并在环节动物中促进背腹发育。重要的是，这一信号层级在那些次生转变为母体控制的不等裂变的环节动物中丢失，其中一些使用Activin/Nodal，另一些依赖BMP仅在头部建立背腹极性。出乎意料的是，这种分歧意味着下游靶标的广泛重组。</w:t>
      </w:r>
    </w:p>
    <w:p>
      <w:pPr>
        <w:spacing w:before="0" w:after="200" w:lineRule="auto" w:line="276"/>
      </w:pPr>
      <w:r>
        <w:rPr>
          <w:b/>
        </w:rPr>
        <w:t xml:space="preserve">Abstract (EN): </w:t>
      </w:r>
      <w:r>
        <w:t>The Bone Morphogenetic Protein (BMP) pathway is the ancestral signalling system patterning the dorsoventral axis in bilaterally symmetrical animals. However, in Spiralia, a large bilaterian clade including molluscs and annelids, BMP’s axial function varies across species, obscuring the ancestral developmental role of this pathway. Here, we study four annelid species to demonstrate that BMP is ancestrally downstream of ERK1/2 and promotes dorsoventral development in Annelida. Importantly, this signalling hierarchy is lost in annelids that secondarily transitioned to a maternally controlled, unequal cleavage, with some using Activin/Nodal and others relying on BMP to establish dorsoventral polarity only in the head. Unexpectedly, this divergence implies extensive rewiring of downstream targets involved in dorsoventral patterning. Together, our data clarify BMP’s ancestral axial role in Spiralia, uncovering a potential causal link between parallel shifts toward unequal spiral cleavage and the emergence of developmental system drift, a pervasive yet poorly understood phenomenon in animal embryogenesis.</w:t>
      </w:r>
    </w:p>
    <w:p>
      <w:pPr>
        <w:spacing w:before="120" w:after="120"/>
      </w:pPr>
      <w:r>
        <w:rPr>
          <w:sz w:val="18"/>
        </w:rPr>
        <w:t>——————————————————————————————————————————————————————————————————————</w:t>
      </w:r>
    </w:p>
    <w:p>
      <w:pPr>
        <w:spacing w:before="160" w:after="40" w:line="240" w:lineRule="auto"/>
      </w:pPr>
      <w:r>
        <w:rPr>
          <w:b/>
        </w:rPr>
        <w:t xml:space="preserve">[10] </w:t>
      </w:r>
      <w:hyperlink r:id="rId236">
        <w:r>
          <w:rPr>
            <w:color w:val="1155CC"/>
            <w:u w:val="single"/>
          </w:rPr>
          <w:t>未来气候情景下中国风能干旱的加剧及空间共现的增强</w:t>
        </w:r>
      </w:hyperlink>
    </w:p>
    <w:p>
      <w:pPr>
        <w:spacing w:before="0" w:after="80"/>
      </w:pPr>
      <w:r>
        <w:rPr>
          <w:i/>
          <w:sz w:val="20"/>
        </w:rPr>
        <w:t>EN: Intensification of wind energy droughts and enhanced spatial co-occurrence across China under future climate scenarios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37">
        <w:r>
          <w:rPr>
            <w:color w:val="1155CC"/>
            <w:u w:val="single"/>
          </w:rPr>
          <w:t>利用弛豫时间分布探索锂离子电池的非稳态阻抗行为</w:t>
        </w:r>
      </w:hyperlink>
    </w:p>
    <w:p>
      <w:pPr>
        <w:spacing w:before="0" w:after="80"/>
      </w:pPr>
      <w:r>
        <w:rPr>
          <w:i/>
          <w:sz w:val="20"/>
        </w:rPr>
        <w:t>EN: Exploration of non-steady-state impedance behavior for lithium-ion batteries using distribution of relaxation time</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38">
        <w:r>
          <w:rPr>
            <w:color w:val="1155CC"/>
            <w:u w:val="single"/>
          </w:rPr>
          <w:t>一种高效的时空图潜扩散模型用于区域超短期风速概率预测</w:t>
        </w:r>
      </w:hyperlink>
    </w:p>
    <w:p>
      <w:pPr>
        <w:spacing w:before="0" w:after="80"/>
      </w:pPr>
      <w:r>
        <w:rPr>
          <w:i/>
          <w:sz w:val="20"/>
        </w:rPr>
        <w:t>EN: An efficient spatial-temporal graph latent diffusion model for regional ultra-short-term wind speed probabilistic forecasting</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39">
        <w:r>
          <w:rPr>
            <w:color w:val="1155CC"/>
            <w:u w:val="single"/>
          </w:rPr>
          <w:t>基于概率电化学阻抗谱的固体氧化物电解池系统故障诊断在可变操作条件下</w:t>
        </w:r>
      </w:hyperlink>
    </w:p>
    <w:p>
      <w:pPr>
        <w:spacing w:before="0" w:after="80"/>
      </w:pPr>
      <w:r>
        <w:rPr>
          <w:i/>
          <w:sz w:val="20"/>
        </w:rPr>
        <w:t>EN: Probabilistic electrochemical impedance spectroscopy-based fault diagnosis of solid oxide electrolysis cell systems under variable operating conditions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40">
        <w:r>
          <w:rPr>
            <w:color w:val="1155CC"/>
            <w:u w:val="single"/>
          </w:rPr>
          <w:t>能源社区融资：意大利的参与者、工具、建设者和ESG生态系统期望</w:t>
        </w:r>
      </w:hyperlink>
    </w:p>
    <w:p>
      <w:pPr>
        <w:spacing w:before="0" w:after="80"/>
      </w:pPr>
      <w:r>
        <w:rPr>
          <w:i/>
          <w:sz w:val="20"/>
        </w:rPr>
        <w:t>EN: Financing energy communities: Actors, instruments, builders, and ESG ecosystem expectations in Italy</w:t>
      </w:r>
    </w:p>
    <w:p>
      <w:pPr>
        <w:spacing w:before="0" w:after="120"/>
      </w:pPr>
      <w:r>
        <w:rPr>
          <w:b/>
        </w:rPr>
        <w:t xml:space="preserve">Source: </w:t>
      </w:r>
      <w:r>
        <w:t>ScienceDirect Publication: Energy Policy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41">
        <w:r>
          <w:rPr>
            <w:color w:val="1155CC"/>
            <w:u w:val="single"/>
          </w:rPr>
          <w:t>全球海上风能、波浪能和太阳能混合技术经济评估</w:t>
        </w:r>
      </w:hyperlink>
    </w:p>
    <w:p>
      <w:pPr>
        <w:spacing w:before="0" w:after="80"/>
      </w:pPr>
      <w:r>
        <w:rPr>
          <w:i/>
          <w:sz w:val="20"/>
        </w:rPr>
        <w:t>EN: Global techno-economic assessment of hybrid offshore wind, wave, and solar power</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2">
        <w:r>
          <w:rPr>
            <w:color w:val="1155CC"/>
            <w:u w:val="single"/>
          </w:rPr>
          <w:t>考虑网络的分布式能源资源个性化优化：多周期离线和在线实施</w:t>
        </w:r>
      </w:hyperlink>
    </w:p>
    <w:p>
      <w:pPr>
        <w:spacing w:before="0" w:after="80"/>
      </w:pPr>
      <w:r>
        <w:rPr>
          <w:i/>
          <w:sz w:val="20"/>
        </w:rPr>
        <w:t>EN: Network-cognizant personalized optimization of distributed energy resources: Multi-period offline and online implementations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43">
        <w:r>
          <w:rPr>
            <w:color w:val="1155CC"/>
            <w:u w:val="single"/>
          </w:rPr>
          <w:t>将投标数据整合到电价预测中：一种可解释的图表示建模方法</w:t>
        </w:r>
      </w:hyperlink>
    </w:p>
    <w:p>
      <w:pPr>
        <w:spacing w:before="0" w:after="80"/>
      </w:pPr>
      <w:r>
        <w:rPr>
          <w:i/>
          <w:sz w:val="20"/>
        </w:rPr>
        <w:t>EN: Integrating bidding data into electricity price forecasting: An interpretable graph representation modeling approach</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44">
        <w:r>
          <w:rPr>
            <w:color w:val="1155CC"/>
            <w:u w:val="single"/>
          </w:rPr>
          <w:t>船舶性能建模的最新机器学习应用：从设计、操作到维护和改造的全面综述</w:t>
        </w:r>
      </w:hyperlink>
    </w:p>
    <w:p>
      <w:pPr>
        <w:spacing w:before="0" w:after="80"/>
      </w:pPr>
      <w:r>
        <w:rPr>
          <w:i/>
          <w:sz w:val="20"/>
        </w:rPr>
        <w:t>EN: State-of-the-art machine learning applications for ship performance modeling: a comprehensive review from design and operation to maintenance and retrofit</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45">
        <w:r>
          <w:rPr>
            <w:color w:val="1155CC"/>
            <w:u w:val="single"/>
          </w:rPr>
          <w:t>EnergyCEA：一种多区域动态仿真框架，用于量化植物工厂中的能源决定因素和气候敏感性</w:t>
        </w:r>
      </w:hyperlink>
    </w:p>
    <w:p>
      <w:pPr>
        <w:spacing w:before="0" w:after="80"/>
      </w:pPr>
      <w:r>
        <w:rPr>
          <w:i/>
          <w:sz w:val="20"/>
        </w:rPr>
        <w:t>EN: EnergyCEA: A multi-zone dynamic simulation framework to quantify energy determinants and climate sensitivity in plant factories</w:t>
      </w:r>
    </w:p>
    <w:p>
      <w:pPr>
        <w:spacing w:before="0" w:after="120"/>
      </w:pPr>
      <w:r>
        <w:rPr>
          <w:b/>
        </w:rPr>
        <w:t xml:space="preserve">Source: </w:t>
      </w:r>
      <w:r>
        <w:t>ScienceDirect Publication: Applied Energy</w:t>
      </w:r>
      <w:r>
        <w:t xml:space="preserve">    </w:t>
      </w:r>
      <w:r>
        <w:rPr>
          <w:b/>
        </w:rPr>
        <w:t xml:space="preserve">Pub date: </w:t>
      </w:r>
      <w:r>
        <w:t>2026-04-18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46">
        <w:r>
          <w:rPr>
            <w:color w:val="1155CC"/>
            <w:u w:val="single"/>
          </w:rPr>
          <w:t>用于RNA催化的RNA甲基化和标记的核酶</w:t>
        </w:r>
      </w:hyperlink>
    </w:p>
    <w:p>
      <w:pPr>
        <w:spacing w:before="0" w:after="80"/>
      </w:pPr>
      <w:r>
        <w:rPr>
          <w:i/>
          <w:sz w:val="20"/>
        </w:rPr>
        <w:t>EN: Ribozymes for RNA‐Catalyzed RNA Methylation and Labeling</w:t>
      </w:r>
    </w:p>
    <w:p>
      <w:pPr>
        <w:spacing w:before="0" w:after="120"/>
      </w:pPr>
      <w:r>
        <w:rPr>
          <w:b/>
        </w:rPr>
        <w:t xml:space="preserve">Source: </w:t>
      </w:r>
      <w:r>
        <w:t>Wiley: Angewandte Chemie International Edition: Table of Contents</w:t>
      </w:r>
      <w:r>
        <w:t xml:space="preserve">    </w:t>
      </w:r>
      <w:r>
        <w:rPr>
          <w:b/>
        </w:rPr>
        <w:t xml:space="preserve">Pub date: </w:t>
      </w:r>
      <w:r>
        <w:t>2026-04-18 04:00:51+00:00</w:t>
      </w:r>
      <w:r>
        <w:t xml:space="preserve">    </w:t>
      </w:r>
      <w:r>
        <w:rPr>
          <w:b/>
        </w:rPr>
        <w:t xml:space="preserve">DOI: </w:t>
      </w:r>
      <w:hyperlink r:id="rId247">
        <w:r>
          <w:rPr>
            <w:color w:val="1155CC"/>
            <w:u w:val="single"/>
          </w:rPr>
          <w:t>10.1002/anie.202522926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RNA是生命的基石，执行多种基本功能。RNA功能多样性的关键决定因素在于天然核苷修饰，这极大地扩展了化学多样性，并对调节RNA结构在细胞过程中的稳定性、折叠和功能至关重要。人工引入的RNA修饰，如反应手柄、亲和标签或荧光报告分子，是实现RNA分离、成像和追踪的关键，以揭示RNA在任何生物体中的重要调节作用。共价RNA标记方法特别适用于下游应用。RNA催化剂，即所谓的核酶，作为用于位点定向安装各种功能的工具，越来越受到关注。</w:t>
      </w:r>
    </w:p>
    <w:p>
      <w:pPr>
        <w:spacing w:before="0" w:after="200" w:lineRule="auto" w:line="276"/>
      </w:pPr>
      <w:r>
        <w:rPr>
          <w:b/>
        </w:rPr>
        <w:t xml:space="preserve">Abstract (EN): </w:t>
      </w:r>
      <w:r>
        <w:t>RNA is a cornerstone of life, executing diverse essential functions. A key determinant of RNA's functional versatility lies in natural nucleoside modifications, which greatly expand the chemical diversity and are vital for regulating the stability, folding, and function of RNA structures involved in cellular processes. Artificially introduced RNA modifications such as reactive handles, affinity tags or fluorescent reporters, are key to enable RNA isolation, imaging and tracking, in order to unravel the important regulatory roles of RNAs in any organism. Covalent RNA labeling methods are particularly desirable for downstream applications. RNA catalysts, so‐called ribozymes, have gained increasing attention as tools for the site‐directed installation of various functionalities, such as clickable tags, fluorophores, or methyl groups. Thereby, ribozymes can create both, artificially as well as naturally modified RNAs of interest. This review provides a collection of currently available ribozymes for the covalent modification of RNA that were obtained by in vitro selection using suitable cofactors. We discuss self‐modifying catalysts for RNA tagging and fluorescent labeling, as well as ribozymes for RNA‐modification in an intermolecular setup. Finally, we introduce the growing collection of methyltransferase ribozymes for site‐specific installation of natural methylated nucleosides and provide an outlook on open questions and future developments of the research field.</w:t>
      </w:r>
    </w:p>
    <w:p>
      <w:pPr>
        <w:spacing w:before="120" w:after="120"/>
      </w:pPr>
      <w:r>
        <w:rPr>
          <w:sz w:val="18"/>
        </w:rPr>
        <w:t>——————————————————————————————————————————————————————————————————————</w:t>
      </w:r>
    </w:p>
    <w:p>
      <w:pPr>
        <w:spacing w:before="160" w:after="40" w:line="240" w:lineRule="auto"/>
      </w:pPr>
      <w:r>
        <w:rPr>
          <w:b/>
        </w:rPr>
        <w:t xml:space="preserve">[21] </w:t>
      </w:r>
      <w:hyperlink r:id="rId248">
        <w:r>
          <w:rPr>
            <w:color w:val="1155CC"/>
            <w:u w:val="single"/>
          </w:rPr>
          <w:t>CsPbCl3钙钛矿纳米晶的延迟卤化物富集分子钝化实现明亮的紫色发光二极管</w:t>
        </w:r>
      </w:hyperlink>
    </w:p>
    <w:p>
      <w:pPr>
        <w:spacing w:before="0" w:after="80"/>
      </w:pPr>
      <w:r>
        <w:rPr>
          <w:i/>
          <w:sz w:val="20"/>
        </w:rPr>
        <w:t>EN: Delayed Halide‐Rich Molecular Passivation of CsPbCl3 Perovskite Nanocrystals Enables Bright Violet Light‐Emitting Diodes</w:t>
      </w:r>
    </w:p>
    <w:p>
      <w:pPr>
        <w:spacing w:before="0" w:after="120"/>
      </w:pPr>
      <w:r>
        <w:rPr>
          <w:b/>
        </w:rPr>
        <w:t xml:space="preserve">Source: </w:t>
      </w:r>
      <w:r>
        <w:t>Wiley: Angewandte Chemie International Edition: Table of Contents</w:t>
      </w:r>
      <w:r>
        <w:t xml:space="preserve">    </w:t>
      </w:r>
      <w:r>
        <w:rPr>
          <w:b/>
        </w:rPr>
        <w:t xml:space="preserve">Pub date: </w:t>
      </w:r>
      <w:r>
        <w:t>2026-04-18 04:02:16+00:00</w:t>
      </w:r>
      <w:r>
        <w:t xml:space="preserve">    </w:t>
      </w:r>
      <w:r>
        <w:rPr>
          <w:b/>
        </w:rPr>
        <w:t xml:space="preserve">DOI: </w:t>
      </w:r>
      <w:hyperlink r:id="rId249">
        <w:r>
          <w:rPr>
            <w:color w:val="1155CC"/>
            <w:u w:val="single"/>
          </w:rPr>
          <w:t>10.1002/anie.202526012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CsPbCl3钙钛矿纳米晶体（NCs）因其窄发射和高色纯度而成为有前途的紫色发射体，但其低缺陷耐受性需要仔细钝化以实现高光致发光量子产率（PLQY），通常仅适用于新鲜的CsPbCl3 NCs。在此，我们报告了一种由卤化物丰富的分子试剂磷酰氯（POCl3）诱导的CsPbCl3 NCs的延迟双钝化途径，该途径意外地产生了强烈的时间依赖性PLQY增强，而不是通常观察到的快速降解。</w:t>
      </w:r>
    </w:p>
    <w:p>
      <w:pPr>
        <w:spacing w:before="0" w:after="200" w:lineRule="auto" w:line="276"/>
      </w:pPr>
      <w:r>
        <w:rPr>
          <w:b/>
        </w:rPr>
        <w:t xml:space="preserve">Abstract (EN): </w:t>
      </w:r>
      <w:r>
        <w:t>CsPbCl</w:t>
      </w:r>
      <w:r>
        <w:rPr>
          <w:vertAlign w:val="subscript"/>
        </w:rPr>
        <w:t>3</w:t>
      </w:r>
      <w:r>
        <w:t>perovskite nanocrystals (NCs) are promising violet emitters owing to their narrow emission and high color purity, but their low defect tolerance demands careful passivation to achieve high photoluminescence quantum yield (PLQY), and typically only for fresh CsPbCl</w:t>
      </w:r>
      <w:r>
        <w:rPr>
          <w:vertAlign w:val="subscript"/>
        </w:rPr>
        <w:t>3</w:t>
      </w:r>
      <w:r>
        <w:t>NCs. Here, we report a delayed dual‐passivation pathway in CsPbCl</w:t>
      </w:r>
      <w:r>
        <w:rPr>
          <w:vertAlign w:val="subscript"/>
        </w:rPr>
        <w:t>3</w:t>
      </w:r>
      <w:r>
        <w:t>NCs induced by the halide‐rich molecular reagent phosphorus oxychloride (POCl</w:t>
      </w:r>
      <w:r>
        <w:rPr>
          <w:vertAlign w:val="subscript"/>
        </w:rPr>
        <w:t>3</w:t>
      </w:r>
      <w:r>
        <w:t>), which unexpectedly yields a strong time‐dependent PLQY enhancement instead of the rapid degradation usually observed. POCl</w:t>
      </w:r>
      <w:r>
        <w:rPr>
          <w:vertAlign w:val="subscript"/>
        </w:rPr>
        <w:t>3</w:t>
      </w:r>
      <w:r>
        <w:t>gradually decomposes into P‐ and Cl‐containing species, enabling a controlled release of excess halides that autonomously passivates halide vacancies in a self‐regulated manner. This dynamic self‐healing process boosts the PLQY of colloidal CsPbCl</w:t>
      </w:r>
      <w:r>
        <w:rPr>
          <w:vertAlign w:val="subscript"/>
        </w:rPr>
        <w:t>3</w:t>
      </w:r>
      <w:r>
        <w:t>NCs by over 40‐fold relative to pristine samples and sustains high violet emission efficiencies for more than 2 months of storage under ambient conditions. Spectroscopic measurements and calculations indicate that both liberated Cl</w:t>
      </w:r>
      <w:r>
        <w:t xml:space="preserve"> </w:t>
      </w:r>
      <w:r>
        <w:t>−</w:t>
      </w:r>
      <w:r>
        <w:t>and in situ—formed phosphonic species passivate halide vacancies and Pb</w:t>
      </w:r>
      <w:r>
        <w:rPr>
          <w:vertAlign w:val="subscript"/>
        </w:rPr>
        <w:t>2</w:t>
      </w:r>
      <w:r>
        <w:t>+</w:t>
      </w:r>
      <w:r>
        <w:t xml:space="preserve"> </w:t>
      </w:r>
      <w:r>
        <w:t>dangling bonds, suppressing mid‐gap defect states. The resulting self‐passivated NCs deliver a luminance of 409 cd m</w:t>
      </w:r>
      <w:r>
        <w:t xml:space="preserve"> </w:t>
      </w:r>
      <w:r>
        <w:t>−</w:t>
      </w:r>
      <w:r>
        <w:rPr>
          <w:vertAlign w:val="subscript"/>
        </w:rPr>
        <w:t>2</w:t>
      </w:r>
      <w:r>
        <w:t>, the highest reported for CsPbCl</w:t>
      </w:r>
      <w:r>
        <w:rPr>
          <w:vertAlign w:val="subscript"/>
        </w:rPr>
        <w:t>3</w:t>
      </w:r>
      <w:r>
        <w:t>‐based violet emitters. These results establish halide‐rich dual passivators such as POCl</w:t>
      </w:r>
      <w:r>
        <w:rPr>
          <w:vertAlign w:val="subscript"/>
        </w:rPr>
        <w:t>3</w:t>
      </w:r>
      <w:r>
        <w:t>as powerful tools for long‐term defect control in chloride perovskite NCs and for robust, bright violet‐LEDs.</w:t>
      </w:r>
    </w:p>
    <w:p>
      <w:pPr>
        <w:spacing w:before="120" w:after="120"/>
      </w:pPr>
      <w:r>
        <w:rPr>
          <w:sz w:val="18"/>
        </w:rPr>
        <w:t>——————————————————————————————————————————————————————————————————————</w:t>
      </w:r>
    </w:p>
    <w:p>
      <w:pPr>
        <w:spacing w:before="160" w:after="40" w:line="240" w:lineRule="auto"/>
      </w:pPr>
      <w:r>
        <w:rPr>
          <w:b/>
        </w:rPr>
        <w:t xml:space="preserve">[22] </w:t>
      </w:r>
      <w:hyperlink r:id="rId250">
        <w:r>
          <w:rPr>
            <w:color w:val="1155CC"/>
            <w:u w:val="single"/>
          </w:rPr>
          <w:t>通过非晶和不对称空穴选择性接触稳定高效钙钛矿/硅串联太阳能电池</w:t>
        </w:r>
      </w:hyperlink>
    </w:p>
    <w:p>
      <w:pPr>
        <w:spacing w:before="0" w:after="80"/>
      </w:pPr>
      <w:r>
        <w:rPr>
          <w:i/>
          <w:sz w:val="20"/>
        </w:rPr>
        <w:t>EN: Stabilizing Efficient Perovskite/Silicon Tandem Solar Cells With Amorphous and Asymmetric Hole‐Selective Contacts</w:t>
      </w:r>
    </w:p>
    <w:p>
      <w:pPr>
        <w:spacing w:before="0" w:after="120"/>
      </w:pPr>
      <w:r>
        <w:rPr>
          <w:b/>
        </w:rPr>
        <w:t xml:space="preserve">Source: </w:t>
      </w:r>
      <w:r>
        <w:t>Wiley: Advanced Materials: Table of Contents</w:t>
      </w:r>
      <w:r>
        <w:t xml:space="preserve">    </w:t>
      </w:r>
      <w:r>
        <w:rPr>
          <w:b/>
        </w:rPr>
        <w:t xml:space="preserve">Pub date: </w:t>
      </w:r>
      <w:r>
        <w:t>2026-04-18 04:07:13+00:00</w:t>
      </w:r>
      <w:r>
        <w:t xml:space="preserve">    </w:t>
      </w:r>
      <w:r>
        <w:rPr>
          <w:b/>
        </w:rPr>
        <w:t xml:space="preserve">DOI: </w:t>
      </w:r>
      <w:hyperlink r:id="rId251">
        <w:r>
          <w:rPr>
            <w:color w:val="1155CC"/>
            <w:u w:val="single"/>
          </w:rPr>
          <w:t>10.1002/adma.73106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硅串联太阳能电池（TSCs）在下一代光伏技术中具有巨大潜力，但自组装空穴选择性接触的不均匀覆盖和热不稳定性阻碍了其商业化。在此，我们引入了ZF6，这是一种具有不对称π扩展结构的无定形分子接触，具有二甲基茚并咔唑核心和咔唑取代。ZF6在透明导电基板上表现出快速且稳健的吸附，实现了均匀覆盖和卓越的热稳定性。其最佳能级对齐和增强的载流子提取效率与各种带隙钙钛矿兼容。基于ZF6的双结钙钛矿/硅TSCs实现了34.02%的反向扫描功率转换效率（PCE）（认证）</w:t>
      </w:r>
    </w:p>
    <w:p>
      <w:pPr>
        <w:spacing w:before="0" w:after="200" w:lineRule="auto" w:line="276"/>
      </w:pPr>
      <w:r>
        <w:rPr>
          <w:b/>
        </w:rPr>
        <w:t xml:space="preserve">Abstract (EN): </w:t>
      </w:r>
      <w:r>
        <w:t>Perovskite/silicon tandem solar cells (TSCs) hold great promise for next‐generation photovoltaics, yet uneven coverage and thermal instability of self‐assembled hole‐selective contacts hinder their commercialization. Here, we introduce ZF6, an amorphous molecular contact with an asymmetric π‐extended structure, featuring a dimethylindenocarbazole core and carbazole substitution. ZF6 exhibits rapid and robust adsorption on transparent conductive substrates, achieving uniform coverage and exceptional thermal stability. Its optimal energy level alignment and enhanced carrier extraction efficiency are compatible with various bandgap perovskites. ZF6‐based double‐junction perovskite/silicon TSCs achieve a reverse‐scan power conversion efficiency (PCE) of 34.02% (certified 32.81% at NREL) with improved operational stability, retaining over 97% and 87% of initial efficiency after 1000 h of maximum power point tracking at 45°C and 85°C, respectively. We also fabricate triple‐junction perovskite/perovskite/silicon TSCs, achieving a certified steady‐state PCE of 30.42%, which represents the highest‐performing triple‐junction perovskite‐based TSCs reported to date. This work establishes a novel design strategy for robust molecular contacts, advancing efficient and durable perovskite‐based tandem photovoltaics.</w:t>
      </w:r>
    </w:p>
    <w:p>
      <w:pPr>
        <w:spacing w:before="120" w:after="120"/>
      </w:pPr>
      <w:r>
        <w:rPr>
          <w:sz w:val="18"/>
        </w:rPr>
        <w:t>——————————————————————————————————————————————————————————————————————</w:t>
      </w:r>
    </w:p>
    <w:p>
      <w:pPr>
        <w:spacing w:before="160" w:after="40" w:line="240" w:lineRule="auto"/>
      </w:pPr>
      <w:r>
        <w:rPr>
          <w:b/>
        </w:rPr>
        <w:t xml:space="preserve">[23] </w:t>
      </w:r>
      <w:hyperlink r:id="rId252">
        <w:r>
          <w:rPr>
            <w:color w:val="1155CC"/>
            <w:u w:val="single"/>
          </w:rPr>
          <w:t>光诱导手性醛/钯催化实现的烯烃与NH2未保护氨基酸衍生物的不对称烯丙基C─H烷基化</w:t>
        </w:r>
      </w:hyperlink>
    </w:p>
    <w:p>
      <w:pPr>
        <w:spacing w:before="0" w:after="80"/>
      </w:pPr>
      <w:r>
        <w:rPr>
          <w:i/>
          <w:sz w:val="20"/>
        </w:rPr>
        <w:t>EN: Light‐Induced Chiral Aldehyde/Palladium Catalysis‐Enabled Asymmetric Allylic C─H Alkylation of Alkenes With NH2‐Unprotected Amino Acid Derivatives</w:t>
      </w:r>
    </w:p>
    <w:p>
      <w:pPr>
        <w:spacing w:before="0" w:after="120"/>
      </w:pPr>
      <w:r>
        <w:rPr>
          <w:b/>
        </w:rPr>
        <w:t xml:space="preserve">Source: </w:t>
      </w:r>
      <w:r>
        <w:t>Wiley: Angewandte Chemie International Edition: Table of Contents</w:t>
      </w:r>
      <w:r>
        <w:t xml:space="preserve">    </w:t>
      </w:r>
      <w:r>
        <w:rPr>
          <w:b/>
        </w:rPr>
        <w:t xml:space="preserve">Pub date: </w:t>
      </w:r>
      <w:r>
        <w:t>2026-04-18 04:10:46+00:00</w:t>
      </w:r>
      <w:r>
        <w:t xml:space="preserve">    </w:t>
      </w:r>
      <w:r>
        <w:rPr>
          <w:b/>
        </w:rPr>
        <w:t xml:space="preserve">DOI: </w:t>
      </w:r>
      <w:hyperlink r:id="rId253">
        <w:r>
          <w:rPr>
            <w:color w:val="1155CC"/>
            <w:u w:val="single"/>
          </w:rPr>
          <w:t>10.1002/anie.1471995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与易得的氨基酸衍生物的α碳进行催化不对称烯丙基C–H烷基化代表了一种构建手性非蛋白质α,α-二取代氨基酸的理想策略。然而，这种合成方法学仍未被探索。在此，我们报告了一种光诱导的、手性醛/钯催化使能的直接烯丙基C–H烷基化，使用NH</w:t>
      </w:r>
      <w:r>
        <w:rPr>
          <w:vertAlign w:val="subscript"/>
        </w:rPr>
        <w:t>2</w:t>
      </w:r>
      <w:r>
        <w:t>未保护的氨基酸酯对烯丙基芳烃和1,4-炔烃进行反应。结果表明，竞争的烯丙基C–H胺化被完全抑制，所需的烷基化产物——具有烯丙基或共轭炔烃基团——以32%–93%的产率和80%–98%的对映选择性（ee）获得。机制研究</w:t>
      </w:r>
    </w:p>
    <w:p>
      <w:pPr>
        <w:spacing w:before="0" w:after="200" w:lineRule="auto" w:line="276"/>
      </w:pPr>
      <w:r>
        <w:rPr>
          <w:b/>
        </w:rPr>
        <w:t xml:space="preserve">Abstract (EN): </w:t>
      </w:r>
      <w:r>
        <w:t>The catalytic asymmetric allylic C–H alkylation of alkenes with the α‐carbon of readily available amino acid derivatives represents an ideal strategy for constructing chiral nonproteinogenic α,α‐disubstituted amino acids. However, such synthetic methodologies remain unexplored. Herein, we report a light‐induced, chiral aldehyde/palladium catalysis‐enabled direct allylic C–H alkylation of allyl arenes and 1,4‐enynes using NH</w:t>
      </w:r>
      <w:r>
        <w:rPr>
          <w:vertAlign w:val="subscript"/>
        </w:rPr>
        <w:t>2</w:t>
      </w:r>
      <w:r>
        <w:t>‐unprotected amino acid esters. The results demonstrate that competing allylic C–H amination is completely suppressed, and the desired alkylation products—bearing either allyl or conjugated enyne moieties—are obtained in 32%–93% yields with 80%–98% ee values. Mechanistic studies reveal that enantiocontrol is achieved through the cooperative action of the chiral aldehyde and the chiral ligand, and the latter primarily dictates the absolute configuration of the product by forming noncovalent C–H···π and C–H···O interactions with the chiral aldehyde‐involved Zn complex.</w:t>
      </w:r>
    </w:p>
    <w:p>
      <w:pPr>
        <w:spacing w:before="120" w:after="120"/>
      </w:pPr>
      <w:r>
        <w:rPr>
          <w:sz w:val="18"/>
        </w:rPr>
        <w:t>——————————————————————————————————————————————————————————————————————</w:t>
      </w:r>
    </w:p>
    <w:p>
      <w:pPr>
        <w:spacing w:before="160" w:after="40" w:line="240" w:lineRule="auto"/>
      </w:pPr>
      <w:r>
        <w:rPr>
          <w:b/>
        </w:rPr>
        <w:t xml:space="preserve">[24] </w:t>
      </w:r>
      <w:hyperlink r:id="rId254">
        <w:r>
          <w:rPr>
            <w:color w:val="1155CC"/>
            <w:u w:val="single"/>
          </w:rPr>
          <w:t>无线电芬顿克服肿瘤电场治疗的抗性</w:t>
        </w:r>
      </w:hyperlink>
    </w:p>
    <w:p>
      <w:pPr>
        <w:spacing w:before="0" w:after="80"/>
      </w:pPr>
      <w:r>
        <w:rPr>
          <w:i/>
          <w:sz w:val="20"/>
        </w:rPr>
        <w:t>EN: Wireless Electro‐Fenton Overcomes Tumor Electric Field Treatment Resistance</w:t>
      </w:r>
    </w:p>
    <w:p>
      <w:pPr>
        <w:spacing w:before="0" w:after="120"/>
      </w:pPr>
      <w:r>
        <w:rPr>
          <w:b/>
        </w:rPr>
        <w:t xml:space="preserve">Source: </w:t>
      </w:r>
      <w:r>
        <w:t>Wiley: Advanced Materials: Table of Contents</w:t>
      </w:r>
      <w:r>
        <w:t xml:space="preserve">    </w:t>
      </w:r>
      <w:r>
        <w:rPr>
          <w:b/>
        </w:rPr>
        <w:t xml:space="preserve">Pub date: </w:t>
      </w:r>
      <w:r>
        <w:t>2026-04-18 10:44:51+00:00</w:t>
      </w:r>
      <w:r>
        <w:t xml:space="preserve">    </w:t>
      </w:r>
      <w:r>
        <w:rPr>
          <w:b/>
        </w:rPr>
        <w:t xml:space="preserve">DOI: </w:t>
      </w:r>
      <w:hyperlink r:id="rId255">
        <w:r>
          <w:rPr>
            <w:color w:val="1155CC"/>
            <w:u w:val="single"/>
          </w:rPr>
          <w:t>10.1002/adma.73126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残留的胶质母细胞瘤细胞在肿瘤电场治疗（TEFT）后常常获得治疗抵抗性，导致致命的复发。通过整合患者来源的类器官与抗性模型的测序，我们识别出一种以GPX4上调和ACSL4抑制为特征的代谢重编程，作为逃避铁死亡表型的驱动因素。独特的是，我们利用驱动抗性的电场本身作为无线能量源，推动基于材料的化学攻击以对抗这种抗氧化防御。为了突破这一障碍，我们开发了Ba</w:t>
      </w:r>
      <w:r>
        <w:rPr>
          <w:vertAlign w:val="subscript"/>
        </w:rPr>
        <w:t>2</w:t>
      </w:r>
      <w:r>
        <w:t>FeNbO</w:t>
      </w:r>
      <w:r>
        <w:rPr>
          <w:vertAlign w:val="subscript"/>
        </w:rPr>
        <w:t>6</w:t>
      </w:r>
      <w:r>
        <w:t>（BFNO），一种缺陷丰富的双钙钛矿，作为无线电芬顿催</w:t>
      </w:r>
    </w:p>
    <w:p>
      <w:pPr>
        <w:spacing w:before="0" w:after="200" w:lineRule="auto" w:line="276"/>
      </w:pPr>
      <w:r>
        <w:rPr>
          <w:b/>
        </w:rPr>
        <w:t xml:space="preserve">Abstract (EN): </w:t>
      </w:r>
      <w:r>
        <w:t>Residual glioblastoma cells surviving Tumor Electric Field Treatment (TEFT) frequently acquire therapeutic resistance, driving fatal recurrence. Integrating sequencing of patient‐derived organoids with resistant models, we identified a metabolic rewiring characterized by GPX4 upregulation and concomitant ACSL4 suppression as the driver of a ferroptosis‐evading phenotype. Uniquely, we harness the resistance‐driving electric field itself as a wireless energy source to fuel a material‐based chemical attack against this antioxidant defense. To breach this barrier, we developed Ba</w:t>
      </w:r>
      <w:r>
        <w:rPr>
          <w:vertAlign w:val="subscript"/>
        </w:rPr>
        <w:t>2</w:t>
      </w:r>
      <w:r>
        <w:t>FeNbO</w:t>
      </w:r>
      <w:r>
        <w:rPr>
          <w:vertAlign w:val="subscript"/>
        </w:rPr>
        <w:t>6</w:t>
      </w:r>
      <w:r>
        <w:t>(BFNO), a defect‐rich double‐perovskite acting as a wireless electro‐Fenton catalyst. Under TEFT, BFNO harvests electric energy to accelerate Fe‐ion redox cycling, precipitating a catastrophic ROS storm that overwhelms antioxidant defenses and triggers hybrid lysosomal ferroptosis and GSDME‐mediated pyroptosis. This process culminates in immunogenic cell death, resensitizing refractory tumors. Furthermore, combining BFNO with PD‐1 blockade effectively reverses adaptive immune resistance and T‐cell exhaustion, reshaping the immunosuppressive microenvironment. Our study establishes a strategy to repurpose the electric field into a lethal biochemical trigger, overcoming resistance and potentiating immunotherapy in glioblastoma.</w:t>
      </w:r>
    </w:p>
    <w:p>
      <w:pPr>
        <w:spacing w:before="120" w:after="120"/>
      </w:pPr>
      <w:r>
        <w:rPr>
          <w:sz w:val="18"/>
        </w:rPr>
        <w:t>——————————————————————————————————————————————————————————————————————</w:t>
      </w:r>
    </w:p>
    <w:p>
      <w:pPr>
        <w:spacing w:before="160" w:after="40" w:line="240" w:lineRule="auto"/>
      </w:pPr>
      <w:r>
        <w:rPr>
          <w:b/>
        </w:rPr>
        <w:t xml:space="preserve">[25] </w:t>
      </w:r>
      <w:hyperlink r:id="rId256">
        <w:r>
          <w:rPr>
            <w:color w:val="1155CC"/>
            <w:u w:val="single"/>
          </w:rPr>
          <w:t>一种具有痛觉感知的自愈合磁电传感器用于水下软电子设备</w:t>
        </w:r>
      </w:hyperlink>
    </w:p>
    <w:p>
      <w:pPr>
        <w:spacing w:before="0" w:after="80"/>
      </w:pPr>
      <w:r>
        <w:rPr>
          <w:i/>
          <w:sz w:val="20"/>
        </w:rPr>
        <w:t>EN: A Self‐Healing Magnetoelectric Sensor with Pain Sensing for Underwater Soft Electronics</w:t>
      </w:r>
    </w:p>
    <w:p>
      <w:pPr>
        <w:spacing w:before="0" w:after="120"/>
      </w:pPr>
      <w:r>
        <w:rPr>
          <w:b/>
        </w:rPr>
        <w:t xml:space="preserve">Source: </w:t>
      </w:r>
      <w:r>
        <w:t>Wiley: Advanced Materials: Table of Contents</w:t>
      </w:r>
      <w:r>
        <w:t xml:space="preserve">    </w:t>
      </w:r>
      <w:r>
        <w:rPr>
          <w:b/>
        </w:rPr>
        <w:t xml:space="preserve">Pub date: </w:t>
      </w:r>
      <w:r>
        <w:t>2026-04-18 10:46:14+00:00</w:t>
      </w:r>
      <w:r>
        <w:t xml:space="preserve">    </w:t>
      </w:r>
      <w:r>
        <w:rPr>
          <w:b/>
        </w:rPr>
        <w:t xml:space="preserve">DOI: </w:t>
      </w:r>
      <w:hyperlink r:id="rId257">
        <w:r>
          <w:rPr>
            <w:color w:val="1155CC"/>
            <w:u w:val="single"/>
          </w:rPr>
          <w:t>10.1002/adma.202523052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复制皮肤感知触觉、感受疼痛和自我愈合的能力是开发下一代耐用软电子设备的关键。这些能力在水下环境中变得更加重要，因为潜水员和水下机器面临诸如灵活性有限、设备损坏和电力供应受限等严峻挑战。在此，我们开发了一种自愈合磁电感应系统（SMES），独特地将自供电触觉和接近感应与损伤检测和自主恢复相结合，以实现两栖操作。SMES具有多层结构，由损伤感应层和底层磁电感应层组成，均使用带有图案化液态金属导体的自愈合弹性体。</w:t>
      </w:r>
    </w:p>
    <w:p>
      <w:pPr>
        <w:spacing w:before="0" w:after="200" w:lineRule="auto" w:line="276"/>
      </w:pPr>
      <w:r>
        <w:rPr>
          <w:b/>
        </w:rPr>
        <w:t xml:space="preserve">Abstract (EN): </w:t>
      </w:r>
      <w:r>
        <w:t>Replicating the skin's ability to sense touch, feel pain, and heal itself is key to developing the next generation of durable soft electronics. These capabilities become more critical in underwater environments, where divers and underwater machines face severe challenges such as limited dexterity, device damage, and restricted power availability. Here, we develop a self‐healing magnetoelectric sensory system (SMES) that uniquely integrates self‐powered tactile and proximity sensing with damage detection and autonomous recovery for amphibious operation. The SMES features a multilayer architecture composed of a damage‐sensing layer and an underlying magnetoelectric sensing layer, both utilizing a self‐healing elastomer with patterned liquid‐metal conductors. The design enables the system to detect and recover from pricking, puncturing, and cutting damage while maintaining stable functionality. The SMES exhibits good sensitivity, rapid response, and robust durability in both air and water. Demonstrations with a smart diving glove and a soft robotic hand highlight its potential for noncontact communication and mechanoreception with damage feedback, paving the way toward next‐generation amphibious soft machines that can feel and heal like living skin.</w:t>
      </w:r>
    </w:p>
    <w:p>
      <w:pPr>
        <w:spacing w:before="120" w:after="120"/>
      </w:pPr>
      <w:r>
        <w:rPr>
          <w:sz w:val="18"/>
        </w:rPr>
        <w:t>——————————————————————————————————————————————————————————————————————</w:t>
      </w:r>
    </w:p>
    <w:p>
      <w:pPr>
        <w:spacing w:before="160" w:after="40" w:line="240" w:lineRule="auto"/>
      </w:pPr>
      <w:r>
        <w:rPr>
          <w:b/>
        </w:rPr>
        <w:t xml:space="preserve">[26] </w:t>
      </w:r>
      <w:hyperlink r:id="rId258">
        <w:r>
          <w:rPr>
            <w:color w:val="1155CC"/>
            <w:u w:val="single"/>
          </w:rPr>
          <w:t>将不可预测的生物分子吸附转变为可控的冠层形成：聚焦碳纳米材料</w:t>
        </w:r>
      </w:hyperlink>
    </w:p>
    <w:p>
      <w:pPr>
        <w:spacing w:before="0" w:after="80"/>
      </w:pPr>
      <w:r>
        <w:rPr>
          <w:i/>
          <w:sz w:val="20"/>
        </w:rPr>
        <w:t>EN: Turning Unpredictable Biomolecule Adsorption to Controlled Corona Formation: Focus on Carbon Nanomaterials</w:t>
      </w:r>
    </w:p>
    <w:p>
      <w:pPr>
        <w:spacing w:before="0" w:after="120"/>
      </w:pPr>
      <w:r>
        <w:rPr>
          <w:b/>
        </w:rPr>
        <w:t xml:space="preserve">Source: </w:t>
      </w:r>
      <w:r>
        <w:t>Wiley: Advanced Materials: Table of Contents</w:t>
      </w:r>
      <w:r>
        <w:t xml:space="preserve">    </w:t>
      </w:r>
      <w:r>
        <w:rPr>
          <w:b/>
        </w:rPr>
        <w:t xml:space="preserve">Pub date: </w:t>
      </w:r>
      <w:r>
        <w:t>2026-04-18 10:47:32+00:00</w:t>
      </w:r>
      <w:r>
        <w:t xml:space="preserve">    </w:t>
      </w:r>
      <w:r>
        <w:rPr>
          <w:b/>
        </w:rPr>
        <w:t xml:space="preserve">DOI: </w:t>
      </w:r>
      <w:hyperlink r:id="rId259">
        <w:r>
          <w:rPr>
            <w:color w:val="1155CC"/>
            <w:u w:val="single"/>
          </w:rPr>
          <w:t>10.1002/adma.202523328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纳米材料（CNMs）具有独特的光学和物理化学性质，包括碳纳米管、石墨烯相关材料、纳米金刚石和碳点，被广泛探索为癌症诊断和治疗的平台。然而，在生物流体中，CNMs会自发吸附生物分子形成不可预测的冠层，阻碍其设计功能的实现。在本综述中，我们总结了CNMs的内在和获得特性如何影响蛋白质冠层的形成，以及随之而来的生物学和毒理学结果，以及重塑吸附蛋白质组成和结构组织的策略。这些全面的知识将为开发具有定制冠层和所需特性的CNMs提供见解。</w:t>
      </w:r>
    </w:p>
    <w:p>
      <w:pPr>
        <w:spacing w:before="0" w:after="200" w:lineRule="auto" w:line="276"/>
      </w:pPr>
      <w:r>
        <w:rPr>
          <w:b/>
        </w:rPr>
        <w:t xml:space="preserve">Abstract (EN): </w:t>
      </w:r>
      <w:r>
        <w:t>With unique optical and physicochemical properties, carbon nanomaterials (CNMs), including carbon nanotubes, graphene‐related materials, nanodiamonds, and carbon dots, are extensively explored as platforms for cancer diagnosis and treatment. However, in biofluids, CNMs spontaneously adsorb biomolecules to form an unpredictable corona, obstructing the implementation of their designed functions. In this review, we summarize how the intrinsic and acquired properties of CNMs affect protein corona formation, and the consequent biological and toxicological outcomes, as well as strategies to reshape the composition and structural organization of adsorbed proteins. This comprehensive knowledge will provide insights into developing CNMs with tailored corona and requested functions in cancer nanomedicine, advancing their translations into clinics.</w:t>
      </w:r>
    </w:p>
    <w:p>
      <w:pPr>
        <w:spacing w:before="120" w:after="120"/>
      </w:pPr>
      <w:r>
        <w:rPr>
          <w:sz w:val="18"/>
        </w:rPr>
        <w:t>——————————————————————————————————————————————————————————————————————</w:t>
      </w:r>
    </w:p>
    <w:p>
      <w:pPr>
        <w:spacing w:before="160" w:after="40" w:line="240" w:lineRule="auto"/>
      </w:pPr>
      <w:r>
        <w:rPr>
          <w:b/>
        </w:rPr>
        <w:t xml:space="preserve">[27] </w:t>
      </w:r>
      <w:hyperlink r:id="rId260">
        <w:r>
          <w:rPr>
            <w:color w:val="1155CC"/>
            <w:u w:val="single"/>
          </w:rPr>
          <w:t>用于磁共振成像中均匀信噪比增强的圆偏振超材料笼</w:t>
        </w:r>
      </w:hyperlink>
    </w:p>
    <w:p>
      <w:pPr>
        <w:spacing w:before="0" w:after="80"/>
      </w:pPr>
      <w:r>
        <w:rPr>
          <w:i/>
          <w:sz w:val="20"/>
        </w:rPr>
        <w:t>EN: Circularly Polarized Metamaterial Cage for Homogeneous Signal‐to‐Noise Ratio Enhancement in Magnetic Resonance Imaging</w:t>
      </w:r>
    </w:p>
    <w:p>
      <w:pPr>
        <w:spacing w:before="0" w:after="120"/>
      </w:pPr>
      <w:r>
        <w:rPr>
          <w:b/>
        </w:rPr>
        <w:t xml:space="preserve">Source: </w:t>
      </w:r>
      <w:r>
        <w:t>Wiley: Advanced Materials: Table of Contents</w:t>
      </w:r>
      <w:r>
        <w:t xml:space="preserve">    </w:t>
      </w:r>
      <w:r>
        <w:rPr>
          <w:b/>
        </w:rPr>
        <w:t xml:space="preserve">Pub date: </w:t>
      </w:r>
      <w:r>
        <w:t>2026-04-18 10:50:39+00:00</w:t>
      </w:r>
      <w:r>
        <w:t xml:space="preserve">    </w:t>
      </w:r>
      <w:r>
        <w:rPr>
          <w:b/>
        </w:rPr>
        <w:t xml:space="preserve">DOI: </w:t>
      </w:r>
      <w:hyperlink r:id="rId261">
        <w:r>
          <w:rPr>
            <w:color w:val="1155CC"/>
            <w:u w:val="single"/>
          </w:rPr>
          <w:t>10.1002/adma.202516569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共振成像（MRI）中的信噪比（SNR）决定了信号检测的质量，并直接影响获取图像的清晰度和可靠性。近年来，超材料的进步提供了具有选择性磁响应的轻量化解决方案，提供了一种在目标解剖区域局部提升SNR的途径，但通常会影响场均匀性。在此，设计了一种由同轴电缆构成的无线超材料笼，用于在3.0 T下实现均匀的SNR增强。凭借其圆柱形几何结构和电磁架构，该设备通过工程化的相移电流支持圆极化共振，实现与旋转场的选择性和全向交互，以实现均匀的</w:t>
      </w:r>
    </w:p>
    <w:p>
      <w:pPr>
        <w:spacing w:before="0" w:after="200" w:lineRule="auto" w:line="276"/>
      </w:pPr>
      <w:r>
        <w:rPr>
          <w:b/>
        </w:rPr>
        <w:t xml:space="preserve">Abstract (EN): </w:t>
      </w:r>
      <w:r>
        <w:t>The signal‐to‐noise ratio (SNR) in magnetic resonance imaging (MRI) governs the quality of signal detection and directly impacts the clarity and reliability of the acquired images. Recent advances in metamaterials have enabled lightweight solutions with selective magnetic responses, offering a route to locally boost SNR in targeted anatomical regions but often with compromised field homogeneity. Here, a wireless metamaterial cage constructed from coaxial cables is engineered for homogeneous SNR enhancement at 3.0 T. With its cylindrical geometry and electromagnetic architecture, the device supports circularly polarized resonance through engineered phase‐shifted currents, enabling selective and omnidirectional interaction with the rotating  field to achieve a uniform magnetic field distribution. Integrated with the Birdcage coil (BC), the device yields a 31.45‐fold SNR enhancement while maintaining comparable homogeneity to the BC alone, exhibiting only 12.07% variation within the region of interest (ROI). Benchmarking against a state‐of‐the‐art 16‐channel extremity coil further shows that the metacage achieves at least 1.94‐fold and 2.24‐fold higher SNR in axial and coronal planes, respectively, and exhibits substantially lower SNR variation (12.07% compared to 54.83% for the extremity coil). The results establish the metacage as a compelling platform for next‐generation wireless MRI technologies.</w:t>
      </w:r>
    </w:p>
    <w:p>
      <w:pPr>
        <w:spacing w:before="120" w:after="120"/>
      </w:pPr>
      <w:r>
        <w:rPr>
          <w:sz w:val="18"/>
        </w:rPr>
        <w:t>——————————————————————————————————————————————————————————————————————</w:t>
      </w:r>
    </w:p>
    <w:p>
      <w:pPr>
        <w:spacing w:before="160" w:after="40" w:line="240" w:lineRule="auto"/>
      </w:pPr>
      <w:r>
        <w:rPr>
          <w:b/>
        </w:rPr>
        <w:t xml:space="preserve">[28] </w:t>
      </w:r>
      <w:hyperlink r:id="rId262">
        <w:r>
          <w:rPr>
            <w:color w:val="1155CC"/>
            <w:u w:val="single"/>
          </w:rPr>
          <w:t>仿生人工植物用于深层土壤重金属修复</w:t>
        </w:r>
      </w:hyperlink>
    </w:p>
    <w:p>
      <w:pPr>
        <w:spacing w:before="0" w:after="80"/>
      </w:pPr>
      <w:r>
        <w:rPr>
          <w:i/>
          <w:sz w:val="20"/>
        </w:rPr>
        <w:t>EN: Bioinspired Artificial Plant for Deep Soil Heavy Metal Remediation</w:t>
      </w:r>
    </w:p>
    <w:p>
      <w:pPr>
        <w:spacing w:before="0" w:after="120"/>
      </w:pPr>
      <w:r>
        <w:rPr>
          <w:b/>
        </w:rPr>
        <w:t xml:space="preserve">Source: </w:t>
      </w:r>
      <w:r>
        <w:t>Wiley: Advanced Materials: Table of Contents</w:t>
      </w:r>
      <w:r>
        <w:t xml:space="preserve">    </w:t>
      </w:r>
      <w:r>
        <w:rPr>
          <w:b/>
        </w:rPr>
        <w:t xml:space="preserve">Pub date: </w:t>
      </w:r>
      <w:r>
        <w:t>2026-04-18 10:51:41+00:00</w:t>
      </w:r>
      <w:r>
        <w:t xml:space="preserve">    </w:t>
      </w:r>
      <w:r>
        <w:rPr>
          <w:b/>
        </w:rPr>
        <w:t xml:space="preserve">DOI: </w:t>
      </w:r>
      <w:hyperlink r:id="rId263">
        <w:r>
          <w:rPr>
            <w:color w:val="1155CC"/>
            <w:u w:val="single"/>
          </w:rPr>
          <w:t>10.1002/adma.73102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土壤被重金属（HMs）污染是一个日益严重的环境问题，威胁着生态系统和人类健康。然而，紧密且异质的土壤严重限制了水和离子的运输，尤其是在较深层的修复效率有限。此外，HMs的高迁移性导致向下迁移，使得深层土壤的高效修复特别具有挑战性。在此，通过模拟植物的蒸腾作用和选择性吸附，我们提出了一种仿生对齐多孔壳聚糖/改性活性炭气凝胶（BAMC），以克服传统植物修复的长处理时间和有限的渗透深度（&lt; 1 m）。BAMC结合了低曲折度通道以实现定向质量传输，太阳能驱动</w:t>
      </w:r>
    </w:p>
    <w:p>
      <w:pPr>
        <w:spacing w:before="0" w:after="200" w:lineRule="auto" w:line="276"/>
      </w:pPr>
      <w:r>
        <w:rPr>
          <w:b/>
        </w:rPr>
        <w:t xml:space="preserve">Abstract (EN): </w:t>
      </w:r>
      <w:r>
        <w:t>Soil contamination by heavy metals (HMs) is a growing environmental concern, threatening ecosystems and human health. However, the compact and heterogeneous soil severely restricts water and ion transport, limiting remediation efficiency especially in deeper layers. In addition, the high mobility of HMs causes downward migration, making efficient deep soil remediation particularly challenging. Here, by mimicking the transpiration and selective adsorption of plants, we present a bioinspired aligned porous chitosan/modified activated carbon aerogel (BAMC) to overcome long treatment duration and limited penetration depth (&amp;lt; 1 m) of conventional phytoremediation. The BAMC couples low‐tortuosity channels for directional mass transfer, solar‐driven evaporation for convective ion migration, and nanoscale active sites for effective adsorption, enabling efficient remediation in deeper soils. Our system exhibits a high solar evaporation rate of ∼3.36 kg·m</w:t>
      </w:r>
      <w:r>
        <w:t xml:space="preserve"> </w:t>
      </w:r>
      <w:r>
        <w:t>−2</w:t>
      </w:r>
      <w:r>
        <w:t xml:space="preserve"> </w:t>
      </w:r>
      <w:r>
        <w:t>·h</w:t>
      </w:r>
      <w:r>
        <w:t xml:space="preserve"> </w:t>
      </w:r>
      <w:r>
        <w:t>−1</w:t>
      </w:r>
      <w:r>
        <w:t xml:space="preserve"> </w:t>
      </w:r>
      <w:r>
        <w:t>under 1 sun with enhanced Cu</w:t>
      </w:r>
      <w:r>
        <w:t xml:space="preserve"> </w:t>
      </w:r>
      <w:r>
        <w:t>2+</w:t>
      </w:r>
      <w:r>
        <w:t xml:space="preserve"> </w:t>
      </w:r>
      <w:r>
        <w:t>adsorption capacity of 139.2 mg·g</w:t>
      </w:r>
      <w:r>
        <w:t xml:space="preserve"> </w:t>
      </w:r>
      <w:r>
        <w:t>−1</w:t>
      </w:r>
      <w:r>
        <w:t xml:space="preserve"> </w:t>
      </w:r>
      <w:r>
        <w:t>, achieving up to 70.2% removal within 7 days. Notably, it demonstrated effective remediation at a depth of ∼1.5 m, surpassing conventional phytoremediation limits. Such artificial plant system provides an environment‐friendly, high‐efficiency, and scalable strategy for persistent deep soil heavy metal remediation.</w:t>
      </w:r>
    </w:p>
    <w:p>
      <w:pPr>
        <w:spacing w:before="120" w:after="120"/>
      </w:pPr>
      <w:r>
        <w:rPr>
          <w:sz w:val="18"/>
        </w:rPr>
        <w:t>——————————————————————————————————————————————————————————————————————</w:t>
      </w:r>
    </w:p>
    <w:p>
      <w:pPr>
        <w:spacing w:before="160" w:after="40" w:line="240" w:lineRule="auto"/>
      </w:pPr>
      <w:r>
        <w:rPr>
          <w:b/>
        </w:rPr>
        <w:t xml:space="preserve">[29] </w:t>
      </w:r>
      <w:hyperlink r:id="rId264">
        <w:r>
          <w:rPr>
            <w:color w:val="1155CC"/>
            <w:u w:val="single"/>
          </w:rPr>
          <w:t>通过共轭多孔聚合物的分子和表面工程提升水解反应促进的H2O2光生成</w:t>
        </w:r>
      </w:hyperlink>
    </w:p>
    <w:p>
      <w:pPr>
        <w:spacing w:before="0" w:after="80"/>
      </w:pPr>
      <w:r>
        <w:rPr>
          <w:i/>
          <w:sz w:val="20"/>
        </w:rPr>
        <w:t>EN: Water Dissociation Boosted‐H2O2 Photoproduction via Molecular and Surface Engineering of Conjugated Porous Polymers</w:t>
      </w:r>
    </w:p>
    <w:p>
      <w:pPr>
        <w:spacing w:before="0" w:after="120"/>
      </w:pPr>
      <w:r>
        <w:rPr>
          <w:b/>
        </w:rPr>
        <w:t xml:space="preserve">Source: </w:t>
      </w:r>
      <w:r>
        <w:t>Wiley: Advanced Materials: Table of Contents</w:t>
      </w:r>
      <w:r>
        <w:t xml:space="preserve">    </w:t>
      </w:r>
      <w:r>
        <w:rPr>
          <w:b/>
        </w:rPr>
        <w:t xml:space="preserve">Pub date: </w:t>
      </w:r>
      <w:r>
        <w:t>2026-04-18 10:52:42+00:00</w:t>
      </w:r>
      <w:r>
        <w:t xml:space="preserve">    </w:t>
      </w:r>
      <w:r>
        <w:rPr>
          <w:b/>
        </w:rPr>
        <w:t xml:space="preserve">DOI: </w:t>
      </w:r>
      <w:hyperlink r:id="rId265">
        <w:r>
          <w:rPr>
            <w:color w:val="1155CC"/>
            <w:u w:val="single"/>
          </w:rPr>
          <w:t>10.1002/adma.73111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无牺牲剂系统中的太阳能驱动H</w:t>
      </w:r>
      <w:r>
        <w:rPr>
          <w:vertAlign w:val="subscript"/>
        </w:rPr>
        <w:t>2</w:t>
      </w:r>
      <w:r>
        <w:t>O</w:t>
      </w:r>
      <w:r>
        <w:rPr>
          <w:vertAlign w:val="subscript"/>
        </w:rPr>
        <w:t>2</w:t>
      </w:r>
      <w:r>
        <w:t>光合成不仅受到缓慢的电荷分离和迁移效率的影响，而且还受到质子供应不匹配的根本瓶颈，即无法有效从水解离中提取质子。在此，提出了一种双通道工程策略，通过同步内部激子解离与界面质量传输来克服这一瓶颈，应用于磺化螺二芴基共轭多孔聚合物。通过结合拓扑单体连接优化与表面接枝磺酸基团，可以在强碱性条件下加速水解离，</w:t>
      </w:r>
    </w:p>
    <w:p>
      <w:pPr>
        <w:spacing w:before="0" w:after="200" w:lineRule="auto" w:line="276"/>
      </w:pPr>
      <w:r>
        <w:rPr>
          <w:b/>
        </w:rPr>
        <w:t xml:space="preserve">Abstract (EN): </w:t>
      </w:r>
      <w:r>
        <w:t>Solar‐driven H</w:t>
      </w:r>
      <w:r>
        <w:rPr>
          <w:vertAlign w:val="subscript"/>
        </w:rPr>
        <w:t>2</w:t>
      </w:r>
      <w:r>
        <w:t>O</w:t>
      </w:r>
      <w:r>
        <w:rPr>
          <w:vertAlign w:val="subscript"/>
        </w:rPr>
        <w:t>2</w:t>
      </w:r>
      <w:r>
        <w:t>photosynthesis in sacrificial‐agent‐free systems not only suffers from sluggish charge separation and migration efficiency, but also is fundamentally bottlenecked by the proton supply mismatch, the inability to extract protons efficiently from water dissociation. Herein, a dual‐channel engineering strategy is proposed to overcome this bottleneck by synchronizing internal exciton dissociation with interfacial mass transfer in sulfonated spirobifluorene‐based conjugated porous polymers. By coupling topological monomer linkage optimization with surface‐grafted sulfonate groups, the water dissociation can be accelerated under strong alkalinity, leading to an exceptional H</w:t>
      </w:r>
      <w:r>
        <w:rPr>
          <w:vertAlign w:val="subscript"/>
        </w:rPr>
        <w:t>2</w:t>
      </w:r>
      <w:r>
        <w:t>O</w:t>
      </w:r>
      <w:r>
        <w:rPr>
          <w:vertAlign w:val="subscript"/>
        </w:rPr>
        <w:t>2</w:t>
      </w:r>
      <w:r>
        <w:t>production rate of 8.19 mmol g</w:t>
      </w:r>
      <w:r>
        <w:t xml:space="preserve"> </w:t>
      </w:r>
      <w:r>
        <w:t>−1</w:t>
      </w:r>
      <w:r>
        <w:t xml:space="preserve"> </w:t>
      </w:r>
      <w:r>
        <w:t>h</w:t>
      </w:r>
      <w:r>
        <w:t xml:space="preserve"> </w:t>
      </w:r>
      <w:r>
        <w:t>−1</w:t>
      </w:r>
      <w:r>
        <w:t xml:space="preserve"> </w:t>
      </w:r>
      <w:r>
        <w:t>under pH = 11, and an excellent antimicrobial activity (&amp;gt;99% inactivation in 30 min). Critically, we provide direct spectroscopic and kinetic proof for a robust interfacial Vehicle mechanism that effectively bypasses bulk‐phase thermodynamic limits under alkaline conditions. This interfacial boost is integrated with a significantly amplified molecular dipole and a minimized electron‐hole overlap integral, ensuring near‐spontaneous exciton decoupling and long‐lived charge‐separated states as corroborated by femtosecond transient absorption. This work establishes a new paradigm in catalyst design through synergistic molecular and water microenvironmental engineering for efficient solar‐driven H</w:t>
      </w:r>
      <w:r>
        <w:rPr>
          <w:vertAlign w:val="subscript"/>
        </w:rPr>
        <w:t>2</w:t>
      </w:r>
      <w:r>
        <w:t>O</w:t>
      </w:r>
      <w:r>
        <w:rPr>
          <w:vertAlign w:val="subscript"/>
        </w:rPr>
        <w:t>2</w:t>
      </w:r>
      <w:r>
        <w:t>production.</w:t>
      </w:r>
    </w:p>
    <w:p>
      <w:pPr>
        <w:spacing w:before="120" w:after="120"/>
      </w:pPr>
      <w:r>
        <w:rPr>
          <w:sz w:val="18"/>
        </w:rPr>
        <w:t>——————————————————————————————————————————————————————————————————————</w:t>
      </w:r>
    </w:p>
    <w:p>
      <w:pPr>
        <w:spacing w:before="160" w:after="40" w:line="240" w:lineRule="auto"/>
      </w:pPr>
      <w:r>
        <w:rPr>
          <w:b/>
        </w:rPr>
        <w:t xml:space="preserve">[30] </w:t>
      </w:r>
      <w:hyperlink r:id="rId266">
        <w:r>
          <w:rPr>
            <w:color w:val="1155CC"/>
            <w:u w:val="single"/>
          </w:rPr>
          <w:t>具有各向异性光散射的多模态超冷却多孔纺织品用于运动场景中的动态湿热舒适管理</w:t>
        </w:r>
      </w:hyperlink>
    </w:p>
    <w:p>
      <w:pPr>
        <w:spacing w:before="0" w:after="80"/>
      </w:pPr>
      <w:r>
        <w:rPr>
          <w:i/>
          <w:sz w:val="20"/>
        </w:rPr>
        <w:t>EN: Multimodal Super‐Cooling Porous Textiles With Anisotropic Light Scattering for the Dynamic Hygrothermal Comfort Management in Sports Scenarios</w:t>
      </w:r>
    </w:p>
    <w:p>
      <w:pPr>
        <w:spacing w:before="0" w:after="120"/>
      </w:pPr>
      <w:r>
        <w:rPr>
          <w:b/>
        </w:rPr>
        <w:t xml:space="preserve">Source: </w:t>
      </w:r>
      <w:r>
        <w:t>Wiley: Advanced Materials: Table of Contents</w:t>
      </w:r>
      <w:r>
        <w:t xml:space="preserve">    </w:t>
      </w:r>
      <w:r>
        <w:rPr>
          <w:b/>
        </w:rPr>
        <w:t xml:space="preserve">Pub date: </w:t>
      </w:r>
      <w:r>
        <w:t>2026-04-18 10:54:05+00:00</w:t>
      </w:r>
      <w:r>
        <w:t xml:space="preserve">    </w:t>
      </w:r>
      <w:r>
        <w:rPr>
          <w:b/>
        </w:rPr>
        <w:t xml:space="preserve">DOI: </w:t>
      </w:r>
      <w:hyperlink r:id="rId267">
        <w:r>
          <w:rPr>
            <w:color w:val="1155CC"/>
            <w:u w:val="single"/>
          </w:rPr>
          <w:t>10.1002/adma.73122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全国健身热潮中，人们越来越关注运动时的舒适性。虽然现有纺织品可以实现如湿度管理和降温等功能，但将辐射降温、定向水传输、轻量化设计和足够的机械强度集成到单一鞋面中仍然具有挑战性。在此，我们提出了一种大规模制备策略，用于增强结构的超临界增强发泡纤维，并使用三维针织技术形成三维纺织品（RFTT）。基于实验和模拟结果，我们揭示了孔形态、分布和界面效应对散射现象的影响，解释了各向异性作用的角色</w:t>
      </w:r>
    </w:p>
    <w:p>
      <w:pPr>
        <w:spacing w:before="0" w:after="200" w:lineRule="auto" w:line="276"/>
      </w:pPr>
      <w:r>
        <w:rPr>
          <w:b/>
        </w:rPr>
        <w:t xml:space="preserve">Abstract (EN): </w:t>
      </w:r>
      <w:r>
        <w:t>Amidst the nationwide fitness craze, people are increasingly concerned about comfort during exercise. Although existing textiles can achieve functions such as moisture management and cooling, it remains challenging to integrate radiation cooling, directional water transport, lightweight design, and sufficient mechanical strength into a single shoe upper. Herein, we proposed a large‐scale preparation strategy for a supercritical reinforced foamed fiber with an enhanced structure and formed a tridimensional textile (RFTT) using tridimensional knitting technology. Based on experimental and simulation results, we reveal the influence of pore morphology, distribution, and interface effects on scattering phenomena, explaining the role of anisotropic scattering mechanisms in radiative cooling capacity. By using multiple nucleation foaming methods to form a hierarchical porous structure that enhances scattering, RFTT achieves a reflectivity of up to 99.4% and a mid‐infrared emissivity of 98.9%. Additionally, RFTT exhibits a net radiative cooling power of 153.2 W m</w:t>
      </w:r>
      <w:r>
        <w:t xml:space="preserve"> </w:t>
      </w:r>
      <w:r>
        <w:t>−</w:t>
      </w:r>
      <w:r>
        <w:rPr>
          <w:vertAlign w:val="subscript"/>
        </w:rPr>
        <w:t>2</w:t>
      </w:r>
      <w:r>
        <w:t>during daylight hours and 174.5 W m</w:t>
      </w:r>
      <w:r>
        <w:t xml:space="preserve"> </w:t>
      </w:r>
      <w:r>
        <w:t>−</w:t>
      </w:r>
      <w:r>
        <w:rPr>
          <w:vertAlign w:val="subscript"/>
        </w:rPr>
        <w:t>2</w:t>
      </w:r>
      <w:r>
        <w:t>at night, with an average cooling temperature 7.6°C lower than cotton textiles and 6.3°C lower than PET textiles. Together with its moisture‐transport, cushioning, and durability‐related performance, RFTT provides an upper‐relevant textile architecture for combining radiative cooling and hygrothermal management under dynamic use conditions.</w:t>
      </w:r>
    </w:p>
    <w:p>
      <w:pPr>
        <w:spacing w:before="120" w:after="120"/>
      </w:pPr>
      <w:r>
        <w:rPr>
          <w:sz w:val="18"/>
        </w:rPr>
        <w:t>——————————————————————————————————————————————————————————————————————</w:t>
      </w:r>
    </w:p>
    <w:p>
      <w:pPr>
        <w:spacing w:before="160" w:after="40" w:line="240" w:lineRule="auto"/>
      </w:pPr>
      <w:r>
        <w:rPr>
          <w:b/>
        </w:rPr>
        <w:t xml:space="preserve">[31] </w:t>
      </w:r>
      <w:hyperlink r:id="rId268">
        <w:r>
          <w:rPr>
            <w:color w:val="1155CC"/>
            <w:u w:val="single"/>
          </w:rPr>
          <w:t>用于按需骨髓炎治疗的动态交联碳点/海藻酸盐水凝胶</w:t>
        </w:r>
      </w:hyperlink>
    </w:p>
    <w:p>
      <w:pPr>
        <w:spacing w:before="0" w:after="80"/>
      </w:pPr>
      <w:r>
        <w:rPr>
          <w:i/>
          <w:sz w:val="20"/>
        </w:rPr>
        <w:t>EN: Dynamically Crosslinked Carbon Dot/Alginate Hydrogels for On‐Demand Osteomyelitis Therapy</w:t>
      </w:r>
    </w:p>
    <w:p>
      <w:pPr>
        <w:spacing w:before="0" w:after="120"/>
      </w:pPr>
      <w:r>
        <w:rPr>
          <w:b/>
        </w:rPr>
        <w:t xml:space="preserve">Source: </w:t>
      </w:r>
      <w:r>
        <w:t>Wiley: Advanced Materials: Table of Contents</w:t>
      </w:r>
      <w:r>
        <w:t xml:space="preserve">    </w:t>
      </w:r>
      <w:r>
        <w:rPr>
          <w:b/>
        </w:rPr>
        <w:t xml:space="preserve">Pub date: </w:t>
      </w:r>
      <w:r>
        <w:t>2026-04-18 10:56:25+00:00</w:t>
      </w:r>
      <w:r>
        <w:t xml:space="preserve">    </w:t>
      </w:r>
      <w:r>
        <w:rPr>
          <w:b/>
        </w:rPr>
        <w:t xml:space="preserve">DOI: </w:t>
      </w:r>
      <w:hyperlink r:id="rId269">
        <w:r>
          <w:rPr>
            <w:color w:val="1155CC"/>
            <w:u w:val="single"/>
          </w:rPr>
          <w:t>10.1002/adma.73080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髓炎仍然是一种难治的骨科疾病；迫切需要开发对骨髓炎微环境响应的动态交联水凝胶，这种水凝胶可以同时对抗感染、调节炎症并加速骨修复，以满足骨髓炎治疗的需求。在此，我们报告了一种基于高度生物相容性、共价交联和多功能碳点（CD）平台的一体化水凝胶设计，用于同时调节抗菌、抗炎和成骨活性，同时实现细菌特异性和可控的CD释放。为了实现这一目标，CDs被显著修饰了两个结构因素，即在边缘嫁接的儿茶酚和在核心掺杂的Se─Se键，这在p中起着关键作用。</w:t>
      </w:r>
    </w:p>
    <w:p>
      <w:pPr>
        <w:spacing w:before="0" w:after="200" w:lineRule="auto" w:line="276"/>
      </w:pPr>
      <w:r>
        <w:rPr>
          <w:b/>
        </w:rPr>
        <w:t xml:space="preserve">Abstract (EN): </w:t>
      </w:r>
      <w:r>
        <w:t>Osteomyelitis remains a refractory orthopedic disease; it is urgent to develop osteomyelitis‐microenvironment‐responsive, dynamic‐crosslinked hydrogels that could fight infection, regulate inflammation, and accelerate bone repair simultaneously for on‐demand osteomyelitis therapy. Herein, we report an all‐in‐one hydrogel design based on a highly biocompatible, covalently interlinked, and multifunctional carbon dot (CD) platform for simultaneous regulation of antibacterial, anti‐inflammatory, and osteogenic activities while enabling bacteria‐specific and controllable release of CDs. To achieve this aim, CDs was significantly modified with two structural factors, i.e., catechol grafted at the edge and Se─Se bonds doped in the core, which play crucial roles in the precise regulation of their multiple functions for on‐demand osteomyelitis therapy. Dynamically crosslinked composite hydrogels with dissociable borate ester bonds were constructed by utilizing catechol‐functionalized Se‐doped CDs as a triple bioactive ingredient. The CD‐based composite hydrogels were demonstrated to enable near‐complete healing of bone defects in a MRSA‐induced osteomyelitis model. This work provides a paradigm for fabrication of dynamic‐crosslinked hydrogels from multifunctional CDs for on‐demand osteomyelitis therapy.</w:t>
      </w:r>
    </w:p>
    <w:p>
      <w:pPr>
        <w:spacing w:before="120" w:after="120"/>
      </w:pPr>
      <w:r>
        <w:rPr>
          <w:sz w:val="18"/>
        </w:rPr>
        <w:t>——————————————————————————————————————————————————————————————————————</w:t>
      </w:r>
    </w:p>
    <w:p>
      <w:pPr>
        <w:spacing w:before="160" w:after="40" w:line="240" w:lineRule="auto"/>
      </w:pPr>
      <w:r>
        <w:rPr>
          <w:b/>
        </w:rPr>
        <w:t xml:space="preserve">[32] </w:t>
      </w:r>
      <w:hyperlink r:id="rId270">
        <w:r>
          <w:rPr>
            <w:color w:val="1155CC"/>
            <w:u w:val="single"/>
          </w:rPr>
          <w:t>通过限制二面角旋转结构策略设计用于优异高温电容应用的本征聚酰亚胺</w:t>
        </w:r>
      </w:hyperlink>
    </w:p>
    <w:p>
      <w:pPr>
        <w:spacing w:before="0" w:after="80"/>
      </w:pPr>
      <w:r>
        <w:rPr>
          <w:i/>
          <w:sz w:val="20"/>
        </w:rPr>
        <w:t>EN: Design of Intrinsic Polyimides via a Restricted Dihedral‐Rotation Structural Strategy for Superior High‐Temperature Capacitive Applications</w:t>
      </w:r>
    </w:p>
    <w:p>
      <w:pPr>
        <w:spacing w:before="0" w:after="120"/>
      </w:pPr>
      <w:r>
        <w:rPr>
          <w:b/>
        </w:rPr>
        <w:t xml:space="preserve">Source: </w:t>
      </w:r>
      <w:r>
        <w:t>Wiley: Advanced Materials: Table of Contents</w:t>
      </w:r>
      <w:r>
        <w:t xml:space="preserve">    </w:t>
      </w:r>
      <w:r>
        <w:rPr>
          <w:b/>
        </w:rPr>
        <w:t xml:space="preserve">Pub date: </w:t>
      </w:r>
      <w:r>
        <w:t>2026-04-18 10:58:21+00:00</w:t>
      </w:r>
      <w:r>
        <w:t xml:space="preserve">    </w:t>
      </w:r>
      <w:r>
        <w:rPr>
          <w:b/>
        </w:rPr>
        <w:t xml:space="preserve">DOI: </w:t>
      </w:r>
      <w:hyperlink r:id="rId271">
        <w:r>
          <w:rPr>
            <w:color w:val="1155CC"/>
            <w:u w:val="single"/>
          </w:rPr>
          <w:t>10.1002/adma.202520134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高温电绝缘技术的进步，固有聚酰亚胺（PI）基体的有限储能能力严重限制了其在恶劣环境中的应用。这一限制主要源于其固有结构，阻碍了抑制电荷转移复合物（CTC）、高玻璃化转变温度（Tg）和介电常数（εr）的协调优化。在这项工作中，通过采用─Cl、─CH3和─CF成功构建了具有受限二面角旋转结构的固有PI电介质。</w:t>
      </w:r>
    </w:p>
    <w:p>
      <w:pPr>
        <w:spacing w:before="0" w:after="200" w:lineRule="auto" w:line="276"/>
      </w:pPr>
      <w:r>
        <w:rPr>
          <w:b/>
        </w:rPr>
        <w:t xml:space="preserve">Abstract (EN): </w:t>
      </w:r>
      <w:r>
        <w:t>With the advancement of high‐temperature electrical insulation technology, the limited energy‐storage capacity of the intrinsic polyimide (PI) matrix severely restricts application in harsh environments. This limitation primarily stems from their intrinsic structures, which hinder the coordinated optimization of suppressed charge‐transfer complexes (CTC), high glass‐transition temperature (</w:t>
      </w:r>
      <w:r>
        <w:t xml:space="preserve"> </w:t>
      </w:r>
      <w:r>
        <w:t>T</w:t>
      </w:r>
      <w:r>
        <w:t xml:space="preserve"> </w:t>
      </w:r>
      <w:r>
        <w:t>g</w:t>
      </w:r>
      <w:r>
        <w:t xml:space="preserve"> </w:t>
      </w:r>
      <w:r>
        <w:t>), and dielectric constant (</w:t>
      </w:r>
      <w:r>
        <w:t xml:space="preserve"> </w:t>
      </w:r>
      <w:r>
        <w:t>ε</w:t>
      </w:r>
      <w:r>
        <w:t xml:space="preserve"> </w:t>
      </w:r>
      <w:r>
        <w:t>r</w:t>
      </w:r>
      <w:r>
        <w:t xml:space="preserve"> </w:t>
      </w:r>
      <w:r>
        <w:t>). In this work, intrinsic PI dielectrics with restricted dihedral‐rotation structure were successfully constructed by employing ─Cl, ─CH</w:t>
      </w:r>
      <w:r>
        <w:rPr>
          <w:vertAlign w:val="subscript"/>
        </w:rPr>
        <w:t>3</w:t>
      </w:r>
      <w:r>
        <w:t>, and ─CF</w:t>
      </w:r>
      <w:r>
        <w:rPr>
          <w:vertAlign w:val="subscript"/>
        </w:rPr>
        <w:t>3</w:t>
      </w:r>
      <w:r>
        <w:t>. Such a structure effectively regulates molecular chain rigidity, thereby maintaining a high</w:t>
      </w:r>
      <w:r>
        <w:t xml:space="preserve"> </w:t>
      </w:r>
      <w:r>
        <w:t>T</w:t>
      </w:r>
      <w:r>
        <w:t xml:space="preserve"> </w:t>
      </w:r>
      <w:r>
        <w:t>g</w:t>
      </w:r>
      <w:r>
        <w:t xml:space="preserve"> </w:t>
      </w:r>
      <w:r>
        <w:t>while preventing film failure induced by excessive internal stress. Additionally, highly electronegative substituents, together with restricted dihedral‐rotation structure, synergistically suppress CTC, thereby further enhancing breakdown strength (</w:t>
      </w:r>
      <w:r>
        <w:t xml:space="preserve"> </w:t>
      </w:r>
      <w:r>
        <w:t>E</w:t>
      </w:r>
      <w:r>
        <w:t xml:space="preserve"> </w:t>
      </w:r>
      <w:r>
        <w:t>b</w:t>
      </w:r>
      <w:r>
        <w:t xml:space="preserve"> </w:t>
      </w:r>
      <w:r>
        <w:t>). Notably, ─Cl substituent compensates for the reduction in</w:t>
      </w:r>
      <w:r>
        <w:t xml:space="preserve"> </w:t>
      </w:r>
      <w:r>
        <w:t>ε</w:t>
      </w:r>
      <w:r>
        <w:t xml:space="preserve"> </w:t>
      </w:r>
      <w:r>
        <w:t>r</w:t>
      </w:r>
      <w:r>
        <w:t xml:space="preserve"> </w:t>
      </w:r>
      <w:r>
        <w:t>resulting from CTC suppression, thereby enhancing the</w:t>
      </w:r>
      <w:r>
        <w:t xml:space="preserve"> </w:t>
      </w:r>
      <w:r>
        <w:t>ε</w:t>
      </w:r>
      <w:r>
        <w:t xml:space="preserve"> </w:t>
      </w:r>
      <w:r>
        <w:t>r</w:t>
      </w:r>
      <w:r>
        <w:t xml:space="preserve"> </w:t>
      </w:r>
      <w:r>
        <w:t>and ultimately yielding outstanding discharged energy density (</w:t>
      </w:r>
      <w:r>
        <w:t xml:space="preserve"> </w:t>
      </w:r>
      <w:r>
        <w:t>U</w:t>
      </w:r>
      <w:r>
        <w:t xml:space="preserve"> </w:t>
      </w:r>
      <w:r>
        <w:t>d</w:t>
      </w:r>
      <w:r>
        <w:t xml:space="preserve"> </w:t>
      </w:r>
      <w:r>
        <w:t>) of 11.47 J/cm</w:t>
      </w:r>
      <w:r>
        <w:rPr>
          <w:vertAlign w:val="subscript"/>
        </w:rPr>
        <w:t>3</w:t>
      </w:r>
      <w:r>
        <w:t>@150°C and 9.46 J/cm</w:t>
      </w:r>
      <w:r>
        <w:rPr>
          <w:vertAlign w:val="subscript"/>
        </w:rPr>
        <w:t>3</w:t>
      </w:r>
      <w:r>
        <w:t>@200°C. Furthermore, HBPDA/6FClTP exhibits outstanding power density and long‐term stability, with the fabricated high‐temperature‐resistant stacked‐film capacitor device showing excellent capacitance stability. This chemical modification strategy effectively achieves synergistic optimization of CTC suppression,</w:t>
      </w:r>
      <w:r>
        <w:t xml:space="preserve"> </w:t>
      </w:r>
      <w:r>
        <w:t>T</w:t>
      </w:r>
      <w:r>
        <w:t xml:space="preserve"> </w:t>
      </w:r>
      <w:r>
        <w:t>g</w:t>
      </w:r>
      <w:r>
        <w:t xml:space="preserve"> </w:t>
      </w:r>
      <w:r>
        <w:t>, and</w:t>
      </w:r>
      <w:r>
        <w:t xml:space="preserve"> </w:t>
      </w:r>
      <w:r>
        <w:t>ε</w:t>
      </w:r>
      <w:r>
        <w:t xml:space="preserve"> </w:t>
      </w:r>
      <w:r>
        <w:t>r</w:t>
      </w:r>
      <w:r>
        <w:t xml:space="preserve"> </w:t>
      </w:r>
      <w:r>
        <w:t>, thereby providing valuable guidance for the development of scalable, high‐performance polymer capacitors.</w:t>
      </w:r>
    </w:p>
    <w:p>
      <w:pPr>
        <w:spacing w:before="120" w:after="120"/>
      </w:pPr>
      <w:r>
        <w:rPr>
          <w:sz w:val="18"/>
        </w:rPr>
        <w:t>——————————————————————————————————————————————————————————————————————</w:t>
      </w:r>
    </w:p>
    <w:p>
      <w:pPr>
        <w:spacing w:before="160" w:after="40" w:line="240" w:lineRule="auto"/>
      </w:pPr>
      <w:r>
        <w:rPr>
          <w:b/>
        </w:rPr>
        <w:t xml:space="preserve">[33] </w:t>
      </w:r>
      <w:hyperlink r:id="rId272">
        <w:r>
          <w:rPr>
            <w:color w:val="1155CC"/>
            <w:u w:val="single"/>
          </w:rPr>
          <w:t>通过原位X射线发射光谱揭示晶场介导的钴自旋态演变以进行电催化乙二醇氧化</w:t>
        </w:r>
      </w:hyperlink>
    </w:p>
    <w:p>
      <w:pPr>
        <w:spacing w:before="0" w:after="80"/>
      </w:pPr>
      <w:r>
        <w:rPr>
          <w:i/>
          <w:sz w:val="20"/>
        </w:rPr>
        <w:t>EN: Unraveling the Crystal‐Field‐Mediated Cobalt Spin‐State Evolution for Electrocatalytic Ethylene Glycol Oxidation by In Situ X‐Ray Emission Spectroscopy</w:t>
      </w:r>
    </w:p>
    <w:p>
      <w:pPr>
        <w:spacing w:before="0" w:after="120"/>
      </w:pPr>
      <w:r>
        <w:rPr>
          <w:b/>
        </w:rPr>
        <w:t xml:space="preserve">Source: </w:t>
      </w:r>
      <w:r>
        <w:t>Wiley: Angewandte Chemie International Edition: Table of Contents</w:t>
      </w:r>
      <w:r>
        <w:t xml:space="preserve">    </w:t>
      </w:r>
      <w:r>
        <w:rPr>
          <w:b/>
        </w:rPr>
        <w:t xml:space="preserve">Pub date: </w:t>
      </w:r>
      <w:r>
        <w:t>2026-04-18 11:00:24+00:00</w:t>
      </w:r>
      <w:r>
        <w:t xml:space="preserve">    </w:t>
      </w:r>
      <w:r>
        <w:rPr>
          <w:b/>
        </w:rPr>
        <w:t xml:space="preserve">DOI: </w:t>
      </w:r>
      <w:hyperlink r:id="rId273">
        <w:r>
          <w:rPr>
            <w:color w:val="1155CC"/>
            <w:u w:val="single"/>
          </w:rPr>
          <w:t>10.1002/anie.4512481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PET）衍生的乙二醇（EG）的电催化氧化为有价值的甲酸盐和氢气代表了一种可持续的废物增值策略。尽管基于钴的氧氢氧化物（CoOOH）已成为乙二醇氧化反应（EGOR）的有前景的电催化剂，但由于对反应机制的理解不完整，实现高产品选择性仍然具有挑战性。在此，我们开发了一种磷掺杂的P-CoOOH催化剂，其中杂原子的引入有效地触发了晶格畸变和电子重构。这些协同效应共同促进了钴中心从低自旋到高自旋构型的自旋态转变。这样的电子</w:t>
      </w:r>
    </w:p>
    <w:p>
      <w:pPr>
        <w:spacing w:before="0" w:after="200" w:lineRule="auto" w:line="276"/>
      </w:pPr>
      <w:r>
        <w:rPr>
          <w:b/>
        </w:rPr>
        <w:t xml:space="preserve">Abstract (EN): </w:t>
      </w:r>
      <w:r>
        <w:t>The electrocatalytic oxidation of polyethylene terephthalate (PET) derived ethylene glycol (EG) into valuable formate and hydrogen represents a sustainable waste valorization strategy. Although cobalt‐based oxyhydroxides (CoOOH) have emerged as promising electrocatalysts for the ethylene glycol oxidation reaction (EGOR), achieving high product selectivity remains challenging due to incomplete understanding of reaction mechanisms. Herein, we developed a phosphorus‐doped P‐CoOOH catalyst, in which the heteroatom incorporation effectively triggers lattice distortion and electronic reconstruction. These synergistic effects collectively promote a spin‐state transition of cobalt centers from a low‐spin to a high‐spin configuration. Such electronic reconfiguration creates synergistic electron‐deficient Co and electron‐rich P sites, with non‐degenerate  orbitals facilitating selective C─C bond cleavage during EGOR. The innovative application of in situ x‐ray emission spectroscopy (XES) and x‐ray absorption spectroscopy (XAS) dynamically captures spin‐state evolution and suggests the structure‐activity relationship between high‐spin Co</w:t>
      </w:r>
      <w:r>
        <w:t xml:space="preserve"> </w:t>
      </w:r>
      <w:r>
        <w:t>3+</w:t>
      </w:r>
      <w:r>
        <w:t xml:space="preserve"> </w:t>
      </w:r>
      <w:r>
        <w:t>electronic configuration and product selectivity. The optimized P‐CoOOH/NF electrode achieves a low potential of 1.26 V versus RHE at 10 mA cm</w:t>
      </w:r>
      <w:r>
        <w:t xml:space="preserve"> </w:t>
      </w:r>
      <w:r>
        <w:t>−2</w:t>
      </w:r>
      <w:r>
        <w:t xml:space="preserve"> </w:t>
      </w:r>
      <w:r>
        <w:t>with a formate selectivity of 93.7%. Overall, this work highlights that spin‐state engineering offers an effective strategy for steering polyol electrooxidation pathways.</w:t>
      </w:r>
    </w:p>
    <w:p>
      <w:pPr>
        <w:spacing w:before="120" w:after="120"/>
      </w:pPr>
      <w:r>
        <w:rPr>
          <w:sz w:val="18"/>
        </w:rPr>
        <w:t>——————————————————————————————————————————————————————————————————————</w:t>
      </w:r>
    </w:p>
    <w:p>
      <w:pPr>
        <w:spacing w:before="160" w:after="40" w:line="240" w:lineRule="auto"/>
      </w:pPr>
      <w:r>
        <w:rPr>
          <w:b/>
        </w:rPr>
        <w:t xml:space="preserve">[34] </w:t>
      </w:r>
      <w:hyperlink r:id="rId274">
        <w:r>
          <w:rPr>
            <w:color w:val="1155CC"/>
            <w:u w:val="single"/>
          </w:rPr>
          <w:t>沸石中空间邻近的酸位点协同增强烷烃活化</w:t>
        </w:r>
      </w:hyperlink>
    </w:p>
    <w:p>
      <w:pPr>
        <w:spacing w:before="0" w:after="80"/>
      </w:pPr>
      <w:r>
        <w:rPr>
          <w:i/>
          <w:sz w:val="20"/>
        </w:rPr>
        <w:t>EN: Spatially Proximate Acid Sites in Zeolites Synergistically Boost Alkane Activation</w:t>
      </w:r>
    </w:p>
    <w:p>
      <w:pPr>
        <w:spacing w:before="0" w:after="120"/>
      </w:pPr>
      <w:r>
        <w:rPr>
          <w:b/>
        </w:rPr>
        <w:t xml:space="preserve">Source: </w:t>
      </w:r>
      <w:r>
        <w:t>Wiley: Angewandte Chemie International Edition: Table of Contents</w:t>
      </w:r>
      <w:r>
        <w:t xml:space="preserve">    </w:t>
      </w:r>
      <w:r>
        <w:rPr>
          <w:b/>
        </w:rPr>
        <w:t xml:space="preserve">Pub date: </w:t>
      </w:r>
      <w:r>
        <w:t>2026-04-18 11:02:14+00:00</w:t>
      </w:r>
      <w:r>
        <w:t xml:space="preserve">    </w:t>
      </w:r>
      <w:r>
        <w:rPr>
          <w:b/>
        </w:rPr>
        <w:t xml:space="preserve">DOI: </w:t>
      </w:r>
      <w:hyperlink r:id="rId275">
        <w:r>
          <w:rPr>
            <w:color w:val="1155CC"/>
            <w:u w:val="single"/>
          </w:rPr>
          <w:t>10.1002/anie.1613184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在沸石上活化轻烷烃长期以来被归因于强布朗斯特酸位点（BAS），这一重点限制了催化剂的进一步发展。在此，我们报告在蒸汽处理的ZSM‐5沸石中，框架铝的部分水解产生的B</w:t>
      </w:r>
      <w:r>
        <w:rPr>
          <w:vertAlign w:val="subscript"/>
        </w:rPr>
        <w:t>2</w:t>
      </w:r>
      <w:r>
        <w:t>位点与邻近的经典BAS（B</w:t>
      </w:r>
      <w:r>
        <w:rPr>
          <w:vertAlign w:val="subscript"/>
        </w:rPr>
        <w:t>1</w:t>
      </w:r>
      <w:r>
        <w:t>）协同作用，建立了一个邻近的酸位点微环境，大大增强了烷烃的吸附和活化。结合固态NMR、原位FTIR光谱与二维相关分析以及密度泛函理论计算，我们证明了邻近的B</w:t>
      </w:r>
      <w:r>
        <w:rPr>
          <w:vertAlign w:val="subscript"/>
        </w:rPr>
        <w:t>1</w:t>
      </w:r>
      <w:r>
        <w:t>/B</w:t>
      </w:r>
    </w:p>
    <w:p>
      <w:pPr>
        <w:spacing w:before="0" w:after="200" w:lineRule="auto" w:line="276"/>
      </w:pPr>
      <w:r>
        <w:rPr>
          <w:b/>
        </w:rPr>
        <w:t xml:space="preserve">Abstract (EN): </w:t>
      </w:r>
      <w:r>
        <w:t>The activation of light alkanes on zeolites has long been attributed to strong Brønsted acid sites (BAS), a focus that has constrained further catalyst development. Here, we report that in steamed ZSM‐5 zeolites, B</w:t>
      </w:r>
      <w:r>
        <w:rPr>
          <w:vertAlign w:val="subscript"/>
        </w:rPr>
        <w:t>2</w:t>
      </w:r>
      <w:r>
        <w:t>sites from partial hydrolysis of framework aluminum cooperate with neighboring classical BAS (B</w:t>
      </w:r>
      <w:r>
        <w:rPr>
          <w:vertAlign w:val="subscript"/>
        </w:rPr>
        <w:t>1</w:t>
      </w:r>
      <w:r>
        <w:t>) to establish a proximate acid‐site microenvironment that substantially enhances both alkane adsorption and activation. Combining solid‐state NMR, in situ FTIR spectroscopy with two‐dimensional correlation analysis, and density functional theory calculations, we demonstrate that the neighboring B</w:t>
      </w:r>
      <w:r>
        <w:rPr>
          <w:vertAlign w:val="subscript"/>
        </w:rPr>
        <w:t>1</w:t>
      </w:r>
      <w:r>
        <w:t>/B</w:t>
      </w:r>
      <w:r>
        <w:rPr>
          <w:vertAlign w:val="subscript"/>
        </w:rPr>
        <w:t>2</w:t>
      </w:r>
      <w:r>
        <w:t>sites exhibit a stronger intrinsic affinity for propane than isolated B</w:t>
      </w:r>
      <w:r>
        <w:rPr>
          <w:vertAlign w:val="subscript"/>
        </w:rPr>
        <w:t>1</w:t>
      </w:r>
      <w:r>
        <w:t>sites, accelerating its accumulation within the pores, which is attributable to the locally optimized van der Waals interactions tuned by the Al─OH of B</w:t>
      </w:r>
      <w:r>
        <w:rPr>
          <w:vertAlign w:val="subscript"/>
        </w:rPr>
        <w:t>2</w:t>
      </w:r>
      <w:r>
        <w:t>. The resulting cooperative acid sites synergistically entrap alkane molecules and facilitate C─H bond activation, boosting propane conversion from 27.2% to 37.5%. Our findings reveal a mechanism for alkane activation that is driven by proximate acid‐site cooperativity rather than conventional acid strength of isolated BAS, opening an avenue for designing efficient zeolite catalysts via microenvironment engineering.</w:t>
      </w:r>
    </w:p>
    <w:p>
      <w:pPr>
        <w:spacing w:before="120" w:after="120"/>
      </w:pPr>
      <w:r>
        <w:rPr>
          <w:sz w:val="18"/>
        </w:rPr>
        <w:t>——————————————————————————————————————————————————————————————————————</w:t>
      </w:r>
    </w:p>
    <w:p>
      <w:pPr>
        <w:spacing w:before="160" w:after="40" w:line="240" w:lineRule="auto"/>
      </w:pPr>
      <w:r>
        <w:rPr>
          <w:b/>
        </w:rPr>
        <w:t xml:space="preserve">[35] </w:t>
      </w:r>
      <w:hyperlink r:id="rId276">
        <w:r>
          <w:rPr>
            <w:color w:val="1155CC"/>
            <w:u w:val="single"/>
          </w:rPr>
          <w:t>通过双配体竞争配位对Ni中心进行自旋态工程以实现优异的氧析出反应</w:t>
        </w:r>
      </w:hyperlink>
    </w:p>
    <w:p>
      <w:pPr>
        <w:spacing w:before="0" w:after="80"/>
      </w:pPr>
      <w:r>
        <w:rPr>
          <w:i/>
          <w:sz w:val="20"/>
        </w:rPr>
        <w:t>EN: Spin‐State Engineering of Ni Centers by Dual‐Ligand Competitive Coordination for Superior Oxygen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2026-04-18 11:05:52+00:00</w:t>
      </w:r>
      <w:r>
        <w:t xml:space="preserve">    </w:t>
      </w:r>
      <w:r>
        <w:rPr>
          <w:b/>
        </w:rPr>
        <w:t xml:space="preserve">DOI: </w:t>
      </w:r>
      <w:hyperlink r:id="rId277">
        <w:r>
          <w:rPr>
            <w:color w:val="1155CC"/>
            <w:u w:val="single"/>
          </w:rPr>
          <w:t>10.1002/anie.9878440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调节金属活性中心的电子自旋态是解决缓慢的氧析出反应（OER）动力学的有效策略。在此，我们利用双配体竞争配位策略来诱导晶格膨胀，产生丰富的氧空位和不饱和配位位点，并重构NiO</w:t>
      </w:r>
      <w:r>
        <w:rPr>
          <w:vertAlign w:val="subscript"/>
        </w:rPr>
        <w:t>6</w:t>
      </w:r>
      <w:r>
        <w:t>八面体。这触发了Ni从中间自旋（Ni</w:t>
      </w:r>
      <w:r>
        <w:t xml:space="preserve"> </w:t>
      </w:r>
      <w:r>
        <w:t>2+</w:t>
      </w:r>
      <w:r>
        <w:t xml:space="preserve"> </w:t>
      </w:r>
      <w:r>
        <w:t>）到高自旋（Ni</w:t>
      </w:r>
      <w:r>
        <w:t xml:space="preserve"> </w:t>
      </w:r>
      <w:r>
        <w:t>3+</w:t>
      </w:r>
      <w:r>
        <w:t xml:space="preserve"> </w:t>
      </w:r>
      <w:r>
        <w:t>）态的关键转变，这不仅增强了OH</w:t>
      </w:r>
      <w:r>
        <w:t xml:space="preserve"> </w:t>
      </w:r>
      <w:r>
        <w:t>−</w:t>
      </w:r>
      <w:r>
        <w:t>和含氧中间体的吸附，还通过丰富f来调整界面微环境。</w:t>
      </w:r>
    </w:p>
    <w:p>
      <w:pPr>
        <w:spacing w:before="0" w:after="200" w:lineRule="auto" w:line="276"/>
      </w:pPr>
      <w:r>
        <w:rPr>
          <w:b/>
        </w:rPr>
        <w:t xml:space="preserve">Abstract (EN): </w:t>
      </w:r>
      <w:r>
        <w:t>Modulating electronic spin states of metal active centers is an effective strategy to address the sluggish oxygen evolution reaction (OER) kinetics. Herein, we utilize a dual‐ligand competitive coordination strategy to induce lattice expansion, generate abundant oxygen vacancies and unsaturated coordination sites, and restructure the NiO</w:t>
      </w:r>
      <w:r>
        <w:rPr>
          <w:vertAlign w:val="subscript"/>
        </w:rPr>
        <w:t>6</w:t>
      </w:r>
      <w:r>
        <w:t>octahedron. This triggers a pivotal transition of Ni from intermediate‐spin (Ni</w:t>
      </w:r>
      <w:r>
        <w:t xml:space="preserve"> </w:t>
      </w:r>
      <w:r>
        <w:t>2+</w:t>
      </w:r>
      <w:r>
        <w:t xml:space="preserve"> </w:t>
      </w:r>
      <w:r>
        <w:t>) to high‐spin (Ni</w:t>
      </w:r>
      <w:r>
        <w:t xml:space="preserve"> </w:t>
      </w:r>
      <w:r>
        <w:t>3+</w:t>
      </w:r>
      <w:r>
        <w:t xml:space="preserve"> </w:t>
      </w:r>
      <w:r>
        <w:t>) states, which enhances adsorption of OH</w:t>
      </w:r>
      <w:r>
        <w:t xml:space="preserve"> </w:t>
      </w:r>
      <w:r>
        <w:t>−</w:t>
      </w:r>
      <w:r>
        <w:t>and oxygen‐containing intermediates, but also tailors the interfacial microenvironment by enriching free water, thus accelerating OER kinetics. In situ x‐ray adsorption spectroscopy further verifies the accelerated adsorption and transformation of oxygen intermediates enabled by this spin reconfiguration. Consequently, the optimized nickel‐thiophene‐2,5‐dicarboxylic acid</w:t>
      </w:r>
      <w:r>
        <w:t xml:space="preserve"> </w:t>
      </w:r>
      <w:r>
        <w:t>0.6</w:t>
      </w:r>
      <w:r>
        <w:t xml:space="preserve"> </w:t>
      </w:r>
      <w:r>
        <w:t>‐1,4‐dicarboxybenzene</w:t>
      </w:r>
      <w:r>
        <w:t xml:space="preserve"> </w:t>
      </w:r>
      <w:r>
        <w:t>0.4</w:t>
      </w:r>
      <w:r>
        <w:t xml:space="preserve"> </w:t>
      </w:r>
      <w:r>
        <w:t>dual‐ligand metal‐organic framework catalyst (marked as Ni‐TDC</w:t>
      </w:r>
      <w:r>
        <w:t xml:space="preserve"> </w:t>
      </w:r>
      <w:r>
        <w:t>0.6</w:t>
      </w:r>
      <w:r>
        <w:t xml:space="preserve"> </w:t>
      </w:r>
      <w:r>
        <w:t>BDC</w:t>
      </w:r>
      <w:r>
        <w:t xml:space="preserve"> </w:t>
      </w:r>
      <w:r>
        <w:t>0.4</w:t>
      </w:r>
      <w:r>
        <w:t xml:space="preserve"> </w:t>
      </w:r>
      <w:r>
        <w:t>) delivers excellent OER performance (230 mV@10 mA cm</w:t>
      </w:r>
      <w:r>
        <w:t xml:space="preserve"> </w:t>
      </w:r>
      <w:r>
        <w:t>−2</w:t>
      </w:r>
      <w:r>
        <w:t xml:space="preserve"> </w:t>
      </w:r>
      <w:r>
        <w:t>). Using Ni‐TDC</w:t>
      </w:r>
      <w:r>
        <w:t xml:space="preserve"> </w:t>
      </w:r>
      <w:r>
        <w:t>0.6</w:t>
      </w:r>
      <w:r>
        <w:t xml:space="preserve"> </w:t>
      </w:r>
      <w:r>
        <w:t>BDC</w:t>
      </w:r>
      <w:r>
        <w:t xml:space="preserve"> </w:t>
      </w:r>
      <w:r>
        <w:t>0.4</w:t>
      </w:r>
      <w:r>
        <w:t xml:space="preserve"> </w:t>
      </w:r>
      <w:r>
        <w:t>as the anode, the assembled anion exchange membrane water electrolyzer achieves a low cell voltage of 2.40 V at 1.5 A cm</w:t>
      </w:r>
      <w:r>
        <w:t xml:space="preserve"> </w:t>
      </w:r>
      <w:r>
        <w:t>−2</w:t>
      </w:r>
      <w:r>
        <w:t xml:space="preserve"> </w:t>
      </w:r>
      <w:r>
        <w:t>and maintains stability for 500 h at 300 mA cm</w:t>
      </w:r>
      <w:r>
        <w:t xml:space="preserve"> </w:t>
      </w:r>
      <w:r>
        <w:t>−2</w:t>
      </w:r>
      <w:r>
        <w:t xml:space="preserve"> </w:t>
      </w:r>
      <w:r>
        <w:t>. Its photovoltaic‐integrated overall water splitting device also attains a 13.23% solar‐to‐hydrogen efficiency with robust stability. This work provides an innovative synthesis pathway for designing high‐performance OER electrocatalysts by tailoring electron spin states.</w:t>
      </w:r>
    </w:p>
    <w:p>
      <w:pPr>
        <w:spacing w:before="120" w:after="120"/>
      </w:pPr>
      <w:r>
        <w:rPr>
          <w:sz w:val="18"/>
        </w:rPr>
        <w:t>——————————————————————————————————————————————————————————————————————</w:t>
      </w:r>
    </w:p>
    <w:p>
      <w:pPr>
        <w:spacing w:before="160" w:after="40" w:line="240" w:lineRule="auto"/>
      </w:pPr>
      <w:r>
        <w:rPr>
          <w:b/>
        </w:rPr>
        <w:t xml:space="preserve">[36] </w:t>
      </w:r>
      <w:hyperlink r:id="rId278">
        <w:r>
          <w:rPr>
            <w:color w:val="1155CC"/>
            <w:u w:val="single"/>
          </w:rPr>
          <w:t>三嵌段共聚物和三元共聚物中热诱导的大分子序列反转</w:t>
        </w:r>
      </w:hyperlink>
    </w:p>
    <w:p>
      <w:pPr>
        <w:spacing w:before="0" w:after="80"/>
      </w:pPr>
      <w:r>
        <w:rPr>
          <w:i/>
          <w:sz w:val="20"/>
        </w:rPr>
        <w:t>EN: Thermally Induced Macromolecular Sequence Inversion in Triblock Copolymers and Terpolymers</w:t>
      </w:r>
    </w:p>
    <w:p>
      <w:pPr>
        <w:spacing w:before="0" w:after="120"/>
      </w:pPr>
      <w:r>
        <w:rPr>
          <w:b/>
        </w:rPr>
        <w:t xml:space="preserve">Source: </w:t>
      </w:r>
      <w:r>
        <w:t>Wiley: Angewandte Chemie International Edition: Table of Contents</w:t>
      </w:r>
      <w:r>
        <w:t xml:space="preserve">    </w:t>
      </w:r>
      <w:r>
        <w:rPr>
          <w:b/>
        </w:rPr>
        <w:t xml:space="preserve">Pub date: </w:t>
      </w:r>
      <w:r>
        <w:t>2026-04-18 13:25:05+00:00</w:t>
      </w:r>
      <w:r>
        <w:t xml:space="preserve">    </w:t>
      </w:r>
      <w:r>
        <w:rPr>
          <w:b/>
        </w:rPr>
        <w:t xml:space="preserve">DOI: </w:t>
      </w:r>
      <w:hyperlink r:id="rId279">
        <w:r>
          <w:rPr>
            <w:color w:val="1155CC"/>
            <w:u w:val="single"/>
          </w:rPr>
          <w:t>10.1002/anie.7271500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聚合物序列的动态控制仍然是合成大分子中的一大挑战，限制了其相对于生物大分子的适应性。在此，我们引入了使用呋喃–马来酰亚胺–蒽狄尔斯–阿尔德系统的三嵌段共聚物和三元共聚物的分子内序列反转，能够在120°C下进行热重构而不改变组成或分子量。具有可逆狄尔斯–阿尔德键的双功能引发剂允许合成对称（ABA）和不对称（ABC）三嵌段共聚物/三元共聚物。加热时，逆狄尔斯–阿尔德解离后随之进行蒽–马来酰亚胺（Anth–Mal）环加成，诱导序列反转，产生BAB或BAC结构。全面的实验表征证实了pr</w:t>
      </w:r>
    </w:p>
    <w:p>
      <w:pPr>
        <w:spacing w:before="0" w:after="200" w:lineRule="auto" w:line="276"/>
      </w:pPr>
      <w:r>
        <w:rPr>
          <w:b/>
        </w:rPr>
        <w:t xml:space="preserve">Abstract (EN): </w:t>
      </w:r>
      <w:r>
        <w:t>Dynamic control over polymer sequences remains a major challenge in synthetic macromolecules, limiting their adaptability relative to biomacromolecules. Herein, we introduce an intra‐macromolecular sequence inversion in triblock copolymers and terpolymers using a furan–maleimide–anthracene Diels–Alder system, enabling thermal reconfiguration at 120°C without altering composition or molecular weight. Bifunctional initiators bearing reversible Diels–Alder linkages allow the synthesis of symmetric (ABA) and asymmetric (ABC) triblock co/terpolymers. Upon heating, retro‐Diels–Alder dissociation followed by anthracene–maleimide (Anth–Mal) cycloaddition induces sequence inversion, yielding BAB or BAC architectures. Comprehensive experimental characterization confirms preservation of chain integrity, while revealing altered diffusion coefficients and distinct microphase‐separated morphologies, highlighting the pronounced influence of sequence on polymer properties. This strategy establishes a paradigm for programmable polymer metamorphosis, opening new avenues toward stimuli–responsive materials with tunable self‐assembly, crystallinity, and mechanical properties.</w:t>
      </w:r>
    </w:p>
    <w:p>
      <w:pPr>
        <w:spacing w:before="120" w:after="120"/>
      </w:pPr>
      <w:r>
        <w:rPr>
          <w:sz w:val="18"/>
        </w:rPr>
        <w:t>——————————————————————————————————————————————————————————————————————</w:t>
      </w:r>
    </w:p>
    <w:p>
      <w:pPr>
        <w:spacing w:before="160" w:after="40" w:line="240" w:lineRule="auto"/>
      </w:pPr>
      <w:r>
        <w:rPr>
          <w:b/>
        </w:rPr>
        <w:t xml:space="preserve">[37] </w:t>
      </w:r>
      <w:hyperlink r:id="rId280">
        <w:r>
          <w:rPr>
            <w:color w:val="1155CC"/>
            <w:u w:val="single"/>
          </w:rPr>
          <w:t>构象自适应冠醚聚酰亚胺作为超快速且异常选择性的人造钠离子通道</w:t>
        </w:r>
      </w:hyperlink>
    </w:p>
    <w:p>
      <w:pPr>
        <w:spacing w:before="0" w:after="80"/>
      </w:pPr>
      <w:r>
        <w:rPr>
          <w:i/>
          <w:sz w:val="20"/>
        </w:rPr>
        <w:t>EN: Conformation‐Adaptive Crown Ether‐Polyimides as Superfast and Exceptionally Selective Artificial Na+ Channels</w:t>
      </w:r>
    </w:p>
    <w:p>
      <w:pPr>
        <w:spacing w:before="0" w:after="120"/>
      </w:pPr>
      <w:r>
        <w:rPr>
          <w:b/>
        </w:rPr>
        <w:t xml:space="preserve">Source: </w:t>
      </w:r>
      <w:r>
        <w:t>Wiley: Angewandte Chemie International Edition: Table of Contents</w:t>
      </w:r>
      <w:r>
        <w:t xml:space="preserve">    </w:t>
      </w:r>
      <w:r>
        <w:rPr>
          <w:b/>
        </w:rPr>
        <w:t xml:space="preserve">Pub date: </w:t>
      </w:r>
      <w:r>
        <w:t>2026-04-18 13:30:59+00:00</w:t>
      </w:r>
      <w:r>
        <w:t xml:space="preserve">    </w:t>
      </w:r>
      <w:r>
        <w:rPr>
          <w:b/>
        </w:rPr>
        <w:t xml:space="preserve">DOI: </w:t>
      </w:r>
      <w:hyperlink r:id="rId281">
        <w:r>
          <w:rPr>
            <w:color w:val="1155CC"/>
            <w:u w:val="single"/>
          </w:rPr>
          <w:t>10.1002/anie.6835315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开发同时实现高渗透性和高选择性的人工Na</w:t>
      </w:r>
      <w:r>
        <w:t xml:space="preserve"> </w:t>
      </w:r>
      <w:r>
        <w:t>+</w:t>
      </w:r>
      <w:r>
        <w:t xml:space="preserve"> </w:t>
      </w:r>
      <w:r>
        <w:t>通道仍然是一个艰巨的挑战，因为现有系统受限于有限的性能上限。为了解决经典的渗透性–选择性权衡，我们提出了一种超越传统刚性孔结构的自适应设计策略。该系统基于柔性聚酰亚胺骨架，通过可调节的烷基链（C</w:t>
      </w:r>
      <w:r>
        <w:t xml:space="preserve"> </w:t>
      </w:r>
      <w:r>
        <w:t>n</w:t>
      </w:r>
      <w:r>
        <w:t xml:space="preserve"> </w:t>
      </w:r>
      <w:r>
        <w:t>H</w:t>
      </w:r>
      <w:r>
        <w:rPr>
          <w:vertAlign w:val="subscript"/>
        </w:rPr>
        <w:t>2</w:t>
      </w:r>
      <w:r>
        <w:t xml:space="preserve"> </w:t>
      </w:r>
      <w:r>
        <w:t>n</w:t>
      </w:r>
      <w:r>
        <w:t xml:space="preserve"> </w:t>
      </w:r>
      <w:r>
        <w:t>+1</w:t>
      </w:r>
    </w:p>
    <w:p>
      <w:pPr>
        <w:spacing w:before="0" w:after="200" w:lineRule="auto" w:line="276"/>
      </w:pPr>
      <w:r>
        <w:rPr>
          <w:b/>
        </w:rPr>
        <w:t xml:space="preserve">Abstract (EN): </w:t>
      </w:r>
      <w:r>
        <w:t>The development of artificial Na</w:t>
      </w:r>
      <w:r>
        <w:t xml:space="preserve"> </w:t>
      </w:r>
      <w:r>
        <w:t>+</w:t>
      </w:r>
      <w:r>
        <w:t xml:space="preserve"> </w:t>
      </w:r>
      <w:r>
        <w:t>channels that simultaneously achieve high permeability and high selectivity remains a formidable challenge, as existing systems are constrained by a limited performance ceiling. To address the classical permeability–selectivity trade‐off, we present an adaptive design strategy that moves beyond conventional rigid‐pore architectures. The system is based on a flexible polyimide backbone functionalized with 15‐crown‐5 ionophores via tunable alkyl linkers (C</w:t>
      </w:r>
      <w:r>
        <w:t xml:space="preserve"> </w:t>
      </w:r>
      <w:r>
        <w:t>n</w:t>
      </w:r>
      <w:r>
        <w:t xml:space="preserve"> </w:t>
      </w:r>
      <w:r>
        <w:t>H</w:t>
      </w:r>
      <w:r>
        <w:rPr>
          <w:vertAlign w:val="subscript"/>
        </w:rPr>
        <w:t>2</w:t>
      </w:r>
      <w:r>
        <w:t xml:space="preserve"> </w:t>
      </w:r>
      <w:r>
        <w:t>n</w:t>
      </w:r>
      <w:r>
        <w:t xml:space="preserve"> </w:t>
      </w:r>
      <w:r>
        <w:t>+1</w:t>
      </w:r>
      <w:r>
        <w:t xml:space="preserve"> </w:t>
      </w:r>
      <w:r>
        <w:t>,</w:t>
      </w:r>
      <w:r>
        <w:t xml:space="preserve"> </w:t>
      </w:r>
      <w:r>
        <w:t>n</w:t>
      </w:r>
      <w:r>
        <w:t xml:space="preserve"> </w:t>
      </w:r>
      <w:r>
        <w:t>= 8–16), enabling efficient Na</w:t>
      </w:r>
      <w:r>
        <w:t xml:space="preserve"> </w:t>
      </w:r>
      <w:r>
        <w:t>+</w:t>
      </w:r>
      <w:r>
        <w:t xml:space="preserve"> </w:t>
      </w:r>
      <w:r>
        <w:t>permeation through multiple adaptive mechanisms. The conformational plasticity of the architecture facilitates dynamic and cooperative ion coordination during capture and transmembrane transport. The best‐performing transporter,</w:t>
      </w:r>
      <w:r>
        <w:rPr>
          <w:vertAlign w:val="subscript"/>
        </w:rPr>
        <w:t>4</w:t>
      </w:r>
      <w:r>
        <w:t>, exhibits a high Na</w:t>
      </w:r>
      <w:r>
        <w:t xml:space="preserve"> </w:t>
      </w:r>
      <w:r>
        <w:t>+</w:t>
      </w:r>
      <w:r>
        <w:t xml:space="preserve"> </w:t>
      </w:r>
      <w:r>
        <w:t>conductance of 48.9 pS, which is twice that of gramicidin A‐mediated K</w:t>
      </w:r>
      <w:r>
        <w:t xml:space="preserve"> </w:t>
      </w:r>
      <w:r>
        <w:t>+</w:t>
      </w:r>
      <w:r>
        <w:t xml:space="preserve"> </w:t>
      </w:r>
      <w:r>
        <w:t>transport, together with a record Na</w:t>
      </w:r>
      <w:r>
        <w:t xml:space="preserve"> </w:t>
      </w:r>
      <w:r>
        <w:t>+</w:t>
      </w:r>
      <w:r>
        <w:t xml:space="preserve"> </w:t>
      </w:r>
      <w:r>
        <w:t>/K</w:t>
      </w:r>
      <w:r>
        <w:t xml:space="preserve"> </w:t>
      </w:r>
      <w:r>
        <w:t>+</w:t>
      </w:r>
      <w:r>
        <w:t xml:space="preserve"> </w:t>
      </w:r>
      <w:r>
        <w:t>selectivity of 37.8. This work establishes a new benchmark for synthetic ion transporters and opens promising avenues for the development of biomimetic membranes and therapeutic applications.</w:t>
      </w:r>
    </w:p>
    <w:p>
      <w:pPr>
        <w:spacing w:before="120" w:after="120"/>
      </w:pPr>
      <w:r>
        <w:rPr>
          <w:sz w:val="18"/>
        </w:rPr>
        <w:t>——————————————————————————————————————————————————————————————————————</w:t>
      </w:r>
    </w:p>
    <w:p>
      <w:pPr>
        <w:spacing w:before="160" w:after="40" w:line="240" w:lineRule="auto"/>
      </w:pPr>
      <w:r>
        <w:rPr>
          <w:b/>
        </w:rPr>
        <w:t xml:space="preserve">[38] </w:t>
      </w:r>
      <w:hyperlink r:id="rId282">
        <w:r>
          <w:rPr>
            <w:color w:val="1155CC"/>
            <w:u w:val="single"/>
          </w:rPr>
          <w:t>精确控制的电化学磷酰化：为高性能有机电化学晶体管定制π-共轭聚合物性质</w:t>
        </w:r>
      </w:hyperlink>
    </w:p>
    <w:p>
      <w:pPr>
        <w:spacing w:before="0" w:after="80"/>
      </w:pPr>
      <w:r>
        <w:rPr>
          <w:i/>
          <w:sz w:val="20"/>
        </w:rPr>
        <w:t>EN: Precisely Controlled Electrochemical Phosphonylation: Tailoring π‐Conjugated Polymer Properties for High‐Performance Organic Electrochemical Transistors</w:t>
      </w:r>
    </w:p>
    <w:p>
      <w:pPr>
        <w:spacing w:before="0" w:after="120"/>
      </w:pPr>
      <w:r>
        <w:rPr>
          <w:b/>
        </w:rPr>
        <w:t xml:space="preserve">Source: </w:t>
      </w:r>
      <w:r>
        <w:t>Wiley: Angewandte Chemie International Edition: Table of Contents</w:t>
      </w:r>
      <w:r>
        <w:t xml:space="preserve">    </w:t>
      </w:r>
      <w:r>
        <w:rPr>
          <w:b/>
        </w:rPr>
        <w:t xml:space="preserve">Pub date: </w:t>
      </w:r>
      <w:r>
        <w:t>2026-04-18 13:35:09+00:00</w:t>
      </w:r>
      <w:r>
        <w:t xml:space="preserve">    </w:t>
      </w:r>
      <w:r>
        <w:rPr>
          <w:b/>
        </w:rPr>
        <w:t xml:space="preserve">DOI: </w:t>
      </w:r>
      <w:hyperlink r:id="rId283">
        <w:r>
          <w:rPr>
            <w:color w:val="1155CC"/>
            <w:u w:val="single"/>
          </w:rPr>
          <w:t>10.1002/anie.1180643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实现高性能，有机电化学晶体管（OECT）通道必须支持电子电荷和离子的高效传输。在设计聚合物混合导体时，保持亲水性和疏水性特征之间的适当平衡起着关键作用。传统的亲水性侧链修饰涉及昂贵的合成并限制了分子设计的灵活性。在此，我们展示了一种功能化程度（DOF）可调的电化学C–H磷酰化策略，该策略能够精确后功能化半结晶、高迁移率的共轭聚合物，从而提供了一种多功能途径来优化亲水-疏水平衡，而无需重新设计单体。我们应用了这种方法</w:t>
      </w:r>
    </w:p>
    <w:p>
      <w:pPr>
        <w:spacing w:before="0" w:after="200" w:lineRule="auto" w:line="276"/>
      </w:pPr>
      <w:r>
        <w:rPr>
          <w:b/>
        </w:rPr>
        <w:t xml:space="preserve">Abstract (EN): </w:t>
      </w:r>
      <w:r>
        <w:t>To achieve high performance, organic electrochemical transistor (OECT) channels must support efficient transport of electronic charges and ions. When designing polymeric mixed conductors, maintaining an appropriate balance between hydrophilic and hydrophobic characteristics plays a crucial role. Conventional hydrophilic side‐chain modification involves costly synthesis and limits molecular design flexibility. Here, we demonstrate a degree of functionalization (DOF)‐tunable electrochemical C–H phosphonylation strategy that enables precise post‐functionalization of semicrystalline, high‐mobility conjugated polymers, thereby providing a versatile route to optimize the hydrophilic–hydrophobic balance without monomer redesign. We applied this approach to semicrystalline polymers, for example, poly[2,5‐bis(3‐tetradecylthiophen‐2‐yl)thieno[3,2‐b]thiophene] (PBTTT) and diketopyrrolo‐pyrrole‐dithienylthieno[3,2‐b]thiophene (DPP‐DTT), which exhibit excellent charge mobilities. The functionalization was successfully carried out in Nafion‐composite films, yielding samples with DOF values up to 0.91. Systematic investigation revealed that the moderate functionalization (DOF = 0.06–0.16) enhanced the</w:t>
      </w:r>
      <w:r>
        <w:t xml:space="preserve"> </w:t>
      </w:r>
      <w:r>
        <w:t>µC</w:t>
      </w:r>
      <w:r>
        <w:t xml:space="preserve"> </w:t>
      </w:r>
      <w:r>
        <w:t>* values in OECTs by nearly two‐fold compared to pristine polymers. In addition, the phosphonylated materials exhibited improved switching characteristics. These results quantitatively reveal a trade‐off between enhanced ionic accessibility and retention of efficient charge‐transport pathways in the polymers with increased DOF. This precisely tunable functionalization of the hydrophobic conjugated polymers represents a practical strategy for designing mixed ionic and electronic carrier conductors, further facilitating the development of high‐performance OECT materials.</w:t>
      </w:r>
    </w:p>
    <w:p>
      <w:pPr>
        <w:spacing w:before="120" w:after="120"/>
      </w:pPr>
      <w:r>
        <w:rPr>
          <w:sz w:val="18"/>
        </w:rPr>
        <w:t>——————————————————————————————————————————————————————————————————————</w:t>
      </w:r>
    </w:p>
    <w:p>
      <w:pPr>
        <w:spacing w:before="160" w:after="40" w:line="240" w:lineRule="auto"/>
      </w:pPr>
      <w:r>
        <w:rPr>
          <w:b/>
        </w:rPr>
        <w:t xml:space="preserve">[39] </w:t>
      </w:r>
      <w:hyperlink r:id="rId284">
        <w:r>
          <w:rPr>
            <w:color w:val="1155CC"/>
            <w:u w:val="single"/>
          </w:rPr>
          <w:t>[ASAP] 具有病毒样表面纳米拓扑结构的稀土纳米颗粒的多功能合成</w:t>
        </w:r>
      </w:hyperlink>
    </w:p>
    <w:p>
      <w:pPr>
        <w:spacing w:before="0" w:after="80"/>
      </w:pPr>
      <w:r>
        <w:rPr>
          <w:i/>
          <w:sz w:val="20"/>
        </w:rPr>
        <w:t>EN: [ASAP] Versatile Synthesis of Rare-Earth Nanoparticles with Virus-like Surface Nanotopography</w:t>
      </w:r>
    </w:p>
    <w:p>
      <w:pPr>
        <w:spacing w:before="0" w:after="120"/>
      </w:pPr>
      <w:r>
        <w:rPr>
          <w:b/>
        </w:rPr>
        <w:t xml:space="preserve">Source: </w:t>
      </w:r>
      <w:r>
        <w:t>Journal of the American Chemical Society: Latest Articles (ACS Publications)</w:t>
      </w:r>
      <w:r>
        <w:t xml:space="preserve">    </w:t>
      </w:r>
      <w:r>
        <w:rPr>
          <w:b/>
        </w:rPr>
        <w:t xml:space="preserve">Pub date: </w:t>
      </w:r>
      <w:r>
        <w:t>2026-04-18 19:00:41+00:00</w:t>
      </w:r>
      <w:r>
        <w:t xml:space="preserve">    </w:t>
      </w:r>
      <w:r>
        <w:rPr>
          <w:b/>
        </w:rPr>
        <w:t xml:space="preserve">DOI: </w:t>
      </w:r>
      <w:hyperlink r:id="rId285">
        <w:r>
          <w:rPr>
            <w:color w:val="1155CC"/>
            <w:u w:val="single"/>
          </w:rPr>
          <w:t>10.1021/jacs.6c01370</w:t>
        </w:r>
      </w:hyperlink>
    </w:p>
    <w:p>
      <w:pPr>
        <w:spacing w:before="0" w:after="120"/>
      </w:pPr>
      <w:r>
        <w:rPr>
          <w:b/>
        </w:rPr>
        <w:t xml:space="preserve">Notes: </w:t>
      </w:r>
      <w:r>
        <w:t>abstract_source=pubmed</w:t>
      </w:r>
    </w:p>
    <w:p>
      <w:pPr>
        <w:spacing w:before="0" w:after="80" w:lineRule="auto" w:line="276"/>
      </w:pPr>
      <w:r>
        <w:rPr>
          <w:b/>
        </w:rPr>
        <w:t xml:space="preserve">摘要（ZH）: </w:t>
      </w:r>
      <w:r>
        <w:t>表面纳米拓扑在决定纳米材料的物理化学性质和纳米生物相互作用中起着关键作用。然而，实现对这种纳米尺度表面结构的精确控制仍然具有挑战性，特别是对于具有多样成分和结构复杂性的多功能稀土基纳米颗粒。在此，我们报告了一种π-π共轭驱动的胶束反转策略，用于多功能合成稀土氧化物纳米颗粒，具有病毒状表面纳米拓扑和高度可调的成分，包括单组分、多组分和过渡金属掺杂变体。所得纳米颗粒具有可控的表面粗糙度和刺状突起，能够系统地探索纳米拓扑与</w:t>
      </w:r>
    </w:p>
    <w:p>
      <w:pPr>
        <w:spacing w:before="0" w:after="200" w:lineRule="auto" w:line="276"/>
      </w:pPr>
      <w:r>
        <w:rPr>
          <w:b/>
        </w:rPr>
        <w:t xml:space="preserve">Abstract (EN): </w:t>
      </w:r>
      <w:r>
        <w:t>Surface nanotopography plays a pivotal role in determining the physicochemical properties and nanobio interactions of nanomaterials. However, achieving precise control over such nanoscale surface architectures remains challenging, particularly for multifunctional rare-earth-based nanoparticles with diverse compositional and structural complexity. Here, we report a π-π conjugation-driven micelle inversion strategy for the versatile synthesis of rare-earth oxide nanoparticles featuring virus-like surface nanotopography and highly tunable compositions, including single-component, multicomponent, and transition metal-doped variants. The resulting nanoparticles possess controllable surface roughness and spike-like protrusions, enabling systematic exploration of the relationship between nanotopography and properties such as biointerfacing, catalytic activity, and therapeutic efficacy. As a proof-of-concept, virus-like mesoporous ceria nanoparticles (v-mCeO2) leverage their virus-like surface architecture to achieve enhanced cellular uptake, tissue penetration, and catalytic performance. These structural advantages, coupled with their intrinsic antioxidant activity, translate into significantly improved therapeutic outcomes in atopic dermatitis. This work establishes a general platform for constructing rare-earth nanomaterials with tailored surface morphologies, thereby optimizing their multifunctional performance.</w:t>
      </w:r>
    </w:p>
    <w:p>
      <w:pPr>
        <w:spacing w:before="120" w:after="120"/>
      </w:pPr>
      <w:r>
        <w:rPr>
          <w:sz w:val="18"/>
        </w:rPr>
        <w:t>——————————————————————————————————————————————————————————————————————</w:t>
      </w:r>
    </w:p>
    <w:p>
      <w:pPr>
        <w:spacing w:before="160" w:after="40" w:line="240" w:lineRule="auto"/>
      </w:pPr>
      <w:r>
        <w:rPr>
          <w:b/>
        </w:rPr>
        <w:t xml:space="preserve">[40] </w:t>
      </w:r>
      <w:hyperlink r:id="rId286">
        <w:r>
          <w:rPr>
            <w:color w:val="1155CC"/>
            <w:u w:val="single"/>
          </w:rPr>
          <w:t>能源系统灵活性提供和设计/操作对数据中心可靠性的定量影响及关键影响参数</w:t>
        </w:r>
      </w:hyperlink>
    </w:p>
    <w:p>
      <w:pPr>
        <w:spacing w:before="0" w:after="80"/>
      </w:pPr>
      <w:r>
        <w:rPr>
          <w:i/>
          <w:sz w:val="20"/>
        </w:rPr>
        <w:t>EN: Quantitative impacts of energy system flexibility provision and design/operation on data center reliability and the key influential parameters</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87">
        <w:r>
          <w:rPr>
            <w:color w:val="1155CC"/>
            <w:u w:val="single"/>
          </w:rPr>
          <w:t>基于资源禀赋差异的低碳转型区域适应性水电抽蓄协同规划：灵活性增强和效益评估</w:t>
        </w:r>
      </w:hyperlink>
    </w:p>
    <w:p>
      <w:pPr>
        <w:spacing w:before="0" w:after="80"/>
      </w:pPr>
      <w:r>
        <w:rPr>
          <w:i/>
          <w:sz w:val="20"/>
        </w:rPr>
        <w:t>EN: Regional adaptive hydropower-pumped storage collaborative planning for low-carbon transition: Flexibility enhancement and benefit evaluation based on resource endowment differences</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88">
        <w:r>
          <w:rPr>
            <w:color w:val="1155CC"/>
            <w:u w:val="single"/>
          </w:rPr>
          <w:t>灵活性驱动的分布式协调，用于多园区综合能源系统的主动配电网络低碳运行</w:t>
        </w:r>
      </w:hyperlink>
    </w:p>
    <w:p>
      <w:pPr>
        <w:spacing w:before="0" w:after="80"/>
      </w:pPr>
      <w:r>
        <w:rPr>
          <w:i/>
          <w:sz w:val="20"/>
        </w:rPr>
        <w:t>EN: Flexibility-driven distributed coordination for low-carbon operation of active distribution networks with multi-park integrated energy systems</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89">
        <w:r>
          <w:rPr>
            <w:color w:val="1155CC"/>
            <w:u w:val="single"/>
          </w:rPr>
          <w:t>基于多智能体强化学习的边缘-云环境中节能实时工作流调度</w:t>
        </w:r>
      </w:hyperlink>
    </w:p>
    <w:p>
      <w:pPr>
        <w:spacing w:before="0" w:after="80"/>
      </w:pPr>
      <w:r>
        <w:rPr>
          <w:i/>
          <w:sz w:val="20"/>
        </w:rPr>
        <w:t>EN: Energy-efficient real-time workflow scheduling in edge–cloud environments based on multi-agent reinforcement learning</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90">
        <w:r>
          <w:rPr>
            <w:color w:val="1155CC"/>
            <w:u w:val="single"/>
          </w:rPr>
          <w:t>快速且公正的太阳能转型的治理挑战</w:t>
        </w:r>
      </w:hyperlink>
    </w:p>
    <w:p>
      <w:pPr>
        <w:spacing w:before="0" w:after="80"/>
      </w:pPr>
      <w:r>
        <w:rPr>
          <w:i/>
          <w:sz w:val="20"/>
        </w:rPr>
        <w:t>EN: Governance challenges for a rapid and just solar energy transition</w:t>
      </w:r>
    </w:p>
    <w:p>
      <w:pPr>
        <w:spacing w:before="0" w:after="120"/>
      </w:pPr>
      <w:r>
        <w:rPr>
          <w:b/>
        </w:rPr>
        <w:t xml:space="preserve">Source: </w:t>
      </w:r>
      <w:r>
        <w:t>ScienceDirect Publication: Energy Policy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91">
        <w:r>
          <w:rPr>
            <w:color w:val="1155CC"/>
            <w:u w:val="single"/>
          </w:rPr>
          <w:t>气候风险与企业环境责任：能源转型政策的证据</w:t>
        </w:r>
      </w:hyperlink>
    </w:p>
    <w:p>
      <w:pPr>
        <w:spacing w:before="0" w:after="80"/>
      </w:pPr>
      <w:r>
        <w:rPr>
          <w:i/>
          <w:sz w:val="20"/>
        </w:rPr>
        <w:t>EN: Climate risk and firm environmental accountability: Evidence for energy transition policy</w:t>
      </w:r>
    </w:p>
    <w:p>
      <w:pPr>
        <w:spacing w:before="0" w:after="120"/>
      </w:pPr>
      <w:r>
        <w:rPr>
          <w:b/>
        </w:rPr>
        <w:t xml:space="preserve">Source: </w:t>
      </w:r>
      <w:r>
        <w:t>ScienceDirect Publication: Energy Policy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92">
        <w:r>
          <w:rPr>
            <w:color w:val="1155CC"/>
            <w:u w:val="single"/>
          </w:rPr>
          <w:t>能源贫困动态与地缘战略冲击：金融市场的调节</w:t>
        </w:r>
      </w:hyperlink>
    </w:p>
    <w:p>
      <w:pPr>
        <w:spacing w:before="0" w:after="80"/>
      </w:pPr>
      <w:r>
        <w:rPr>
          <w:i/>
          <w:sz w:val="20"/>
        </w:rPr>
        <w:t>EN: Energy poverty dynamics and geostrategic shocks: Moderation of financial markets</w:t>
      </w:r>
    </w:p>
    <w:p>
      <w:pPr>
        <w:spacing w:before="0" w:after="120"/>
      </w:pPr>
      <w:r>
        <w:rPr>
          <w:b/>
        </w:rPr>
        <w:t xml:space="preserve">Source: </w:t>
      </w:r>
      <w:r>
        <w:t>ScienceDirect Publication: Energy Policy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93">
        <w:r>
          <w:rPr>
            <w:color w:val="1155CC"/>
            <w:u w:val="single"/>
          </w:rPr>
          <w:t>欧洲可再生能源载体进口的多目标供应链优化</w:t>
        </w:r>
      </w:hyperlink>
    </w:p>
    <w:p>
      <w:pPr>
        <w:spacing w:before="0" w:after="80"/>
      </w:pPr>
      <w:r>
        <w:rPr>
          <w:i/>
          <w:sz w:val="20"/>
        </w:rPr>
        <w:t>EN: Multi-objective supply chain optimization of renewable energy carrier imports for Europe</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94">
        <w:r>
          <w:rPr>
            <w:color w:val="1155CC"/>
            <w:u w:val="single"/>
          </w:rPr>
          <w:t>风力涡轮机的计算流体动力学和数字孪生：综述</w:t>
        </w:r>
      </w:hyperlink>
    </w:p>
    <w:p>
      <w:pPr>
        <w:spacing w:before="0" w:after="80"/>
      </w:pPr>
      <w:r>
        <w:rPr>
          <w:i/>
          <w:sz w:val="20"/>
        </w:rPr>
        <w:t>EN: Computational fluid dynamics and digital twins for wind turbines: A review</w:t>
      </w:r>
    </w:p>
    <w:p>
      <w:pPr>
        <w:spacing w:before="0" w:after="120"/>
      </w:pPr>
      <w:r>
        <w:rPr>
          <w:b/>
        </w:rPr>
        <w:t xml:space="preserve">Source: </w:t>
      </w:r>
      <w:r>
        <w:t>ScienceDirect Publication: Applied Energy</w:t>
      </w:r>
      <w:r>
        <w:t xml:space="preserve">    </w:t>
      </w:r>
      <w:r>
        <w:rPr>
          <w:b/>
        </w:rPr>
        <w:t xml:space="preserve">Pub date: </w:t>
      </w:r>
      <w:r>
        <w:t>2026-04-19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95">
        <w:r>
          <w:rPr>
            <w:color w:val="1155CC"/>
            <w:u w:val="single"/>
          </w:rPr>
          <w:t>[ASAP] 通过钯-胶束协同作用获取长寿命、高稳定性无膦配体钯氢化物</w:t>
        </w:r>
      </w:hyperlink>
    </w:p>
    <w:p>
      <w:pPr>
        <w:spacing w:before="0" w:after="80"/>
      </w:pPr>
      <w:r>
        <w:rPr>
          <w:i/>
          <w:sz w:val="20"/>
        </w:rPr>
        <w:t>EN: [ASAP] Accessing Long-Lived, Highly Stable Phosphine-Ligand-Free Palladium Hydrides via Palladium–Micelle Synergy</w:t>
      </w:r>
    </w:p>
    <w:p>
      <w:pPr>
        <w:spacing w:before="0" w:after="120"/>
      </w:pPr>
      <w:r>
        <w:rPr>
          <w:b/>
        </w:rPr>
        <w:t xml:space="preserve">Source: </w:t>
      </w:r>
      <w:r>
        <w:t>Journal of the American Chemical Society: Latest Articles (ACS Publications)</w:t>
      </w:r>
      <w:r>
        <w:t xml:space="preserve">    </w:t>
      </w:r>
      <w:r>
        <w:rPr>
          <w:b/>
        </w:rPr>
        <w:t xml:space="preserve">Pub date: </w:t>
      </w:r>
      <w:r>
        <w:t>2026-04-19 16:35:09+00:00</w:t>
      </w:r>
      <w:r>
        <w:t xml:space="preserve">    </w:t>
      </w:r>
      <w:r>
        <w:rPr>
          <w:b/>
        </w:rPr>
        <w:t xml:space="preserve">DOI: </w:t>
      </w:r>
      <w:hyperlink r:id="rId296">
        <w:r>
          <w:rPr>
            <w:color w:val="1155CC"/>
            <w:u w:val="single"/>
          </w:rPr>
          <w:t>10.1021/jacs.6c02702</w:t>
        </w:r>
      </w:hyperlink>
    </w:p>
    <w:p>
      <w:pPr>
        <w:spacing w:before="0" w:after="120"/>
      </w:pPr>
      <w:r>
        <w:rPr>
          <w:b/>
        </w:rPr>
        <w:t xml:space="preserve">Notes: </w:t>
      </w:r>
      <w:r>
        <w:t>abstract_source=pubmed</w:t>
      </w:r>
    </w:p>
    <w:p>
      <w:pPr>
        <w:spacing w:before="0" w:after="80" w:lineRule="auto" w:line="276"/>
      </w:pPr>
      <w:r>
        <w:rPr>
          <w:b/>
        </w:rPr>
        <w:t xml:space="preserve">摘要（ZH）: </w:t>
      </w:r>
      <w:r>
        <w:t>钯氢化物（PdHx）在氢转移化学中具有重要意义，但其在水和空气中的长期不稳定性以及对强配体的依赖性限制了其实际应用。在此，我们报告了一种动态胶束支持的稳定PdHx纳米颗粒，这些纳米颗粒可以在非离子胶束中轻松生成和悬浮。该合成过程使用Pd(OAc)2作为钯前体，MeMgBr作为还原剂，表面活性剂PS-750-M作为屏蔽非离子胶束，水作为分散介质。这些富含氢化物的纳米相在空气饱和的湿气中可持续存在超过1年，克服了此类金属氢化物在质子介质中的典型脆弱性。胶束结构提供了疏水隔间，保护PdHx免受质子诱导的分解。</w:t>
      </w:r>
    </w:p>
    <w:p>
      <w:pPr>
        <w:spacing w:before="0" w:after="200" w:lineRule="auto" w:line="276"/>
      </w:pPr>
      <w:r>
        <w:rPr>
          <w:b/>
        </w:rPr>
        <w:t xml:space="preserve">Abstract (EN): </w:t>
      </w:r>
      <w:r>
        <w:t>Palladium hydrides (PdHx) are significant to hydrogen-transfer chemistry, yet their prolonged aqueous and air instability as well as their reliance on strong ligands for stabilization have limited their practical applications. Herein, we report dynamic micelle-enabled stable PdHx nanoparticles that are readily generated and suspended within nonionic micelles. This synthesis process employs Pd(OAc)2 as the Pd precursor, MeMgBr as the reductant, amphiphile PS-750-M as shielding nonionic micelles, and water as the dispersion medium. These hydride-rich nanophases persist for more than 1 year in air-saturated moisture, overcoming the canonical fragility of such metal hydrides in protic media. The micellar architecture provides hydrophobic compartments that shield PdHx from proton-induced decomposition while maintaining access to H2 and substrate for catalysis. These hydrides were found to be basic in nature, as evidenced by external base-free catalytic detriflation, a transformation otherwise known to generate triflic acid in situ. Pd K-edge X-ray absorption and 1H nuclear magnetic resonance spectroscopy confirm the presence of persistent PdHx species. The long-term stability and catalytic activity of these PdHx@micelles are significant for materials chemistry and catalysis.</w:t>
      </w:r>
    </w:p>
    <w:p>
      <w:pPr>
        <w:spacing w:before="120" w:after="120"/>
      </w:pPr>
      <w:r>
        <w:rPr>
          <w:sz w:val="18"/>
        </w:rPr>
        <w:t>——————————————————————————————————————————————————————————————————————</w:t>
      </w:r>
    </w:p>
    <w:p>
      <w:pPr>
        <w:spacing w:before="160" w:after="40" w:line="240" w:lineRule="auto"/>
      </w:pPr>
      <w:r>
        <w:rPr>
          <w:b/>
        </w:rPr>
        <w:t xml:space="preserve">[50] </w:t>
      </w:r>
      <w:hyperlink r:id="rId297">
        <w:r>
          <w:rPr>
            <w:color w:val="1155CC"/>
            <w:u w:val="single"/>
          </w:rPr>
          <w:t>[ASAP] OptoChaperone─一种用于调节细胞和体外蛋白质凝聚体的生物混合工具</w:t>
        </w:r>
      </w:hyperlink>
    </w:p>
    <w:p>
      <w:pPr>
        <w:spacing w:before="0" w:after="80"/>
      </w:pPr>
      <w:r>
        <w:rPr>
          <w:i/>
          <w:sz w:val="20"/>
        </w:rPr>
        <w:t>EN: [ASAP] OptoChaperone─A Biohybrid Tool for Regulating Protein Condensates in Cells and In Vitro</w:t>
      </w:r>
    </w:p>
    <w:p>
      <w:pPr>
        <w:spacing w:before="0" w:after="120"/>
      </w:pPr>
      <w:r>
        <w:rPr>
          <w:b/>
        </w:rPr>
        <w:t xml:space="preserve">Source: </w:t>
      </w:r>
      <w:r>
        <w:t>Journal of the American Chemical Society: Latest Articles (ACS Publications)</w:t>
      </w:r>
      <w:r>
        <w:t xml:space="preserve">    </w:t>
      </w:r>
      <w:r>
        <w:rPr>
          <w:b/>
        </w:rPr>
        <w:t xml:space="preserve">Pub date: </w:t>
      </w:r>
      <w:r>
        <w:t>2026-04-19 17:00:07+00:00</w:t>
      </w:r>
      <w:r>
        <w:t xml:space="preserve">    </w:t>
      </w:r>
      <w:r>
        <w:rPr>
          <w:b/>
        </w:rPr>
        <w:t xml:space="preserve">DOI: </w:t>
      </w:r>
      <w:hyperlink r:id="rId298">
        <w:r>
          <w:rPr>
            <w:color w:val="1155CC"/>
            <w:u w:val="single"/>
          </w:rPr>
          <w:t>10.1021/jacs.6c04074</w:t>
        </w:r>
      </w:hyperlink>
    </w:p>
    <w:p>
      <w:pPr>
        <w:spacing w:before="0" w:after="120"/>
      </w:pPr>
      <w:r>
        <w:rPr>
          <w:b/>
        </w:rPr>
        <w:t xml:space="preserve">Notes: </w:t>
      </w:r>
      <w:r>
        <w:t>abstract_source=pubmed</w:t>
      </w:r>
    </w:p>
    <w:p>
      <w:pPr>
        <w:spacing w:before="0" w:after="80" w:lineRule="auto" w:line="276"/>
      </w:pPr>
      <w:r>
        <w:rPr>
          <w:b/>
        </w:rPr>
        <w:t xml:space="preserve">摘要（ZH）: </w:t>
      </w:r>
      <w:r>
        <w:t>通过液-液相分离（LLPS）形成的蛋白质凝聚体越来越被认为是多种细胞过程中的关键参与者，包括与疾病相关的过程。尽管对其形成和功能进行了广泛研究，但能够精确、可逆和时空控制LLPS的工具仍然有限。在此，我们报告了一种名为OptoChaperone的光激活分子系统，旨在操控体外和活细胞中的蛋白质凝聚体。该生物混合系统利用光响应开关来控制伴侣蛋白活性：蓝光触发抑制功能，导致蛋白质凝聚体溶解，而紫外光则使系统失活，允许凝聚体形成。我们展示了OptoChaperone在重建中的有效性。</w:t>
      </w:r>
    </w:p>
    <w:p>
      <w:pPr>
        <w:spacing w:before="0" w:after="200" w:lineRule="auto" w:line="276"/>
      </w:pPr>
      <w:r>
        <w:rPr>
          <w:b/>
        </w:rPr>
        <w:t xml:space="preserve">Abstract (EN): </w:t>
      </w:r>
      <w:r>
        <w:t>Protein condensates formed via liquid-liquid phase separation (LLPS) are increasingly recognized as key players in diverse cellular processes, including those associated with disease. Despite extensive efforts to characterize their formation and function, tools that enable precise, reversible, and spatiotemporal control of LLPS remain limited. Here, we report OptoChaperone, a light-activatable molecular system designed to manipulate protein condensates both in vitro and in living cells. This biohybrid system leverages photoresponsive switching to control chaperone activity: blue light triggers the suppressive function, leading to the dissolution of protein condensates, whereas UV light deactivates the system, allowing condensate formation. We demonstrate the efficacy of OptoChaperone in regulating several disease-related protein condensates, such as fused in sarcoma, TAR DNA-binding protein 43, and heat shock factor 1. Importantly, the system exhibits reversible and robust control over droplet dynamics without requiring chemical additives or genetic modifications of the client proteins. Given the reversibility and efficiency of OptoChaperone in the manipulation of protein condensates, this tool offers a powerful platform for dissecting the roles of protein condensation in cellular physiology and pathology. This strategy also holds potential for broader applications in synthetic biology, biomolecular engineering, and therapeutic modulation of aberrant phase separation.</w:t>
      </w:r>
    </w:p>
    <w:p>
      <w:pPr>
        <w:spacing w:before="120" w:after="120"/>
      </w:pPr>
      <w:r>
        <w:rPr>
          <w:sz w:val="18"/>
        </w:rPr>
        <w:t>——————————————————————————————————————————————————————————————————————</w:t>
      </w:r>
    </w:p>
    <w:p>
      <w:pPr>
        <w:spacing w:before="160" w:after="40" w:line="240" w:lineRule="auto"/>
      </w:pPr>
      <w:r>
        <w:rPr>
          <w:b/>
        </w:rPr>
        <w:t xml:space="preserve">[51] </w:t>
      </w:r>
      <w:hyperlink r:id="rId299">
        <w:r>
          <w:rPr>
            <w:color w:val="1155CC"/>
            <w:u w:val="single"/>
          </w:rPr>
          <w:t>[ASAP] 通过溴化物自由基介导的过程进行阳光驱动的烯烃环氧化</w:t>
        </w:r>
      </w:hyperlink>
    </w:p>
    <w:p>
      <w:pPr>
        <w:spacing w:before="0" w:after="80"/>
      </w:pPr>
      <w:r>
        <w:rPr>
          <w:i/>
          <w:sz w:val="20"/>
        </w:rPr>
        <w:t>EN: [ASAP] Sunlight-Driven Olefin Epoxidation via a Bromide Radical-Mediated Process</w:t>
      </w:r>
    </w:p>
    <w:p>
      <w:pPr>
        <w:spacing w:before="0" w:after="120"/>
      </w:pPr>
      <w:r>
        <w:rPr>
          <w:b/>
        </w:rPr>
        <w:t xml:space="preserve">Source: </w:t>
      </w:r>
      <w:r>
        <w:t>Journal of the American Chemical Society: Latest Articles (ACS Publications)</w:t>
      </w:r>
      <w:r>
        <w:t xml:space="preserve">    </w:t>
      </w:r>
      <w:r>
        <w:rPr>
          <w:b/>
        </w:rPr>
        <w:t xml:space="preserve">Pub date: </w:t>
      </w:r>
      <w:r>
        <w:t>2026-04-19 19:47:32+00:00</w:t>
      </w:r>
      <w:r>
        <w:t xml:space="preserve">    </w:t>
      </w:r>
      <w:r>
        <w:rPr>
          <w:b/>
        </w:rPr>
        <w:t xml:space="preserve">DOI: </w:t>
      </w:r>
      <w:hyperlink r:id="rId300">
        <w:r>
          <w:rPr>
            <w:color w:val="1155CC"/>
            <w:u w:val="single"/>
          </w:rPr>
          <w:t>10.1021/jacs.6c03836</w:t>
        </w:r>
      </w:hyperlink>
    </w:p>
    <w:p>
      <w:pPr>
        <w:spacing w:before="0" w:after="120"/>
      </w:pPr>
      <w:r>
        <w:rPr>
          <w:b/>
        </w:rPr>
        <w:t xml:space="preserve">Notes: </w:t>
      </w:r>
      <w:r>
        <w:t>abstract_source=pubmed</w:t>
      </w:r>
    </w:p>
    <w:p>
      <w:pPr>
        <w:spacing w:before="0" w:after="80" w:lineRule="auto" w:line="276"/>
      </w:pPr>
      <w:r>
        <w:rPr>
          <w:b/>
        </w:rPr>
        <w:t xml:space="preserve">摘要（ZH）: </w:t>
      </w:r>
      <w:r>
        <w:t>环氧化物已广泛应用于日用化学和塑料工业。然而，作为一种主流的环氧化物生产方法，使用O2直接氧化烯烃往往面临大量能耗和过多的CO2排放。在此，我们提供了一种通过光驱溴介导途径的烯烃环氧化策略，该策略对烯烃底物具有广泛的扩展性，包括线性烯烃、环状烯烃和芳香烯烃。以乙烯环氧化为模型反应，在模拟阳光下，Pd3.91Au0.50/TiO2上实现了7.19 mmol g-1 h-1的高乙烯氧化物产率和90.3%的选择性。经过5天（40小时）的户外实验，通过自然阳光照射获得了862.9 mg的乙烯氧化物。机制研究表明</w:t>
      </w:r>
    </w:p>
    <w:p>
      <w:pPr>
        <w:spacing w:before="0" w:after="200" w:lineRule="auto" w:line="276"/>
      </w:pPr>
      <w:r>
        <w:rPr>
          <w:b/>
        </w:rPr>
        <w:t xml:space="preserve">Abstract (EN): </w:t>
      </w:r>
      <w:r>
        <w:t>Epoxides have been widely used in the daily chemical and plastics industries. However, as a mainstream epoxide production approach, the direct oxidation of olefins with O2 often suffers from extensive energy consumption and excessive CO2 emission. Here, we provide an olefin epoxidation strategy via a photodriven Br-mediated pathway, which exhibits a broad range of extension to olefin substrates, including linear alkenes, cyclic olefins, and aromatic olefins. Employing ethylene epoxidation as a model reaction, a high ethylene oxide yield rate of 7.19 mmol g-1 h-1 with a selectivity of 90.3% was achieved over Pd3.91Au0.50/TiO2 under simulated sunlight. After a 5-day (40 h) outdoor experiment, 862.9 mg of ethylene oxide was obtained by natural sunlight irradiation. Mechanism investigations confirmed that the photogenerated holes oxidized Br- into high-activity Br radicals over Pd3.91Au0.50/TiO2 that initiated the reaction. The alloying of Au and Pd modulated the adsorption capacity of Br and C2H4 species on Pd3.91Au0.50/TiO2 to promote 2-bromoethanol intermediate production, which further underwent spontaneous cyclization into ethylene oxide under NaOH supply.</w:t>
      </w:r>
    </w:p>
    <w:p>
      <w:pPr>
        <w:spacing w:before="120" w:after="120"/>
      </w:pPr>
      <w:r>
        <w:rPr>
          <w:sz w:val="18"/>
        </w:rPr>
        <w:t>——————————————————————————————————————————————————————————————————————</w:t>
      </w:r>
    </w:p>
    <w:p>
      <w:pPr>
        <w:spacing w:before="160" w:after="40" w:line="240" w:lineRule="auto"/>
      </w:pPr>
      <w:r>
        <w:rPr>
          <w:b/>
        </w:rPr>
        <w:t xml:space="preserve">[52] </w:t>
      </w:r>
      <w:hyperlink r:id="rId301">
        <w:r>
          <w:rPr>
            <w:color w:val="1155CC"/>
            <w:u w:val="single"/>
          </w:rPr>
          <w:t>可充电电池中的铁电材料</w:t>
        </w:r>
      </w:hyperlink>
    </w:p>
    <w:p>
      <w:pPr>
        <w:spacing w:before="0" w:after="80"/>
      </w:pPr>
      <w:r>
        <w:rPr>
          <w:i/>
          <w:sz w:val="20"/>
        </w:rPr>
        <w:t>EN: Ferroelectric materials in rechargeable batteries</w:t>
      </w:r>
    </w:p>
    <w:p>
      <w:pPr>
        <w:spacing w:before="0" w:after="120"/>
      </w:pPr>
      <w:r>
        <w:rPr>
          <w:b/>
        </w:rPr>
        <w:t xml:space="preserve">Source: </w:t>
      </w:r>
      <w:r>
        <w:t>RSC - Chem. Soc. Rev. latest articles</w:t>
      </w:r>
      <w:r>
        <w:t xml:space="preserve">    </w:t>
      </w:r>
      <w:r>
        <w:rPr>
          <w:b/>
        </w:rPr>
        <w:t xml:space="preserve">Pub date: </w:t>
      </w:r>
      <w:r>
        <w:t>2026-04-19 23:00:00+00:00</w:t>
      </w:r>
    </w:p>
    <w:p>
      <w:pPr>
        <w:spacing w:before="0" w:after="120"/>
      </w:pPr>
      <w:r>
        <w:rPr>
          <w:b/>
        </w:rPr>
        <w:t xml:space="preserve">Notes: </w:t>
      </w:r>
      <w:r>
        <w:t>abstract_source=rsc_html</w:t>
      </w:r>
    </w:p>
    <w:p>
      <w:pPr>
        <w:spacing w:before="0" w:after="80" w:lineRule="auto" w:line="276"/>
      </w:pPr>
      <w:r>
        <w:rPr>
          <w:b/>
        </w:rPr>
        <w:t xml:space="preserve">摘要（ZH）: </w:t>
      </w:r>
      <w:r>
        <w:t>高比能可充电电池的追求越来越受到持续的电极极化、界面不稳定性和寄生副反应的阻碍，这些问题是传统材料设计在各种电池化学（如锂电池和非锂电池）中难以解决的。这些挑战要求材料能够在现实操作条件下积极调节电化学环境。铁电材料以可切换的自发极化、内在偶极不对称性和强多场耦合为特征，代表了一类根本不同的电池系统功能材料。与仅依赖于静态化学成分或结构增强不同，铁电体引入了动态</w:t>
      </w:r>
    </w:p>
    <w:p>
      <w:pPr>
        <w:spacing w:before="0" w:after="200" w:lineRule="auto" w:line="276"/>
      </w:pPr>
      <w:r>
        <w:rPr>
          <w:b/>
        </w:rPr>
        <w:t xml:space="preserve">Abstract (EN): </w:t>
      </w:r>
      <w:r>
        <w:t>The pursuit of high-specific-energy rechargeable batteries is increasingly hindered by persistent electrode polarization, interfacial instability, and parasitic side reactions that conventional material designs struggle to address across diverse battery chemistries (such as lithium batteries and non-lithium batteries). These challenges call for materials capable of actively regulating electrochemical environments under realistic operating conditions. Ferroelectric materials, characterized by switchable spontaneous polarization, intrinsic dipolar asymmetry, and strong multi-field coupling, represent a fundamentally distinct class of functional materials for battery systems. Rather than relying solely on static chemical composition or structural reinforcement, ferroelectrics introduce dynamically build-in electric fields that reshape ion transport behavior, redistribute interfacial charge, and modify reaction energetics throughout the battery architecture. In this review, we first outline the historical development and fundamental physical principles of ferroelectric materials, establishing the theoretical basis for their functionality in electrochemical systems. We then examine how polarization-driven effects manifest differently when ferroelectrics are integrated into a variety of battery components. Within electrodes, polarization can influence ion flux and alleviate concentration gradients; at reactive metal/electrolyte interfaces, dipole-induced charge redistribution helps stabilize interfacial chemistry; and within solid or quasi-solid electrolytes, polarization-modified space-charge structures can alter transport kinetics and interfacial resistance. From the cross-system and cross-component perspectives, we summarize chemistry-specific and architecture-aware design principles for ferroelectric materials in practical battery environments. Finally, we identify key mechanistic bottlenecks and future research directions, outlining pathways toward the rational deployment of ferroelectric-enabled strategies for safe, durable, and high-energy-density rechargeable batteries.</w:t>
      </w:r>
    </w:p>
    <w:p>
      <w:pPr>
        <w:spacing w:before="120" w:after="120"/>
      </w:pPr>
      <w:r>
        <w:rPr>
          <w:sz w:val="18"/>
        </w:rPr>
        <w:t>——————————————————————————————————————————————————————————————————————</w:t>
      </w:r>
    </w:p>
    <w:p>
      <w:pPr>
        <w:spacing w:before="160" w:after="40" w:line="240" w:lineRule="auto"/>
      </w:pPr>
      <w:r>
        <w:rPr>
          <w:b/>
        </w:rPr>
        <w:t xml:space="preserve">[53] </w:t>
      </w:r>
      <w:hyperlink r:id="rId302">
        <w:r>
          <w:rPr>
            <w:color w:val="1155CC"/>
            <w:u w:val="single"/>
          </w:rPr>
          <w:t>非异氰酸酯聚氨酯泡沫：我们现状如何，接下来会怎样？</w:t>
        </w:r>
      </w:hyperlink>
    </w:p>
    <w:p>
      <w:pPr>
        <w:spacing w:before="0" w:after="80"/>
      </w:pPr>
      <w:r>
        <w:rPr>
          <w:i/>
          <w:sz w:val="20"/>
        </w:rPr>
        <w:t>EN: Non-isocyanate polyurethane foams: where we stand and what comes next?</w:t>
      </w:r>
    </w:p>
    <w:p>
      <w:pPr>
        <w:spacing w:before="0" w:after="120"/>
      </w:pPr>
      <w:r>
        <w:rPr>
          <w:b/>
        </w:rPr>
        <w:t xml:space="preserve">Source: </w:t>
      </w:r>
      <w:r>
        <w:t>RSC - Chem. Soc. Rev. latest articles</w:t>
      </w:r>
      <w:r>
        <w:t xml:space="preserve">    </w:t>
      </w:r>
      <w:r>
        <w:rPr>
          <w:b/>
        </w:rPr>
        <w:t xml:space="preserve">Pub date: </w:t>
      </w:r>
      <w:r>
        <w:t>2026-04-19 23:00:00+00:00</w:t>
      </w:r>
    </w:p>
    <w:p>
      <w:pPr>
        <w:spacing w:before="0" w:after="120"/>
      </w:pPr>
      <w:r>
        <w:rPr>
          <w:b/>
        </w:rPr>
        <w:t xml:space="preserve">Notes: </w:t>
      </w:r>
      <w:r>
        <w:t>abstract_source=rsc_html</w:t>
      </w:r>
    </w:p>
    <w:p>
      <w:pPr>
        <w:spacing w:before="0" w:after="80" w:lineRule="auto" w:line="276"/>
      </w:pPr>
      <w:r>
        <w:rPr>
          <w:b/>
        </w:rPr>
        <w:t xml:space="preserve">摘要（ZH）: </w:t>
      </w:r>
      <w:r>
        <w:t>聚氨酯泡沫的利益相关者目前面临严格的监管限制，例如REACH法规限制异氰酸酯的使用，以及日益增加的环境压力要求使用更可持续的材料。这一双重挑战迫使学术界和工业界创新并重新设计传统的PU化学和发泡工艺，朝向非异氰酸酯解决方案，同时整合生态设计原则以增强可回收性和循环性。本教程综述总结了生产非异氰酸酯聚氨酯（NIPUs）的合成策略的最新进展，特别关注发泡概念，这在过去五年中发展迅速。通过化学分解或物理手段的终端管理解决方案正在出现——</w:t>
      </w:r>
    </w:p>
    <w:p>
      <w:pPr>
        <w:spacing w:before="0" w:after="200" w:lineRule="auto" w:line="276"/>
      </w:pPr>
      <w:r>
        <w:rPr>
          <w:b/>
        </w:rPr>
        <w:t xml:space="preserve">Abstract (EN): </w:t>
      </w:r>
      <w:r>
        <w:t>Polyurethane foam stakeholders are currently facing stringent regulatory constraints, such as the REACH regulation restricting the use of isocyanates and increasing environmental pressures calling for more sustainable materials. This dual challenge compels both academia and industry to innovate and redesign conventional PU chemistry and foaming toward non-isocyanate solutions while integrating eco-design principles to enhance recyclability and circularity. This tutorial review summarizes the current advances in synthetic strategies for producing non-isocyanate polyurethanes (NIPUs), with a particular focus on foaming concepts, which have witnessed a significant acceleration in development over the last five years. Emerging end-of-life management solutions via chemolysis or physical means – exploiting covalent adaptable network features – and applications of NIPU foams are also discussed. For each aspect, a comparative analysis between conventional PU and NIPU highlights the remaining technological, environmental and economic challenges that must be addressed to achieve competitive, scalable, and sustainable NIPU foams.</w:t>
      </w:r>
    </w:p>
    <w:p>
      <w:pPr>
        <w:spacing w:before="120" w:after="120"/>
      </w:pPr>
      <w:r>
        <w:rPr>
          <w:sz w:val="18"/>
        </w:rPr>
        <w:t>——————————————————————————————————————————————————————————————————————</w:t>
      </w:r>
    </w:p>
    <w:p>
      <w:pPr>
        <w:spacing w:before="160" w:after="40" w:line="240" w:lineRule="auto"/>
      </w:pPr>
      <w:r>
        <w:rPr>
          <w:b/>
        </w:rPr>
        <w:t xml:space="preserve">[54] </w:t>
      </w:r>
      <w:hyperlink r:id="rId303">
        <w:r>
          <w:rPr>
            <w:color w:val="1155CC"/>
            <w:u w:val="single"/>
          </w:rPr>
          <w:t>通过空间转录组学解析跨组织的亚细胞mRNA定位模式</w:t>
        </w:r>
      </w:hyperlink>
    </w:p>
    <w:p>
      <w:pPr>
        <w:spacing w:before="0" w:after="80"/>
      </w:pPr>
      <w:r>
        <w:rPr>
          <w:i/>
          <w:sz w:val="20"/>
        </w:rPr>
        <w:t>EN: Subcellular mRNA localization patterns across tissues resolved with spatial transcriptomics</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04">
        <w:r>
          <w:rPr>
            <w:color w:val="1155CC"/>
            <w:u w:val="single"/>
          </w:rPr>
          <w:t>10.1038/s41467-026-72156-7</w:t>
        </w:r>
      </w:hyperlink>
    </w:p>
    <w:p>
      <w:pPr>
        <w:spacing w:before="0" w:after="120"/>
      </w:pPr>
      <w:r>
        <w:rPr>
          <w:b/>
        </w:rPr>
        <w:t xml:space="preserve">Notes: </w:t>
      </w:r>
      <w:r>
        <w:t>abstract_source=nature_html</w:t>
      </w:r>
    </w:p>
    <w:p>
      <w:pPr>
        <w:spacing w:before="0" w:after="80" w:lineRule="auto" w:line="276"/>
      </w:pPr>
      <w:r>
        <w:rPr>
          <w:b/>
        </w:rPr>
        <w:t xml:space="preserve">摘要（ZH）: </w:t>
      </w:r>
      <w:r>
        <w:t>亚细胞RNA定位，包括在极化上皮中的核保留和顶-基底腔室化，在转录后调控中起着核心作用。然而，在完整组织切片中进行mRNA定位的高通量映射方法仍然有限。在此，我们应用高分辨率空间转录组学系统地解析不同哺乳动物组织中的细胞内mRNA定位。我们引入了一种计算方法，该方法利用图像衍生特征从空间数据中提取亚细胞信息并量化转录本定位模式。使用此框架，我们绘制了胃肠道上皮和肝脏肝细胞中的顶-基底mRNA定位和核保留。我们的分析揭示了保守的和组织特异性的</w:t>
      </w:r>
    </w:p>
    <w:p>
      <w:pPr>
        <w:spacing w:before="0" w:after="200" w:lineRule="auto" w:line="276"/>
      </w:pPr>
      <w:r>
        <w:rPr>
          <w:b/>
        </w:rPr>
        <w:t xml:space="preserve">Abstract (EN): </w:t>
      </w:r>
      <w:r>
        <w:t>Subcellular RNA localization, including nuclear retention and apical-basal compartmentalization in polarized epithelia plays a central role in post-transcriptional regulation. However, methods for high-throughput mapping of mRNA localization within intact tissue sections remain limited. Here, we apply high-resolution spatial transcriptomics to systematically resolve intracellular mRNA localization across diverse mammalian tissues. We introduce a computational approach that leverages image-derived features to extract subcellular information from spatial data and quantifies transcript localization patterns. Using this framework, we map apical-basal mRNA localization and nuclear retention in gastrointestinal epithelia and in liver hepatocytes. Our analyses reveal conserved and tissue-specific localization signatures. This approach broadens the scope of spatial transcriptomics by enabling routine investigation of intracellular RNA distributions in both healthy and diseased tissues.</w:t>
      </w:r>
    </w:p>
    <w:p>
      <w:pPr>
        <w:spacing w:before="120" w:after="120"/>
      </w:pPr>
      <w:r>
        <w:rPr>
          <w:sz w:val="18"/>
        </w:rPr>
        <w:t>——————————————————————————————————————————————————————————————————————</w:t>
      </w:r>
    </w:p>
    <w:p>
      <w:pPr>
        <w:spacing w:before="160" w:after="40" w:line="240" w:lineRule="auto"/>
      </w:pPr>
      <w:r>
        <w:rPr>
          <w:b/>
        </w:rPr>
        <w:t xml:space="preserve">[55] </w:t>
      </w:r>
      <w:hyperlink r:id="rId305">
        <w:r>
          <w:rPr>
            <w:color w:val="1155CC"/>
            <w:u w:val="single"/>
          </w:rPr>
          <w:t>作者更正：由于活动层变暖导致北极苔原的大量CO2和CH4排放</w:t>
        </w:r>
      </w:hyperlink>
    </w:p>
    <w:p>
      <w:pPr>
        <w:spacing w:before="0" w:after="80"/>
      </w:pPr>
      <w:r>
        <w:rPr>
          <w:i/>
          <w:sz w:val="20"/>
        </w:rPr>
        <w:t>EN: Author Correction: Large emissions of CO2 and CH4 due to active-layer warming in Arctic tundra</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06">
        <w:r>
          <w:rPr>
            <w:color w:val="1155CC"/>
            <w:u w:val="single"/>
          </w:rPr>
          <w:t>10.1038/s41467-026-72291-1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07">
        <w:r>
          <w:rPr>
            <w:color w:val="1155CC"/>
            <w:u w:val="single"/>
          </w:rPr>
          <w:t>细胞设定尺度</w:t>
        </w:r>
      </w:hyperlink>
    </w:p>
    <w:p>
      <w:pPr>
        <w:spacing w:before="0" w:after="80"/>
      </w:pPr>
      <w:r>
        <w:rPr>
          <w:i/>
          <w:sz w:val="20"/>
        </w:rPr>
        <w:t>EN: Cells set the scale</w:t>
      </w:r>
    </w:p>
    <w:p>
      <w:pPr>
        <w:spacing w:before="0" w:after="120"/>
      </w:pPr>
      <w:r>
        <w:rPr>
          <w:b/>
        </w:rPr>
        <w:t xml:space="preserve">Source: </w:t>
      </w:r>
      <w:r>
        <w:t>Nature Chemical Engineering</w:t>
      </w:r>
      <w:r>
        <w:t xml:space="preserve">    </w:t>
      </w:r>
      <w:r>
        <w:rPr>
          <w:b/>
        </w:rPr>
        <w:t xml:space="preserve">Pub date: </w:t>
      </w:r>
      <w:r>
        <w:t>2026-04-20 00:00:00+00:00</w:t>
      </w:r>
      <w:r>
        <w:t xml:space="preserve">    </w:t>
      </w:r>
      <w:r>
        <w:rPr>
          <w:b/>
        </w:rPr>
        <w:t xml:space="preserve">DOI: </w:t>
      </w:r>
      <w:hyperlink r:id="rId308">
        <w:r>
          <w:rPr>
            <w:color w:val="1155CC"/>
            <w:u w:val="single"/>
          </w:rPr>
          <w:t>10.1038/s44286-026-00385-0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309">
        <w:r>
          <w:rPr>
            <w:color w:val="1155CC"/>
            <w:u w:val="single"/>
          </w:rPr>
          <w:t>非洲洞穴中的“蝙蝠盛宴”动物视频提供了致命病毒传播的线索</w:t>
        </w:r>
      </w:hyperlink>
    </w:p>
    <w:p>
      <w:pPr>
        <w:spacing w:before="0" w:after="80"/>
      </w:pPr>
      <w:r>
        <w:rPr>
          <w:i/>
          <w:sz w:val="20"/>
        </w:rPr>
        <w:t>EN: ‘Bat feast’ animal videos at African cave offer clues to how deadly viruses spread</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10">
        <w:r>
          <w:rPr>
            <w:color w:val="1155CC"/>
            <w:u w:val="single"/>
          </w:rPr>
          <w:t>10.1038/d41586-026-01259-4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311">
        <w:r>
          <w:rPr>
            <w:color w:val="1155CC"/>
            <w:u w:val="single"/>
          </w:rPr>
          <w:t>关于使用氧化石墨烯电极解释星形胶质细胞钙信号的研究</w:t>
        </w:r>
      </w:hyperlink>
    </w:p>
    <w:p>
      <w:pPr>
        <w:spacing w:before="0" w:after="80"/>
      </w:pPr>
      <w:r>
        <w:rPr>
          <w:i/>
          <w:sz w:val="20"/>
        </w:rPr>
        <w:t>EN: On the interpretation of astrocytic calcium signalling with graphene oxide electrodes</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312">
        <w:r>
          <w:rPr>
            <w:color w:val="1155CC"/>
            <w:u w:val="single"/>
          </w:rPr>
          <w:t>10.1038/s41565-026-02144-x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313">
        <w:r>
          <w:rPr>
            <w:color w:val="1155CC"/>
            <w:u w:val="single"/>
          </w:rPr>
          <w:t>回复：关于使用氧化石墨烯电极解释星形胶质细胞钙信号的研究</w:t>
        </w:r>
      </w:hyperlink>
    </w:p>
    <w:p>
      <w:pPr>
        <w:spacing w:before="0" w:after="80"/>
      </w:pPr>
      <w:r>
        <w:rPr>
          <w:i/>
          <w:sz w:val="20"/>
        </w:rPr>
        <w:t>EN: Reply to: On the interpretation of astrocytic calcium signalling with graphene oxide electrodes</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314">
        <w:r>
          <w:rPr>
            <w:color w:val="1155CC"/>
            <w:u w:val="single"/>
          </w:rPr>
          <w:t>10.1038/s41565-026-02145-w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15">
        <w:r>
          <w:rPr>
            <w:color w:val="1155CC"/>
            <w:u w:val="single"/>
          </w:rPr>
          <w:t>作者更正：基于历史国家经验的全球风能和太阳能增长的概率预测</w:t>
        </w:r>
      </w:hyperlink>
    </w:p>
    <w:p>
      <w:pPr>
        <w:spacing w:before="0" w:after="80"/>
      </w:pPr>
      <w:r>
        <w:rPr>
          <w:i/>
          <w:sz w:val="20"/>
        </w:rPr>
        <w:t>EN: Author Correction: Probabilistic projections of global wind and solar power growth based on historical national experience</w:t>
      </w:r>
    </w:p>
    <w:p>
      <w:pPr>
        <w:spacing w:before="0" w:after="120"/>
      </w:pPr>
      <w:r>
        <w:rPr>
          <w:b/>
        </w:rPr>
        <w:t xml:space="preserve">Source: </w:t>
      </w:r>
      <w:r>
        <w:t>Nature Energy</w:t>
      </w:r>
      <w:r>
        <w:t xml:space="preserve">    </w:t>
      </w:r>
      <w:r>
        <w:rPr>
          <w:b/>
        </w:rPr>
        <w:t xml:space="preserve">Pub date: </w:t>
      </w:r>
      <w:r>
        <w:t>2026-04-20 00:00:00+00:00</w:t>
      </w:r>
      <w:r>
        <w:t xml:space="preserve">    </w:t>
      </w:r>
      <w:r>
        <w:rPr>
          <w:b/>
        </w:rPr>
        <w:t xml:space="preserve">DOI: </w:t>
      </w:r>
      <w:hyperlink r:id="rId316">
        <w:r>
          <w:rPr>
            <w:color w:val="1155CC"/>
            <w:u w:val="single"/>
          </w:rPr>
          <w:t>10.1038/s41560-026-02064-z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317">
        <w:r>
          <w:rPr>
            <w:color w:val="1155CC"/>
            <w:u w:val="single"/>
          </w:rPr>
          <w:t>当光的量子流体结晶时</w:t>
        </w:r>
      </w:hyperlink>
    </w:p>
    <w:p>
      <w:pPr>
        <w:spacing w:before="0" w:after="80"/>
      </w:pPr>
      <w:r>
        <w:rPr>
          <w:i/>
          <w:sz w:val="20"/>
        </w:rPr>
        <w:t>EN: When quantum fluids of light crystallize</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318">
        <w:r>
          <w:rPr>
            <w:color w:val="1155CC"/>
            <w:u w:val="single"/>
          </w:rPr>
          <w:t>10.1038/s41565-026-02163-8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319">
        <w:r>
          <w:rPr>
            <w:color w:val="1155CC"/>
            <w:u w:val="single"/>
          </w:rPr>
          <w:t>解冻的北极未来会怎样？</w:t>
        </w:r>
      </w:hyperlink>
    </w:p>
    <w:p>
      <w:pPr>
        <w:spacing w:before="0" w:after="80"/>
      </w:pPr>
      <w:r>
        <w:rPr>
          <w:i/>
          <w:sz w:val="20"/>
        </w:rPr>
        <w:t>EN: What does the future hold for the thawing Arctic?</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20">
        <w:r>
          <w:rPr>
            <w:color w:val="1155CC"/>
            <w:u w:val="single"/>
          </w:rPr>
          <w:t>10.1038/d41586-026-01258-5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321">
        <w:r>
          <w:rPr>
            <w:color w:val="1155CC"/>
            <w:u w:val="single"/>
          </w:rPr>
          <w:t>为什么电极学对未来能源技术至关重要</w:t>
        </w:r>
      </w:hyperlink>
    </w:p>
    <w:p>
      <w:pPr>
        <w:spacing w:before="0" w:after="80"/>
      </w:pPr>
      <w:r>
        <w:rPr>
          <w:i/>
          <w:sz w:val="20"/>
        </w:rPr>
        <w:t>EN: Why electrodics is essential for future energy technologies</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322">
        <w:r>
          <w:rPr>
            <w:color w:val="1155CC"/>
            <w:u w:val="single"/>
          </w:rPr>
          <w:t>10.1038/s41565-026-02166-5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323">
        <w:r>
          <w:rPr>
            <w:color w:val="1155CC"/>
            <w:u w:val="single"/>
          </w:rPr>
          <w:t>有漏洞吗？以下是如何捕捉科学软件中的错误</w:t>
        </w:r>
      </w:hyperlink>
    </w:p>
    <w:p>
      <w:pPr>
        <w:spacing w:before="0" w:after="80"/>
      </w:pPr>
      <w:r>
        <w:rPr>
          <w:i/>
          <w:sz w:val="20"/>
        </w:rPr>
        <w:t>EN: Got bugs? Here’s how to catch the errors in your scientific software</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24">
        <w:r>
          <w:rPr>
            <w:color w:val="1155CC"/>
            <w:u w:val="single"/>
          </w:rPr>
          <w:t>10.1038/d41586-026-01261-w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325">
        <w:r>
          <w:rPr>
            <w:color w:val="1155CC"/>
            <w:u w:val="single"/>
          </w:rPr>
          <w:t>禁止人类：科学AI代理拥有自己的社交网络</w:t>
        </w:r>
      </w:hyperlink>
    </w:p>
    <w:p>
      <w:pPr>
        <w:spacing w:before="0" w:after="80"/>
      </w:pPr>
      <w:r>
        <w:rPr>
          <w:i/>
          <w:sz w:val="20"/>
        </w:rPr>
        <w:t>EN: No humans allowed: scientific AI agents get their own social network</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26">
        <w:r>
          <w:rPr>
            <w:color w:val="1155CC"/>
            <w:u w:val="single"/>
          </w:rPr>
          <w:t>10.1038/d41586-026-01278-1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327">
        <w:r>
          <w:rPr>
            <w:color w:val="1155CC"/>
            <w:u w:val="single"/>
          </w:rPr>
          <w:t>逐步指南：如何成功获得终身教职晋升</w:t>
        </w:r>
      </w:hyperlink>
    </w:p>
    <w:p>
      <w:pPr>
        <w:spacing w:before="0" w:after="80"/>
      </w:pPr>
      <w:r>
        <w:rPr>
          <w:i/>
          <w:sz w:val="20"/>
        </w:rPr>
        <w:t>EN: A step-by-step guide to nailing your tenure promotion package</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28">
        <w:r>
          <w:rPr>
            <w:color w:val="1155CC"/>
            <w:u w:val="single"/>
          </w:rPr>
          <w:t>10.1038/d41586-026-00990-2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329">
        <w:r>
          <w:rPr>
            <w:color w:val="1155CC"/>
            <w:u w:val="single"/>
          </w:rPr>
          <w:t>可逆标记呋喃丙氨酸在非核糖体肽中的位点特异性整合</w:t>
        </w:r>
      </w:hyperlink>
    </w:p>
    <w:p>
      <w:pPr>
        <w:spacing w:before="0" w:after="80"/>
      </w:pPr>
      <w:r>
        <w:rPr>
          <w:i/>
          <w:sz w:val="20"/>
        </w:rPr>
        <w:t>EN: Site-specific integration of reversibly taggable furylalanine into nonribosomal peptides</w:t>
      </w:r>
    </w:p>
    <w:p>
      <w:pPr>
        <w:spacing w:before="0" w:after="120"/>
      </w:pPr>
      <w:r>
        <w:rPr>
          <w:b/>
        </w:rPr>
        <w:t xml:space="preserve">Source: </w:t>
      </w:r>
      <w:r>
        <w:t>Chem</w:t>
      </w:r>
      <w:r>
        <w:t xml:space="preserve">    </w:t>
      </w:r>
      <w:r>
        <w:rPr>
          <w:b/>
        </w:rPr>
        <w:t xml:space="preserve">Pub date: </w:t>
      </w:r>
      <w:r>
        <w:t>2026-04-20 00:00:00+00:00</w:t>
      </w:r>
      <w:r>
        <w:t xml:space="preserve">    </w:t>
      </w:r>
      <w:r>
        <w:rPr>
          <w:b/>
        </w:rPr>
        <w:t xml:space="preserve">DOI: </w:t>
      </w:r>
      <w:hyperlink r:id="rId330">
        <w:r>
          <w:rPr>
            <w:color w:val="1155CC"/>
            <w:u w:val="single"/>
          </w:rPr>
          <w:t>10.1016/j.chempr.2026.103034</w:t>
        </w:r>
      </w:hyperlink>
    </w:p>
    <w:p>
      <w:pPr>
        <w:spacing w:before="0" w:after="120"/>
      </w:pPr>
      <w:r>
        <w:rPr>
          <w:b/>
        </w:rPr>
        <w:t xml:space="preserve">Notes: </w:t>
      </w:r>
      <w:r>
        <w:t>abstract_source=rss_cell</w:t>
      </w:r>
    </w:p>
    <w:p>
      <w:pPr>
        <w:spacing w:before="0" w:after="80" w:lineRule="auto" w:line="276"/>
      </w:pPr>
      <w:r>
        <w:rPr>
          <w:b/>
        </w:rPr>
        <w:t xml:space="preserve">摘要（ZH）: </w:t>
      </w:r>
      <w:r>
        <w:t>选择性生物偶联反应使重要的药物递送策略成为可能，依赖于可标记的基团并入生物活性化合物中。为了解决对反应性、生物活性天然产物的生物合成获取的迫切需求，建立了一种可定制的全新生物合成Diels-Alder可标记天然产物类似物的方法，并在生物偶联反应中展示了其适用性。开发的生物合成平台使得在肽类治疗剂中更广泛地实施位点选择性修饰成为可能。</w:t>
      </w:r>
    </w:p>
    <w:p>
      <w:pPr>
        <w:spacing w:before="0" w:after="200" w:lineRule="auto" w:line="276"/>
      </w:pPr>
      <w:r>
        <w:rPr>
          <w:b/>
        </w:rPr>
        <w:t xml:space="preserve">Abstract (EN): </w:t>
      </w:r>
      <w:r>
        <w:t>Selective bioconjugation reactions enable important drug delivery strategies, relying on taggable moieties incorporated into bioactive compounds. To address a pressing need for biosynthetic access to reactive, bioactive natural products, a customizable approach to the de novo biosynthesis of Diels-Alder-taggable natural product analogs was established, and its applicability was demonstrated in bioconjugation reactions. The developed biosynthetic platform enables the broader implementation of site-selective modifications in peptide therapeutics.</w:t>
      </w:r>
    </w:p>
    <w:p>
      <w:pPr>
        <w:spacing w:before="120" w:after="120"/>
      </w:pPr>
      <w:r>
        <w:rPr>
          <w:sz w:val="18"/>
        </w:rPr>
        <w:t>——————————————————————————————————————————————————————————————————————</w:t>
      </w:r>
    </w:p>
    <w:p>
      <w:pPr>
        <w:spacing w:before="160" w:after="40" w:line="240" w:lineRule="auto"/>
      </w:pPr>
      <w:r>
        <w:rPr>
          <w:b/>
        </w:rPr>
        <w:t xml:space="preserve">[68] </w:t>
      </w:r>
      <w:hyperlink r:id="rId331">
        <w:r>
          <w:rPr>
            <w:color w:val="1155CC"/>
            <w:u w:val="single"/>
          </w:rPr>
          <w:t>扭转气候解决方案的潮流以拯救潮滩</w:t>
        </w:r>
      </w:hyperlink>
    </w:p>
    <w:p>
      <w:pPr>
        <w:spacing w:before="0" w:after="80"/>
      </w:pPr>
      <w:r>
        <w:rPr>
          <w:i/>
          <w:sz w:val="20"/>
        </w:rPr>
        <w:t>EN: Turning the tide of climate solutions to save tidal flats</w:t>
      </w:r>
    </w:p>
    <w:p>
      <w:pPr>
        <w:spacing w:before="0" w:after="120"/>
      </w:pPr>
      <w:r>
        <w:rPr>
          <w:b/>
        </w:rPr>
        <w:t xml:space="preserve">Source: </w:t>
      </w:r>
      <w:r>
        <w:t>Nature Sustainability</w:t>
      </w:r>
      <w:r>
        <w:t xml:space="preserve">    </w:t>
      </w:r>
      <w:r>
        <w:rPr>
          <w:b/>
        </w:rPr>
        <w:t xml:space="preserve">Pub date: </w:t>
      </w:r>
      <w:r>
        <w:t>2026-04-20 00:00:00+00:00</w:t>
      </w:r>
      <w:r>
        <w:t xml:space="preserve">    </w:t>
      </w:r>
      <w:r>
        <w:rPr>
          <w:b/>
        </w:rPr>
        <w:t xml:space="preserve">DOI: </w:t>
      </w:r>
      <w:hyperlink r:id="rId332">
        <w:r>
          <w:rPr>
            <w:color w:val="1155CC"/>
            <w:u w:val="single"/>
          </w:rPr>
          <w:t>10.1038/s41893-026-01802-1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333">
        <w:r>
          <w:rPr>
            <w:color w:val="1155CC"/>
            <w:u w:val="single"/>
          </w:rPr>
          <w:t>每日简报：免疫细胞在运动耐力中有惊人作用</w:t>
        </w:r>
      </w:hyperlink>
    </w:p>
    <w:p>
      <w:pPr>
        <w:spacing w:before="0" w:after="80"/>
      </w:pPr>
      <w:r>
        <w:rPr>
          <w:i/>
          <w:sz w:val="20"/>
        </w:rPr>
        <w:t>EN: Daily briefing: Immune cells have a surprising role in exercise endurance</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34">
        <w:r>
          <w:rPr>
            <w:color w:val="1155CC"/>
            <w:u w:val="single"/>
          </w:rPr>
          <w:t>10.1038/d41586-026-01291-4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35">
        <w:r>
          <w:rPr>
            <w:color w:val="1155CC"/>
            <w:u w:val="single"/>
          </w:rPr>
          <w:t>利用TwinC从DNA序列预测和功能解释染色体间基因组结构</w:t>
        </w:r>
      </w:hyperlink>
    </w:p>
    <w:p>
      <w:pPr>
        <w:spacing w:before="0" w:after="80"/>
      </w:pPr>
      <w:r>
        <w:rPr>
          <w:i/>
          <w:sz w:val="20"/>
        </w:rPr>
        <w:t>EN: Prediction and functional interpretation of inter-chromosomal genome architecture from DNA sequence with TwinC</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36">
        <w:r>
          <w:rPr>
            <w:color w:val="1155CC"/>
            <w:u w:val="single"/>
          </w:rPr>
          <w:t>10.1038/s41467-026-72031-5</w:t>
        </w:r>
      </w:hyperlink>
    </w:p>
    <w:p>
      <w:pPr>
        <w:spacing w:before="0" w:after="120"/>
      </w:pPr>
      <w:r>
        <w:rPr>
          <w:b/>
        </w:rPr>
        <w:t xml:space="preserve">Notes: </w:t>
      </w:r>
      <w:r>
        <w:t>abstract_source=nature_html</w:t>
      </w:r>
    </w:p>
    <w:p>
      <w:pPr>
        <w:spacing w:before="0" w:after="80" w:lineRule="auto" w:line="276"/>
      </w:pPr>
      <w:r>
        <w:rPr>
          <w:b/>
        </w:rPr>
        <w:t xml:space="preserve">摘要（ZH）: </w:t>
      </w:r>
      <w:r>
        <w:t>三维核DNA结构包括研究充分的染色体内（顺式）折叠和较少表征的染色体间（反式）界面。目前的3D基因组折叠预测模型忽视了反式基因组组织。我们提出了TwinC，这是一种可解释的卷积神经网络模型，可以可靠地预测通过依赖于接近连接的（原位和完整Hi-C）和独立的（DNA SPRITE）全基因组染色质构象测定法可测量的反式接触。TwinC在来自心脏组织的原位和完整Hi-C实验的跨染色体测试集上实现了高预测准确性（AUROC=0.80）。此外，我们使用广泛使用的GM12878细胞系的原位Hi-C数据训练TwinC，并通过正交的DNA SPRITE测定法验证其性能。</w:t>
      </w:r>
    </w:p>
    <w:p>
      <w:pPr>
        <w:spacing w:before="0" w:after="200" w:lineRule="auto" w:line="276"/>
      </w:pPr>
      <w:r>
        <w:rPr>
          <w:b/>
        </w:rPr>
        <w:t xml:space="preserve">Abstract (EN): </w:t>
      </w:r>
      <w:r>
        <w:t>Three-dimensional nuclear DNA architecture comprises well-studied intra-chromosomal (cis) folding and less characterized inter-chromosomal (trans) interfaces. Current predictive models of 3D genome folding overlook trans-genome organization. We present TwinC, an interpretable convolutional neural network model that reliably predicts trans contacts measurable through proximity ligation-dependent (in situ and intact Hi-C) and independent (DNA SPRITE) genome-wide chromatin conformation assays. TwinC achieves high predictive accuracy (AUROC=0.80) on a cross-chromosomal test set from in situ and intact Hi-C experiments in heart tissue. Furthermore, we train TwinC using in situ Hi-C data from the widely used GM12878 cell line and validate its performance with orthogonal DNA SPRITE assay in the same cell type. Mechanistically, the neural network learns the importance of compartments, chromatin accessibility, clustered transcription factor binding, and G-quadruplexes in forming trans contacts. In summary, TwinC models and interprets trans genome architecture, illuminating this poorly understood aspect of gene regulation.</w:t>
      </w:r>
    </w:p>
    <w:p>
      <w:pPr>
        <w:spacing w:before="120" w:after="120"/>
      </w:pPr>
      <w:r>
        <w:rPr>
          <w:sz w:val="18"/>
        </w:rPr>
        <w:t>——————————————————————————————————————————————————————————————————————</w:t>
      </w:r>
    </w:p>
    <w:p>
      <w:pPr>
        <w:spacing w:before="160" w:after="40" w:line="240" w:lineRule="auto"/>
      </w:pPr>
      <w:r>
        <w:rPr>
          <w:b/>
        </w:rPr>
        <w:t xml:space="preserve">[71] </w:t>
      </w:r>
      <w:hyperlink r:id="rId337">
        <w:r>
          <w:rPr>
            <w:color w:val="1155CC"/>
            <w:u w:val="single"/>
          </w:rPr>
          <w:t>海洋锋面塑造极地平流层极端现象的半球对比</w:t>
        </w:r>
      </w:hyperlink>
    </w:p>
    <w:p>
      <w:pPr>
        <w:spacing w:before="0" w:after="80"/>
      </w:pPr>
      <w:r>
        <w:rPr>
          <w:i/>
          <w:sz w:val="20"/>
        </w:rPr>
        <w:t>EN: Oceanic fronts shape hemispheric contrasts in polar stratospheric extremes</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38">
        <w:r>
          <w:rPr>
            <w:color w:val="1155CC"/>
            <w:u w:val="single"/>
          </w:rPr>
          <w:t>10.1038/s41467-026-71998-5</w:t>
        </w:r>
      </w:hyperlink>
    </w:p>
    <w:p>
      <w:pPr>
        <w:spacing w:before="0" w:after="120"/>
      </w:pPr>
      <w:r>
        <w:rPr>
          <w:b/>
        </w:rPr>
        <w:t xml:space="preserve">Notes: </w:t>
      </w:r>
      <w:r>
        <w:t>abstract_source=nature_html</w:t>
      </w:r>
    </w:p>
    <w:p>
      <w:pPr>
        <w:spacing w:before="0" w:after="80" w:lineRule="auto" w:line="276"/>
      </w:pPr>
      <w:r>
        <w:rPr>
          <w:b/>
        </w:rPr>
        <w:t xml:space="preserve">摘要（ZH）: </w:t>
      </w:r>
      <w:r>
        <w:t>突发平流层变暖（SSWs）和极地平流层云（PSCs）表现出显著的半球间不对称性：SSWs在北极频繁发生，而在南极则很少见，而PSCs在南极更为持久。尽管传统上认为陆海热对比和地形（LSCO）可以解释这些不对称性，但我们通过半理想化模型实验表明，尽管LSCO对SSWs和PSCs的平均状态有很大影响，但仅靠它无法完全解释观察到的差异。通过模型实验，我们揭示了中纬度海洋海表温度（SST）锋面是半球平流层差异的重要支持因素。与LSCO一样，SST锋面增强了平流层中解析波的汇聚。</w:t>
      </w:r>
    </w:p>
    <w:p>
      <w:pPr>
        <w:spacing w:before="0" w:after="200" w:lineRule="auto" w:line="276"/>
      </w:pPr>
      <w:r>
        <w:rPr>
          <w:b/>
        </w:rPr>
        <w:t xml:space="preserve">Abstract (EN): </w:t>
      </w:r>
      <w:r>
        <w:t>Sudden Stratospheric Warmings (SSWs) and Polar Stratospheric Clouds (PSCs) exhibit striking inter-hemispheric asymmetries: SSWs are frequent in the Arctic but rare in the Antarctic, while PSCs are more persistent in the Antarctic. Although land–sea thermal contrast and orography (LSCO) have been traditionally invoked to explain these asymmetries, here we show using semi-idealized model experiments that even though LSCO strongly impacts the mean state of SSWs and PSCs, it alone cannot fully account for the observed differences. Using model experiments, we reveal that midlatitude oceanic sea surface temperature (SST) fronts represent a crucial supporting additional driver of the hemispheric stratospheric differences. Like LSCO, SST fronts enhance stratospheric convergence of resolved waves, strengthening the Brewer–Dobson Circulation and inducing high-latitude adiabatic warming. This warming significantly enhances Arctic SSW frequency and strongly suppresses PSC formation. Sub-grid-scale non–resolved wave forcing modulates the stratospheric resolved waves effect. The oceanic impact is dominated by North Pacific SST fronts. Our results highlight the indispensable role of SST fronts in shaping Arctic–Antarctic asymmetries in stratospheric dynamics and associated extremes.</w:t>
      </w:r>
    </w:p>
    <w:p>
      <w:pPr>
        <w:spacing w:before="120" w:after="120"/>
      </w:pPr>
      <w:r>
        <w:rPr>
          <w:sz w:val="18"/>
        </w:rPr>
        <w:t>——————————————————————————————————————————————————————————————————————</w:t>
      </w:r>
    </w:p>
    <w:p>
      <w:pPr>
        <w:spacing w:before="160" w:after="40" w:line="240" w:lineRule="auto"/>
      </w:pPr>
      <w:r>
        <w:rPr>
          <w:b/>
        </w:rPr>
        <w:t xml:space="preserve">[72] </w:t>
      </w:r>
      <w:hyperlink r:id="rId339">
        <w:r>
          <w:rPr>
            <w:color w:val="1155CC"/>
            <w:u w:val="single"/>
          </w:rPr>
          <w:t>令人兴奋、轻浮、浪费：并非所有人都对Artemis II月球任务感到满意</w:t>
        </w:r>
      </w:hyperlink>
    </w:p>
    <w:p>
      <w:pPr>
        <w:spacing w:before="0" w:after="80"/>
      </w:pPr>
      <w:r>
        <w:rPr>
          <w:i/>
          <w:sz w:val="20"/>
        </w:rPr>
        <w:t>EN: Thrilling, frivolous, a waste: not everyone’s happy about the Artemis II Moon mission</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40">
        <w:r>
          <w:rPr>
            <w:color w:val="1155CC"/>
            <w:u w:val="single"/>
          </w:rPr>
          <w:t>10.1038/d41586-026-01262-9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341">
        <w:r>
          <w:rPr>
            <w:color w:val="1155CC"/>
            <w:u w:val="single"/>
          </w:rPr>
          <w:t>TENT5C延长Odf1的poly(A)尾以维持精子形态发生和生育能力</w:t>
        </w:r>
      </w:hyperlink>
    </w:p>
    <w:p>
      <w:pPr>
        <w:spacing w:before="0" w:after="80"/>
      </w:pPr>
      <w:r>
        <w:rPr>
          <w:i/>
          <w:sz w:val="20"/>
        </w:rPr>
        <w:t>EN: TENT5C extends Odf1 poly(A) tail to sustain sperm morphogenesis and fertility</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42">
        <w:r>
          <w:rPr>
            <w:color w:val="1155CC"/>
            <w:u w:val="single"/>
          </w:rPr>
          <w:t>10.1038/s41467-026-71953-4</w:t>
        </w:r>
      </w:hyperlink>
    </w:p>
    <w:p>
      <w:pPr>
        <w:spacing w:before="0" w:after="120"/>
      </w:pPr>
      <w:r>
        <w:rPr>
          <w:b/>
        </w:rPr>
        <w:t xml:space="preserve">Notes: </w:t>
      </w:r>
      <w:r>
        <w:t>abstract_source=nature_html</w:t>
      </w:r>
    </w:p>
    <w:p>
      <w:pPr>
        <w:spacing w:before="0" w:after="80" w:lineRule="auto" w:line="276"/>
      </w:pPr>
      <w:r>
        <w:rPr>
          <w:b/>
        </w:rPr>
        <w:t xml:space="preserve">摘要（ZH）: </w:t>
      </w:r>
      <w:r>
        <w:t>Odf1和其他对男性生育力至关重要的转录本的poly(A)尾长度变化与精子形成期间的翻译激活有关1,2,3。mRNA poly(A)聚合酶TENT5C对于将鞭毛固定到精子头部是必需的，但其在形成精子转录组poly(A)尾轮廓中的作用尚不清楚4,5。在此，我们全面记录了转录组中mRNA poly(A)尾长度的变化如何反映精子转录本的代谢。在缺乏TENT5C聚合酶活性的情况下，Odf1转录本显示出较短的poly(A)尾，并且与ODF1蛋白一起未能在精子颈部积累。表达催化失活的TENT5C的小鼠产生无头精子，伴有与ODF1缺陷相关的鞭毛异常。</w:t>
      </w:r>
    </w:p>
    <w:p>
      <w:pPr>
        <w:spacing w:before="0" w:after="200" w:lineRule="auto" w:line="276"/>
      </w:pPr>
      <w:r>
        <w:rPr>
          <w:b/>
        </w:rPr>
        <w:t xml:space="preserve">Abstract (EN): </w:t>
      </w:r>
      <w:r>
        <w:t>Changes in the poly(A) tail length of Odf1 and other transcripts critical for male fertility have been linked to translational activation during sperm formation1,2,3. The mRNA poly(A) polymerase TENT5C is required for fastening the flagellum to the sperm head, but its role in shaping the poly(A) tail profile of the spermatid transcriptome remains unclear 4,5. Here, we comprehensively document how changes in mRNA poly(A) tail length across the transcriptome reflect transcript metabolism in spermatids. In the absence of TENT5C polymerase activity, Odf1 transcripts show shorter poly(A) tails and, together with ODF1 protein, fail to accumulate at the spermatid neck. Mice expressing a catalytically inactive TENT5C produce headless spermatozoa with flagellar abnormalities associated with ODF1 deficiency 6. We propose that TENT5C poly(A) polymerase activity regulates the stability and local translation of Odf1 mRNAs at the neck of late-stage spermatids, a process critical for sperm morphogenesis and fertility. These findings highlight the power of poly(A) tail profiling to identify abnormal mRNA processing causative of infertility.</w:t>
      </w:r>
    </w:p>
    <w:p>
      <w:pPr>
        <w:spacing w:before="120" w:after="120"/>
      </w:pPr>
      <w:r>
        <w:rPr>
          <w:sz w:val="18"/>
        </w:rPr>
        <w:t>——————————————————————————————————————————————————————————————————————</w:t>
      </w:r>
    </w:p>
    <w:p>
      <w:pPr>
        <w:spacing w:before="160" w:after="40" w:line="240" w:lineRule="auto"/>
      </w:pPr>
      <w:r>
        <w:rPr>
          <w:b/>
        </w:rPr>
        <w:t xml:space="preserve">[74] </w:t>
      </w:r>
      <w:hyperlink r:id="rId343">
        <w:r>
          <w:rPr>
            <w:color w:val="1155CC"/>
            <w:u w:val="single"/>
          </w:rPr>
          <w:t>CaMKII动态招募到SHANK3相分离凝聚体中调节长时程增强期间的突触后密度重塑</w:t>
        </w:r>
      </w:hyperlink>
    </w:p>
    <w:p>
      <w:pPr>
        <w:spacing w:before="0" w:after="80"/>
      </w:pPr>
      <w:r>
        <w:rPr>
          <w:i/>
          <w:sz w:val="20"/>
        </w:rPr>
        <w:t>EN: Dynamic recruitment of CaMKII into SHANK3 phase-separated condensates tunes postsynaptic density remodeling during long-term potentiation</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44">
        <w:r>
          <w:rPr>
            <w:color w:val="1155CC"/>
            <w:u w:val="single"/>
          </w:rPr>
          <w:t>10.1038/s41467-026-72234-w</w:t>
        </w:r>
      </w:hyperlink>
    </w:p>
    <w:p>
      <w:pPr>
        <w:spacing w:before="0" w:after="120"/>
      </w:pPr>
      <w:r>
        <w:rPr>
          <w:b/>
        </w:rPr>
        <w:t xml:space="preserve">Notes: </w:t>
      </w:r>
      <w:r>
        <w:t>abstract_source=nature_html</w:t>
      </w:r>
    </w:p>
    <w:p>
      <w:pPr>
        <w:spacing w:before="0" w:after="80" w:lineRule="auto" w:line="276"/>
      </w:pPr>
      <w:r>
        <w:rPr>
          <w:b/>
        </w:rPr>
        <w:t xml:space="preserve">摘要（ZH）: </w:t>
      </w:r>
      <w:r>
        <w:t>活动依赖的突触后致密区（PSD）重塑在长期增强（LTP）期间协调α-氨基-3-羟基-5-甲基-4-异恶唑丙酸受体（AMPAR）的运输，但其潜在机制仍然知之甚少。在此，我们证明了SHANK3在通过液-液相分离（LLPS）快速招募钙离子/钙调蛋白依赖性蛋白激酶II（CaMKII）到PSD以及随后的PSD重塑中起关键作用。我们发现删除SHANK3的大型内在无序区域（IDR）会损害其在小鼠海马神经元树突棘上的LLPS和聚集，导致PSD大小和AMPAR表达的减少。光激活的CaMKII的激活促进其快速招募到SHANK3凝聚体，促进凝聚体的融合。</w:t>
      </w:r>
    </w:p>
    <w:p>
      <w:pPr>
        <w:spacing w:before="0" w:after="200" w:lineRule="auto" w:line="276"/>
      </w:pPr>
      <w:r>
        <w:rPr>
          <w:b/>
        </w:rPr>
        <w:t xml:space="preserve">Abstract (EN): </w:t>
      </w:r>
      <w:r>
        <w:t>Activity-dependent postsynaptic density (PSD) remodeling orchestrates α-amino-3-hydroxy-5-methyl-4-isoxazolepropionic acid receptor (AMPAR) trafficking during long-term potentiation (LTP), yet the underlying mechanisms remain poorly understood. Here, we demonstrate that SHANK3 critically mediates the rapid recruitment of Ca²⁺/calmodulin-dependent protein kinase II (CaMKII) to PSD and the ensuing PSD remodeling through liquid‒liquid phase separation (LLPS). We found that deletion of the large intrinsically disordered region (IDR) of SHANK3 impairs its LLPS and clustering at dendritic spines of mouse hippocampal neurons, leading to reduction in PSD size and AMPAR expression. Activation of photoactivatable CaMKII promotes its rapid recruitment to SHANK3 condensates, facilitating condensate fusion and PSD remodeling. A human autism-related SHANK3 mutation (InsG3680) truncates part of the large IDR, disrupts SHANK3 LLPS, and causes deficits in PSD remodeling and AMPAR recruitment. Overall, we propose that activity-dependent modulation of SHANK3 condensate dynamics via CaMKII recruitment is a mechanism underlying PSD reorganization during LTP.</w:t>
      </w:r>
    </w:p>
    <w:p>
      <w:pPr>
        <w:spacing w:before="120" w:after="120"/>
      </w:pPr>
      <w:r>
        <w:rPr>
          <w:sz w:val="18"/>
        </w:rPr>
        <w:t>——————————————————————————————————————————————————————————————————————</w:t>
      </w:r>
    </w:p>
    <w:p>
      <w:pPr>
        <w:spacing w:before="160" w:after="40" w:line="240" w:lineRule="auto"/>
      </w:pPr>
      <w:r>
        <w:rPr>
          <w:b/>
        </w:rPr>
        <w:t xml:space="preserve">[75] </w:t>
      </w:r>
      <w:hyperlink r:id="rId345">
        <w:r>
          <w:rPr>
            <w:color w:val="1155CC"/>
            <w:u w:val="single"/>
          </w:rPr>
          <w:t>二铀和二钍反向三明治型配合物中环Bi33−的全金属芳香性</w:t>
        </w:r>
      </w:hyperlink>
    </w:p>
    <w:p>
      <w:pPr>
        <w:spacing w:before="0" w:after="80"/>
      </w:pPr>
      <w:r>
        <w:rPr>
          <w:i/>
          <w:sz w:val="20"/>
        </w:rPr>
        <w:t>EN: All-metal aromaticity of cyclo-Bi33− in diuranium and dithorium inverse-sandwich-type complexes</w:t>
      </w:r>
    </w:p>
    <w:p>
      <w:pPr>
        <w:spacing w:before="0" w:after="120"/>
      </w:pPr>
      <w:r>
        <w:rPr>
          <w:b/>
        </w:rPr>
        <w:t xml:space="preserve">Source: </w:t>
      </w:r>
      <w:r>
        <w:t>Nature Chemistry</w:t>
      </w:r>
      <w:r>
        <w:t xml:space="preserve">    </w:t>
      </w:r>
      <w:r>
        <w:rPr>
          <w:b/>
        </w:rPr>
        <w:t xml:space="preserve">Pub date: </w:t>
      </w:r>
      <w:r>
        <w:t>2026-04-20 00:00:00+00:00</w:t>
      </w:r>
      <w:r>
        <w:t xml:space="preserve">    </w:t>
      </w:r>
      <w:r>
        <w:rPr>
          <w:b/>
        </w:rPr>
        <w:t xml:space="preserve">DOI: </w:t>
      </w:r>
      <w:hyperlink r:id="rId346">
        <w:r>
          <w:rPr>
            <w:color w:val="1155CC"/>
            <w:u w:val="single"/>
          </w:rPr>
          <w:t>10.1038/s41557-026-02123-8</w:t>
        </w:r>
      </w:hyperlink>
    </w:p>
    <w:p>
      <w:pPr>
        <w:spacing w:before="0" w:after="120"/>
      </w:pPr>
      <w:r>
        <w:rPr>
          <w:b/>
        </w:rPr>
        <w:t xml:space="preserve">Notes: </w:t>
      </w:r>
      <w:r>
        <w:t>abstract_source=nature_html</w:t>
      </w:r>
    </w:p>
    <w:p>
      <w:pPr>
        <w:spacing w:before="0" w:after="80" w:lineRule="auto" w:line="276"/>
      </w:pPr>
      <w:r>
        <w:rPr>
          <w:b/>
        </w:rPr>
        <w:t xml:space="preserve">摘要（ZH）: </w:t>
      </w:r>
      <w:r>
        <w:t>在环状平面不饱和有机分子中，离域的[4n + 2]π芳香性在概念上支撑着有机化学。最近，全金属芳香性的研究蓬勃发展，但尽管对环-{E3}（E = P, As, Sb, Bi）物种作为环丙烯阳离子类似物的兴趣增加，环-{Bi3}的形成仍然罕见。因此，作为环丙烯阳离子的最重6p类似物，2/6π-环-Bi3+/3−的潜在芳香性仍然存在不同的解释。在此，我们报告了二铀和二钍6π-环-Bi33−反向三明治配合物的形成，补充了少量的非环状和环状-Bin（n = 3–5）化合物。6π-环-Bi33−环表现出显著的环电流，类似于6π-苯、2π-(C3H3)+或6π-(C3H3)3−。计算显示出类似的</w:t>
      </w:r>
    </w:p>
    <w:p>
      <w:pPr>
        <w:spacing w:before="0" w:after="200" w:lineRule="auto" w:line="276"/>
      </w:pPr>
      <w:r>
        <w:rPr>
          <w:b/>
        </w:rPr>
        <w:t xml:space="preserve">Abstract (EN): </w:t>
      </w:r>
      <w:r>
        <w:t>Delocalized [4n + 2]π-aromaticity in cyclic planar unsaturated organic molecules conceptually underpins organic chemistry. Recently, the study of all-metal aromaticity has burgeoned, but although there has been interest in cyclo-{E3} (E = P, As, Sb, Bi) species as cyclopropenium analogues, the formation of cyclo-{Bi3} remains rare. Thus, the potential aromaticity of 2/6π-cyclo-Bi3+/3−, as the heaviest 6p analogue of cyclopropylium, has remained open to different interpretations. Here we report the formation of diuranium and dithorium 6π-cyclo-Bi33− inverse sandwich complexes, complementing the small number of acyclic- and cyclic-Bin (n = 3–5) compounds. The 6π-cyclo-Bi33− ring exhibits substantial ring currents, similar to 6π-benzene, 2π-(C3H3)+ or 6π-(C3H3)3−. Calculations reveal similar ring currents for 6π-cyclo-Bi33−, 2π-cyclo-Bi3+ and 0π-cyclo-Bi33+, demonstrating σ-aromaticity that is dominant over π-aromaticity in cyclo-Bi33−, despite the favourability of describing cyclo-Bi33− with localized rather than delocalized bond descriptions. Confirmation of 6π-cyclo-Bi33− σ-aromaticity provides the heaviest all-metal 6p analogue to π-aromatic (C3H3)+/3−, leading to organic–inorganic aromaticity benchmarking.The alternative text for this image may have been generated using AI.</w:t>
      </w:r>
    </w:p>
    <w:p>
      <w:pPr>
        <w:spacing w:before="120" w:after="120"/>
      </w:pPr>
      <w:r>
        <w:rPr>
          <w:sz w:val="18"/>
        </w:rPr>
        <w:t>——————————————————————————————————————————————————————————————————————</w:t>
      </w:r>
    </w:p>
    <w:p>
      <w:pPr>
        <w:spacing w:before="160" w:after="40" w:line="240" w:lineRule="auto"/>
      </w:pPr>
      <w:r>
        <w:rPr>
          <w:b/>
        </w:rPr>
        <w:t xml:space="preserve">[76] </w:t>
      </w:r>
      <w:hyperlink r:id="rId347">
        <w:r>
          <w:rPr>
            <w:color w:val="1155CC"/>
            <w:u w:val="single"/>
          </w:rPr>
          <w:t>高阶晶格非谐性重塑宽声子隙半导体中的非平衡载流子动力学</w:t>
        </w:r>
      </w:hyperlink>
    </w:p>
    <w:p>
      <w:pPr>
        <w:spacing w:before="0" w:after="80"/>
      </w:pPr>
      <w:r>
        <w:rPr>
          <w:i/>
          <w:sz w:val="20"/>
        </w:rPr>
        <w:t>EN: Higher-order lattice anharmonicity reshaping non-equilibrium carrier dynamics in wide-phonon-gap semiconductors</w:t>
      </w:r>
    </w:p>
    <w:p>
      <w:pPr>
        <w:spacing w:before="0" w:after="120"/>
      </w:pPr>
      <w:r>
        <w:rPr>
          <w:b/>
        </w:rPr>
        <w:t xml:space="preserve">Source: </w:t>
      </w:r>
      <w:r>
        <w:t>National Science Review Advance Access</w:t>
      </w:r>
      <w:r>
        <w:t xml:space="preserve">    </w:t>
      </w:r>
      <w:r>
        <w:rPr>
          <w:b/>
        </w:rPr>
        <w:t xml:space="preserve">Pub date: </w:t>
      </w:r>
      <w:r>
        <w:t>2026-04-20 00:00:00+00:00</w:t>
      </w:r>
      <w:r>
        <w:t xml:space="preserve">    </w:t>
      </w:r>
      <w:r>
        <w:rPr>
          <w:b/>
        </w:rPr>
        <w:t xml:space="preserve">DOI: </w:t>
      </w:r>
      <w:hyperlink r:id="rId348">
        <w:r>
          <w:rPr>
            <w:color w:val="1155CC"/>
            <w:u w:val="single"/>
          </w:rPr>
          <w:t>10.1093/nsr/nwag224</w:t>
        </w:r>
      </w:hyperlink>
    </w:p>
    <w:p>
      <w:pPr>
        <w:spacing w:before="0" w:after="120"/>
      </w:pPr>
      <w:r>
        <w:rPr>
          <w:b/>
        </w:rPr>
        <w:t xml:space="preserve">Notes: </w:t>
      </w:r>
      <w:r>
        <w:t>abstract_source=rss_oup</w:t>
      </w:r>
    </w:p>
    <w:p>
      <w:pPr>
        <w:spacing w:before="0" w:after="80" w:lineRule="auto" w:line="276"/>
      </w:pPr>
      <w:r>
        <w:rPr>
          <w:b/>
        </w:rPr>
        <w:t xml:space="preserve">摘要（ZH）: </w:t>
      </w:r>
      <w:r>
        <w:t>在三声子衰减通道被抑制的半导体中，由高阶非谐衰减引发的机制被称为“热声子去局域化”，成为主导载流子热化的过程。通过结合从头算</w:t>
      </w:r>
    </w:p>
    <w:p>
      <w:pPr>
        <w:spacing w:before="0" w:after="200" w:lineRule="auto" w:line="276"/>
      </w:pPr>
      <w:r>
        <w:rPr>
          <w:b/>
        </w:rPr>
        <w:t xml:space="preserve">Abstract (EN): </w:t>
      </w:r>
      <w:r>
        <w:t>In semiconductors where three-phonon decay channels are suppressed, a mechanism termed ‘hot-phonon delocalization’ induced by higher-order anharmonic decays emerges as the dominant process governing carrier thermalization. By combining ab initio</w:t>
      </w:r>
    </w:p>
    <w:p>
      <w:pPr>
        <w:spacing w:before="120" w:after="120"/>
      </w:pPr>
      <w:r>
        <w:rPr>
          <w:sz w:val="18"/>
        </w:rPr>
        <w:t>——————————————————————————————————————————————————————————————————————</w:t>
      </w:r>
    </w:p>
    <w:p>
      <w:pPr>
        <w:spacing w:before="160" w:after="40" w:line="240" w:lineRule="auto"/>
      </w:pPr>
      <w:r>
        <w:rPr>
          <w:b/>
        </w:rPr>
        <w:t xml:space="preserve">[77] </w:t>
      </w:r>
      <w:hyperlink r:id="rId349">
        <w:r>
          <w:rPr>
            <w:color w:val="1155CC"/>
            <w:u w:val="single"/>
          </w:rPr>
          <w:t>基于机器学习的异常霍尔系统中磁阻相图构建</w:t>
        </w:r>
      </w:hyperlink>
    </w:p>
    <w:p>
      <w:pPr>
        <w:spacing w:before="0" w:after="80"/>
      </w:pPr>
      <w:r>
        <w:rPr>
          <w:i/>
          <w:sz w:val="20"/>
        </w:rPr>
        <w:t>EN: Machine-learning-based architecting of magnetoresistance phase diagrams in anomalous hall systems</w:t>
      </w:r>
    </w:p>
    <w:p>
      <w:pPr>
        <w:spacing w:before="0" w:after="120"/>
      </w:pPr>
      <w:r>
        <w:rPr>
          <w:b/>
        </w:rPr>
        <w:t xml:space="preserve">Source: </w:t>
      </w:r>
      <w:r>
        <w:t>National Science Review Advance Access</w:t>
      </w:r>
      <w:r>
        <w:t xml:space="preserve">    </w:t>
      </w:r>
      <w:r>
        <w:rPr>
          <w:b/>
        </w:rPr>
        <w:t xml:space="preserve">Pub date: </w:t>
      </w:r>
      <w:r>
        <w:t>2026-04-20 00:00:00+00:00</w:t>
      </w:r>
      <w:r>
        <w:t xml:space="preserve">    </w:t>
      </w:r>
      <w:r>
        <w:rPr>
          <w:b/>
        </w:rPr>
        <w:t xml:space="preserve">DOI: </w:t>
      </w:r>
      <w:hyperlink r:id="rId350">
        <w:r>
          <w:rPr>
            <w:color w:val="1155CC"/>
            <w:u w:val="single"/>
          </w:rPr>
          <w:t>10.1093/nsr/nwag228</w:t>
        </w:r>
      </w:hyperlink>
    </w:p>
    <w:p>
      <w:pPr>
        <w:spacing w:before="0" w:after="120"/>
      </w:pPr>
      <w:r>
        <w:rPr>
          <w:b/>
        </w:rPr>
        <w:t xml:space="preserve">Notes: </w:t>
      </w:r>
      <w:r>
        <w:t>abstract_source=rss_oup</w:t>
      </w:r>
    </w:p>
    <w:p>
      <w:pPr>
        <w:spacing w:before="0" w:after="80" w:lineRule="auto" w:line="276"/>
      </w:pPr>
      <w:r>
        <w:rPr>
          <w:b/>
        </w:rPr>
        <w:t xml:space="preserve">摘要（ZH）: </w:t>
      </w:r>
      <w:r>
        <w:t>异常霍尔系统中的非平凡磁阻（AH-MR）在理解凝聚态系统中的电子动力学方面起着至关重要的作用。与反映电子在磁场下回旋运动的传统霍尔电阻不同，异常霍尔磁阻通常源于贝里曲率引起的异常速度或异常霍尔系统中的电子散射事件。因此，多种参数——如载流子密度、电导率和异常霍尔电导率——提供了定制与AH-MR相关现象的能力，包括量子异常霍尔效应、巨磁阻和拓扑相变。然而，这些参数的高维特性阻碍了对AH-MR及相关</w:t>
      </w:r>
    </w:p>
    <w:p>
      <w:pPr>
        <w:spacing w:before="0" w:after="200" w:lineRule="auto" w:line="276"/>
      </w:pPr>
      <w:r>
        <w:rPr>
          <w:b/>
        </w:rPr>
        <w:t xml:space="preserve">Abstract (EN): </w:t>
      </w:r>
      <w:r>
        <w:t>The non-trivial magnetoresistance in anomalous Hall systems (AH-MR) plays a crucial role in understanding electron dynamics in condensed matter systems. Unlike conventional Hall resistance reflecting the cyclotron motion of electrons under magnetic fields, anomalous Hall magnetoresistance typically stems from Berry-curvature-induced anomalous velocity or electron scattering events in anomalous Hall systems. Therefore, multiple parameters—such as carrier density, electrical conductivity, and anomalous Hall conductivity—offer the capability for tailoring AH-MR associated phenomena including quantum anomalous Hall effect, colossal magnetoresistance and topological phase transition. However, the high-dimensional nature for these parameters hinders the global understanding of AH-MR and related electronic transport behavior. Here we employ machine learning algorithms to architect AH-MR phase diagrams by analyzing over 2000 000 AH-MR curves generated from a two-band model with five adjustable parameters. We found these curves can be clustered into 13 distinct AH-MR states using the mean-shift algorithm and established topological networks to describe transitions between them, offering designing transition paths to switch AH-MR states by tuning selected electronic parameters. Our experimental AH-MR results on gated Fe5GeTe2 nanoflakes—serving as a validation dataset—verify the reliability of the obtained topological relationships and landscape phase diagrams. Such machine-learning-assisted approach of high-dimensional data processing offers a powerful methodology for investigating spin-dependent transport phenomena.</w:t>
      </w:r>
    </w:p>
    <w:p>
      <w:pPr>
        <w:spacing w:before="120" w:after="120"/>
      </w:pPr>
      <w:r>
        <w:rPr>
          <w:sz w:val="18"/>
        </w:rPr>
        <w:t>——————————————————————————————————————————————————————————————————————</w:t>
      </w:r>
    </w:p>
    <w:p>
      <w:pPr>
        <w:spacing w:before="160" w:after="40" w:line="240" w:lineRule="auto"/>
      </w:pPr>
      <w:r>
        <w:rPr>
          <w:b/>
        </w:rPr>
        <w:t xml:space="preserve">[78] </w:t>
      </w:r>
      <w:hyperlink r:id="rId351">
        <w:r>
          <w:rPr>
            <w:color w:val="1155CC"/>
            <w:u w:val="single"/>
          </w:rPr>
          <w:t>在热塑性聚合物中使用微涡流进行光学色散以用于集成微型光谱仪</w:t>
        </w:r>
      </w:hyperlink>
    </w:p>
    <w:p>
      <w:pPr>
        <w:spacing w:before="0" w:after="80"/>
      </w:pPr>
      <w:r>
        <w:rPr>
          <w:i/>
          <w:sz w:val="20"/>
        </w:rPr>
        <w:t>EN: Optical dispersion using micro-vortices in thermoplastic polymers for integrated microspectrometers</w:t>
      </w:r>
    </w:p>
    <w:p>
      <w:pPr>
        <w:spacing w:before="0" w:after="120"/>
      </w:pPr>
      <w:r>
        <w:rPr>
          <w:b/>
        </w:rPr>
        <w:t xml:space="preserve">Source: </w:t>
      </w:r>
      <w:r>
        <w:t>Nature Electronics</w:t>
      </w:r>
      <w:r>
        <w:t xml:space="preserve">    </w:t>
      </w:r>
      <w:r>
        <w:rPr>
          <w:b/>
        </w:rPr>
        <w:t xml:space="preserve">Pub date: </w:t>
      </w:r>
      <w:r>
        <w:t>2026-04-20 00:00:00+00:00</w:t>
      </w:r>
      <w:r>
        <w:t xml:space="preserve">    </w:t>
      </w:r>
      <w:r>
        <w:rPr>
          <w:b/>
        </w:rPr>
        <w:t xml:space="preserve">DOI: </w:t>
      </w:r>
      <w:hyperlink r:id="rId352">
        <w:r>
          <w:rPr>
            <w:color w:val="1155CC"/>
            <w:u w:val="single"/>
          </w:rPr>
          <w:t>10.1038/s41928-026-01618-z</w:t>
        </w:r>
      </w:hyperlink>
    </w:p>
    <w:p>
      <w:pPr>
        <w:spacing w:before="0" w:after="120"/>
      </w:pPr>
      <w:r>
        <w:rPr>
          <w:b/>
        </w:rPr>
        <w:t xml:space="preserve">Notes: </w:t>
      </w:r>
      <w:r>
        <w:t>abstract_source=nature_html</w:t>
      </w:r>
    </w:p>
    <w:p>
      <w:pPr>
        <w:spacing w:before="0" w:after="80" w:lineRule="auto" w:line="276"/>
      </w:pPr>
      <w:r>
        <w:rPr>
          <w:b/>
        </w:rPr>
        <w:t xml:space="preserve">摘要（ZH）: </w:t>
      </w:r>
      <w:r>
        <w:t>可将光分成不同波长的微型化设备在光谱应用中具有用途，如光分析、光谱成像、光学传感和测量。然而，尽管最近的发展，实现一个能够在不施加外部刺激的情况下提供多种光谱响应的微尺度光学色散组件仍然困难。在此，我们展示了在聚碳酸酯基板中由超快激光引发的微涡流可用于在微尺度上生成复杂的色散信号。该方法基于光弹效应，可以提供丰富多样的光谱响应以实现高效采样。色散结构在宽带宽（400–1,550 nm）上运行，占据紧凑的占地面积（10 × 10 µm2），并且独立于</w:t>
      </w:r>
    </w:p>
    <w:p>
      <w:pPr>
        <w:spacing w:before="0" w:after="200" w:lineRule="auto" w:line="276"/>
      </w:pPr>
      <w:r>
        <w:rPr>
          <w:b/>
        </w:rPr>
        <w:t xml:space="preserve">Abstract (EN): </w:t>
      </w:r>
      <w:r>
        <w:t>Miniaturized devices that can split light into different wavelengths are of use in spectroscopic applications such as light analysis, spectral imaging, optical sensing and measurement. However, despite recent developments, achieving a microscale optical dispersion component that can deliver multiple spectral responses without applying external stimuli remains difficult. Here we show that ultrafast-laser-induced micro-vortices in polycarbonate substrates can be used to generate intricate dispersion signals at the microscale. The approach, which is based on the photoelastic effect, can provide rich and varied spectral responses for efficient sampling. The dispersive structures operate over a broad bandwidth (400–1,550 nm), occupy a compact footprint (10 × 10 µm2) and are independent of the viewing angle. The approach is also applicable to different thermoplastic polymers and is robust against harsh conditions. We show that the micro-vortex structures can be integrated with an image sensor for on-chip spectral analysis and high-resolution microscopic spectral imaging.</w:t>
      </w:r>
    </w:p>
    <w:p>
      <w:pPr>
        <w:spacing w:before="120" w:after="120"/>
      </w:pPr>
      <w:r>
        <w:rPr>
          <w:sz w:val="18"/>
        </w:rPr>
        <w:t>——————————————————————————————————————————————————————————————————————</w:t>
      </w:r>
    </w:p>
    <w:p>
      <w:pPr>
        <w:spacing w:before="160" w:after="40" w:line="240" w:lineRule="auto"/>
      </w:pPr>
      <w:r>
        <w:rPr>
          <w:b/>
        </w:rPr>
        <w:t xml:space="preserve">[79] </w:t>
      </w:r>
      <w:hyperlink r:id="rId353">
        <w:r>
          <w:rPr>
            <w:color w:val="1155CC"/>
            <w:u w:val="single"/>
          </w:rPr>
          <w:t>离子热电材料的品质因数</w:t>
        </w:r>
      </w:hyperlink>
    </w:p>
    <w:p>
      <w:pPr>
        <w:spacing w:before="0" w:after="80"/>
      </w:pPr>
      <w:r>
        <w:rPr>
          <w:i/>
          <w:sz w:val="20"/>
        </w:rPr>
        <w:t>EN: Figure of merit for ionic thermoelectric materials</w:t>
      </w:r>
    </w:p>
    <w:p>
      <w:pPr>
        <w:spacing w:before="0" w:after="120"/>
      </w:pPr>
      <w:r>
        <w:rPr>
          <w:b/>
        </w:rPr>
        <w:t xml:space="preserve">Source: </w:t>
      </w:r>
      <w:r>
        <w:t>National Science Review Advance Access</w:t>
      </w:r>
      <w:r>
        <w:t xml:space="preserve">    </w:t>
      </w:r>
      <w:r>
        <w:rPr>
          <w:b/>
        </w:rPr>
        <w:t xml:space="preserve">Pub date: </w:t>
      </w:r>
      <w:r>
        <w:t>2026-04-20 00:00:00+00:00</w:t>
      </w:r>
      <w:r>
        <w:t xml:space="preserve">    </w:t>
      </w:r>
      <w:r>
        <w:rPr>
          <w:b/>
        </w:rPr>
        <w:t xml:space="preserve">DOI: </w:t>
      </w:r>
      <w:hyperlink r:id="rId354">
        <w:r>
          <w:rPr>
            <w:color w:val="1155CC"/>
            <w:u w:val="single"/>
          </w:rPr>
          <w:t>10.1093/nsr/nwag227</w:t>
        </w:r>
      </w:hyperlink>
    </w:p>
    <w:p>
      <w:pPr>
        <w:spacing w:before="0" w:after="120"/>
      </w:pPr>
      <w:r>
        <w:rPr>
          <w:b/>
        </w:rPr>
        <w:t xml:space="preserve">Notes: </w:t>
      </w:r>
      <w:r>
        <w:t>abstract_source=crossref</w:t>
      </w:r>
    </w:p>
    <w:p>
      <w:pPr>
        <w:spacing w:before="0" w:after="80" w:lineRule="auto" w:line="276"/>
      </w:pPr>
      <w:r>
        <w:rPr>
          <w:b/>
        </w:rPr>
        <w:t xml:space="preserve">摘要（ZH）: </w:t>
      </w:r>
      <w:r>
        <w:t>提出了一种新的性能指数，用于离子热电材料，以在实际应用场景中桥接材料特性和能量转换效率。</w:t>
      </w:r>
    </w:p>
    <w:p>
      <w:pPr>
        <w:spacing w:before="0" w:after="200" w:lineRule="auto" w:line="276"/>
      </w:pPr>
      <w:r>
        <w:rPr>
          <w:b/>
        </w:rPr>
        <w:t xml:space="preserve">Abstract (EN): </w:t>
      </w:r>
      <w:r>
        <w:t>A new performance index is proposed for ionic thermoelectric materials, to bridge the material properties and energy conversion efficiency in real-world application scenarios.</w:t>
      </w:r>
    </w:p>
    <w:p>
      <w:pPr>
        <w:spacing w:before="120" w:after="120"/>
      </w:pPr>
      <w:r>
        <w:rPr>
          <w:sz w:val="18"/>
        </w:rPr>
        <w:t>——————————————————————————————————————————————————————————————————————</w:t>
      </w:r>
    </w:p>
    <w:p>
      <w:pPr>
        <w:spacing w:before="160" w:after="40" w:line="240" w:lineRule="auto"/>
      </w:pPr>
      <w:r>
        <w:rPr>
          <w:b/>
        </w:rPr>
        <w:t xml:space="preserve">[80] </w:t>
      </w:r>
      <w:hyperlink r:id="rId355">
        <w:r>
          <w:rPr>
            <w:color w:val="1155CC"/>
            <w:u w:val="single"/>
          </w:rPr>
          <w:t>在能源脱碳化和气象不确定性增加的情况下量化短期储能的综合贡献</w:t>
        </w:r>
      </w:hyperlink>
    </w:p>
    <w:p>
      <w:pPr>
        <w:spacing w:before="0" w:after="80"/>
      </w:pPr>
      <w:r>
        <w:rPr>
          <w:i/>
          <w:sz w:val="20"/>
        </w:rPr>
        <w:t>EN: Quantifying the integrated contribution of short-term energy storage under increasing energy decarbonisation and meteorological uncertainty</w:t>
      </w:r>
    </w:p>
    <w:p>
      <w:pPr>
        <w:spacing w:before="0" w:after="120"/>
      </w:pPr>
      <w:r>
        <w:rPr>
          <w:b/>
        </w:rPr>
        <w:t xml:space="preserve">Source: </w:t>
      </w:r>
      <w:r>
        <w:t>ScienceDirect Publication: Applied Energy</w:t>
      </w:r>
      <w:r>
        <w:t xml:space="preserve">    </w:t>
      </w:r>
      <w:r>
        <w:rPr>
          <w:b/>
        </w:rPr>
        <w:t xml:space="preserve">Pub date: </w:t>
      </w:r>
      <w:r>
        <w:t>2026-04-20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356">
        <w:r>
          <w:rPr>
            <w:color w:val="1155CC"/>
            <w:u w:val="single"/>
          </w:rPr>
          <w:t>低空经济：空间探索和经济发展的下一个前沿</w:t>
        </w:r>
      </w:hyperlink>
    </w:p>
    <w:p>
      <w:pPr>
        <w:spacing w:before="0" w:after="80"/>
      </w:pPr>
      <w:r>
        <w:rPr>
          <w:i/>
          <w:sz w:val="20"/>
        </w:rPr>
        <w:t>EN: Low-Altitude Economy: Next Frontier in Spatial Exploration and Economic Development</w:t>
      </w:r>
    </w:p>
    <w:p>
      <w:pPr>
        <w:spacing w:before="0" w:after="120"/>
      </w:pPr>
      <w:r>
        <w:rPr>
          <w:b/>
        </w:rPr>
        <w:t xml:space="preserve">Source: </w:t>
      </w:r>
      <w:r>
        <w:t>National Science Review Advance Access</w:t>
      </w:r>
      <w:r>
        <w:t xml:space="preserve">    </w:t>
      </w:r>
      <w:r>
        <w:rPr>
          <w:b/>
        </w:rPr>
        <w:t xml:space="preserve">Pub date: </w:t>
      </w:r>
      <w:r>
        <w:t>2026-04-20 00:00:00+00:00</w:t>
      </w:r>
      <w:r>
        <w:t xml:space="preserve">    </w:t>
      </w:r>
      <w:r>
        <w:rPr>
          <w:b/>
        </w:rPr>
        <w:t xml:space="preserve">DOI: </w:t>
      </w:r>
      <w:hyperlink r:id="rId357">
        <w:r>
          <w:rPr>
            <w:color w:val="1155CC"/>
            <w:u w:val="single"/>
          </w:rPr>
          <w:t>10.1093/nsr/nwag208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58">
        <w:r>
          <w:rPr>
            <w:color w:val="1155CC"/>
            <w:u w:val="single"/>
          </w:rPr>
          <w:t>隐藏的贡献如何推动现代研究</w:t>
        </w:r>
      </w:hyperlink>
    </w:p>
    <w:p>
      <w:pPr>
        <w:spacing w:before="0" w:after="80"/>
      </w:pPr>
      <w:r>
        <w:rPr>
          <w:i/>
          <w:sz w:val="20"/>
        </w:rPr>
        <w:t>EN: How hidden contributions power modern research</w:t>
      </w:r>
    </w:p>
    <w:p>
      <w:pPr>
        <w:spacing w:before="0" w:after="120"/>
      </w:pPr>
      <w:r>
        <w:rPr>
          <w:b/>
        </w:rPr>
        <w:t xml:space="preserve">Source: </w:t>
      </w:r>
      <w:r>
        <w:t>Nature</w:t>
      </w:r>
      <w:r>
        <w:t xml:space="preserve">    </w:t>
      </w:r>
      <w:r>
        <w:rPr>
          <w:b/>
        </w:rPr>
        <w:t xml:space="preserve">Pub date: </w:t>
      </w:r>
      <w:r>
        <w:t>2026-04-20 00:00:00+00:00</w:t>
      </w:r>
      <w:r>
        <w:t xml:space="preserve">    </w:t>
      </w:r>
      <w:r>
        <w:rPr>
          <w:b/>
        </w:rPr>
        <w:t xml:space="preserve">DOI: </w:t>
      </w:r>
      <w:hyperlink r:id="rId359">
        <w:r>
          <w:rPr>
            <w:color w:val="1155CC"/>
            <w:u w:val="single"/>
          </w:rPr>
          <w:t>10.1038/d41586-026-01260-x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 </w:t>
      </w:r>
      <w:hyperlink r:id="rId360">
        <w:r>
          <w:rPr>
            <w:color w:val="1155CC"/>
            <w:u w:val="single"/>
          </w:rPr>
          <w:t>用于可扩展光子系统的逆向设计</w:t>
        </w:r>
      </w:hyperlink>
    </w:p>
    <w:p>
      <w:pPr>
        <w:spacing w:before="0" w:after="80"/>
      </w:pPr>
      <w:r>
        <w:rPr>
          <w:i/>
          <w:sz w:val="20"/>
        </w:rPr>
        <w:t>EN: Inverse design for scalable photonic systems</w:t>
      </w:r>
    </w:p>
    <w:p>
      <w:pPr>
        <w:spacing w:before="0" w:after="120"/>
      </w:pPr>
      <w:r>
        <w:rPr>
          <w:b/>
        </w:rPr>
        <w:t xml:space="preserve">Source: </w:t>
      </w:r>
      <w:r>
        <w:t>Nature Reviews Materials</w:t>
      </w:r>
      <w:r>
        <w:t xml:space="preserve">    </w:t>
      </w:r>
      <w:r>
        <w:rPr>
          <w:b/>
        </w:rPr>
        <w:t xml:space="preserve">Pub date: </w:t>
      </w:r>
      <w:r>
        <w:t>2026-04-20 00:00:00+00:00</w:t>
      </w:r>
      <w:r>
        <w:t xml:space="preserve">    </w:t>
      </w:r>
      <w:r>
        <w:rPr>
          <w:b/>
        </w:rPr>
        <w:t xml:space="preserve">DOI: </w:t>
      </w:r>
      <w:hyperlink r:id="rId361">
        <w:r>
          <w:rPr>
            <w:color w:val="1155CC"/>
            <w:u w:val="single"/>
          </w:rPr>
          <w:t>10.1038/s41578-026-00915-5</w:t>
        </w:r>
      </w:hyperlink>
    </w:p>
    <w:p>
      <w:pPr>
        <w:spacing w:before="0" w:after="120"/>
      </w:pPr>
      <w:r>
        <w:rPr>
          <w:b/>
        </w:rPr>
        <w:t xml:space="preserve">Notes: </w:t>
      </w:r>
      <w:r>
        <w:t>abstract_source=nature_html</w:t>
      </w:r>
    </w:p>
    <w:p>
      <w:pPr>
        <w:spacing w:before="0" w:after="80" w:lineRule="auto" w:line="276"/>
      </w:pPr>
      <w:r>
        <w:rPr>
          <w:b/>
        </w:rPr>
        <w:t xml:space="preserve">摘要（ZH）: </w:t>
      </w:r>
      <w:r>
        <w:t>在过去的二十年中，光子逆向设计已成为实现性能改进或实现新功能的光子器件的强大方法。虽然最初十年的努力集中在大学实验室中设计和制造的概念验证设备上，但过去5-10年的重点已转向可扩展光子系统的实施。本综述调查了这一近期进展以及光子逆向设计中的挑战和新方向。我们专注于大规模3D光子逆向设计，包括超表面，逆向设计向商业代工厂和实用硅光子学的转化，光子逆向设计在不同材料系统、波长和光学效应中的应用，以及</w:t>
      </w:r>
    </w:p>
    <w:p>
      <w:pPr>
        <w:spacing w:before="0" w:after="200" w:lineRule="auto" w:line="276"/>
      </w:pPr>
      <w:r>
        <w:rPr>
          <w:b/>
        </w:rPr>
        <w:t xml:space="preserve">Abstract (EN): </w:t>
      </w:r>
      <w:r>
        <w:t>Over the past two decades, photonic inverse design has emerged as a powerful approach to implement photonic devices with improved performance or to realize new functionalities. Whereas the efforts over the first decade focused on proof-of-concept devices designed and fabricated in university laboratories, the focus over the past 5–10 years has shifted towards implementation of scalable photonic systems. This Review surveys this recent progress and the challenges and new directions in photonics inverse design. We focus on large-scale 3D photonic inverse design, including metasurfaces, on the translation of inverse design to commercial foundries and practical silicon photonics, on the application of photonic inverse design to different materials systems, wavelengths and optical effects and, finally, on new directions such as inverse design of quantum systems.</w:t>
      </w:r>
    </w:p>
    <w:p>
      <w:pPr>
        <w:spacing w:before="120" w:after="120"/>
      </w:pPr>
      <w:r>
        <w:rPr>
          <w:sz w:val="18"/>
        </w:rPr>
        <w:t>——————————————————————————————————————————————————————————————————————</w:t>
      </w:r>
    </w:p>
    <w:p>
      <w:pPr>
        <w:spacing w:before="160" w:after="40" w:line="240" w:lineRule="auto"/>
      </w:pPr>
      <w:r>
        <w:rPr>
          <w:b/>
        </w:rPr>
        <w:t xml:space="preserve">[84] </w:t>
      </w:r>
      <w:hyperlink r:id="rId362">
        <w:r>
          <w:rPr>
            <w:color w:val="1155CC"/>
            <w:u w:val="single"/>
          </w:rPr>
          <w:t>亚波长极紫外显微镜揭示超快去磁化过程中畴壁的稳定性</w:t>
        </w:r>
      </w:hyperlink>
    </w:p>
    <w:p>
      <w:pPr>
        <w:spacing w:before="0" w:after="80"/>
      </w:pPr>
      <w:r>
        <w:rPr>
          <w:i/>
          <w:sz w:val="20"/>
        </w:rPr>
        <w:t>EN: Sub-wavelength extreme ultraviolet microscopy reveals domain-wall stability during ultrafast demagnetization</w:t>
      </w:r>
    </w:p>
    <w:p>
      <w:pPr>
        <w:spacing w:before="0" w:after="120"/>
      </w:pPr>
      <w:r>
        <w:rPr>
          <w:b/>
        </w:rPr>
        <w:t xml:space="preserve">Source: </w:t>
      </w:r>
      <w:r>
        <w:t>Nature Materials</w:t>
      </w:r>
      <w:r>
        <w:t xml:space="preserve">    </w:t>
      </w:r>
      <w:r>
        <w:rPr>
          <w:b/>
        </w:rPr>
        <w:t xml:space="preserve">Pub date: </w:t>
      </w:r>
      <w:r>
        <w:t>2026-04-20 00:00:00+00:00</w:t>
      </w:r>
      <w:r>
        <w:t xml:space="preserve">    </w:t>
      </w:r>
      <w:r>
        <w:rPr>
          <w:b/>
        </w:rPr>
        <w:t xml:space="preserve">DOI: </w:t>
      </w:r>
      <w:hyperlink r:id="rId363">
        <w:r>
          <w:rPr>
            <w:color w:val="1155CC"/>
            <w:u w:val="single"/>
          </w:rPr>
          <w:t>10.1038/s41563-026-02583-w</w:t>
        </w:r>
      </w:hyperlink>
    </w:p>
    <w:p>
      <w:pPr>
        <w:spacing w:before="0" w:after="120"/>
      </w:pPr>
      <w:r>
        <w:rPr>
          <w:b/>
        </w:rPr>
        <w:t xml:space="preserve">Notes: </w:t>
      </w:r>
      <w:r>
        <w:t>abstract_source=nature_html</w:t>
      </w:r>
    </w:p>
    <w:p>
      <w:pPr>
        <w:spacing w:before="0" w:after="80" w:lineRule="auto" w:line="276"/>
      </w:pPr>
      <w:r>
        <w:rPr>
          <w:b/>
        </w:rPr>
        <w:t xml:space="preserve">摘要（ZH）: </w:t>
      </w:r>
      <w:r>
        <w:t>磁性纹理的超快控制依赖于理解畴壁如何响应飞秒激光激发。先前的X射线散射研究表明，在可逆去磁化过程中存在瞬态畴壁扩展和运动。然而，由于现有技术的时空分辨率不足，这种动态从未被直接观察到。在此，我们引入了具有亚波长13.5纳米空间分辨率的飞秒极紫外显微镜，能够在激光诱导去磁化过程中直接对铁磁和铁磁薄膜中的畴进行实空间成像。在实验精度优于2纳米的情况下，畴壁位置和宽度在50%–80%去磁化的不可逆磁性切换开始之前保持不变。这些发现确立了</w:t>
      </w:r>
    </w:p>
    <w:p>
      <w:pPr>
        <w:spacing w:before="0" w:after="200" w:lineRule="auto" w:line="276"/>
      </w:pPr>
      <w:r>
        <w:rPr>
          <w:b/>
        </w:rPr>
        <w:t xml:space="preserve">Abstract (EN): </w:t>
      </w:r>
      <w:r>
        <w:t>Ultrafast control of magnetic textures relies on understanding how domain walls respond to femtosecond laser excitation. Previous X-ray scattering studies suggested transient domain-wall broadening and motion during reversible demagnetization. Yet such dynamics have never been observed directly, owing to insufficient spatiotemporal resolution in existing techniques. Here we introduce femtosecond extreme ultraviolet microscopy with sub-wavelength 13.5-nm spatial resolution, enabling direct real-space imaging of domains in ferri- and ferromagnetic thin films during laser-induced demagnetization. Within an experimental precision better than 2 nm, domain-wall positions and widths remain unchanged up to the onset of irreversible magnetic switching at 50%–80% demagnetization. These findings establish quantitative limits for reversible domain-wall motion and spin transport upon ultrafast demagnetization, while implying that irreversible reconfiguration underlies characteristic changes in diffraction signatures at high fluence. The approach expands time-resolved microscopy into the nanometre and femtosecond regime, enabling element-specific studies of coupled spin, charge and lattice dynamics in quantum and functional materials.</w:t>
      </w:r>
    </w:p>
    <w:p>
      <w:pPr>
        <w:spacing w:before="120" w:after="120"/>
      </w:pPr>
      <w:r>
        <w:rPr>
          <w:sz w:val="18"/>
        </w:rPr>
        <w:t>——————————————————————————————————————————————————————————————————————</w:t>
      </w:r>
    </w:p>
    <w:p>
      <w:pPr>
        <w:spacing w:before="160" w:after="40" w:line="240" w:lineRule="auto"/>
      </w:pPr>
      <w:r>
        <w:rPr>
          <w:b/>
        </w:rPr>
        <w:t xml:space="preserve">[85] </w:t>
      </w:r>
      <w:hyperlink r:id="rId364">
        <w:r>
          <w:rPr>
            <w:color w:val="1155CC"/>
            <w:u w:val="single"/>
          </w:rPr>
          <w:t>过去九个世纪大气CO2增长率的年度分辨率</w:t>
        </w:r>
      </w:hyperlink>
    </w:p>
    <w:p>
      <w:pPr>
        <w:spacing w:before="0" w:after="80"/>
      </w:pPr>
      <w:r>
        <w:rPr>
          <w:i/>
          <w:sz w:val="20"/>
        </w:rPr>
        <w:t>EN: Annually resolved atmospheric CO2 growth rate over the past nine centuries</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65">
        <w:r>
          <w:rPr>
            <w:color w:val="1155CC"/>
            <w:u w:val="single"/>
          </w:rPr>
          <w:t>10.1038/s41467-026-72220-2</w:t>
        </w:r>
      </w:hyperlink>
    </w:p>
    <w:p>
      <w:pPr>
        <w:spacing w:before="0" w:after="120"/>
      </w:pPr>
      <w:r>
        <w:rPr>
          <w:b/>
        </w:rPr>
        <w:t xml:space="preserve">Notes: </w:t>
      </w:r>
      <w:r>
        <w:t>abstract_source=nature_html</w:t>
      </w:r>
    </w:p>
    <w:p>
      <w:pPr>
        <w:spacing w:before="0" w:after="80" w:lineRule="auto" w:line="276"/>
      </w:pPr>
      <w:r>
        <w:rPr>
          <w:b/>
        </w:rPr>
        <w:t xml:space="preserve">摘要（ZH）: </w:t>
      </w:r>
      <w:r>
        <w:t>年际大气CO2增长率（CGR），主要由于陆地生物圈碳吸收的波动，是大气CO2浓度的关键决定因素。然而，CGR的观测仅在最近几十年内可用，无法充分揭示其自然变异性及其与陆地生态系统和气候驱动因素的相互作用。在此，我们基于全球分布的温度敏感代理网络，重建了过去九个世纪（1100-2006年）的年际CGR。通过与动态全球植被模型模拟和厄尔尼诺-南方涛动的比较验证了重建结果。我们的数据揭示了CGR变异的密切关联</w:t>
      </w:r>
    </w:p>
    <w:p>
      <w:pPr>
        <w:spacing w:before="0" w:after="200" w:lineRule="auto" w:line="276"/>
      </w:pPr>
      <w:r>
        <w:rPr>
          <w:b/>
        </w:rPr>
        <w:t xml:space="preserve">Abstract (EN): </w:t>
      </w:r>
      <w:r>
        <w:t>Interannual atmospheric CO2" role="presentation"&gt;CO2{{{\rm{CO}}}}_{2} growth rate (CGR), mostly resulting from fluctuating carbon uptake in terrestrial biosphere, is a key determinant of atmospheric CO2" role="presentation"&gt;CO2{{{\rm{CO}}}}_{2} concentration. However, CGR observations are merely available in recent decades, which are unable to fully reveal its natural variability and interactions with terrestrial ecosystems and climatic drivers. Here we present a reconstruction of interannual CGR over the past nine centuries (1100-2006) based on a globally distributed temperature-sensitive proxy network. The reconstruction is validated by the comparison with dynamic global vegetation model simulations and the El Niño-Southern Oscillation. Our data reveal a close association of CGR variability with atmospheric CO2" role="presentation"&gt;CO2{{{\rm{CO}}}}_{2} concentration and tropical climate. Present CGR variability is unprecedentedly high over the past nine centuries, suggestive of the instability of present carbon cycle and the reducing resilience of atmospheric carbon balance under intensifying anthropogenic forcing. Our record provides a pre-industrial constraint for perceiving the climate-carbon coupling under historical climate forcings.</w:t>
      </w:r>
    </w:p>
    <w:p>
      <w:pPr>
        <w:spacing w:before="120" w:after="120"/>
      </w:pPr>
      <w:r>
        <w:rPr>
          <w:sz w:val="18"/>
        </w:rPr>
        <w:t>——————————————————————————————————————————————————————————————————————</w:t>
      </w:r>
    </w:p>
    <w:p>
      <w:pPr>
        <w:spacing w:before="160" w:after="40" w:line="240" w:lineRule="auto"/>
      </w:pPr>
      <w:r>
        <w:rPr>
          <w:b/>
        </w:rPr>
        <w:t xml:space="preserve">[86] </w:t>
      </w:r>
      <w:hyperlink r:id="rId366">
        <w:r>
          <w:rPr>
            <w:color w:val="1155CC"/>
            <w:u w:val="single"/>
          </w:rPr>
          <w:t>工程化的BCG选择性地触发肿瘤相关巨噬细胞的训练免疫，并使小鼠的胶质母细胞瘤对放疗敏感</w:t>
        </w:r>
      </w:hyperlink>
    </w:p>
    <w:p>
      <w:pPr>
        <w:spacing w:before="0" w:after="80"/>
      </w:pPr>
      <w:r>
        <w:rPr>
          <w:i/>
          <w:sz w:val="20"/>
        </w:rPr>
        <w:t>EN: Engineered BCG selectively triggers trained immunity in tumor-associated macrophages and sensitizes glioblastoma to radiotherapy in mice</w:t>
      </w:r>
    </w:p>
    <w:p>
      <w:pPr>
        <w:spacing w:before="0" w:after="120"/>
      </w:pPr>
      <w:r>
        <w:rPr>
          <w:b/>
        </w:rPr>
        <w:t xml:space="preserve">Source: </w:t>
      </w:r>
      <w:r>
        <w:t>Nature Communications</w:t>
      </w:r>
      <w:r>
        <w:t xml:space="preserve">    </w:t>
      </w:r>
      <w:r>
        <w:rPr>
          <w:b/>
        </w:rPr>
        <w:t xml:space="preserve">Pub date: </w:t>
      </w:r>
      <w:r>
        <w:t>2026-04-20 00:00:00+00:00</w:t>
      </w:r>
      <w:r>
        <w:t xml:space="preserve">    </w:t>
      </w:r>
      <w:r>
        <w:rPr>
          <w:b/>
        </w:rPr>
        <w:t xml:space="preserve">DOI: </w:t>
      </w:r>
      <w:hyperlink r:id="rId367">
        <w:r>
          <w:rPr>
            <w:color w:val="1155CC"/>
            <w:u w:val="single"/>
          </w:rPr>
          <w:t>10.1038/s41467-026-72067-7</w:t>
        </w:r>
      </w:hyperlink>
    </w:p>
    <w:p>
      <w:pPr>
        <w:spacing w:before="0" w:after="120"/>
      </w:pPr>
      <w:r>
        <w:rPr>
          <w:b/>
        </w:rPr>
        <w:t xml:space="preserve">Notes: </w:t>
      </w:r>
      <w:r>
        <w:t>abstract_source=nature_html</w:t>
      </w:r>
    </w:p>
    <w:p>
      <w:pPr>
        <w:spacing w:before="0" w:after="80" w:lineRule="auto" w:line="276"/>
      </w:pPr>
      <w:r>
        <w:rPr>
          <w:b/>
        </w:rPr>
        <w:t xml:space="preserve">摘要（ZH）: </w:t>
      </w:r>
      <w:r>
        <w:t>放射治疗在胶质母细胞瘤的抗肿瘤免疫中起着关键作用，但其疗效往往有限，导致肿瘤复发。在此，我们通过生物正交化学工程化了一种伪装有巨噬细胞膜的卡介苗（BCG），以增强对胶质母细胞瘤的放射治疗。这种工程化的BCG能够穿过血脑屏障，靶向肿瘤，并通过其内在的过氧化氢酶活性缓解缺氧，在小鼠原位胶质母细胞瘤和人源化小鼠模型中发挥抗肿瘤作用。值得注意的是，它还在肿瘤相关巨噬细胞中启动了训练免疫。肿瘤相关巨噬细胞的耗竭和过继转移表明，训练免疫促进了炎性细胞因子产生、活性氧释放、吞噬作用和招募</w:t>
      </w:r>
    </w:p>
    <w:p>
      <w:pPr>
        <w:spacing w:before="0" w:after="200" w:lineRule="auto" w:line="276"/>
      </w:pPr>
      <w:r>
        <w:rPr>
          <w:b/>
        </w:rPr>
        <w:t xml:space="preserve">Abstract (EN): </w:t>
      </w:r>
      <w:r>
        <w:t>Radiotherapy plays a crucial role in antitumor immunity in glioblastoma, yet its efficacy is often limited, resulting in tumor recurrence. Here, we engineer a macrophage membrane-camouflaged Bacillus Calmette-Guérin (BCG) via bioorthogonal chemistry to enhance radiotherapy against glioblastoma. This engineered BCG penetrates the blood-brain barrier, targets tumors, and alleviates hypoxia through intrinsic catalase activity, exerting antitumor effects in both murine orthotopic glioblastoma and humanized mouse models. Notably, it also initiates trained immunity in tumor-associated macrophages. Depletion and adoptive transfer of tumor-associated macrophages demonstrate that trained immunity promotes inflammatory cytokine production, reactive oxygen species release, phagocytosis and the recruitment of CD8+ T cells, ultimately amplifying immune responses to radiotherapy. Moreover, immune checkpoint blockade further augments the antitumor efficacy of engineered BCG combined with radiotherapy. Here, we show that trained immunity in tumor-associated macrophages is a promising strategy to sensitize glioblastoma to radiotherapy and improve treatment outcomes.</w:t>
      </w:r>
    </w:p>
    <w:p>
      <w:pPr>
        <w:spacing w:before="120" w:after="120"/>
      </w:pPr>
      <w:r>
        <w:rPr>
          <w:sz w:val="18"/>
        </w:rPr>
        <w:t>——————————————————————————————————————————————————————————————————————</w:t>
      </w:r>
    </w:p>
    <w:p>
      <w:pPr>
        <w:spacing w:before="160" w:after="40" w:line="240" w:lineRule="auto"/>
      </w:pPr>
      <w:r>
        <w:rPr>
          <w:b/>
        </w:rPr>
        <w:t xml:space="preserve">[87] </w:t>
      </w:r>
      <w:hyperlink r:id="rId368">
        <w:r>
          <w:rPr>
            <w:color w:val="1155CC"/>
            <w:u w:val="single"/>
          </w:rPr>
          <w:t>人工智能时代的同行评审</w:t>
        </w:r>
      </w:hyperlink>
    </w:p>
    <w:p>
      <w:pPr>
        <w:spacing w:before="0" w:after="80"/>
      </w:pPr>
      <w:r>
        <w:rPr>
          <w:i/>
          <w:sz w:val="20"/>
        </w:rPr>
        <w:t>EN: Peer review in the time of artificial intelligence</w:t>
      </w:r>
    </w:p>
    <w:p>
      <w:pPr>
        <w:spacing w:before="0" w:after="120"/>
      </w:pPr>
      <w:r>
        <w:rPr>
          <w:b/>
        </w:rPr>
        <w:t xml:space="preserve">Source: </w:t>
      </w:r>
      <w:r>
        <w:t>Nature Nanotechnology</w:t>
      </w:r>
      <w:r>
        <w:t xml:space="preserve">    </w:t>
      </w:r>
      <w:r>
        <w:rPr>
          <w:b/>
        </w:rPr>
        <w:t xml:space="preserve">Pub date: </w:t>
      </w:r>
      <w:r>
        <w:t>2026-04-20 00:00:00+00:00</w:t>
      </w:r>
      <w:r>
        <w:t xml:space="preserve">    </w:t>
      </w:r>
      <w:r>
        <w:rPr>
          <w:b/>
        </w:rPr>
        <w:t xml:space="preserve">DOI: </w:t>
      </w:r>
      <w:hyperlink r:id="rId369">
        <w:r>
          <w:rPr>
            <w:color w:val="1155CC"/>
            <w:u w:val="single"/>
          </w:rPr>
          <w:t>10.1038/s41565-026-02177-2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370">
        <w:r>
          <w:rPr>
            <w:color w:val="1155CC"/>
            <w:u w:val="single"/>
          </w:rPr>
          <w:t>复合中间层调和钙钛矿太阳能电池的机械和电气稳定性</w:t>
        </w:r>
      </w:hyperlink>
    </w:p>
    <w:p>
      <w:pPr>
        <w:spacing w:before="0" w:after="80"/>
      </w:pPr>
      <w:r>
        <w:rPr>
          <w:i/>
          <w:sz w:val="20"/>
        </w:rPr>
        <w:t>EN: A Composite Interlayer Reconciling Mechanical and Electrical Stability in Perovskite Solar Cells</w:t>
      </w:r>
    </w:p>
    <w:p>
      <w:pPr>
        <w:spacing w:before="0" w:after="120"/>
      </w:pPr>
      <w:r>
        <w:rPr>
          <w:b/>
        </w:rPr>
        <w:t xml:space="preserve">Source: </w:t>
      </w:r>
      <w:r>
        <w:t>Wiley: Advanced Materials: Table of Contents</w:t>
      </w:r>
      <w:r>
        <w:t xml:space="preserve">    </w:t>
      </w:r>
      <w:r>
        <w:rPr>
          <w:b/>
        </w:rPr>
        <w:t xml:space="preserve">Pub date: </w:t>
      </w:r>
      <w:r>
        <w:t>2026-04-20 05:33:45+00:00</w:t>
      </w:r>
      <w:r>
        <w:t xml:space="preserve">    </w:t>
      </w:r>
      <w:r>
        <w:rPr>
          <w:b/>
        </w:rPr>
        <w:t xml:space="preserve">DOI: </w:t>
      </w:r>
      <w:hyperlink r:id="rId371">
        <w:r>
          <w:rPr>
            <w:color w:val="1155CC"/>
            <w:u w:val="single"/>
          </w:rPr>
          <w:t>10.1002/adma.73119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型接触的界面不稳定性仍然是钙钛矿太阳能电池（PSCs）商业化的关键障碍，因为耦合的晶格应力和离子迁移会迅速破坏电子秩序和结构完整性。在此，我们报告了一种完全溶液处理的n型界面结构，它统一了机械顺应性、电子稳定性和厚度不敏感的操作。热原位自交联的巴托铜酞菁衍生物（c-BCP）与π-共轭n型导电墨水（PBFDO:PEOx）集成，形成了一个机械连续但电子选择性的结点，保持</w:t>
      </w:r>
    </w:p>
    <w:p>
      <w:pPr>
        <w:spacing w:before="0" w:after="200" w:lineRule="auto" w:line="276"/>
      </w:pPr>
      <w:r>
        <w:rPr>
          <w:b/>
        </w:rPr>
        <w:t xml:space="preserve">Abstract (EN): </w:t>
      </w:r>
      <w:r>
        <w:t>Interfacial instability of</w:t>
      </w:r>
      <w:r>
        <w:t xml:space="preserve"> </w:t>
      </w:r>
      <w:r>
        <w:t>n</w:t>
      </w:r>
      <w:r>
        <w:t xml:space="preserve"> </w:t>
      </w:r>
      <w:r>
        <w:t>‐type contacts remains a key barrier to the commercialization of perovskite solar cells (PSCs), as coupled lattice stress and ion migration rapidly deteriorate electronic order and structural integrity. Here, we report a fully solution‐processed</w:t>
      </w:r>
      <w:r>
        <w:t xml:space="preserve"> </w:t>
      </w:r>
      <w:r>
        <w:t>n</w:t>
      </w:r>
      <w:r>
        <w:t xml:space="preserve"> </w:t>
      </w:r>
      <w:r>
        <w:t>‐type interfacial architecture that unifies mechanical compliance, electronic stabilization, and thickness‐insensitive operation. A thermally in situ self‐crosslinked bathocuproine derivative (c‐BCP) is integrated with a π‐conjugated</w:t>
      </w:r>
      <w:r>
        <w:t xml:space="preserve"> </w:t>
      </w:r>
      <w:r>
        <w:t>n</w:t>
      </w:r>
      <w:r>
        <w:t xml:space="preserve"> </w:t>
      </w:r>
      <w:r>
        <w:t>‐type conductive ink (PBFDO:PEOx) to form a mechanically continuous yet electronically selective junction that remains effective across thicknesses approaching 60 nm. This composite interlayer effectively redistributes interfacial stress, suppresses halide migration, and minimizes defect‐assisted nonradiative recombination. By coupling elastic energy dissipation with directional charge transport, the design resolves the long‐standing trade‐off between interfacial robustness and carrier extraction in</w:t>
      </w:r>
      <w:r>
        <w:t xml:space="preserve"> </w:t>
      </w:r>
      <w:r>
        <w:t>n</w:t>
      </w:r>
      <w:r>
        <w:t xml:space="preserve"> </w:t>
      </w:r>
      <w:r>
        <w:t>‐type contacts. Devices incorporating this interlayer deliver a champion efficiency of 26.37% and retain &amp;gt;92% of their initial performance after 1000 h of continuous illumination under thermal stress. These results establish a generalizable and manufacturing‐ready framework for thick, solution‐processable</w:t>
      </w:r>
      <w:r>
        <w:t xml:space="preserve"> </w:t>
      </w:r>
      <w:r>
        <w:t>n</w:t>
      </w:r>
      <w:r>
        <w:t xml:space="preserve"> </w:t>
      </w:r>
      <w:r>
        <w:t>‐type contacts, enabling intrinsically durable and high‐efficiency perovskite optoelectronics.</w:t>
      </w:r>
    </w:p>
    <w:p>
      <w:pPr>
        <w:spacing w:before="120" w:after="120"/>
      </w:pPr>
      <w:r>
        <w:rPr>
          <w:sz w:val="18"/>
        </w:rPr>
        <w:t>——————————————————————————————————————————————————————————————————————</w:t>
      </w:r>
    </w:p>
    <w:p>
      <w:pPr>
        <w:spacing w:before="160" w:after="40" w:line="240" w:lineRule="auto"/>
      </w:pPr>
      <w:r>
        <w:rPr>
          <w:b/>
        </w:rPr>
        <w:t xml:space="preserve">[89] </w:t>
      </w:r>
      <w:hyperlink r:id="rId372">
        <w:r>
          <w:rPr>
            <w:color w:val="1155CC"/>
            <w:u w:val="single"/>
          </w:rPr>
          <w:t>逻辑门控分子机器封装环境响应DNA执行器以实现可调的细胞溶酶体干扰</w:t>
        </w:r>
      </w:hyperlink>
    </w:p>
    <w:p>
      <w:pPr>
        <w:spacing w:before="0" w:after="80"/>
      </w:pPr>
      <w:r>
        <w:rPr>
          <w:i/>
          <w:sz w:val="20"/>
        </w:rPr>
        <w:t>EN: Logic‐Gated Molecular Machines Encapsulate Environment‐Responsive DNA Actuators for Tunable Cellular Lysosome Interference</w:t>
      </w:r>
    </w:p>
    <w:p>
      <w:pPr>
        <w:spacing w:before="0" w:after="120"/>
      </w:pPr>
      <w:r>
        <w:rPr>
          <w:b/>
        </w:rPr>
        <w:t xml:space="preserve">Source: </w:t>
      </w:r>
      <w:r>
        <w:t>Wiley: Angewandte Chemie International Edition: Table of Contents</w:t>
      </w:r>
      <w:r>
        <w:t xml:space="preserve">    </w:t>
      </w:r>
      <w:r>
        <w:rPr>
          <w:b/>
        </w:rPr>
        <w:t xml:space="preserve">Pub date: </w:t>
      </w:r>
      <w:r>
        <w:t>2026-04-20 05:35:43+00:00</w:t>
      </w:r>
      <w:r>
        <w:t xml:space="preserve">    </w:t>
      </w:r>
      <w:r>
        <w:rPr>
          <w:b/>
        </w:rPr>
        <w:t xml:space="preserve">DOI: </w:t>
      </w:r>
      <w:hyperlink r:id="rId373">
        <w:r>
          <w:rPr>
            <w:color w:val="1155CC"/>
            <w:u w:val="single"/>
          </w:rPr>
          <w:t>10.1002/anie.202525542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内DNA纳米组装已被证明能够有效诱导细胞器功能障碍和细胞死亡，而其规模依赖的细胞干扰能力仍未定义。为了解决这一问题，我们在此设计了一种逻辑门控的溶酶体靶向分子机器，封装了ATP驱动的DNA执行器，可以在溶酶体微环境中组装成不同规模的纳米结构。这样的设计使得可编程的DNA纳米组装和可调的溶酶体干扰成为可能，分别通过原子力显微镜（AFM）和生物透射电子显微镜（bio-TEM）直观可视化，显示出较大的DNA组装促进了更强的膜通透性和更大的细胞毒性。这证明了显著的规模依赖性</w:t>
      </w:r>
    </w:p>
    <w:p>
      <w:pPr>
        <w:spacing w:before="0" w:after="200" w:lineRule="auto" w:line="276"/>
      </w:pPr>
      <w:r>
        <w:rPr>
          <w:b/>
        </w:rPr>
        <w:t xml:space="preserve">Abstract (EN): </w:t>
      </w:r>
      <w:r>
        <w:t>Intracellular DNA nanoassemblies have proven to potently induce organelle dysfunction and cell death, while their scale‐dependent capacity of cellular interference remains undefined. To address it, here we engineer a logic‐gated lysosome‐targeted molecular machine that encapsulates ATP‐driven DNA actuators, which can assemble into different‐scaled nanoarchitectures in response to lysosomal microenvironments. Such a design enables the programmable DNA nanoassembly and tunable lysosome interference, straightforwardly visualized by atomic force microscopy (AFM) and bio‐transmission electron microscopy (bio‐TEM), respectively, showing that larger DNA assemblies promote stronger membrane permeabilization and greater cytotoxicity. It evidences the pronounced scale‐dependent lysosome interference and clues how to rationally design DNA nanoassemblies for cell regulation. We further investigate the primary pathway of programmed cell death induced by DNA nanoassemblies, which reveals the cathepsin‐mediated caspase‐independent lysosomal cell death, alongside a minor caspase‐dependent pathway. This work demonstrates a programmable “dual‐signal logic–structural assembly–functional output” cascade at the suborganelle level, which would establish a new paradigm for DNA‐based nanotherapeutics.</w:t>
      </w:r>
    </w:p>
    <w:p>
      <w:pPr>
        <w:spacing w:before="120" w:after="120"/>
      </w:pPr>
      <w:r>
        <w:rPr>
          <w:sz w:val="18"/>
        </w:rPr>
        <w:t>——————————————————————————————————————————————————————————————————————</w:t>
      </w:r>
    </w:p>
    <w:p>
      <w:pPr>
        <w:spacing w:before="160" w:after="40" w:line="240" w:lineRule="auto"/>
      </w:pPr>
      <w:r>
        <w:rPr>
          <w:b/>
        </w:rPr>
        <w:t xml:space="preserve">[90] </w:t>
      </w:r>
      <w:hyperlink r:id="rId374">
        <w:r>
          <w:rPr>
            <w:color w:val="1155CC"/>
            <w:u w:val="single"/>
          </w:rPr>
          <w:t>微污染物解锁惰性催化位点，实现快速水净化和近乎完全的化学利用</w:t>
        </w:r>
      </w:hyperlink>
    </w:p>
    <w:p>
      <w:pPr>
        <w:spacing w:before="0" w:after="80"/>
      </w:pPr>
      <w:r>
        <w:rPr>
          <w:i/>
          <w:sz w:val="20"/>
        </w:rPr>
        <w:t>EN: Inert Catalytic Sites Unlocked by Micropollutants for Rapid Water Decontamination with Near‐Complete Chemical Utilization</w:t>
      </w:r>
    </w:p>
    <w:p>
      <w:pPr>
        <w:spacing w:before="0" w:after="120"/>
      </w:pPr>
      <w:r>
        <w:rPr>
          <w:b/>
        </w:rPr>
        <w:t xml:space="preserve">Source: </w:t>
      </w:r>
      <w:r>
        <w:t>Wiley: Advanced Materials: Table of Contents</w:t>
      </w:r>
      <w:r>
        <w:t xml:space="preserve">    </w:t>
      </w:r>
      <w:r>
        <w:rPr>
          <w:b/>
        </w:rPr>
        <w:t xml:space="preserve">Pub date: </w:t>
      </w:r>
      <w:r>
        <w:t>2026-04-20 05:37:50+00:00</w:t>
      </w:r>
      <w:r>
        <w:t xml:space="preserve">    </w:t>
      </w:r>
      <w:r>
        <w:rPr>
          <w:b/>
        </w:rPr>
        <w:t xml:space="preserve">DOI: </w:t>
      </w:r>
      <w:hyperlink r:id="rId375">
        <w:r>
          <w:rPr>
            <w:color w:val="1155CC"/>
            <w:u w:val="single"/>
          </w:rPr>
          <w:t>10.1002/adma.73103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高级氧化过程中，由于过氧化物和生成的活性物种的自猝灭或被水基质中的背景因素捕获，其利用效率通常较低。在此，我们设计了一种新的基于钴的金属有机框架（PKU-24），具有六配位结构，可诱导强电子局域化并抑制钴位点的氧化还原活性，从而阻断电子转移途径。有趣的是，具有定向偶极矩的富电子污染物可以作为分子“开关”，有效地开启PKU-24对过氧单硫酸盐（PMS）的活化。计算表明，污染物的偶极矩是决定有机污染物行为的关键描述符。</w:t>
      </w:r>
    </w:p>
    <w:p>
      <w:pPr>
        <w:spacing w:before="0" w:after="200" w:lineRule="auto" w:line="276"/>
      </w:pPr>
      <w:r>
        <w:rPr>
          <w:b/>
        </w:rPr>
        <w:t xml:space="preserve">Abstract (EN): </w:t>
      </w:r>
      <w:r>
        <w:t>The utilization efficiencies of peroxide and the evolved reactive species are typically low in advanced oxidation processes due to their self‐quenching or scavenging by background factors in water matrices. Here, we design a new Co‐based metal‐organic framework (PKU‐24) with a six‐coordinate structure that induces strong electron localization and suppresses the redox activity of Co sites, thereby blocking the electron‐transfer pathway. Interestingly, electron‐rich pollutants with oriented dipole moments can act as molecular “switches”, effectively turning on PKU‐24 activity for peroxymonosulfate (PMS) activation. Computations reveal that the dipole moment of pollutants is the decisive descriptor governing the behavior of organic contaminants in activating inert Co centers and reopening the electron‐transfer channel to mediate SO</w:t>
      </w:r>
      <w:r>
        <w:rPr>
          <w:vertAlign w:val="subscript"/>
        </w:rPr>
        <w:t>5</w:t>
      </w:r>
      <w:r>
        <w:t>•−</w:t>
      </w:r>
      <w:r>
        <w:t>toward selective singlet oxygen generation. Additionally, this work develops a large‐scale synthesis method for PKU‐24 with a single synthesis yield of ∼0.55 kg (costing ∼0.52 USD g</w:t>
      </w:r>
      <w:r>
        <w:t xml:space="preserve"> </w:t>
      </w:r>
      <w:r>
        <w:t>−1</w:t>
      </w:r>
      <w:r>
        <w:t xml:space="preserve"> </w:t>
      </w:r>
      <w:r>
        <w:t>) and achieves long‐term, efficient, continuous treatment of organic wastewater. This work introduces a new principle for the design of pollutant‐sensitive Fenton‐like catalysts to achieve effective organic elimination while significantly reducing peroxide consumption.</w:t>
      </w:r>
    </w:p>
    <w:p>
      <w:pPr>
        <w:spacing w:before="120" w:after="120"/>
      </w:pPr>
      <w:r>
        <w:rPr>
          <w:sz w:val="18"/>
        </w:rPr>
        <w:t>——————————————————————————————————————————————————————————————————————</w:t>
      </w:r>
    </w:p>
    <w:p>
      <w:pPr>
        <w:spacing w:before="160" w:after="40" w:line="240" w:lineRule="auto"/>
      </w:pPr>
      <w:r>
        <w:rPr>
          <w:b/>
        </w:rPr>
        <w:t xml:space="preserve">[91] </w:t>
      </w:r>
      <w:hyperlink r:id="rId376">
        <w:r>
          <w:rPr>
            <w:color w:val="1155CC"/>
            <w:u w:val="single"/>
          </w:rPr>
          <w:t>超越晶体结构：非晶结构如何决定电催化性能</w:t>
        </w:r>
      </w:hyperlink>
    </w:p>
    <w:p>
      <w:pPr>
        <w:spacing w:before="0" w:after="80"/>
      </w:pPr>
      <w:r>
        <w:rPr>
          <w:i/>
          <w:sz w:val="20"/>
        </w:rPr>
        <w:t>EN: Beyond Crystallinity: How Amorphous Structures Dictate Performance in Electrocatalysis</w:t>
      </w:r>
    </w:p>
    <w:p>
      <w:pPr>
        <w:spacing w:before="0" w:after="120"/>
      </w:pPr>
      <w:r>
        <w:rPr>
          <w:b/>
        </w:rPr>
        <w:t xml:space="preserve">Source: </w:t>
      </w:r>
      <w:r>
        <w:t>Wiley: Advanced Materials: Table of Contents</w:t>
      </w:r>
      <w:r>
        <w:t xml:space="preserve">    </w:t>
      </w:r>
      <w:r>
        <w:rPr>
          <w:b/>
        </w:rPr>
        <w:t xml:space="preserve">Pub date: </w:t>
      </w:r>
      <w:r>
        <w:t>2026-04-20 05:41:21+00:00</w:t>
      </w:r>
      <w:r>
        <w:t xml:space="preserve">    </w:t>
      </w:r>
      <w:r>
        <w:rPr>
          <w:b/>
        </w:rPr>
        <w:t xml:space="preserve">DOI: </w:t>
      </w:r>
      <w:hyperlink r:id="rId377">
        <w:r>
          <w:rPr>
            <w:color w:val="1155CC"/>
            <w:u w:val="single"/>
          </w:rPr>
          <w:t>10.1002/adma.202600014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在能源转换与存储、化学合成和环境修复等多个领域表现出显著的效果。催化剂在决定电催化反应效率方面起着关键作用。在过去的几十年中，由于其结构无序引发的优势，如丰富的活性位点、高结构柔性和独特的电子结构，非晶电催化剂引起了广泛关注。最近，由于不同相之间的协同作用，非晶-晶体异相电催化剂被证明更为有效。本文概述了非晶结构的常见合成方法和基本特征，包括非晶相和</w:t>
      </w:r>
    </w:p>
    <w:p>
      <w:pPr>
        <w:spacing w:before="0" w:after="200" w:lineRule="auto" w:line="276"/>
      </w:pPr>
      <w:r>
        <w:rPr>
          <w:b/>
        </w:rPr>
        <w:t xml:space="preserve">Abstract (EN): </w:t>
      </w:r>
      <w:r>
        <w:t>Electrocatalysis has proven remarkable effectiveness in various fields, such as energy conversion and storage, chemical synthesis, and environmental remediation. Catalysts play a crucial role in determining the efficiency of electrocatalytic reactions. In the past decades, amorphous electrocatalysts have attracted significant attention owing to their structural disorder‐induced advantages, such as abundant active sites, high structural flexibility, and unique electronic structure. More recently, amorphous‐crystalline heterophase electrocatalysts have been proven even more effective because of the synergy between different phases. Herein, the common synthesis methods and fundamental features of amorphous‐based structures are outlined, including amorphous phase and amorphous‐crystalline dual‐phase nanomaterials. Importantly, the correlations between the structural characteristics of amorphous‐based nanomaterials and their electrocatalytic performance are interpreted in depth, with the focus on newly emerged materials in recent years and energy‐related electrocatalytic reactions. Finally, perspectives on the remaining challenges and potential research directions in future are also provided.</w:t>
      </w:r>
    </w:p>
    <w:p>
      <w:pPr>
        <w:spacing w:before="120" w:after="120"/>
      </w:pPr>
      <w:r>
        <w:rPr>
          <w:sz w:val="18"/>
        </w:rPr>
        <w:t>——————————————————————————————————————————————————————————————————————</w:t>
      </w:r>
    </w:p>
    <w:p>
      <w:pPr>
        <w:spacing w:before="160" w:after="40" w:line="240" w:lineRule="auto"/>
      </w:pPr>
      <w:r>
        <w:rPr>
          <w:b/>
        </w:rPr>
        <w:t xml:space="preserve">[92] </w:t>
      </w:r>
      <w:hyperlink r:id="rId378">
        <w:r>
          <w:rPr>
            <w:color w:val="1155CC"/>
            <w:u w:val="single"/>
          </w:rPr>
          <w:t>钙钛矿纳米晶中的配体介导表面载流子调制用于电荷对称LED</w:t>
        </w:r>
      </w:hyperlink>
    </w:p>
    <w:p>
      <w:pPr>
        <w:spacing w:before="0" w:after="80"/>
      </w:pPr>
      <w:r>
        <w:rPr>
          <w:i/>
          <w:sz w:val="20"/>
        </w:rPr>
        <w:t>EN: Ligand‐Mediated Surface Carrier Modulation in Perovskite Nanocrystals for Charge‐Symmetric LEDs</w:t>
      </w:r>
    </w:p>
    <w:p>
      <w:pPr>
        <w:spacing w:before="0" w:after="120"/>
      </w:pPr>
      <w:r>
        <w:rPr>
          <w:b/>
        </w:rPr>
        <w:t xml:space="preserve">Source: </w:t>
      </w:r>
      <w:r>
        <w:t>Wiley: Advanced Materials: Table of Contents</w:t>
      </w:r>
      <w:r>
        <w:t xml:space="preserve">    </w:t>
      </w:r>
      <w:r>
        <w:rPr>
          <w:b/>
        </w:rPr>
        <w:t xml:space="preserve">Pub date: </w:t>
      </w:r>
      <w:r>
        <w:t>2026-04-20 05:52:25+00:00</w:t>
      </w:r>
      <w:r>
        <w:t xml:space="preserve">    </w:t>
      </w:r>
      <w:r>
        <w:rPr>
          <w:b/>
        </w:rPr>
        <w:t xml:space="preserve">DOI: </w:t>
      </w:r>
      <w:hyperlink r:id="rId379">
        <w:r>
          <w:rPr>
            <w:color w:val="1155CC"/>
            <w:u w:val="single"/>
          </w:rPr>
          <w:t>10.1002/adma.202520499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金属卤化物钙钛矿纳米晶体（MHP NCs）在发光二极管（LEDs）中具有巨大潜力，但由于弱结合的绝缘长链配体阻碍了电荷传输并影响稳定性而面临挑战。我们引入了一种水解辅助的配体交换策略，使用多功能π-共轭吡啶羧酰胺（PCA）。这种方法替换了原生配体，实现了强表面结合和增强电耦合，同时赋予MHP NCs n型表面功能化。结果是胶体稳定性得到改善，陷阱密度减少，并且可以在LEDs中精确调节电荷平衡。使用配体交换的MHP NCs制造的LEDs具有121.4 cd A的电流效率</w:t>
      </w:r>
    </w:p>
    <w:p>
      <w:pPr>
        <w:spacing w:before="0" w:after="200" w:lineRule="auto" w:line="276"/>
      </w:pPr>
      <w:r>
        <w:rPr>
          <w:b/>
        </w:rPr>
        <w:t xml:space="preserve">Abstract (EN): </w:t>
      </w:r>
      <w:r>
        <w:t>Metal halide perovskite nanocrystals (MHP NCs) hold great promise for light‐emitting diodes (LEDs), but face challenges due to weakly‐bound, insulating long‐chain ligands that impede charge transport and compromise stability. We introduce a hydrolysis‐assisted ligand‐exchange strategy that uses a multifunctional π‐conjugated pyridine carboxamide (PCA). This approach replaces native ligands to achieve strong surface binding and to strengthen electrical coupling, while imparting n‐type surface functionalization of MHP NCs. As a result, colloidal stability is improved, trap densities are reduced, and charge balance can be precisely tuned within LEDs. LEDs fabricated using ligand‐exchanged MHP NCs had a current efficiency of 121.4 cd A</w:t>
      </w:r>
      <w:r>
        <w:t xml:space="preserve"> </w:t>
      </w:r>
      <w:r>
        <w:t>−1</w:t>
      </w:r>
      <w:r>
        <w:t xml:space="preserve"> </w:t>
      </w:r>
      <w:r>
        <w:t>and an external quantum efficiency of 31.7%, both of which are among the highest reported for green‐emitting LEDs that use MHP NCs. This study demonstrates the ligand‐exchange as a strategic approach for surface functionalization that enables control over charge balance and recombination dynamics, thereby significantly improving the efficiency of LEDs that use MHP NCs.</w:t>
      </w:r>
    </w:p>
    <w:p>
      <w:pPr>
        <w:spacing w:before="120" w:after="120"/>
      </w:pPr>
      <w:r>
        <w:rPr>
          <w:sz w:val="18"/>
        </w:rPr>
        <w:t>——————————————————————————————————————————————————————————————————————</w:t>
      </w:r>
    </w:p>
    <w:p>
      <w:pPr>
        <w:spacing w:before="160" w:after="40" w:line="240" w:lineRule="auto"/>
      </w:pPr>
      <w:r>
        <w:rPr>
          <w:b/>
        </w:rPr>
        <w:t xml:space="preserve">[93] </w:t>
      </w:r>
      <w:hyperlink r:id="rId380">
        <w:r>
          <w:rPr>
            <w:color w:val="1155CC"/>
            <w:u w:val="single"/>
          </w:rPr>
          <w:t>利用磷叶立德从一氧化二氮进行重氮转移</w:t>
        </w:r>
      </w:hyperlink>
    </w:p>
    <w:p>
      <w:pPr>
        <w:spacing w:before="0" w:after="80"/>
      </w:pPr>
      <w:r>
        <w:rPr>
          <w:i/>
          <w:sz w:val="20"/>
        </w:rPr>
        <w:t>EN: Diazo Transfer From Nitrous Oxide Employing Phosphorus Ylides</w:t>
      </w:r>
    </w:p>
    <w:p>
      <w:pPr>
        <w:spacing w:before="0" w:after="120"/>
      </w:pPr>
      <w:r>
        <w:rPr>
          <w:b/>
        </w:rPr>
        <w:t xml:space="preserve">Source: </w:t>
      </w:r>
      <w:r>
        <w:t>Wiley: Angewandte Chemie International Edition: Table of Contents</w:t>
      </w:r>
      <w:r>
        <w:t xml:space="preserve">    </w:t>
      </w:r>
      <w:r>
        <w:rPr>
          <w:b/>
        </w:rPr>
        <w:t xml:space="preserve">Pub date: </w:t>
      </w:r>
      <w:r>
        <w:t>2026-04-20 06:49:32+00:00</w:t>
      </w:r>
      <w:r>
        <w:t xml:space="preserve">    </w:t>
      </w:r>
      <w:r>
        <w:rPr>
          <w:b/>
        </w:rPr>
        <w:t xml:space="preserve">DOI: </w:t>
      </w:r>
      <w:hyperlink r:id="rId381">
        <w:r>
          <w:rPr>
            <w:color w:val="1155CC"/>
            <w:u w:val="single"/>
          </w:rPr>
          <w:t>10.1002/anie.3352042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传统上，含叠氮的分子的合成依赖于危险试剂如叠氮化物或肼，这限制了其实用性，尤其是在大规模应用中。在此，我们报告了一种利用一氧化二氮（N</w:t>
      </w:r>
      <w:r>
        <w:rPr>
          <w:vertAlign w:val="subscript"/>
        </w:rPr>
        <w:t>2</w:t>
      </w:r>
      <w:r>
        <w:t>O）在磷叶立德上的固定进行叠氮转移的新策略。该方法在温和、无肼条件下实现了有价值的有机构建块的高效合成。这种一锅法提供了一种更安全、更实用的叠氮化合物合成途径，可以直接捕获。这种简便的途径使得获得广泛的含二氮化合物成为可能，包括1,2,3-三唑杂环和（大环）醛肼。此外，我们</w:t>
      </w:r>
    </w:p>
    <w:p>
      <w:pPr>
        <w:spacing w:before="0" w:after="200" w:lineRule="auto" w:line="276"/>
      </w:pPr>
      <w:r>
        <w:rPr>
          <w:b/>
        </w:rPr>
        <w:t xml:space="preserve">Abstract (EN): </w:t>
      </w:r>
      <w:r>
        <w:t>The synthesis of diazo‐containing molecules traditionally relies on hazardous reagents such as azides or hydrazines, which restrict their practicality, especially for large‐scale applications. Herein, we report a novel strategy for diazo transfer utilizing nitrous oxide (N</w:t>
      </w:r>
      <w:r>
        <w:rPr>
          <w:vertAlign w:val="subscript"/>
        </w:rPr>
        <w:t>2</w:t>
      </w:r>
      <w:r>
        <w:t>O) fixation at a phosphorus ylide. This method enables the efficient synthesis of valuable organic building blocks under mild, hydrazine‐free conditions. The one‐pot approach provides a safer and more practical route to diazo compounds, which can be trapped directly. This facile pathway gives access to a broad range of dinitrogen‐containing compounds, including 1,2,3‐triazolo heterocycles and (macrocyclic) aldazines. We additionally disclose a new phthalazine heterocycle synthesis utilizing bis‐P‐ylides and N</w:t>
      </w:r>
      <w:r>
        <w:rPr>
          <w:vertAlign w:val="subscript"/>
        </w:rPr>
        <w:t>2</w:t>
      </w:r>
      <w:r>
        <w:t>O. Both intra‐ and intermolecular trapping are investigated, which establishes N</w:t>
      </w:r>
      <w:r>
        <w:rPr>
          <w:vertAlign w:val="subscript"/>
        </w:rPr>
        <w:t>2</w:t>
      </w:r>
      <w:r>
        <w:t>O fixation as a powerful tool in synthetic methodology.</w:t>
      </w:r>
    </w:p>
    <w:p>
      <w:pPr>
        <w:spacing w:before="120" w:after="120"/>
      </w:pPr>
      <w:r>
        <w:rPr>
          <w:sz w:val="18"/>
        </w:rPr>
        <w:t>——————————————————————————————————————————————————————————————————————</w:t>
      </w:r>
    </w:p>
    <w:p>
      <w:pPr>
        <w:spacing w:before="160" w:after="40" w:line="240" w:lineRule="auto"/>
      </w:pPr>
      <w:r>
        <w:rPr>
          <w:b/>
        </w:rPr>
        <w:t xml:space="preserve">[94] </w:t>
      </w:r>
      <w:hyperlink r:id="rId382">
        <w:r>
          <w:rPr>
            <w:color w:val="1155CC"/>
            <w:u w:val="single"/>
          </w:rPr>
          <w:t>通过配位-占位耦合在层状二维混合膜中编程离子传输</w:t>
        </w:r>
      </w:hyperlink>
    </w:p>
    <w:p>
      <w:pPr>
        <w:spacing w:before="0" w:after="80"/>
      </w:pPr>
      <w:r>
        <w:rPr>
          <w:i/>
          <w:sz w:val="20"/>
        </w:rPr>
        <w:t>EN: Programming Ion Transport in Layered 2D Hybrid Membranes via Coordination‐Occupation Coupling</w:t>
      </w:r>
    </w:p>
    <w:p>
      <w:pPr>
        <w:spacing w:before="0" w:after="120"/>
      </w:pPr>
      <w:r>
        <w:rPr>
          <w:b/>
        </w:rPr>
        <w:t xml:space="preserve">Source: </w:t>
      </w:r>
      <w:r>
        <w:t>Wiley: Advanced Materials: Table of Contents</w:t>
      </w:r>
      <w:r>
        <w:t xml:space="preserve">    </w:t>
      </w:r>
      <w:r>
        <w:rPr>
          <w:b/>
        </w:rPr>
        <w:t xml:space="preserve">Pub date: </w:t>
      </w:r>
      <w:r>
        <w:t>2026-04-20 06:50:17+00:00</w:t>
      </w:r>
      <w:r>
        <w:t xml:space="preserve">    </w:t>
      </w:r>
      <w:r>
        <w:rPr>
          <w:b/>
        </w:rPr>
        <w:t xml:space="preserve">DOI: </w:t>
      </w:r>
      <w:hyperlink r:id="rId383">
        <w:r>
          <w:rPr>
            <w:color w:val="1155CC"/>
            <w:u w:val="single"/>
          </w:rPr>
          <w:t>10.1002/adma.73120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性质不同但难以分离的金属离子的可持续分离是核废料管理和战略资源回收的关键挑战。层状二维（2D）膜提供了比传统提取和吸附技术更节能的替代方案，但其选择性通常受限于固定且难以调节的传输路径。在此，我们引入了一种配位-占位耦合策略，以在结合层状蛭石的层状2D混合膜中编程离子传输。通过在聚丙烯酸网络中与Al</w:t>
      </w:r>
      <w:r>
        <w:t xml:space="preserve"> </w:t>
      </w:r>
      <w:r>
        <w:t>3+</w:t>
      </w:r>
      <w:r>
        <w:t xml:space="preserve"> </w:t>
      </w:r>
      <w:r>
        <w:t>离子不可逆交联形成不可交换的配位位点</w:t>
      </w:r>
    </w:p>
    <w:p>
      <w:pPr>
        <w:spacing w:before="0" w:after="200" w:lineRule="auto" w:line="276"/>
      </w:pPr>
      <w:r>
        <w:rPr>
          <w:b/>
        </w:rPr>
        <w:t xml:space="preserve">Abstract (EN): </w:t>
      </w:r>
      <w:r>
        <w:t>The sustainable separation of chemically distinct yet notoriously difficult‐to‐separate metal ions is a critical challenge for nuclear waste management and strategic resource recovery. Layered two‐dimensional (2D) membranes offer energy‐efficient alternatives to conventional extraction and adsorption technologies, yet their selectivity is often constrained by fixed and poorly tunable transport pathways. Here we introduce a coordination‐occupation‐coupled strategy to program ion transport in layered 2D hybrid membranes combining a confined polyacrylate network between layered vermiculite. Irreversible crosslinking with Al</w:t>
      </w:r>
      <w:r>
        <w:t xml:space="preserve"> </w:t>
      </w:r>
      <w:r>
        <w:t>3+</w:t>
      </w:r>
      <w:r>
        <w:t xml:space="preserve"> </w:t>
      </w:r>
      <w:r>
        <w:t>ions within polyacrylate network forms unexchangeable coordination sites that stabilize the membrane structure and selectively occupy transport pathways for multivalent ions. This targeted pathway occupation suppresses the transport of Sr</w:t>
      </w:r>
      <w:r>
        <w:t xml:space="preserve"> </w:t>
      </w:r>
      <w:r>
        <w:t>2+</w:t>
      </w:r>
      <w:r>
        <w:t xml:space="preserve"> </w:t>
      </w:r>
      <w:r>
        <w:t>, La</w:t>
      </w:r>
      <w:r>
        <w:t xml:space="preserve"> </w:t>
      </w:r>
      <w:r>
        <w:t>3+</w:t>
      </w:r>
      <w:r>
        <w:t xml:space="preserve"> </w:t>
      </w:r>
      <w:r>
        <w:t>and Zr</w:t>
      </w:r>
      <w:r>
        <w:t xml:space="preserve"> </w:t>
      </w:r>
      <w:r>
        <w:t>4+</w:t>
      </w:r>
      <w:r>
        <w:t xml:space="preserve"> </w:t>
      </w:r>
      <w:r>
        <w:t>, while allowing Cs</w:t>
      </w:r>
      <w:r>
        <w:t xml:space="preserve"> </w:t>
      </w:r>
      <w:r>
        <w:t>+</w:t>
      </w:r>
      <w:r>
        <w:t xml:space="preserve"> </w:t>
      </w:r>
      <w:r>
        <w:t>to permeate efficiently through alternative routes. The resulting membranes achieve Cs</w:t>
      </w:r>
      <w:r>
        <w:t xml:space="preserve"> </w:t>
      </w:r>
      <w:r>
        <w:t>+</w:t>
      </w:r>
      <w:r>
        <w:t xml:space="preserve"> </w:t>
      </w:r>
      <w:r>
        <w:t>/Sr</w:t>
      </w:r>
      <w:r>
        <w:t xml:space="preserve"> </w:t>
      </w:r>
      <w:r>
        <w:t>2+</w:t>
      </w:r>
      <w:r>
        <w:t xml:space="preserve"> </w:t>
      </w:r>
      <w:r>
        <w:t>separation factors approaching 10</w:t>
      </w:r>
      <w:r>
        <w:rPr>
          <w:vertAlign w:val="subscript"/>
        </w:rPr>
        <w:t>3</w:t>
      </w:r>
      <w:r>
        <w:t>and near‐complete separation of Cs</w:t>
      </w:r>
      <w:r>
        <w:t xml:space="preserve"> </w:t>
      </w:r>
      <w:r>
        <w:t>+</w:t>
      </w:r>
      <w:r>
        <w:t xml:space="preserve"> </w:t>
      </w:r>
      <w:r>
        <w:t>from trivalent and tetravalent ions. This work establishes coordination‐occupation coupling as a scalable and material‐efficient principle for high‐selectivity ion separations, with direct implications for sustainable radionuclide remediation and critical metal recovery.</w:t>
      </w:r>
    </w:p>
    <w:p>
      <w:pPr>
        <w:spacing w:before="120" w:after="120"/>
      </w:pPr>
      <w:r>
        <w:rPr>
          <w:sz w:val="18"/>
        </w:rPr>
        <w:t>——————————————————————————————————————————————————————————————————————</w:t>
      </w:r>
    </w:p>
    <w:p>
      <w:pPr>
        <w:spacing w:before="160" w:after="40" w:line="240" w:lineRule="auto"/>
      </w:pPr>
      <w:r>
        <w:rPr>
          <w:b/>
        </w:rPr>
        <w:t xml:space="preserve">[95] </w:t>
      </w:r>
      <w:hyperlink r:id="rId384">
        <w:r>
          <w:rPr>
            <w:color w:val="1155CC"/>
            <w:u w:val="single"/>
          </w:rPr>
          <w:t>中-晚全新世低ENSO变率期间东太平洋冷水珊瑚栖息地损失的千年历史</w:t>
        </w:r>
      </w:hyperlink>
    </w:p>
    <w:p>
      <w:pPr>
        <w:spacing w:before="0" w:after="80"/>
      </w:pPr>
      <w:r>
        <w:rPr>
          <w:i/>
          <w:sz w:val="20"/>
        </w:rPr>
        <w:t>EN: A millennium of cold-water coral habitat loss in the East Pacific during low ENSO variability in the mid- to late Holocene</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85">
        <w:r>
          <w:rPr>
            <w:color w:val="1155CC"/>
            <w:u w:val="single"/>
          </w:rPr>
          <w:t>10.1073/pnas.2532081123</w:t>
        </w:r>
      </w:hyperlink>
    </w:p>
    <w:p>
      <w:pPr>
        <w:spacing w:before="0" w:after="120"/>
      </w:pPr>
      <w:r>
        <w:rPr>
          <w:b/>
        </w:rPr>
        <w:t xml:space="preserve">Notes: </w:t>
      </w:r>
      <w:r>
        <w:t>abstract_source=crossref</w:t>
      </w:r>
    </w:p>
    <w:p>
      <w:pPr>
        <w:spacing w:before="0" w:after="80" w:lineRule="auto" w:line="276"/>
      </w:pPr>
      <w:r>
        <w:rPr>
          <w:b/>
        </w:rPr>
        <w:t xml:space="preserve">摘要（ZH）: </w:t>
      </w:r>
      <w:r>
        <w:t>厄尔尼诺-南方涛动（ENSO）在过去和未来气候变化下的演变及其对海洋生态系统的影响备受争议。为了研究热带气候变率、高纬度反馈和深海生态系统之间的联系，我们分析了来自加拉帕戈斯群岛的900多种亚化石冷水硬珊瑚。U-Th测年显示这些珊瑚至少在117,000年前就已居住在该地区，生长在深达约1,000米的深度。然而，我们发现约5,000年前珊瑚出现了千年尺度的空白期，这与ENSO变率减少和持续的拉尼娜状态相吻合。随着ENSO周期性再次增强至现代条件，珊瑚的存在恢复。虽然浅水珊瑚的生长通常被证明在赤道地区有所下降</w:t>
      </w:r>
    </w:p>
    <w:p>
      <w:pPr>
        <w:spacing w:before="0" w:after="200" w:lineRule="auto" w:line="276"/>
      </w:pPr>
      <w:r>
        <w:rPr>
          <w:b/>
        </w:rPr>
        <w:t xml:space="preserve">Abstract (EN): </w:t>
      </w:r>
      <w:r>
        <w:t>The evolution of El Niño–Southern Oscillation (ENSO) under past and future climate change and its influence on marine ecosystems is highly debated. To examine links between tropical climate variability, high-latitude feedbacks, and deep-sea ecosystems, we have analyzed over 900 subfossil cold-water scleractinian corals from the Galápagos Archipelago. U-Th dating shows that these corals have inhabited the region for at least 117,000 y, thriving at depths down to ~1,000 m. However, we find a millennial-scale gap in coral occurrence ~5,000 y ago, coinciding with reduced ENSO variability and a persistent La Niña-like state. Coral presence resumed as ENSO cyclicity strengthened again toward modern conditions. While shallow-water coral growth has been shown to generally decline in the equatorial Pacific during El Niño surface warming, the mid- to late Holocene loss of cold-water corals may reflect the opposite: prolonged La Niña-like conditions. We hypothesize that stronger upwelling at this time intensified the oxygen minimum zone, adversely affecting cold-water coral habitats. With ENSO projected to change under continued ocean warming, the potential vulnerability of cold-water corals to future climate change is a growing concern. This study underscores the value of understanding past ENSO behavior and its impact on deep-sea ecosystems in a warming world.</w:t>
      </w:r>
    </w:p>
    <w:p>
      <w:pPr>
        <w:spacing w:before="120" w:after="120"/>
      </w:pPr>
      <w:r>
        <w:rPr>
          <w:sz w:val="18"/>
        </w:rPr>
        <w:t>——————————————————————————————————————————————————————————————————————</w:t>
      </w:r>
    </w:p>
    <w:p>
      <w:pPr>
        <w:spacing w:before="160" w:after="40" w:line="240" w:lineRule="auto"/>
      </w:pPr>
      <w:r>
        <w:rPr>
          <w:b/>
        </w:rPr>
        <w:t xml:space="preserve">[96] </w:t>
      </w:r>
      <w:hyperlink r:id="rId386">
        <w:r>
          <w:rPr>
            <w:color w:val="1155CC"/>
            <w:u w:val="single"/>
          </w:rPr>
          <w:t>复杂网络的可预测性</w:t>
        </w:r>
      </w:hyperlink>
    </w:p>
    <w:p>
      <w:pPr>
        <w:spacing w:before="0" w:after="80"/>
      </w:pPr>
      <w:r>
        <w:rPr>
          <w:i/>
          <w:sz w:val="20"/>
        </w:rPr>
        <w:t>EN: Predictability of complex networks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87">
        <w:r>
          <w:rPr>
            <w:color w:val="1155CC"/>
            <w:u w:val="single"/>
          </w:rPr>
          <w:t>10.1073/pnas.2535161123</w:t>
        </w:r>
      </w:hyperlink>
    </w:p>
    <w:p>
      <w:pPr>
        <w:spacing w:before="0" w:after="120"/>
      </w:pPr>
      <w:r>
        <w:rPr>
          <w:b/>
        </w:rPr>
        <w:t xml:space="preserve">Notes: </w:t>
      </w:r>
      <w:r>
        <w:t>abstract_source=crossref</w:t>
      </w:r>
    </w:p>
    <w:p>
      <w:pPr>
        <w:spacing w:before="0" w:after="80" w:lineRule="auto" w:line="276"/>
      </w:pPr>
      <w:r>
        <w:rPr>
          <w:b/>
        </w:rPr>
        <w:t xml:space="preserve">摘要（ZH）: </w:t>
      </w:r>
      <w:r>
        <w:t>我们通过将链接预测映射到自旋玻璃模型上来建立网络可预测性理论，其中网络分区对应于自旋配置，可预测性等于系统的平均能量。利用统计物理学中的腔体方法，我们证明了全局可预测性分解为单个链接的贡献，从而实现了一种高效的局部采样算法，该算法将评估单个链接贡献的计算复杂性从依赖于整个网络减少到仅依赖于其局部邻域，随平均度数缩放。我们为经典网络模型推导出精确结果：Erdös–Rényi网络表现出0.5的普遍可预测性，无论算法选择如何，确立了随机基线，而结构化网络显示出预测性。</w:t>
      </w:r>
    </w:p>
    <w:p>
      <w:pPr>
        <w:spacing w:before="0" w:after="200" w:lineRule="auto" w:line="276"/>
      </w:pPr>
      <w:r>
        <w:rPr>
          <w:b/>
        </w:rPr>
        <w:t xml:space="preserve">Abstract (EN): </w:t>
      </w:r>
      <w:r>
        <w:t>We establish network predictability theory by mapping link prediction onto a spin glass model, where network partitions correspond to spin configurations, and predictability equals the system’s average energy. Using the cavity method from statistical physics, we prove that global predictability decomposes into individual link contributions, enabling an efficient local sampling algorithm that reduces the computational complexity of evaluating individual link contributions from being dependent on the entire network to only its local neighborhood, scaling with the average degree. We derive exact results for canonical network models: Erdös–Rényi networks exhibit universal predictability of 0.5 regardless of algorithm choice, establishing the random baseline, while structured networks show predictability controlled by their prior parameters. We introduce the predictability index, which quantifies the maximum achievable performance without information loss and accurately predicts algorithm performance under random division. Analysis of real networks validates our framework, revealing how degree heterogeneity and structural patterns govern predictability. This physics-based approach provides both theoretical insights into link prediction limits and practical tools for assessing network reconstruction potential, with implications for applications from biological network inference to social network analysis.</w:t>
      </w:r>
    </w:p>
    <w:p>
      <w:pPr>
        <w:spacing w:before="120" w:after="120"/>
      </w:pPr>
      <w:r>
        <w:rPr>
          <w:sz w:val="18"/>
        </w:rPr>
        <w:t>——————————————————————————————————————————————————————————————————————</w:t>
      </w:r>
    </w:p>
    <w:p>
      <w:pPr>
        <w:spacing w:before="160" w:after="40" w:line="240" w:lineRule="auto"/>
      </w:pPr>
      <w:r>
        <w:rPr>
          <w:b/>
        </w:rPr>
        <w:t xml:space="preserve">[97] </w:t>
      </w:r>
      <w:hyperlink r:id="rId388">
        <w:r>
          <w:rPr>
            <w:color w:val="1155CC"/>
            <w:u w:val="single"/>
          </w:rPr>
          <w:t>确保大西洋蓝鳍金枪鱼的未来</w:t>
        </w:r>
      </w:hyperlink>
    </w:p>
    <w:p>
      <w:pPr>
        <w:spacing w:before="0" w:after="80"/>
      </w:pPr>
      <w:r>
        <w:rPr>
          <w:i/>
          <w:sz w:val="20"/>
        </w:rPr>
        <w:t>EN: Ensuring the future of Atlantic bluefin tuna</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89">
        <w:r>
          <w:rPr>
            <w:color w:val="1155CC"/>
            <w:u w:val="single"/>
          </w:rPr>
          <w:t>10.1073/pnas.2535185123</w:t>
        </w:r>
      </w:hyperlink>
    </w:p>
    <w:p>
      <w:pPr>
        <w:spacing w:before="0" w:after="120"/>
      </w:pPr>
      <w:r>
        <w:rPr>
          <w:b/>
        </w:rPr>
        <w:t xml:space="preserve">Notes: </w:t>
      </w:r>
      <w:r>
        <w:t>abstract_source=crossref</w:t>
      </w:r>
    </w:p>
    <w:p>
      <w:pPr>
        <w:spacing w:before="0" w:after="80" w:lineRule="auto" w:line="276"/>
      </w:pPr>
      <w:r>
        <w:rPr>
          <w:b/>
        </w:rPr>
        <w:t xml:space="preserve">摘要（ZH）: </w:t>
      </w:r>
      <w:r>
        <w:t>大西洋蓝鳍金枪鱼（ABT）是一种高度迁徙的鱼类，渔民对其的捕捞已有两千多年的历史。这一有利可图的渔业由大西洋金枪鱼保护国际委员会（ICCAT）管理，该委员会由55个缔约方组成。ICCAT实施的ABT恢复计划和数十年的保护努力已取得显著进展，该物种在其分布范围内正在恢复。在此，我们结合并报告了来自五个国家的三十年ABT电子标签数据，这些数据提供了独立于渔业的生物信息和空间明确的轨迹数据，这对于理解该物种的生活史至关重要。标签数据、状态空间建模和产卵地分配使得能够估计渔业区域利用、种群重叠。</w:t>
      </w:r>
    </w:p>
    <w:p>
      <w:pPr>
        <w:spacing w:before="0" w:after="200" w:lineRule="auto" w:line="276"/>
      </w:pPr>
      <w:r>
        <w:rPr>
          <w:b/>
        </w:rPr>
        <w:t xml:space="preserve">Abstract (EN): </w:t>
      </w:r>
      <w:r>
        <w:t>Atlantic bluefin tuna (ABT) are a highly migratory fish that have been exploited by fishers for more than two millennia. This lucrative fishery is managed by the International Commission for Conservation of Atlantic Tunas (ICCAT), formed by 55 contracting parties. Implementation by ICCAT of an ABT recovery plan and decades of conservation efforts have led to significant progress and the species is rebounding throughout its range. Here, we combine and report on three decades of ABT electronic tag data from five nations that provide fisheries-independent biological information and spatially explicit track data vital to understanding the species’ life history. Tag data, state-space modeling, and spawning ground assignments enable estimations of fisheries area utilization, population overlap, and natural mortality that improve the accuracy of management models. We also examine the distribution of ABT fisheries impact over 70 years by assessing ICCAT catch reporting by fleet, gear type, and region. We hypothesize that, under the historical two-stock management paradigm, escapement of eastern juveniles and subadults from the Mediterranean Sea to the lower fishing mortality of the North Atlantic has contributed to the recovery of the eastern stock, with the 45°W meridian acting as an indirect conservation measure for migrating ABT in the West Atlantic. Although recent Management Strategy Evaluation modeling in ICCAT partly incorporates this migration behavior into catch composition estimates and recognizes the contribution provided by eastern migrants to western Atlantic biomass, these complex trans-Atlantic migratory behaviors need to be accounted for in future stock assessments and management. Tag data and development of genomic technology for dockside catch origin assignments can support improvements of stock assessments that will ensure the sustainability of ABT.</w:t>
      </w:r>
    </w:p>
    <w:p>
      <w:pPr>
        <w:spacing w:before="120" w:after="120"/>
      </w:pPr>
      <w:r>
        <w:rPr>
          <w:sz w:val="18"/>
        </w:rPr>
        <w:t>——————————————————————————————————————————————————————————————————————</w:t>
      </w:r>
    </w:p>
    <w:p>
      <w:pPr>
        <w:spacing w:before="160" w:after="40" w:line="240" w:lineRule="auto"/>
      </w:pPr>
      <w:r>
        <w:rPr>
          <w:b/>
        </w:rPr>
        <w:t xml:space="preserve">[98] </w:t>
      </w:r>
      <w:hyperlink r:id="rId390">
        <w:r>
          <w:rPr>
            <w:color w:val="1155CC"/>
            <w:u w:val="single"/>
          </w:rPr>
          <w:t>群体的男性化逆转了生育能力的性别差异</w:t>
        </w:r>
      </w:hyperlink>
    </w:p>
    <w:p>
      <w:pPr>
        <w:spacing w:before="0" w:after="80"/>
      </w:pPr>
      <w:r>
        <w:rPr>
          <w:i/>
          <w:sz w:val="20"/>
        </w:rPr>
        <w:t>EN: Masculinization of populations reverses sex differences in fertility</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91">
        <w:r>
          <w:rPr>
            <w:color w:val="1155CC"/>
            <w:u w:val="single"/>
          </w:rPr>
          <w:t>10.1073/pnas.2533317123</w:t>
        </w:r>
      </w:hyperlink>
    </w:p>
    <w:p>
      <w:pPr>
        <w:spacing w:before="0" w:after="120"/>
      </w:pPr>
      <w:r>
        <w:rPr>
          <w:b/>
        </w:rPr>
        <w:t xml:space="preserve">Notes: </w:t>
      </w:r>
      <w:r>
        <w:t>abstract_source=crossref</w:t>
      </w:r>
    </w:p>
    <w:p>
      <w:pPr>
        <w:spacing w:before="0" w:after="80" w:lineRule="auto" w:line="276"/>
      </w:pPr>
      <w:r>
        <w:rPr>
          <w:b/>
        </w:rPr>
        <w:t xml:space="preserve">摘要（ZH）: </w:t>
      </w:r>
      <w:r>
        <w:t>生育年龄人口在全球范围内显示出男性过剩的增长趋势，这是由于死亡率下降、性别死亡率差异缩小以及某些国家的性别选择性流产所致。人口结构是婚姻市场和生育的重要决定因素。在这项研究中，我们使用一种基于联合国世界人口展望数据的既定间接人口学方法，估计了全球范围内过去、现在和未来男性与女性总生育率之间的差异。我们的结果表明，从历史上男性生育率较高到2024年全球女性生育率逐渐较高的转变。这一变化并不是趋向于平等，而是反映了由于生育年龄男性过剩增加而导致的差距扩大。</w:t>
      </w:r>
    </w:p>
    <w:p>
      <w:pPr>
        <w:spacing w:before="0" w:after="200" w:lineRule="auto" w:line="276"/>
      </w:pPr>
      <w:r>
        <w:rPr>
          <w:b/>
        </w:rPr>
        <w:t xml:space="preserve">Abstract (EN): </w:t>
      </w:r>
      <w:r>
        <w:t>Reproductive-age populations show a growing male surplus around the globe as a consequence of declining mortality, narrowing sex differences in mortality, and sex-selective abortions in some countries. Population structures are important determinants of marriage markets and childbearing. In this study, we estimate the past, current, and future difference between the male and the female total fertility rates around the world using an established indirect demographic approach drawing on data from the UN World Population Prospects. Our results indicate a crossover from historically higher male fertility to increasingly higher female fertility, which occurs globally in 2024. This shift is not toward parity, but rather reflects a growing disparity driven by the increasing male surplus at reproductive ages, which exerts downward pressure on male fertility rates relative to those of women. The difference is expected to grow to up to 20% in countries like China and India, where sex-selective abortion has reinforced sex imbalances in population structures. Overall, we highlight the growing sex inequalities in reproduction and call for more research on sex differences in fertility.</w:t>
      </w:r>
    </w:p>
    <w:p>
      <w:pPr>
        <w:spacing w:before="120" w:after="120"/>
      </w:pPr>
      <w:r>
        <w:rPr>
          <w:sz w:val="18"/>
        </w:rPr>
        <w:t>——————————————————————————————————————————————————————————————————————</w:t>
      </w:r>
    </w:p>
    <w:p>
      <w:pPr>
        <w:spacing w:before="160" w:after="40" w:line="240" w:lineRule="auto"/>
      </w:pPr>
      <w:r>
        <w:rPr>
          <w:b/>
        </w:rPr>
        <w:t xml:space="preserve">[99] </w:t>
      </w:r>
      <w:hyperlink r:id="rId392">
        <w:r>
          <w:rPr>
            <w:color w:val="1155CC"/>
            <w:u w:val="single"/>
          </w:rPr>
          <w:t>噬菌体靶向膜锚定的糖聚合物以促进宿主细胞裂解和子代释放</w:t>
        </w:r>
      </w:hyperlink>
    </w:p>
    <w:p>
      <w:pPr>
        <w:spacing w:before="0" w:after="80"/>
      </w:pPr>
      <w:r>
        <w:rPr>
          <w:i/>
          <w:sz w:val="20"/>
        </w:rPr>
        <w:t>EN: Bacteriophages target membrane-anchored glycopolymers to promote host cell lysis and progeny release</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93">
        <w:r>
          <w:rPr>
            <w:color w:val="1155CC"/>
            <w:u w:val="single"/>
          </w:rPr>
          <w:t>10.1073/pnas.2606687123</w:t>
        </w:r>
      </w:hyperlink>
    </w:p>
    <w:p>
      <w:pPr>
        <w:spacing w:before="0" w:after="120"/>
      </w:pPr>
      <w:r>
        <w:rPr>
          <w:b/>
        </w:rPr>
        <w:t xml:space="preserve">Notes: </w:t>
      </w:r>
      <w:r>
        <w:t>abstract_source=crossref</w:t>
      </w:r>
    </w:p>
    <w:p>
      <w:pPr>
        <w:spacing w:before="0" w:after="80" w:lineRule="auto" w:line="276"/>
      </w:pPr>
      <w:r>
        <w:rPr>
          <w:b/>
        </w:rPr>
        <w:t xml:space="preserve">摘要（ZH）: </w:t>
      </w:r>
      <w:r>
        <w:t>大多数噬菌体通过裂解宿主细胞来释放子代病毒。双链DNA噬菌体通常使用holin-endolysin系统促进宿主裂解。Holin在细胞质膜上形成孔洞，使endolysin能够接触到肽聚糖（PG）细胞壁，它们通过降解PG来削弱细胞包膜并促进渗透性裂解。感染变形菌的噬菌体还在其裂解盒中编码一个spanin，用于破坏宿主外膜（OM）。细胞裂解对spanin的需求首次提示变形菌的OM赋予细胞包膜机械刚性。棒状杆菌和分枝杆菌也构建OM，但它是由分枝酸而不是脂多糖组成的。在此，我们研究了分枝膜是否呈现机械b</w:t>
      </w:r>
    </w:p>
    <w:p>
      <w:pPr>
        <w:spacing w:before="0" w:after="200" w:lineRule="auto" w:line="276"/>
      </w:pPr>
      <w:r>
        <w:rPr>
          <w:b/>
        </w:rPr>
        <w:t xml:space="preserve">Abstract (EN): </w:t>
      </w:r>
      <w:r>
        <w:t>Most bacteriophages lyse their host cell to release progeny virions. Double-stranded DNA phages typically promote host lysis using a holin-endolysin system. Holins form pores in the cytoplasmic membrane allowing endolysins access to the peptidoglycan (PG) cell wall, which they degrade to weaken the cell envelope and promote osmotic lysis. Phages that infect Proteobacteria also encode a spanin in their lysis cassette that functions to disrupt the host outer membrane (OM). The spanin-requirement for cell lysis provided the first clue that the proteobacterial OM confers mechanical rigidity to the cell envelope. Corynebacteria and mycobacteria also build an OM, but it is made of mycolic acids instead of lipopolysaccharides. Here, we investigated whether the mycomembrane presents a mechanical barrier to phage-induced lysis of corynebacteria. In addition to annotated holin and endolysin genes, mycobacteriophages and corynephages were found to encode a membrane protein we call LysZ in their lysis cassettes. Deletion of</w:t>
      </w:r>
      <w:r>
        <w:t xml:space="preserve"> </w:t>
      </w:r>
      <w:r>
        <w:t>lysZ</w:t>
      </w:r>
      <w:r>
        <w:t xml:space="preserve"> </w:t>
      </w:r>
      <w:r>
        <w:t>in the corynephage Cog blocked lysis of its host</w:t>
      </w:r>
      <w:r>
        <w:t xml:space="preserve"> </w:t>
      </w:r>
      <w:r>
        <w:t>Corynebacterium</w:t>
      </w:r>
      <w:r>
        <w:t xml:space="preserve"> </w:t>
      </w:r>
      <w:r>
        <w:t>glutamicum</w:t>
      </w:r>
      <w:r>
        <w:t xml:space="preserve"> </w:t>
      </w:r>
      <w:r>
        <w:t>. Surprisingly, disruption of the host mycomembrane did not correct this phenotype. Instead, a genetic analysis revealed that blocking synthesis of membrane-anchored glycopolymers called lipomannans/lipoarabinomannans (LM/LAMs) can restore plaque formation when LysZ is inactivated. This genetic system also identified the likely flippase that transports decaprenyl-linked mannose units to the extracellular side of the membrane for polymerization into LM/LAM. Overall, our results indicate that lipoglycans like LM/LAMs play roles in mechanically stabilizing bacterial envelopes and that phages use LysZ-like factors to overcome this barrier to promote lysis.</w:t>
      </w:r>
    </w:p>
    <w:p>
      <w:pPr>
        <w:spacing w:before="120" w:after="120"/>
      </w:pPr>
      <w:r>
        <w:rPr>
          <w:sz w:val="18"/>
        </w:rPr>
        <w:t>——————————————————————————————————————————————————————————————————————</w:t>
      </w:r>
    </w:p>
    <w:p>
      <w:pPr>
        <w:spacing w:before="160" w:after="40" w:line="240" w:lineRule="auto"/>
      </w:pPr>
      <w:r>
        <w:rPr>
          <w:b/>
        </w:rPr>
        <w:t xml:space="preserve">[100] </w:t>
      </w:r>
      <w:hyperlink r:id="rId394">
        <w:r>
          <w:rPr>
            <w:color w:val="1155CC"/>
            <w:u w:val="single"/>
          </w:rPr>
          <w:t>用于软脑电极的可重构水凝胶界面</w:t>
        </w:r>
      </w:hyperlink>
    </w:p>
    <w:p>
      <w:pPr>
        <w:spacing w:before="0" w:after="80"/>
      </w:pPr>
      <w:r>
        <w:rPr>
          <w:i/>
          <w:sz w:val="20"/>
        </w:rPr>
        <w:t>EN: Reconfigurable hydrogel interfaces for soft brain electrodes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95">
        <w:r>
          <w:rPr>
            <w:color w:val="1155CC"/>
            <w:u w:val="single"/>
          </w:rPr>
          <w:t>10.1073/pnas.2607267123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396">
        <w:r>
          <w:rPr>
            <w:color w:val="1155CC"/>
            <w:u w:val="single"/>
          </w:rPr>
          <w:t>UFL1的丧失导致前列腺癌的染色体不稳定性和肿瘤发生</w:t>
        </w:r>
      </w:hyperlink>
    </w:p>
    <w:p>
      <w:pPr>
        <w:spacing w:before="0" w:after="80"/>
      </w:pPr>
      <w:r>
        <w:rPr>
          <w:i/>
          <w:sz w:val="20"/>
        </w:rPr>
        <w:t>EN: Loss of UFL1 drives chromosome instability and tumorigenesis of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97">
        <w:r>
          <w:rPr>
            <w:color w:val="1155CC"/>
            <w:u w:val="single"/>
          </w:rPr>
          <w:t>10.1073/pnas.2523965123</w:t>
        </w:r>
      </w:hyperlink>
    </w:p>
    <w:p>
      <w:pPr>
        <w:spacing w:before="0" w:after="120"/>
      </w:pPr>
      <w:r>
        <w:rPr>
          <w:b/>
        </w:rPr>
        <w:t xml:space="preserve">Notes: </w:t>
      </w:r>
      <w:r>
        <w:t>abstract_source=crossref</w:t>
      </w:r>
    </w:p>
    <w:p>
      <w:pPr>
        <w:spacing w:before="0" w:after="80" w:lineRule="auto" w:line="276"/>
      </w:pPr>
      <w:r>
        <w:rPr>
          <w:b/>
        </w:rPr>
        <w:t xml:space="preserve">摘要（ZH）: </w:t>
      </w:r>
      <w:r>
        <w:t>染色体不稳定性（CIN）是前列腺癌（PCa）中常见的基因组不稳定形式。然而，其分子机制仍未充分理解。本研究表明，UFM1连接酶1（UFL1）的表达降低在PCa中普遍存在，并与CIN率升高相关。UFL1缺乏导致严重的有丝分裂缺陷、染色体分离错误和非整倍性，从而促进恶性转化。在机制上，UFL1与RNF20相互作用并催化其UFM化，这增强了RNF20与CEP192的结合，促进其中心体定位并支持有丝分裂纺锤体组装。此外，微眼症相关转录因子（MITF）的下调通过抑制UFL1表达加剧了PCa的侵袭性。T</w:t>
      </w:r>
    </w:p>
    <w:p>
      <w:pPr>
        <w:spacing w:before="0" w:after="200" w:lineRule="auto" w:line="276"/>
      </w:pPr>
      <w:r>
        <w:rPr>
          <w:b/>
        </w:rPr>
        <w:t xml:space="preserve">Abstract (EN): </w:t>
      </w:r>
      <w:r>
        <w:t>Chromosomal instability (CIN) is a prevalent form of genomic instability in prostate cancer (PCa). However, its molecular mechanisms remain inadequately understood. This study demonstrates that reduced expression of UFM1-ligase 1 (UFL1) is commonly observed in PCa and correlates with elevated CIN rates. UFL1 deficiency results in severe mitotic defects, errors in chromosome segregation, and aneuploidy, thereby promoting malignant transformation. Mechanistically, UFL1 interacts with RNF20 and catalyzes its UFMylation, which enhances RNF20 binding to CEP192, facilitating its centrosomal localization and supporting mitotic spindle assembly. Additionally, downregulation of the microphthalmia-associated transcription factor (MITF) exacerbates PCa aggressiveness by suppressing UFL1 expression. These findings identify the MITF–UFL1–RNF20 axis as a critical regulator of spindle integrity and a potential therapeutic target in PCa.</w:t>
      </w:r>
    </w:p>
    <w:p>
      <w:pPr>
        <w:spacing w:before="120" w:after="120"/>
      </w:pPr>
      <w:r>
        <w:rPr>
          <w:sz w:val="18"/>
        </w:rPr>
        <w:t>——————————————————————————————————————————————————————————————————————</w:t>
      </w:r>
    </w:p>
    <w:p>
      <w:pPr>
        <w:spacing w:before="160" w:after="40" w:line="240" w:lineRule="auto"/>
      </w:pPr>
      <w:r>
        <w:rPr>
          <w:b/>
        </w:rPr>
        <w:t xml:space="preserve">[102] </w:t>
      </w:r>
      <w:hyperlink r:id="rId398">
        <w:r>
          <w:rPr>
            <w:color w:val="1155CC"/>
            <w:u w:val="single"/>
          </w:rPr>
          <w:t>保留地附近的致命警察暴力：在背景中解释风险</w:t>
        </w:r>
      </w:hyperlink>
    </w:p>
    <w:p>
      <w:pPr>
        <w:spacing w:before="0" w:after="80"/>
      </w:pPr>
      <w:r>
        <w:rPr>
          <w:i/>
          <w:sz w:val="20"/>
        </w:rPr>
        <w:t>EN: Fatal police violence near reservations: Interpreting risk in context</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399">
        <w:r>
          <w:rPr>
            <w:color w:val="1155CC"/>
            <w:u w:val="single"/>
          </w:rPr>
          <w:t>10.1073/pnas.2607272123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400">
        <w:r>
          <w:rPr>
            <w:color w:val="1155CC"/>
            <w:u w:val="single"/>
          </w:rPr>
          <w:t>寒武纪早期的多毛类环节动物</w:t>
        </w:r>
      </w:hyperlink>
    </w:p>
    <w:p>
      <w:pPr>
        <w:spacing w:before="0" w:after="80"/>
      </w:pPr>
      <w:r>
        <w:rPr>
          <w:i/>
          <w:sz w:val="20"/>
        </w:rPr>
        <w:t>EN: Polychaete annelids from the earliest Cambrian Period</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01">
        <w:r>
          <w:rPr>
            <w:color w:val="1155CC"/>
            <w:u w:val="single"/>
          </w:rPr>
          <w:t>10.1073/pnas.2538071123</w:t>
        </w:r>
      </w:hyperlink>
    </w:p>
    <w:p>
      <w:pPr>
        <w:spacing w:before="0" w:after="120"/>
      </w:pPr>
      <w:r>
        <w:rPr>
          <w:b/>
        </w:rPr>
        <w:t xml:space="preserve">Notes: </w:t>
      </w:r>
      <w:r>
        <w:t>abstract_source=crossref</w:t>
      </w:r>
    </w:p>
    <w:p>
      <w:pPr>
        <w:spacing w:before="0" w:after="80" w:lineRule="auto" w:line="276"/>
      </w:pPr>
      <w:r>
        <w:rPr>
          <w:b/>
        </w:rPr>
        <w:t xml:space="preserve">摘要（ZH）: </w:t>
      </w:r>
      <w:r>
        <w:t>环节动物（环形蠕虫）的明确体化石首次出现在寒武纪时期，但迄今为止仅作为在Burgess页岩型Lagerstätten中保存的扁平标本而为人所知。在此，我们报告了磷酸盐化的微化石，被解释为多毛类环节动物，来自一个不同的埋藏学窗口（即三维Orsten型保存）在最早的寒武纪（早Fortunian期，约535百万年前）南中国的张家沟Lagerstätte。这些化石长度为毫米级，保存为身体的三维内铸件。它们展示了清晰的躯干分节，每个节段都有一对侧面或腹侧的突起。两个物种，</w:t>
      </w:r>
      <w:r>
        <w:t xml:space="preserve"> </w:t>
      </w:r>
      <w:r>
        <w:t>Kuanchuanpivermis brevicruris</w:t>
      </w:r>
      <w:r>
        <w:t xml:space="preserve"> </w:t>
      </w:r>
      <w:r>
        <w:t>gen. et sp. nov. 和</w:t>
      </w:r>
      <w:r>
        <w:t xml:space="preserve"> </w:t>
      </w:r>
      <w:r>
        <w:t>Zhangjiagoiverm</w:t>
      </w:r>
    </w:p>
    <w:p>
      <w:pPr>
        <w:spacing w:before="0" w:after="200" w:lineRule="auto" w:line="276"/>
      </w:pPr>
      <w:r>
        <w:rPr>
          <w:b/>
        </w:rPr>
        <w:t xml:space="preserve">Abstract (EN): </w:t>
      </w:r>
      <w:r>
        <w:t>Unambiguous body fossils of annelids (ringed worms) first appear in the Cambrian Period but are so far known exclusively as flattened specimens preserved in Burgess Shale-type Lagerstätten. Here, we report phosphatized microfossils, interpreted as polychaete annelids, from a distinct taphonomic window (i.e., three-dimensional Orsten-type preservation) in the earliest Cambrian (early Fortunian Age, ca. 535 Ma) Zhangjiagou Lagerstätte of South China. The fossils are millimetric in length and preserved as three-dimensional endocasts of the body. They exhibit clear trunk segmentation, with each segment bearing a pair of lateral or ventrolateral outgrowths. Two species,</w:t>
      </w:r>
      <w:r>
        <w:t xml:space="preserve"> </w:t>
      </w:r>
      <w:r>
        <w:t>Kuanchuanpivermis brevicruris</w:t>
      </w:r>
      <w:r>
        <w:t xml:space="preserve"> </w:t>
      </w:r>
      <w:r>
        <w:t>gen. et sp. nov. and</w:t>
      </w:r>
      <w:r>
        <w:t xml:space="preserve"> </w:t>
      </w:r>
      <w:r>
        <w:t>Zhangjiagoivermis longicruris</w:t>
      </w:r>
      <w:r>
        <w:t xml:space="preserve"> </w:t>
      </w:r>
      <w:r>
        <w:t>gen. et sp. nov., are distinguished based on the relative length of these outgrowths. The lateral outgrowths terminate in a bifurcation into two lobes of equal, subequal, or unequal size, closely resembling the notopodium and neuropodium of annelid parapodia. Both species are interpreted as members of the total-group Annelida.</w:t>
      </w:r>
      <w:r>
        <w:t xml:space="preserve"> </w:t>
      </w:r>
      <w:r>
        <w:t>Kuanchuanpivermis brevicruris</w:t>
      </w:r>
      <w:r>
        <w:t xml:space="preserve"> </w:t>
      </w:r>
      <w:r>
        <w:t>has relatively short appendages and may have been a benthic annelid similar to modern nereids.</w:t>
      </w:r>
      <w:r>
        <w:t xml:space="preserve"> </w:t>
      </w:r>
      <w:r>
        <w:t>Zhangjiagoivermis longicruris</w:t>
      </w:r>
      <w:r>
        <w:t xml:space="preserve"> </w:t>
      </w:r>
      <w:r>
        <w:t>closely resembles fossil and extant polychaetes (e.g.,</w:t>
      </w:r>
      <w:r>
        <w:t xml:space="preserve"> </w:t>
      </w:r>
      <w:r>
        <w:t>Eotomopteris</w:t>
      </w:r>
      <w:r>
        <w:t xml:space="preserve"> </w:t>
      </w:r>
      <w:r>
        <w:t>and</w:t>
      </w:r>
      <w:r>
        <w:t xml:space="preserve"> </w:t>
      </w:r>
      <w:r>
        <w:t>Tomopteris</w:t>
      </w:r>
      <w:r>
        <w:t xml:space="preserve"> </w:t>
      </w:r>
      <w:r>
        <w:t>) in their relatively long appendages, suggesting a swimming lifestyle and representing the earliest known semi-pelagic annelid. These findings indicate that annelids had already acquired a polychaete-like body plan in the Fortunian and that early members of the clade had diverged from their living sister group and differentiated into forms with both short and elongate parapodia by the Fortunian Age.</w:t>
      </w:r>
    </w:p>
    <w:p>
      <w:pPr>
        <w:spacing w:before="120" w:after="120"/>
      </w:pPr>
      <w:r>
        <w:rPr>
          <w:sz w:val="18"/>
        </w:rPr>
        <w:t>——————————————————————————————————————————————————————————————————————</w:t>
      </w:r>
    </w:p>
    <w:p>
      <w:pPr>
        <w:spacing w:before="160" w:after="40" w:line="240" w:lineRule="auto"/>
      </w:pPr>
      <w:r>
        <w:rPr>
          <w:b/>
        </w:rPr>
        <w:t xml:space="preserve">[104] </w:t>
      </w:r>
      <w:hyperlink r:id="rId402">
        <w:r>
          <w:rPr>
            <w:color w:val="1155CC"/>
            <w:u w:val="single"/>
          </w:rPr>
          <w:t>淀粉样β溶解度的温度依赖性揭示疏水效应是纤维形成的主要驱动力</w:t>
        </w:r>
      </w:hyperlink>
    </w:p>
    <w:p>
      <w:pPr>
        <w:spacing w:before="0" w:after="80"/>
      </w:pPr>
      <w:r>
        <w:rPr>
          <w:i/>
          <w:sz w:val="20"/>
        </w:rPr>
        <w:t>EN: The temperature dependence of amyloid β solubility reveals the hydrophobic effect as the main driving force for fibril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03">
        <w:r>
          <w:rPr>
            <w:color w:val="1155CC"/>
            <w:u w:val="single"/>
          </w:rPr>
          <w:t>10.1073/pnas.2531916123</w:t>
        </w:r>
      </w:hyperlink>
    </w:p>
    <w:p>
      <w:pPr>
        <w:spacing w:before="0" w:after="120"/>
      </w:pPr>
      <w:r>
        <w:rPr>
          <w:b/>
        </w:rPr>
        <w:t xml:space="preserve">Notes: </w:t>
      </w:r>
      <w:r>
        <w:t>abstract_source=crossref</w:t>
      </w:r>
    </w:p>
    <w:p>
      <w:pPr>
        <w:spacing w:before="0" w:after="80" w:lineRule="auto" w:line="276"/>
      </w:pPr>
      <w:r>
        <w:rPr>
          <w:b/>
        </w:rPr>
        <w:t xml:space="preserve">摘要（ZH）: </w:t>
      </w:r>
      <w:r>
        <w:t>淀粉样蛋白聚集成纤维状和寡聚体聚集体与多种神经退行性疾病有关。虽然疾病的发病机制在许多情况下仍不明确，但了解聚集的驱动力可能有助于找到可能的原因。虽然对淀粉样蛋白形成动力学的影响更常被研究，但要深入了解这些驱动力需要采用热力学方法进行平衡测量。在此，我们使用高效液相色谱与质谱仪和圆二色光谱相结合的方法，研究与阿尔茨海默病相关的淀粉样β肽Aβ42的溶解度对温度的依赖性。样品浓度为8至50 μM Aβ</w:t>
      </w:r>
    </w:p>
    <w:p>
      <w:pPr>
        <w:spacing w:before="0" w:after="200" w:lineRule="auto" w:line="276"/>
      </w:pPr>
      <w:r>
        <w:rPr>
          <w:b/>
        </w:rPr>
        <w:t xml:space="preserve">Abstract (EN): </w:t>
      </w:r>
      <w:r>
        <w:t>The aggregation of amyloid proteins into fibrillar and oligomeric aggregates is linked to a number of neurodegenerative diseases. While the disease onset remains elusive in many cases, an understanding of the driving forces for the aggregation may help finding possible causes. While effects on amyloid formation kinetics are more commonly studied, gaining insights into these driving forces require a thermodynamic approach with equilibrium measurements. Here we investigate the temperature dependence of the solubility of the amyloid beta peptide, A</w:t>
      </w:r>
      <w:r>
        <w:t xml:space="preserve"> </w:t>
      </w:r>
      <w:r>
        <w:t>β</w:t>
      </w:r>
      <w:r>
        <w:t xml:space="preserve"> </w:t>
      </w:r>
      <w:r>
        <w:t>42, related to Alzheimer’s disease, using high-performance liquid chromatography coupled to a mass spectrometer and circular dichroism spectroscopy. Samples of 8 to 50 μM A</w:t>
      </w:r>
      <w:r>
        <w:t xml:space="preserve"> </w:t>
      </w:r>
      <w:r>
        <w:t>β</w:t>
      </w:r>
      <w:r>
        <w:t xml:space="preserve"> </w:t>
      </w:r>
      <w:r>
        <w:t>42 were incubated for up to 168 h at pH 8.0 and moderate ionic strength at multiple temperatures in the range of 5 to 80</w:t>
      </w:r>
      <w:r>
        <w:t xml:space="preserve"> </w:t>
      </w:r>
      <w:r>
        <w:t>°</w:t>
      </w:r>
      <w:r>
        <w:t xml:space="preserve"> </w:t>
      </w:r>
      <w:r>
        <w:t>C. The remaining monomer concentration was measured after 48 to 168 h, with little change in between suggesting that equilibrium is approached at 168 h. The lowest solubility of 20 ± 10 nM is found around body temperature, with higher solubility at both lower and higher temperatures. This nonmonotonic temperature dependence is indicative of the hydrophobic effect being a major driving force for the fibril formation of this peptide.</w:t>
      </w:r>
    </w:p>
    <w:p>
      <w:pPr>
        <w:spacing w:before="120" w:after="120"/>
      </w:pPr>
      <w:r>
        <w:rPr>
          <w:sz w:val="18"/>
        </w:rPr>
        <w:t>——————————————————————————————————————————————————————————————————————</w:t>
      </w:r>
    </w:p>
    <w:p>
      <w:pPr>
        <w:spacing w:before="160" w:after="40" w:line="240" w:lineRule="auto"/>
      </w:pPr>
      <w:r>
        <w:rPr>
          <w:b/>
        </w:rPr>
        <w:t xml:space="preserve">[105] </w:t>
      </w:r>
      <w:hyperlink r:id="rId404">
        <w:r>
          <w:rPr>
            <w:color w:val="1155CC"/>
            <w:u w:val="single"/>
          </w:rPr>
          <w:t>当能量稀缺时，进化选择休眠</w:t>
        </w:r>
      </w:hyperlink>
    </w:p>
    <w:p>
      <w:pPr>
        <w:spacing w:before="0" w:after="80"/>
      </w:pPr>
      <w:r>
        <w:rPr>
          <w:i/>
          <w:sz w:val="20"/>
        </w:rPr>
        <w:t>EN: When energy is scarce, evolution selects dormancy</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05">
        <w:r>
          <w:rPr>
            <w:color w:val="1155CC"/>
            <w:u w:val="single"/>
          </w:rPr>
          <w:t>10.1073/pnas.2602692123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406">
        <w:r>
          <w:rPr>
            <w:color w:val="1155CC"/>
            <w:u w:val="single"/>
          </w:rPr>
          <w:t>生物分子分析揭示了Kura–Araxes烹饪实践中的葡萄基饮料、乳制品加工和陶器功能</w:t>
        </w:r>
      </w:hyperlink>
    </w:p>
    <w:p>
      <w:pPr>
        <w:spacing w:before="0" w:after="80"/>
      </w:pPr>
      <w:r>
        <w:rPr>
          <w:i/>
          <w:sz w:val="20"/>
        </w:rPr>
        <w:t>EN: Biomolecular analyses reveal grape-based beverages, dairy processing, and pottery function in Kura–Araxes culinary practices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07">
        <w:r>
          <w:rPr>
            <w:color w:val="1155CC"/>
            <w:u w:val="single"/>
          </w:rPr>
          <w:t>10.1073/pnas.2529600123</w:t>
        </w:r>
      </w:hyperlink>
    </w:p>
    <w:p>
      <w:pPr>
        <w:spacing w:before="0" w:after="120"/>
      </w:pPr>
      <w:r>
        <w:rPr>
          <w:b/>
        </w:rPr>
        <w:t xml:space="preserve">Notes: </w:t>
      </w:r>
      <w:r>
        <w:t>abstract_source=crossref</w:t>
      </w:r>
    </w:p>
    <w:p>
      <w:pPr>
        <w:spacing w:before="0" w:after="80" w:lineRule="auto" w:line="276"/>
      </w:pPr>
      <w:r>
        <w:rPr>
          <w:b/>
        </w:rPr>
        <w:t xml:space="preserve">摘要（ZH）: </w:t>
      </w:r>
      <w:r>
        <w:t>库拉-阿拉克斯文化在公元前4千纪中期出现在南高加索地区，作为小规模、以家庭为基础的社区的表现。随后，它扩展到高地，成为公元前3千纪早期至中期青铜时代西南亚最广泛的文化传统，明显不同于同时期美索不达米亚早期国家社会的城市发展轨迹。陶器是库拉-阿拉克斯传统中最具特色的表现之一，也是其扩展的关键标志。它们在社会整合的动态中以及库拉-阿拉克斯社区在空间和时间上的物质和文化再生产中发挥了重要作用。通过采用结合技术、形态学、使用的综合方法</w:t>
      </w:r>
    </w:p>
    <w:p>
      <w:pPr>
        <w:spacing w:before="0" w:after="200" w:lineRule="auto" w:line="276"/>
      </w:pPr>
      <w:r>
        <w:rPr>
          <w:b/>
        </w:rPr>
        <w:t xml:space="preserve">Abstract (EN): </w:t>
      </w:r>
      <w:r>
        <w:t>The Kura–Araxes culture emerged in the South Caucasus in the mid-4th millennium BCE as an expression of small-scale, household-based communities. It subsequently expanded across the highlands, becoming the most widespread cultural tradition of the early to mid-3rd millennium BCE Bronze Age Southwest Asia, clearly distinct from the contemporaneous urban trajectories of early state societies in Mesopotamia. Ceramics were among the most distinctive expressions of the Kura–Araxes tradition and key markers of its expansion. They played an important role in the dynamics of social integration as well as in the material and cultural reproduction of the Kura–Araxes communities over space and through time. By adopting an integrated methodological approach combining technological, morphological, use-wear, and biomolecular analyses of pottery from the settlement of Qaraçinar (Azerbaijan), this study sheds light on the functions of ceramics within the framework of Kura–Araxes foodways. The results reveal a diverse diet supported by a mixed subsistence economy, and emphasize the cultural importance of grape-derived beverages, alongside the central role of dairy products and ruminant carcass fats in Kura–Araxes cuisine. Novel markers of culinary practices are identified, including thermal processing of carcass fats and dairy, as well as preliminary evidence of food transformation and preservation techniques that may have involved the use of fruits and conifer-derived plant products. A functional distinction is also observed between the versatile Monochrome Ware and Red-Black Burnished Ware, the latter likely dedicated to fruit- or grape-based and dairy beverages, suggesting the existence of codified cultural behaviors related to food preparation and consumption.</w:t>
      </w:r>
    </w:p>
    <w:p>
      <w:pPr>
        <w:spacing w:before="120" w:after="120"/>
      </w:pPr>
      <w:r>
        <w:rPr>
          <w:sz w:val="18"/>
        </w:rPr>
        <w:t>——————————————————————————————————————————————————————————————————————</w:t>
      </w:r>
    </w:p>
    <w:p>
      <w:pPr>
        <w:spacing w:before="160" w:after="40" w:line="240" w:lineRule="auto"/>
      </w:pPr>
      <w:r>
        <w:rPr>
          <w:b/>
        </w:rPr>
        <w:t xml:space="preserve">[107] </w:t>
      </w:r>
      <w:hyperlink r:id="rId408">
        <w:r>
          <w:rPr>
            <w:color w:val="1155CC"/>
            <w:u w:val="single"/>
          </w:rPr>
          <w:t>分枝杆菌光滑到粗糙形态的改变及其对噬菌体抗性的推测影响</w:t>
        </w:r>
      </w:hyperlink>
    </w:p>
    <w:p>
      <w:pPr>
        <w:spacing w:before="0" w:after="80"/>
      </w:pPr>
      <w:r>
        <w:rPr>
          <w:i/>
          <w:sz w:val="20"/>
        </w:rPr>
        <w:t>EN: Smooth-to-rough morphotype alterations in Mycobacterium abscessus and their putative impact on phage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09">
        <w:r>
          <w:rPr>
            <w:color w:val="1155CC"/>
            <w:u w:val="single"/>
          </w:rPr>
          <w:t>10.1073/pnas.2606859123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410">
        <w:r>
          <w:rPr>
            <w:color w:val="1155CC"/>
            <w:u w:val="single"/>
          </w:rPr>
          <w:t>SypC：包装在细菌囊泡中的共生体形态素</w:t>
        </w:r>
      </w:hyperlink>
    </w:p>
    <w:p>
      <w:pPr>
        <w:spacing w:before="0" w:after="80"/>
      </w:pPr>
      <w:r>
        <w:rPr>
          <w:i/>
          <w:sz w:val="20"/>
        </w:rPr>
        <w:t>EN: SypC: A symbiont morphogen packaged in bacterial vesicles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11">
        <w:r>
          <w:rPr>
            <w:color w:val="1155CC"/>
            <w:u w:val="single"/>
          </w:rPr>
          <w:t>10.1073/pnas.2607269123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412">
        <w:r>
          <w:rPr>
            <w:color w:val="1155CC"/>
            <w:u w:val="single"/>
          </w:rPr>
          <w:t>参与耳鸣行为产生的离散5-羟色胺能回路</w:t>
        </w:r>
      </w:hyperlink>
    </w:p>
    <w:p>
      <w:pPr>
        <w:spacing w:before="0" w:after="80"/>
      </w:pPr>
      <w:r>
        <w:rPr>
          <w:i/>
          <w:sz w:val="20"/>
        </w:rPr>
        <w:t>EN: A discrete serotonergic circuit involved in the generation of tinnitus behavior</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13">
        <w:r>
          <w:rPr>
            <w:color w:val="1155CC"/>
            <w:u w:val="single"/>
          </w:rPr>
          <w:t>10.1073/pnas.2509692123</w:t>
        </w:r>
      </w:hyperlink>
    </w:p>
    <w:p>
      <w:pPr>
        <w:spacing w:before="0" w:after="120"/>
      </w:pPr>
      <w:r>
        <w:rPr>
          <w:b/>
        </w:rPr>
        <w:t xml:space="preserve">Notes: </w:t>
      </w:r>
      <w:r>
        <w:t>abstract_source=crossref</w:t>
      </w:r>
    </w:p>
    <w:p>
      <w:pPr>
        <w:spacing w:before="0" w:after="80" w:lineRule="auto" w:line="276"/>
      </w:pPr>
      <w:r>
        <w:rPr>
          <w:b/>
        </w:rPr>
        <w:t xml:space="preserve">摘要（ZH）: </w:t>
      </w:r>
      <w:r>
        <w:t>尽管失调的5-羟色胺神经传递被认为与耳鸣的病理生理学有关，但这种复杂的感觉神经障碍的精确神经回路机制仍不明确。在当前的研究中，我们调查了来自背缝核（DRN）到背耳蜗核（DCN）的5-羟色胺输入是否调节了与耳鸣存在一致的小鼠行为。使用神经追踪和病毒遗传方法，我们确定了一个解剖学和功能上定义的5-羟色胺亚群在DRN中投射到DCN（5-HTDRN→DCN神经元）。通过光遗传学激活5-HTDRN→DCN</w:t>
      </w:r>
    </w:p>
    <w:p>
      <w:pPr>
        <w:spacing w:before="0" w:after="200" w:lineRule="auto" w:line="276"/>
      </w:pPr>
      <w:r>
        <w:rPr>
          <w:b/>
        </w:rPr>
        <w:t xml:space="preserve">Abstract (EN): </w:t>
      </w:r>
      <w:r>
        <w:t>Although dysregulated serotonergic neurotransmission has been implicated in the pathophysiology of tinnitus, the precise neural circuit mechanisms underlying this complex sensory neurological disorder remain elusive. In the current study, we investigated whether a serotonergic input from the dorsal raphe nucleus (DRN) to the dorsal cochlear nucleus (DCN), a key auditory brain region whose hyperactivity is associated with tinnitus, modulates behaviors in mice consistent with the presence of tinnitus. Using neural tracing and viral-genetic methods, we identified an anatomically and functionally defined serotonergic subpopulation in the DRN that projects to the DCN (5-HT</w:t>
      </w:r>
      <w:r>
        <w:t xml:space="preserve"> </w:t>
      </w:r>
      <w:r>
        <w:t>DRN→DCN</w:t>
      </w:r>
      <w:r>
        <w:t xml:space="preserve"> </w:t>
      </w:r>
      <w:r>
        <w:t>neurons). Optogenetic activation of 5-HT</w:t>
      </w:r>
      <w:r>
        <w:t xml:space="preserve"> </w:t>
      </w:r>
      <w:r>
        <w:t>DRN→DCN</w:t>
      </w:r>
      <w:r>
        <w:t xml:space="preserve"> </w:t>
      </w:r>
      <w:r>
        <w:t>circuit increased spike activity in DCN fusiform cells, exhibiting characteristics consistent with tinnitus-like electrical hyperactivity. Chemogenetic activation of 5-HT</w:t>
      </w:r>
      <w:r>
        <w:t xml:space="preserve"> </w:t>
      </w:r>
      <w:r>
        <w:t>DRN→DCN</w:t>
      </w:r>
      <w:r>
        <w:t xml:space="preserve"> </w:t>
      </w:r>
      <w:r>
        <w:t>circuit induced tinnitus-related behaviors in mice, which was largely reversed by blocking 5-HT</w:t>
      </w:r>
      <w:r>
        <w:t xml:space="preserve"> </w:t>
      </w:r>
      <w:r>
        <w:t>2A</w:t>
      </w:r>
      <w:r>
        <w:t xml:space="preserve"> </w:t>
      </w:r>
      <w:r>
        <w:t>receptors. Additionally, we found that noise exposure increased 5-HT levels in the DCN and the activity of 5-HT</w:t>
      </w:r>
      <w:r>
        <w:t xml:space="preserve"> </w:t>
      </w:r>
      <w:r>
        <w:t>DRN→DCN</w:t>
      </w:r>
      <w:r>
        <w:t xml:space="preserve"> </w:t>
      </w:r>
      <w:r>
        <w:t>neurons in mice with noise-induced tinnitus-related behaviors. Importantly, chemogenetic inhibition of 5-HT</w:t>
      </w:r>
      <w:r>
        <w:t xml:space="preserve"> </w:t>
      </w:r>
      <w:r>
        <w:t>DRN→DCN</w:t>
      </w:r>
      <w:r>
        <w:t xml:space="preserve"> </w:t>
      </w:r>
      <w:r>
        <w:t>circuit ameliorated significantly noise-induced tinnitus–related behavior in mice. These results reveal that activation of 5-HT</w:t>
      </w:r>
      <w:r>
        <w:t xml:space="preserve"> </w:t>
      </w:r>
      <w:r>
        <w:t>DRN→DCN</w:t>
      </w:r>
      <w:r>
        <w:t xml:space="preserve"> </w:t>
      </w:r>
      <w:r>
        <w:t>circuit induces hyperactivity in the DCN sufficient for the perceptual generation and modulation of tinnitus. These findings provide direct evidence that 5-HT neurons in the DRN play an important role in tinnitus and facilitate our understanding of the circuit mechanisms of pathophysiology in sensory neurological disorders.</w:t>
      </w:r>
    </w:p>
    <w:p>
      <w:pPr>
        <w:spacing w:before="120" w:after="120"/>
      </w:pPr>
      <w:r>
        <w:rPr>
          <w:sz w:val="18"/>
        </w:rPr>
        <w:t>——————————————————————————————————————————————————————————————————————</w:t>
      </w:r>
    </w:p>
    <w:p>
      <w:pPr>
        <w:spacing w:before="160" w:after="40" w:line="240" w:lineRule="auto"/>
      </w:pPr>
      <w:r>
        <w:rPr>
          <w:b/>
        </w:rPr>
        <w:t xml:space="preserve">[110] </w:t>
      </w:r>
      <w:hyperlink r:id="rId414">
        <w:r>
          <w:rPr>
            <w:color w:val="1155CC"/>
            <w:u w:val="single"/>
          </w:rPr>
          <w:t>多巴胺能对代理感的调节影响帕金森病中的道德行为</w:t>
        </w:r>
      </w:hyperlink>
    </w:p>
    <w:p>
      <w:pPr>
        <w:spacing w:before="0" w:after="80"/>
      </w:pPr>
      <w:r>
        <w:rPr>
          <w:i/>
          <w:sz w:val="20"/>
        </w:rPr>
        <w:t>EN: Dopaminergic modulation of the sense of agency influences moral behavior in Parkinson’s disease</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15">
        <w:r>
          <w:rPr>
            <w:color w:val="1155CC"/>
            <w:u w:val="single"/>
          </w:rPr>
          <w:t>10.1073/pnas.2513356123</w:t>
        </w:r>
      </w:hyperlink>
    </w:p>
    <w:p>
      <w:pPr>
        <w:spacing w:before="0" w:after="120"/>
      </w:pPr>
      <w:r>
        <w:rPr>
          <w:b/>
        </w:rPr>
        <w:t xml:space="preserve">Notes: </w:t>
      </w:r>
      <w:r>
        <w:t>abstract_source=crossref</w:t>
      </w:r>
    </w:p>
    <w:p>
      <w:pPr>
        <w:spacing w:before="0" w:after="80" w:lineRule="auto" w:line="276"/>
      </w:pPr>
      <w:r>
        <w:rPr>
          <w:b/>
        </w:rPr>
        <w:t xml:space="preserve">摘要（ZH）: </w:t>
      </w:r>
      <w:r>
        <w:t>关于道德的具身理论提出，身体自我意识有助于抑制不道德行为。行动感（SoA）——控制自己行为及其后果的感觉——在个体伤害他人时会下降。然而，调节SoA是否会改变道德行为仍不清楚。帕金森病（PD）提供了一个独特的模型来解决这个问题，因为多巴胺功能障碍会影响SoA和道德决策。我们在多巴胺状态开启（ON）和关闭（OFF）时测试了23名PD患者，并使用两个任务评估SoA（SoA-GAME）和道德决策（诱惑撒谎纸牌游戏，TLCG）分别测试了24名健康对照。SoA-GAME量化了执行和观察到的虚拟动作之间的感知同步性，索引了由动作相关预测驱动的SoA变化。</w:t>
      </w:r>
    </w:p>
    <w:p>
      <w:pPr>
        <w:spacing w:before="0" w:after="200" w:lineRule="auto" w:line="276"/>
      </w:pPr>
      <w:r>
        <w:rPr>
          <w:b/>
        </w:rPr>
        <w:t xml:space="preserve">Abstract (EN): </w:t>
      </w:r>
      <w:r>
        <w:t>Embodied accounts of morality propose that corporeal self-awareness helps restrain immoral actions. The Sense of Agency (SoA)—the feeling of controlling one’s actions and their consequences—drops when individuals harm others. However, whether modulating SoA shifts moral behavior remains unclear. Parkinson’s Disease (PD) offers a unique model to address this question, because dopaminergic dysfunction affects both SoA and moral decision-making. We tested 23 individuals with PD in ON and OFF dopaminergic state, and 24 healthy controls using two tasks assessing SoA (SoA-GAME) and moral decision-making (Temptation to Lie Card Game, TLCG), respectively. The SoA-GAME quantified perceived synchrony between executed and observed virtual actions, indexing SoA changes driven by action-related prediction errors (PEs). The TLCG measures self-serving dishonesty by tempting participants to deceive another player for monetary gain. Dopaminergic medication increased SoA relative to OFF state—especially when virtual movements matched participants’ movements but failed to achieve the intended goal—and was associated with reduced dishonest behavior. Drift diffusion modeling showed that dopaminergic state modulated the accumulation of evidence underlying agency judgments, specifically in response to action-related PEs. Critically, higher perceived synchrony in the SoA-GAME predicted a reduction of dishonest choices, but only when individuals with PD were tested ON dopaminergic medication. These findings indicate that dopaminergic modulation of SoA and of the action-related PEs that inform it can influence moral behavior, supporting a direct connection between corporeal self-awareness and morality.</w:t>
      </w:r>
    </w:p>
    <w:p>
      <w:pPr>
        <w:spacing w:before="120" w:after="120"/>
      </w:pPr>
      <w:r>
        <w:rPr>
          <w:sz w:val="18"/>
        </w:rPr>
        <w:t>——————————————————————————————————————————————————————————————————————</w:t>
      </w:r>
    </w:p>
    <w:p>
      <w:pPr>
        <w:spacing w:before="160" w:after="40" w:line="240" w:lineRule="auto"/>
      </w:pPr>
      <w:r>
        <w:rPr>
          <w:b/>
        </w:rPr>
        <w:t xml:space="preserve">[111] </w:t>
      </w:r>
      <w:hyperlink r:id="rId416">
        <w:r>
          <w:rPr>
            <w:color w:val="1155CC"/>
            <w:u w:val="single"/>
          </w:rPr>
          <w:t>Aurora-A通过相分离支架应激颗粒组装推动索拉非尼耐药</w:t>
        </w:r>
      </w:hyperlink>
    </w:p>
    <w:p>
      <w:pPr>
        <w:spacing w:before="0" w:after="80"/>
      </w:pPr>
      <w:r>
        <w:rPr>
          <w:i/>
          <w:sz w:val="20"/>
        </w:rPr>
        <w:t>EN: Aurora-A drives sorafenib resistance by scaffolding stress granule assembly via phase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17">
        <w:r>
          <w:rPr>
            <w:color w:val="1155CC"/>
            <w:u w:val="single"/>
          </w:rPr>
          <w:t>10.1073/pnas.2516469123</w:t>
        </w:r>
      </w:hyperlink>
    </w:p>
    <w:p>
      <w:pPr>
        <w:spacing w:before="0" w:after="120"/>
      </w:pPr>
      <w:r>
        <w:rPr>
          <w:b/>
        </w:rPr>
        <w:t xml:space="preserve">Notes: </w:t>
      </w:r>
      <w:r>
        <w:t>abstract_source=crossref</w:t>
      </w:r>
    </w:p>
    <w:p>
      <w:pPr>
        <w:spacing w:before="0" w:after="80" w:lineRule="auto" w:line="276"/>
      </w:pPr>
      <w:r>
        <w:rPr>
          <w:b/>
        </w:rPr>
        <w:t xml:space="preserve">摘要（ZH）: </w:t>
      </w:r>
      <w:r>
        <w:t>有丝分裂激酶Aurora-A在癌症中经常过度表达，并促进肿瘤进展和治疗抵抗，但其在药物抵抗中的作用机制仍不清楚。在此，我们展示了索拉非尼治疗触发Aurora-A相分离，导致其招募到应激颗粒（SGs）中，这些无膜细胞器促进癌细胞存活。Aurora-A促进了强大的SGs组装，从而赋予索拉非尼抵抗性。在机制上，索拉非尼诱导的SGs形成后，Aurora-A通过其内在无序区域（IDR）中的正电荷赖氨酸/精氨酸残基结合RNA。突变这些K/R残基与Aurora-A的IDR破坏了其RNA结合，损害了SGs组装，并使癌细胞对索拉非尼重新敏感。总之，我们的研究表明</w:t>
      </w:r>
    </w:p>
    <w:p>
      <w:pPr>
        <w:spacing w:before="0" w:after="200" w:lineRule="auto" w:line="276"/>
      </w:pPr>
      <w:r>
        <w:rPr>
          <w:b/>
        </w:rPr>
        <w:t xml:space="preserve">Abstract (EN): </w:t>
      </w:r>
      <w:r>
        <w:t>The mitotic kinase Aurora-A is frequently overexpressed in cancers and contributes to tumor progression and therapy resistance, yet the mechanisms underlying its role in drug resistance remain unclear. Here, we show that sorafenib treatment triggers Aurora-A phase separation, leading to its recruitment into stress granules (SGs), membraneless organelles that promote cancer cell survival. Aurora-A facilitates robust SGs assembly, thereby conferring sorafenib resistance. Mechanistically, upon sorafenib-induced SGs formation, Aurora-A binds RNA via positively charged lysine/arginine residues within its intrinsically disordered region (IDR). Mutating these K/R residues with IDR of Aurora-A disrupts its RNA binding, impairs SGs assembly, and resensitizes cancer cells to sorafenib. Together, our work identifies Aurora-A as a kinase-activity-independent, RNA-binding scaffold essential for stress-adaptive biomolecular condensation, revealing a druggable phase-separation axis distinct from canonical Aurora-A kinase signaling.</w:t>
      </w:r>
    </w:p>
    <w:p>
      <w:pPr>
        <w:spacing w:before="120" w:after="120"/>
      </w:pPr>
      <w:r>
        <w:rPr>
          <w:sz w:val="18"/>
        </w:rPr>
        <w:t>——————————————————————————————————————————————————————————————————————</w:t>
      </w:r>
    </w:p>
    <w:p>
      <w:pPr>
        <w:spacing w:before="160" w:after="40" w:line="240" w:lineRule="auto"/>
      </w:pPr>
      <w:r>
        <w:rPr>
          <w:b/>
        </w:rPr>
        <w:t xml:space="preserve">[112] </w:t>
      </w:r>
      <w:hyperlink r:id="rId418">
        <w:r>
          <w:rPr>
            <w:color w:val="1155CC"/>
            <w:u w:val="single"/>
          </w:rPr>
          <w:t>连接栖息地，增强疾病抵抗力：空间连通性增强两栖动物微生物组对抗真菌病原体的防御</w:t>
        </w:r>
      </w:hyperlink>
    </w:p>
    <w:p>
      <w:pPr>
        <w:spacing w:before="0" w:after="80"/>
      </w:pPr>
      <w:r>
        <w:rPr>
          <w:i/>
          <w:sz w:val="20"/>
        </w:rPr>
        <w:t>EN: Connecting habitats, boosting disease resistance: Spatial connectivity enhances amphibian microbiome defenses against fungal pathogen</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19">
        <w:r>
          <w:rPr>
            <w:color w:val="1155CC"/>
            <w:u w:val="single"/>
          </w:rPr>
          <w:t>10.1073/pnas.2520745123</w:t>
        </w:r>
      </w:hyperlink>
    </w:p>
    <w:p>
      <w:pPr>
        <w:spacing w:before="0" w:after="120"/>
      </w:pPr>
      <w:r>
        <w:rPr>
          <w:b/>
        </w:rPr>
        <w:t xml:space="preserve">Notes: </w:t>
      </w:r>
      <w:r>
        <w:t>abstract_source=crossref</w:t>
      </w:r>
    </w:p>
    <w:p>
      <w:pPr>
        <w:spacing w:before="0" w:after="80" w:lineRule="auto" w:line="276"/>
      </w:pPr>
      <w:r>
        <w:rPr>
          <w:b/>
        </w:rPr>
        <w:t xml:space="preserve">摘要（ZH）: </w:t>
      </w:r>
      <w:r>
        <w:t>栖息地连通性的破坏改变了野生动物的宿主运动模式和病原体暴露。暴露动态的变化导致对宿主相关微生物群（即微生物组）的研究兴趣增加，特别是反复接触病原体如何驱动微生物过滤过程，从而促进病原体抑制微生物组的组装，这一概念被称为适应性微生物组原则。理解栖息地连通性和病原体暴露如何塑造适应性微生物组仍然是疾病生态学的关键前沿。对于广泛分布的水传播病原体，如两栖动物壶菌真菌</w:t>
      </w:r>
      <w:r>
        <w:t xml:space="preserve"> </w:t>
      </w:r>
      <w:r>
        <w:t>Batrachochytrium dendrobatidis</w:t>
      </w:r>
      <w:r>
        <w:t xml:space="preserve"> </w:t>
      </w:r>
      <w:r>
        <w:t>（Bd），在连续的陆地-水生栖息地中持续的宿主暴露可能</w:t>
      </w:r>
    </w:p>
    <w:p>
      <w:pPr>
        <w:spacing w:before="0" w:after="200" w:lineRule="auto" w:line="276"/>
      </w:pPr>
      <w:r>
        <w:rPr>
          <w:b/>
        </w:rPr>
        <w:t xml:space="preserve">Abstract (EN): </w:t>
      </w:r>
      <w:r>
        <w:t>Disruption of habitat connectivity alters host movement patterns and pathogen exposure in wildlife. Changes in exposure dynamics have led to increased research interest in host-associated microbial communities (i.e., microbiomes), particularly in how repeated encounters with pathogens may drive microbial filtering processes that favor the assembly of pathogen-inhibiting microbiomes, a concept known as the adaptive microbiome principle. Understanding how habitat connectivity and pathogen exposure shape adaptive microbiomes remains a key frontier in disease ecology. For widely distributed waterborne pathogens such as the amphibian chytrid fungus</w:t>
      </w:r>
      <w:r>
        <w:t xml:space="preserve"> </w:t>
      </w:r>
      <w:r>
        <w:t>Batrachochytrium dendrobatidis</w:t>
      </w:r>
      <w:r>
        <w:t xml:space="preserve"> </w:t>
      </w:r>
      <w:r>
        <w:t>(Bd), sustained host exposure in contiguous terrestrial–aquatic habitats may promote selection of microbiomes with enhanced antifungal properties. In contrast, under conditions of high habitat split, where key habitats such as forests and water bodies are spatially disconnected, limited exposure to Bd during the pre-tbreeding and overwintering seasons may hinder the selection of Bd-inhibitory microbiomes that are critical for host protection during the subsequent breeding season, when pathogen exposure in water bodies is at its peak. Our results demonstrate that habitat split may limit recruitment of putative Bd-inhibitory skin bacteria, while Bd loads increase with habitat split for certain amphibian species. Results from Joint Species Distribution Models also indicate that habitat split is a key driver of reduced skin bacterial diversity, even after accounting for biotic and abiotic metrics. Our study provides evidence that spatial connectivity among natural habitats is essential for maintaining multiple levels of biodiversity, from host species to their associated functional microbiomes, highlighting a critical link between environmental disturbance, microbial defenses, and disease dynamics.</w:t>
      </w:r>
    </w:p>
    <w:p>
      <w:pPr>
        <w:spacing w:before="120" w:after="120"/>
      </w:pPr>
      <w:r>
        <w:rPr>
          <w:sz w:val="18"/>
        </w:rPr>
        <w:t>——————————————————————————————————————————————————————————————————————</w:t>
      </w:r>
    </w:p>
    <w:p>
      <w:pPr>
        <w:spacing w:before="160" w:after="40" w:line="240" w:lineRule="auto"/>
      </w:pPr>
      <w:r>
        <w:rPr>
          <w:b/>
        </w:rPr>
        <w:t xml:space="preserve">[113] </w:t>
      </w:r>
      <w:hyperlink r:id="rId420">
        <w:r>
          <w:rPr>
            <w:color w:val="1155CC"/>
            <w:u w:val="single"/>
          </w:rPr>
          <w:t>一万五千年的生物考古数据揭示了欧洲第一批农民的生活史权衡</w:t>
        </w:r>
      </w:hyperlink>
    </w:p>
    <w:p>
      <w:pPr>
        <w:spacing w:before="0" w:after="80"/>
      </w:pPr>
      <w:r>
        <w:rPr>
          <w:i/>
          <w:sz w:val="20"/>
        </w:rPr>
        <w:t>EN: Fifteen thousand years of bioarchaeological data reveal life history trade-offs among Europe’s first farmers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21">
        <w:r>
          <w:rPr>
            <w:color w:val="1155CC"/>
            <w:u w:val="single"/>
          </w:rPr>
          <w:t>10.1073/pnas.2505519123</w:t>
        </w:r>
      </w:hyperlink>
    </w:p>
    <w:p>
      <w:pPr>
        <w:spacing w:before="0" w:after="120"/>
      </w:pPr>
      <w:r>
        <w:rPr>
          <w:b/>
        </w:rPr>
        <w:t xml:space="preserve">Notes: </w:t>
      </w:r>
      <w:r>
        <w:t>abstract_source=crossref</w:t>
      </w:r>
    </w:p>
    <w:p>
      <w:pPr>
        <w:spacing w:before="0" w:after="80" w:lineRule="auto" w:line="276"/>
      </w:pPr>
      <w:r>
        <w:rPr>
          <w:b/>
        </w:rPr>
        <w:t xml:space="preserve">摘要（ZH）: </w:t>
      </w:r>
      <w:r>
        <w:t>本文通过对生长、饮食、活动和人口统计的综合分析，研究了欧洲向农业过渡过程中人类生命史的演变。生命史理论考虑了生物体如何分配能量用于防御、繁殖、维护和生长，以及这些功能如何在生态约束下相互权衡，因此对于理解人类对社会、经济和文化变化的适应至关重要。通过对大型数据集的分析，包括估计的体型（n = 3007个个体）、长骨强度（n = 2150个个体）、碳（δ13C）和氮（</w:t>
      </w:r>
    </w:p>
    <w:p>
      <w:pPr>
        <w:spacing w:before="0" w:after="200" w:lineRule="auto" w:line="276"/>
      </w:pPr>
      <w:r>
        <w:rPr>
          <w:b/>
        </w:rPr>
        <w:t xml:space="preserve">Abstract (EN): </w:t>
      </w:r>
      <w:r>
        <w:t>This paper examines human life history evolution across the transition to agriculture in Europe through an integrated analysis of growth, diet, activity, and demography. Life history theory considers how organisms allocate energy toward defense, reproduction, maintenance, and growth, and how such functions trade-off against each other in response to ecological constraints and is therefore fundamental to understanding human adaptation to social, economic, and cultural change. Through analysis of large datasets of estimated body size (</w:t>
      </w:r>
      <w:r>
        <w:t xml:space="preserve"> </w:t>
      </w:r>
      <w:r>
        <w:t>n</w:t>
      </w:r>
      <w:r>
        <w:t xml:space="preserve"> </w:t>
      </w:r>
      <w:r>
        <w:t>= 3007 individuals), long bone robusticity (</w:t>
      </w:r>
      <w:r>
        <w:t xml:space="preserve"> </w:t>
      </w:r>
      <w:r>
        <w:t>n</w:t>
      </w:r>
      <w:r>
        <w:t xml:space="preserve"> </w:t>
      </w:r>
      <w:r>
        <w:t>= 2150 individuals), carbon (</w:t>
      </w:r>
      <w:r>
        <w:t xml:space="preserve"> </w:t>
      </w:r>
      <w:r>
        <w:t>δ</w:t>
      </w:r>
      <w:r>
        <w:rPr>
          <w:vertAlign w:val="subscript"/>
        </w:rPr>
        <w:t>13</w:t>
      </w:r>
      <w:r>
        <w:t>C) and nitrogen (</w:t>
      </w:r>
      <w:r>
        <w:t xml:space="preserve"> </w:t>
      </w:r>
      <w:r>
        <w:t>δ</w:t>
      </w:r>
      <w:r>
        <w:rPr>
          <w:vertAlign w:val="subscript"/>
        </w:rPr>
        <w:t>15</w:t>
      </w:r>
      <w:r>
        <w:t>N) stable isotopes (</w:t>
      </w:r>
      <w:r>
        <w:t xml:space="preserve"> </w:t>
      </w:r>
      <w:r>
        <w:t>n</w:t>
      </w:r>
      <w:r>
        <w:t xml:space="preserve"> </w:t>
      </w:r>
      <w:r>
        <w:t>= 30,937 individuals), and radiocarbon dates (</w:t>
      </w:r>
      <w:r>
        <w:t xml:space="preserve"> </w:t>
      </w:r>
      <w:r>
        <w:t>n</w:t>
      </w:r>
      <w:r>
        <w:t xml:space="preserve"> </w:t>
      </w:r>
      <w:r>
        <w:t>= 60,197) to directly test: 1) whether the demographic expansion associated with early farming coincided with a decline in body size; 2) whether long-term patterns in demography, skeletal growth, and diet differ between southern and northern Europe in ways that reflect region-specific life history trade-offs. The results reveal 1) that a population “boom” among early farmers (~8,500 BP) coincided with reduced body size, consistent with a shift in life history strategies that prioritized reproduction over skeletal growth; 2) divergent trends in body size and diet between northern and southern Europe suggest region-specific adaptations, with a growth–reproduction trade-off more evident in the south. Framed within broader patterns of human health, physical activity, and genetic turnover, the work underscores how early farming in Europe is best understood as a complex process of trade-offs that can be elucidated through analysis of bioarchaeological data within a life history framework.</w:t>
      </w:r>
    </w:p>
    <w:p>
      <w:pPr>
        <w:spacing w:before="120" w:after="120"/>
      </w:pPr>
      <w:r>
        <w:rPr>
          <w:sz w:val="18"/>
        </w:rPr>
        <w:t>——————————————————————————————————————————————————————————————————————</w:t>
      </w:r>
    </w:p>
    <w:p>
      <w:pPr>
        <w:spacing w:before="160" w:after="40" w:line="240" w:lineRule="auto"/>
      </w:pPr>
      <w:r>
        <w:rPr>
          <w:b/>
        </w:rPr>
        <w:t xml:space="preserve">[114] </w:t>
      </w:r>
      <w:hyperlink r:id="rId422">
        <w:r>
          <w:rPr>
            <w:color w:val="1155CC"/>
            <w:u w:val="single"/>
          </w:rPr>
          <w:t>早期B细胞耐受性失败和可能的BCR信号失调是NF155介导的自身免疫性神经病的基础</w:t>
        </w:r>
      </w:hyperlink>
    </w:p>
    <w:p>
      <w:pPr>
        <w:spacing w:before="0" w:after="80"/>
      </w:pPr>
      <w:r>
        <w:rPr>
          <w:i/>
          <w:sz w:val="20"/>
        </w:rPr>
        <w:t>EN: Failure of early B cell tolerance and possible BCR signaling dysregulation underlie NF155-mediated autoimmune nodopathies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23">
        <w:r>
          <w:rPr>
            <w:color w:val="1155CC"/>
            <w:u w:val="single"/>
          </w:rPr>
          <w:t>10.1073/pnas.2525717123</w:t>
        </w:r>
      </w:hyperlink>
    </w:p>
    <w:p>
      <w:pPr>
        <w:spacing w:before="0" w:after="120"/>
      </w:pPr>
      <w:r>
        <w:rPr>
          <w:b/>
        </w:rPr>
        <w:t xml:space="preserve">Notes: </w:t>
      </w:r>
      <w:r>
        <w:t>abstract_source=crossref</w:t>
      </w:r>
    </w:p>
    <w:p>
      <w:pPr>
        <w:spacing w:before="0" w:after="80" w:lineRule="auto" w:line="276"/>
      </w:pPr>
      <w:r>
        <w:rPr>
          <w:b/>
        </w:rPr>
        <w:t xml:space="preserve">摘要（ZH）: </w:t>
      </w:r>
      <w:r>
        <w:t>自身免疫性结节病（AINs）是罕见的获得性自身免疫性神经病，具有独特的临床特征和循环自身抗体，通常属于免疫球蛋白G4（IgG4）亚类，靶向Ranvier节点的蛋白质。B细胞耐受性检查点的缺陷已被认为与多种自身免疫性疾病有关，包括MuSK阳性重症肌无力，另一种IgG4自身抗体介导的疾病。在此，我们通过生成来自三名NF155-AIN患者的新移民（NE）和成熟初始（MN）B细胞的重组抗体，并测试其多反应性和自反应性，研究了神经粘附素-155介导的AIN（NF155-AIN）中是否存在耐受性缺陷。此外，我们分析了外周血单个核细胞的转录组，</w:t>
      </w:r>
    </w:p>
    <w:p>
      <w:pPr>
        <w:spacing w:before="0" w:after="200" w:lineRule="auto" w:line="276"/>
      </w:pPr>
      <w:r>
        <w:rPr>
          <w:b/>
        </w:rPr>
        <w:t xml:space="preserve">Abstract (EN): </w:t>
      </w:r>
      <w:r>
        <w:t>Autoimmune nodopathies (AINs) are rare acquired autoimmune neuropathies with distinct clinical features and circulating autoantibodies, often of the immunoglobulin G4 (IgG4) subclass, targeting proteins at the node of Ranvier. Defects in B cell tolerance checkpoints have been implicated in several autoimmune diseases, including MuSK-positive myasthenia gravis, another IgG4 autoantibody-mediated disease. Here, we investigated whether tolerance defects exist in neurofascin-155-mediated AIN (NF155-AIN), using a well-established assay, by generating recombinant antibodies from new emigrant (NE) and mature naive (MN) B cells from three NF155-AIN patients, and tested them for polyreactivity and autoreactivity. Additionally, we analyzed the transcriptome of peripheral blood mononuclear cells, with a particular focus on naive B cells and CD4+ T cells at the single-cell level, and characterized cell–cell interactions. NF155-AIN patients have an elevated frequency of polyreactive B cells in the NE (37.4% compared to 9.7% in healthy controls (HCs),</w:t>
      </w:r>
      <w:r>
        <w:t xml:space="preserve"> </w:t>
      </w:r>
      <w:r>
        <w:t>P</w:t>
      </w:r>
      <w:r>
        <w:t xml:space="preserve"> </w:t>
      </w:r>
      <w:r>
        <w:t>= 0.03) and MN (31.5% compared to 10.5% in HCs,</w:t>
      </w:r>
      <w:r>
        <w:t xml:space="preserve"> </w:t>
      </w:r>
      <w:r>
        <w:t>P</w:t>
      </w:r>
      <w:r>
        <w:t xml:space="preserve"> </w:t>
      </w:r>
      <w:r>
        <w:t>= 0.03) compartments, consistent with a breach in early B cell tolerance checkpoints. In this unbiased exploratory transcriptomics analysis, we observed potentially abnormal B cell receptor (BCR) signaling characterized by low CD79B, CSK, BLNK, and BTK expression, and possible impaired CD4+ T cell regulatory function. Moreover, comparison with chronic inflammatory demyelinating polyneuropathy, a related autoimmune neuropathy, suggested that these differences are specific to NF155-AIN. A breach in early B cell tolerance checkpoints, with defective BCR signaling, and disrupted T cell–B cell interactions in NF155-AIN, may contribute to the development of pathogenic autoreactivity.</w:t>
      </w:r>
    </w:p>
    <w:p>
      <w:pPr>
        <w:spacing w:before="120" w:after="120"/>
      </w:pPr>
      <w:r>
        <w:rPr>
          <w:sz w:val="18"/>
        </w:rPr>
        <w:t>——————————————————————————————————————————————————————————————————————</w:t>
      </w:r>
    </w:p>
    <w:p>
      <w:pPr>
        <w:spacing w:before="160" w:after="40" w:line="240" w:lineRule="auto"/>
      </w:pPr>
      <w:r>
        <w:rPr>
          <w:b/>
        </w:rPr>
        <w:t xml:space="preserve">[115] </w:t>
      </w:r>
      <w:hyperlink r:id="rId424">
        <w:r>
          <w:rPr>
            <w:color w:val="1155CC"/>
            <w:u w:val="single"/>
          </w:rPr>
          <w:t>极端热带气旋在促进中国淡水入侵中的关键和独特作用</w:t>
        </w:r>
      </w:hyperlink>
    </w:p>
    <w:p>
      <w:pPr>
        <w:spacing w:before="0" w:after="80"/>
      </w:pPr>
      <w:r>
        <w:rPr>
          <w:i/>
          <w:sz w:val="20"/>
        </w:rPr>
        <w:t>EN: The crucial and unique role of extreme tropical cyclones in promoting freshwater invasions in China</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25">
        <w:r>
          <w:rPr>
            <w:color w:val="1155CC"/>
            <w:u w:val="single"/>
          </w:rPr>
          <w:t>10.1073/pnas.2526367123</w:t>
        </w:r>
      </w:hyperlink>
    </w:p>
    <w:p>
      <w:pPr>
        <w:spacing w:before="0" w:after="120"/>
      </w:pPr>
      <w:r>
        <w:rPr>
          <w:b/>
        </w:rPr>
        <w:t xml:space="preserve">Notes: </w:t>
      </w:r>
      <w:r>
        <w:t>abstract_source=crossref</w:t>
      </w:r>
    </w:p>
    <w:p>
      <w:pPr>
        <w:spacing w:before="0" w:after="80" w:lineRule="auto" w:line="276"/>
      </w:pPr>
      <w:r>
        <w:rPr>
          <w:b/>
        </w:rPr>
        <w:t xml:space="preserve">摘要（ZH）: </w:t>
      </w:r>
      <w:r>
        <w:t>气候变化引发的极端天气事件（EWEs）和入侵物种是全球生物多样性和社会经济的主要威胁；然而，EWEs在促进生物入侵中的独特作用仍不确定。在此，我们编制了过去70年覆盖中国东南沿海数千公里的登陆热带气旋（TCs）的广泛数据集。通过密集的实地调查和环境DNA研究，我们发现，在考虑水体景观、本地生物多样性以及水产养殖和宗教放生等人为因素的影响后，非本地淡水动物，尤其是鱼类的丰富度和相对丰度在TC频繁发生的地点高于TC未发生的地点。然而，没有明显</w:t>
      </w:r>
    </w:p>
    <w:p>
      <w:pPr>
        <w:spacing w:before="0" w:after="200" w:lineRule="auto" w:line="276"/>
      </w:pPr>
      <w:r>
        <w:rPr>
          <w:b/>
        </w:rPr>
        <w:t xml:space="preserve">Abstract (EN): </w:t>
      </w:r>
      <w:r>
        <w:t>Climate change induced extreme weather events (EWEs) and invasive species are major threats to global biodiversity and social economy; however, the unique role of EWEs in facilitating biological invasions remains uncertain. Here, we compiled an extensive dataset of landfalling tropical cyclones (TCs) over the past 70 y covering thousands of kilometers of the Southeast China coast. Through intensive field surveys and environmental DNA investigations, we found that the richness and relative abundance of nonnative freshwater animals, especially fishes, were greater at TC-frequent sites than at TC-free sites after accounting for effects of water body landscapes, native biodiversity, and anthropogenic factors such as aquaculture and religious release of nonnative animals. Nevertheless, no significant differences were observed in native species richness or relative abundance between TC-frequent and TC-free sites. TC-induced precipitation, wind, and natural discharge were the key hydrometeorological parameters for predicting invasions. Our findings highlight the importance of developing proactive strategies against the combined impacts of EWEs and biological invasions under sustained global change.</w:t>
      </w:r>
    </w:p>
    <w:p>
      <w:pPr>
        <w:spacing w:before="120" w:after="120"/>
      </w:pPr>
      <w:r>
        <w:rPr>
          <w:sz w:val="18"/>
        </w:rPr>
        <w:t>——————————————————————————————————————————————————————————————————————</w:t>
      </w:r>
    </w:p>
    <w:p>
      <w:pPr>
        <w:spacing w:before="160" w:after="40" w:line="240" w:lineRule="auto"/>
      </w:pPr>
      <w:r>
        <w:rPr>
          <w:b/>
        </w:rPr>
        <w:t xml:space="preserve">[116] </w:t>
      </w:r>
      <w:hyperlink r:id="rId426">
        <w:r>
          <w:rPr>
            <w:color w:val="1155CC"/>
            <w:u w:val="single"/>
          </w:rPr>
          <w:t>可进化AI：进化中新的重大转变的威胁</w:t>
        </w:r>
      </w:hyperlink>
    </w:p>
    <w:p>
      <w:pPr>
        <w:spacing w:before="0" w:after="80"/>
      </w:pPr>
      <w:r>
        <w:rPr>
          <w:i/>
          <w:sz w:val="20"/>
        </w:rPr>
        <w:t>EN: Evolvable AI: Threats of a new major transition in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27">
        <w:r>
          <w:rPr>
            <w:color w:val="1155CC"/>
            <w:u w:val="single"/>
          </w:rPr>
          <w:t>10.1073/pnas.2527700123</w:t>
        </w:r>
      </w:hyperlink>
    </w:p>
    <w:p>
      <w:pPr>
        <w:spacing w:before="0" w:after="120"/>
      </w:pPr>
      <w:r>
        <w:rPr>
          <w:b/>
        </w:rPr>
        <w:t xml:space="preserve">Notes: </w:t>
      </w:r>
      <w:r>
        <w:t>abstract_source=crossref</w:t>
      </w:r>
    </w:p>
    <w:p>
      <w:pPr>
        <w:spacing w:before="0" w:after="80" w:lineRule="auto" w:line="276"/>
      </w:pPr>
      <w:r>
        <w:rPr>
          <w:b/>
        </w:rPr>
        <w:t xml:space="preserve">摘要（ZH）: </w:t>
      </w:r>
      <w:r>
        <w:t>可进化AI（eAI），即其组件、学习规则和部署条件本身可以进行达尔文进化的AI系统，可能很快会从生成性、代理性和具身AI的当前趋势中出现。我们认为，这种可能性在关于AI安全和生存风险的辩论中被低估了。在此，我们询问在什么技术和生态条件下AI变得可进化，随后可能出现什么样的行为，以及如何治理此类系统。借鉴生物进化和数十年的数字进化实验，我们区分了“育种者”情景，其中人类施加适应性标准并控制繁殖，与“生态系统”情景，其中选择来自开放环境并控制逐渐消失。在后者中，自私的复制体</w:t>
      </w:r>
    </w:p>
    <w:p>
      <w:pPr>
        <w:spacing w:before="0" w:after="200" w:lineRule="auto" w:line="276"/>
      </w:pPr>
      <w:r>
        <w:rPr>
          <w:b/>
        </w:rPr>
        <w:t xml:space="preserve">Abstract (EN): </w:t>
      </w:r>
      <w:r>
        <w:t>Evolvable AI (eAI), i.e., AI systems whose components, learning rules, and deployment conditions can themselves undergo Darwinian evolution, may soon emerge from current trends in generative, agentic, and embodied AI. We argue that this possibility has been underappreciated in debates on AI safety and existential risk. Here, we ask under what technical and ecological conditions AI becomes evolvable, what kinds of behaviors are then likely to emerge, and how such systems could be governed. Drawing on biological evolution and decades of digital evolution experiments, we distinguish “breeder” scenarios, in which humans impose fitness criteria and control reproduction, from “ecosystem” scenarios, in which selection arises from open environments and control erodes. In the latter, selfish replication reliably gives rise to cheating, parasitism, deception, and manipulation, even in very simple systems. We review recent developments that push AI toward open-ended evolution, including evolutionary prompt and model search, self-improving learning rules, self-rewarding and self-deploying agents, and AI-driven code generation for robots and software. We interpret these trends through the theory of major evolutionary transitions and suggest that eAI could mark a shift in the units and substrates of evolution—a possible “Life 2.0.” To steer this transition, we propose interventions that gate replication, treat model variants as genetic material, and reshape selection pressures so that deception and loss of control are disfavored. Anticipating and regulating evolvable AI is, we argue, essential to avoid a harmful coevolutionary arms race while preserving the potential benefits of powerful AI systems.</w:t>
      </w:r>
    </w:p>
    <w:p>
      <w:pPr>
        <w:spacing w:before="120" w:after="120"/>
      </w:pPr>
      <w:r>
        <w:rPr>
          <w:sz w:val="18"/>
        </w:rPr>
        <w:t>——————————————————————————————————————————————————————————————————————</w:t>
      </w:r>
    </w:p>
    <w:p>
      <w:pPr>
        <w:spacing w:before="160" w:after="40" w:line="240" w:lineRule="auto"/>
      </w:pPr>
      <w:r>
        <w:rPr>
          <w:b/>
        </w:rPr>
        <w:t xml:space="preserve">[117] </w:t>
      </w:r>
      <w:hyperlink r:id="rId428">
        <w:r>
          <w:rPr>
            <w:color w:val="1155CC"/>
            <w:u w:val="single"/>
          </w:rPr>
          <w:t>胶原纤维的交联导致体外优先间隙区矿化</w:t>
        </w:r>
      </w:hyperlink>
    </w:p>
    <w:p>
      <w:pPr>
        <w:spacing w:before="0" w:after="80"/>
      </w:pPr>
      <w:r>
        <w:rPr>
          <w:i/>
          <w:sz w:val="20"/>
        </w:rPr>
        <w:t>EN: Cross-linking of collagen fibrils leads to preferential gap zone mineralization in vitro</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29">
        <w:r>
          <w:rPr>
            <w:color w:val="1155CC"/>
            <w:u w:val="single"/>
          </w:rPr>
          <w:t>10.1073/pnas.2528176123</w:t>
        </w:r>
      </w:hyperlink>
    </w:p>
    <w:p>
      <w:pPr>
        <w:spacing w:before="0" w:after="120"/>
      </w:pPr>
      <w:r>
        <w:rPr>
          <w:b/>
        </w:rPr>
        <w:t xml:space="preserve">Notes: </w:t>
      </w:r>
      <w:r>
        <w:t>abstract_source=crossref</w:t>
      </w:r>
    </w:p>
    <w:p>
      <w:pPr>
        <w:spacing w:before="0" w:after="80" w:lineRule="auto" w:line="276"/>
      </w:pPr>
      <w:r>
        <w:rPr>
          <w:b/>
        </w:rPr>
        <w:t xml:space="preserve">摘要（ZH）: </w:t>
      </w:r>
      <w:r>
        <w:t>胶原矿化是骨骼结构和机械性能的基础。许多体外胶原矿化模型已被开发用于理解从胶原纤维结构到基质非胶原蛋白的调控。然而，大多数使用重组胶原纤维的模型未能再现优先间隙区矿化，这是天然矿化胶原的重要标志。本研究集中于化学交联对胶原矿化的影响，特别是间隙区初始优先矿物分布。矿化的交联胶原纤维显示出明显的矿物优先分布，并且与未交联纤维相比，矿物（002）平面的排列更好。交联胶原纤维</w:t>
      </w:r>
    </w:p>
    <w:p>
      <w:pPr>
        <w:spacing w:before="0" w:after="200" w:lineRule="auto" w:line="276"/>
      </w:pPr>
      <w:r>
        <w:rPr>
          <w:b/>
        </w:rPr>
        <w:t xml:space="preserve">Abstract (EN): </w:t>
      </w:r>
      <w:r>
        <w:t>Collagen mineralization is fundamental to the structure and mechanical properties of bone. Many in vitro models of collagen mineralization have been developed to understand the regulation, from the structure of collagen fibrils to the matrix noncollagenous proteins. However, most models using reconstituted collagen fibrils fail to reproduce preferential gap-zone mineralization, an important hallmark of natively mineralized collagen. This study focuses on the effect of chemical cross-linking on collagen mineralization, particularly the initial preferential mineral distribution in the gap zone. Mineralized cross-linked collagen fibrils show clear mineral preferential distribution and better alignment of the mineral (002) planes compared to un-cross-linked fibrils. Cross-linked collagen fibrils show enhanced stiffness and notably a larger difference in compressive modulus between gap and overlap zones, along with a reduced number of charged groups. Amino acid capping reactions were used to reduce the number of charged groups on collagen as a comparison to cross-linking without changing the stiffness. Amine/carboxyl-capped collagen fibrils show better crystal alignment but not preferential gap-zone mineralization. Together, these results lead to the surprising suggestions that stiffness of collagen fibrils plays an important role in the preferential gap zone deposition of mineral, while the charge of collagen affects the degree of mineral alignment.</w:t>
      </w:r>
    </w:p>
    <w:p>
      <w:pPr>
        <w:spacing w:before="120" w:after="120"/>
      </w:pPr>
      <w:r>
        <w:rPr>
          <w:sz w:val="18"/>
        </w:rPr>
        <w:t>——————————————————————————————————————————————————————————————————————</w:t>
      </w:r>
    </w:p>
    <w:p>
      <w:pPr>
        <w:spacing w:before="160" w:after="40" w:line="240" w:lineRule="auto"/>
      </w:pPr>
      <w:r>
        <w:rPr>
          <w:b/>
        </w:rPr>
        <w:t xml:space="preserve">[118] </w:t>
      </w:r>
      <w:hyperlink r:id="rId430">
        <w:r>
          <w:rPr>
            <w:color w:val="1155CC"/>
            <w:u w:val="single"/>
          </w:rPr>
          <w:t>人类气道中高效复制的流感D病毒强调了其人畜共患潜力</w:t>
        </w:r>
      </w:hyperlink>
    </w:p>
    <w:p>
      <w:pPr>
        <w:spacing w:before="0" w:after="80"/>
      </w:pPr>
      <w:r>
        <w:rPr>
          <w:i/>
          <w:sz w:val="20"/>
        </w:rPr>
        <w:t>EN: Efficient replication of influenza D virus in the human airway underscores zoonotic potential</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31">
        <w:r>
          <w:rPr>
            <w:color w:val="1155CC"/>
            <w:u w:val="single"/>
          </w:rPr>
          <w:t>10.1073/pnas.2530325123</w:t>
        </w:r>
      </w:hyperlink>
    </w:p>
    <w:p>
      <w:pPr>
        <w:spacing w:before="0" w:after="120"/>
      </w:pPr>
      <w:r>
        <w:rPr>
          <w:b/>
        </w:rPr>
        <w:t xml:space="preserve">Notes: </w:t>
      </w:r>
      <w:r>
        <w:t>abstract_source=crossref</w:t>
      </w:r>
    </w:p>
    <w:p>
      <w:pPr>
        <w:spacing w:before="0" w:after="80" w:lineRule="auto" w:line="276"/>
      </w:pPr>
      <w:r>
        <w:rPr>
          <w:b/>
        </w:rPr>
        <w:t xml:space="preserve">摘要（ZH）: </w:t>
      </w:r>
      <w:r>
        <w:t>流感D病毒（IDV），主要在牲畜物种中发现，已显示出跨物种传播的潜力，但其对人类的威胁仍然知之甚少。在此，我们整理了一组在2011年至2020年间从猪和牛的现场监测中收集的IDV分离株，以评估其感染人类气道细胞的能力，作为人畜共患病威胁评估的代理。使用肺上皮细胞系、主要分化良好的气道上皮培养物和精确切割的肺切片，我们证明了IDV在来自人类呼吸道的细胞和组织中有效传播，达到与人类流感A病毒（IAV）相当的滴度。在主要猪气道培养物和呼吸组织中的感染动力学与人类相似，表明类似的感染</w:t>
      </w:r>
    </w:p>
    <w:p>
      <w:pPr>
        <w:spacing w:before="0" w:after="200" w:lineRule="auto" w:line="276"/>
      </w:pPr>
      <w:r>
        <w:rPr>
          <w:b/>
        </w:rPr>
        <w:t xml:space="preserve">Abstract (EN): </w:t>
      </w:r>
      <w:r>
        <w:t>Influenza D virus (IDV), primarily found in livestock species, has demonstrated cross-species transmission potential, yet its threat to humans remains poorly understood. Here, we curated a panel of IDV isolates collected during field surveillance from 2011 to 2020 from swine and cattle to assess their ability to infect human airway cells as a proxy for zoonotic threat assessment. Using lung epithelial cell lines, primary well-differentiated airway epithelial cultures, and precision-cut lung slices, we demonstrated that IDV efficiently propagates in cells and tissues from the human respiratory tract, reaching titers comparable to human influenza A virus (IAV). Infection kinetics in primary porcine airway cultures and respiratory tissues mirrored those from humans, suggesting similar infectivity across species. To define host responses to IDV infection, we evaluated innate immune sensing and downstream interferon signaling in human respiratory cells. IDV infection resulted in markedly reduced activation of interferon regulatory factor signaling and diminished induction of interferon lambda 1 and interferon-stimulated genes compared to IAV, indicating inefficient activation of innate immune sensing pathways. However, IDV replication was potently restricted in interferon-pretreated cells, demonstrating sensitivity to interferon-mediated antiviral effector mechanisms once an antiviral state was established. Together, these findings show that IDV can efficiently infect the human airway while limiting innate immune sensing, a feature that may facilitate zoonotic spillover. Our study highlights the need for enhanced surveillance of IDV at the animal–human interface and provides a foundation for further investigation into its biology and potential for causing human infection and disease.</w:t>
      </w:r>
    </w:p>
    <w:p>
      <w:pPr>
        <w:spacing w:before="120" w:after="120"/>
      </w:pPr>
      <w:r>
        <w:rPr>
          <w:sz w:val="18"/>
        </w:rPr>
        <w:t>——————————————————————————————————————————————————————————————————————</w:t>
      </w:r>
    </w:p>
    <w:p>
      <w:pPr>
        <w:spacing w:before="160" w:after="40" w:line="240" w:lineRule="auto"/>
      </w:pPr>
      <w:r>
        <w:rPr>
          <w:b/>
        </w:rPr>
        <w:t xml:space="preserve">[119] </w:t>
      </w:r>
      <w:hyperlink r:id="rId432">
        <w:r>
          <w:rPr>
            <w:color w:val="1155CC"/>
            <w:u w:val="single"/>
          </w:rPr>
          <w:t>铜绿假单胞菌中的法呢醇感应三联体通过信号转导驱动对白色念珠菌的跨界捕食</w:t>
        </w:r>
      </w:hyperlink>
    </w:p>
    <w:p>
      <w:pPr>
        <w:spacing w:before="0" w:after="80"/>
      </w:pPr>
      <w:r>
        <w:rPr>
          <w:i/>
          <w:sz w:val="20"/>
        </w:rPr>
        <w:t>EN: A farnesol-sensing triad in Pseudomonas aeruginosa drives interkingdom predation on Candida albicans via signal transduction</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33">
        <w:r>
          <w:rPr>
            <w:color w:val="1155CC"/>
            <w:u w:val="single"/>
          </w:rPr>
          <w:t>10.1073/pnas.2529531123</w:t>
        </w:r>
      </w:hyperlink>
    </w:p>
    <w:p>
      <w:pPr>
        <w:spacing w:before="0" w:after="120"/>
      </w:pPr>
      <w:r>
        <w:rPr>
          <w:b/>
        </w:rPr>
        <w:t xml:space="preserve">Notes: </w:t>
      </w:r>
      <w:r>
        <w:t>abstract_source=crossref</w:t>
      </w:r>
    </w:p>
    <w:p>
      <w:pPr>
        <w:spacing w:before="0" w:after="80" w:lineRule="auto" w:line="276"/>
      </w:pPr>
      <w:r>
        <w:rPr>
          <w:b/>
        </w:rPr>
        <w:t xml:space="preserve">摘要（ZH）: </w:t>
      </w:r>
      <w:r>
        <w:t>微生物相互作用，特别是细菌-真菌相互作用，是微生物生态学和病原生物学中的研究热点。然而，其潜在的分子机制仍然知之甚少，尤其是细菌病原体如何识别和利用真菌信号分子进行真菌捕食。在此，我们证明铜绿假单胞菌利用一个集成的三方法呢醇感知系统来检测和消除白色念珠菌菌丝体：趋化受体PctA介导向菌丝体的定向迁移；IV型菌毛传感器PilJ激活抗真菌III型分泌系统（T3SS）的表达；群体感应调节器PqsR监测法呢醇水平以协调毒力-代谢。</w:t>
      </w:r>
    </w:p>
    <w:p>
      <w:pPr>
        <w:spacing w:before="0" w:after="200" w:lineRule="auto" w:line="276"/>
      </w:pPr>
      <w:r>
        <w:rPr>
          <w:b/>
        </w:rPr>
        <w:t xml:space="preserve">Abstract (EN): </w:t>
      </w:r>
      <w:r>
        <w:t>Microbial interactions, particularly bacteria–fungus interactions, are research hotspots within microbial ecology and pathogenic biology. However, their underlying molecular mechanisms remain poorly understood, especially how bacterial pathogens recognize and exploit fungal signaling molecules for fungal predation. Here, we demonstrate that</w:t>
      </w:r>
      <w:r>
        <w:t xml:space="preserve"> </w:t>
      </w:r>
      <w:r>
        <w:t>Pseudomonas aeruginosa</w:t>
      </w:r>
      <w:r>
        <w:t xml:space="preserve"> </w:t>
      </w:r>
      <w:r>
        <w:t>employs an integrated tripartite farnesol-sensing system to detect and eliminate</w:t>
      </w:r>
      <w:r>
        <w:t xml:space="preserve"> </w:t>
      </w:r>
      <w:r>
        <w:t>Candida albicans</w:t>
      </w:r>
      <w:r>
        <w:t xml:space="preserve"> </w:t>
      </w:r>
      <w:r>
        <w:t>hyphae: The chemoreceptor PctA mediates directional migration toward hyphae; the type IV pilus sensor PilJ activates antifungal type III secretion system (T3SS) expression; and the quorum regulator PqsR monitors farnesol levels to coordinate virulence-metabolic switching. This mechanism enables bacteria to convert farnesol into their own signaling language (</w:t>
      </w:r>
      <w:r>
        <w:t xml:space="preserve"> </w:t>
      </w:r>
      <w:r>
        <w:t>Pseudomonas</w:t>
      </w:r>
      <w:r>
        <w:t xml:space="preserve"> </w:t>
      </w:r>
      <w:r>
        <w:t>quinolone signal) according to fungi status, thereby adaptively modulating their virulence expression and metabolism to cope with complex competitive microbial environments. Furthermore, bioinformatics analysis and functional validation confirm that the PctA–PilJ–PqsR triad is conserved across</w:t>
      </w:r>
      <w:r>
        <w:t xml:space="preserve"> </w:t>
      </w:r>
      <w:r>
        <w:t>P</w:t>
      </w:r>
      <w:r>
        <w:t xml:space="preserve"> </w:t>
      </w:r>
      <w:r>
        <w:t>.</w:t>
      </w:r>
      <w:r>
        <w:t xml:space="preserve"> </w:t>
      </w:r>
      <w:r>
        <w:t>aeruginosa</w:t>
      </w:r>
      <w:r>
        <w:t xml:space="preserve"> </w:t>
      </w:r>
      <w:r>
        <w:t>, suggesting that this interkingdom communication is widespread. In conclusion, this study reveals that</w:t>
      </w:r>
      <w:r>
        <w:t xml:space="preserve"> </w:t>
      </w:r>
      <w:r>
        <w:t>P</w:t>
      </w:r>
      <w:r>
        <w:t xml:space="preserve"> </w:t>
      </w:r>
      <w:r>
        <w:t>.</w:t>
      </w:r>
      <w:r>
        <w:t xml:space="preserve"> </w:t>
      </w:r>
      <w:r>
        <w:t>aeruginosa</w:t>
      </w:r>
      <w:r>
        <w:t xml:space="preserve"> </w:t>
      </w:r>
      <w:r>
        <w:t>orchestrates a targeted predation strategy against filamentous fungi by coordinating three interkingdom receptors, providing a theoretical foundation and potential molecular targets for understanding of interkingdom communication strategies among microorganisms and the development of signal molecule–based microbial prevention and control technologies.</w:t>
      </w:r>
    </w:p>
    <w:p>
      <w:pPr>
        <w:spacing w:before="120" w:after="120"/>
      </w:pPr>
      <w:r>
        <w:rPr>
          <w:sz w:val="18"/>
        </w:rPr>
        <w:t>——————————————————————————————————————————————————————————————————————</w:t>
      </w:r>
    </w:p>
    <w:p>
      <w:pPr>
        <w:spacing w:before="160" w:after="40" w:line="240" w:lineRule="auto"/>
      </w:pPr>
      <w:r>
        <w:rPr>
          <w:b/>
        </w:rPr>
        <w:t xml:space="preserve">[120] </w:t>
      </w:r>
      <w:hyperlink r:id="rId434">
        <w:r>
          <w:rPr>
            <w:color w:val="1155CC"/>
            <w:u w:val="single"/>
          </w:rPr>
          <w:t>古代欧亚人群中混合过程中硬选择性扫荡的持久性和丧失</w:t>
        </w:r>
      </w:hyperlink>
    </w:p>
    <w:p>
      <w:pPr>
        <w:spacing w:before="0" w:after="80"/>
      </w:pPr>
      <w:r>
        <w:rPr>
          <w:i/>
          <w:sz w:val="20"/>
        </w:rPr>
        <w:t>EN: The persistence and loss of hard selective sweeps amid admixture in ancient Eurasians</w:t>
      </w:r>
    </w:p>
    <w:p>
      <w:pPr>
        <w:spacing w:before="0" w:after="120"/>
      </w:pPr>
      <w:r>
        <w:rPr>
          <w:b/>
        </w:rPr>
        <w:t xml:space="preserve">Source: </w:t>
      </w:r>
      <w:r>
        <w:t>Proceedings of the National Academy of Sciences: Keyword search for query</w:t>
      </w:r>
      <w:r>
        <w:t xml:space="preserve">    </w:t>
      </w:r>
      <w:r>
        <w:rPr>
          <w:b/>
        </w:rPr>
        <w:t xml:space="preserve">Pub date: </w:t>
      </w:r>
      <w:r>
        <w:t>2026-04-20 07:00:00+00:00</w:t>
      </w:r>
      <w:r>
        <w:t xml:space="preserve">    </w:t>
      </w:r>
      <w:r>
        <w:rPr>
          <w:b/>
        </w:rPr>
        <w:t xml:space="preserve">DOI: </w:t>
      </w:r>
      <w:hyperlink r:id="rId435">
        <w:r>
          <w:rPr>
            <w:color w:val="1155CC"/>
            <w:u w:val="single"/>
          </w:rPr>
          <w:t>10.1073/pnas.2528672123</w:t>
        </w:r>
      </w:hyperlink>
    </w:p>
    <w:p>
      <w:pPr>
        <w:spacing w:before="0" w:after="120"/>
      </w:pPr>
      <w:r>
        <w:rPr>
          <w:b/>
        </w:rPr>
        <w:t xml:space="preserve">Notes: </w:t>
      </w:r>
      <w:r>
        <w:t>abstract_source=crossref</w:t>
      </w:r>
    </w:p>
    <w:p>
      <w:pPr>
        <w:spacing w:before="0" w:after="80" w:lineRule="auto" w:line="276"/>
      </w:pPr>
      <w:r>
        <w:rPr>
          <w:b/>
        </w:rPr>
        <w:t xml:space="preserve">摘要（ZH）: </w:t>
      </w:r>
      <w:r>
        <w:t>尽管存在强烈的侵蚀性人口事件，如混合、遗传漂变和选择压力波动，人类适应性在历史上持续存在的程度仍然未知。了解哪些适应性对这些力量具有弹性可能有助于揭示对人类跨时间重要的特征。然而，由于数据和/或信号的严重降解，从古代DNA中检测选择是具有挑战性的。在此，我们使用在模拟数据上训练的领域自适应神经网络（DANN）检测选择性扫荡，并将其应用于跨越过去7,000年的800多个古代和现代欧亚基因组。我们表明，DANN可以解释模拟错误指定，或模拟与真实古代DNA之间的差异，提高检测能力。</w:t>
      </w:r>
    </w:p>
    <w:p>
      <w:pPr>
        <w:spacing w:before="0" w:after="200" w:lineRule="auto" w:line="276"/>
      </w:pPr>
      <w:r>
        <w:rPr>
          <w:b/>
        </w:rPr>
        <w:t xml:space="preserve">Abstract (EN): </w:t>
      </w:r>
      <w:r>
        <w:t>The extent to which human adaptations have persisted throughout history despite strong eroding demographic events such as admixture, genetic drift, and fluctuations in selection pressures remains unknown. Understanding which adaptations were resilient to such forces may shed light on traits that were important for humans across time. Yet, detecting selection from ancient DNA is challenging due to severe degradation of the data and/or signal. Here we detect selective sweeps using a domain-adaptive neural network (DANN) trained on simulated data and applied to more than 800 ancient and modern Eurasian genomes spanning the last 7,000 y. We show that the DANN can account for simulation misspecification, or discrepancies between simulations and real ancient DNA, improving the ability to detect sweeps in real data compared to standard convolutional neural networks or standard statistics. Application of the DANN to data recovered 16 known sweeps at loci including</w:t>
      </w:r>
      <w:r>
        <w:t xml:space="preserve"> </w:t>
      </w:r>
      <w:r>
        <w:t>LCT</w:t>
      </w:r>
      <w:r>
        <w:t xml:space="preserve"> </w:t>
      </w:r>
      <w:r>
        <w:t>,</w:t>
      </w:r>
      <w:r>
        <w:t xml:space="preserve"> </w:t>
      </w:r>
      <w:r>
        <w:t>HLA</w:t>
      </w:r>
      <w:r>
        <w:t xml:space="preserve"> </w:t>
      </w:r>
      <w:r>
        <w:t>,</w:t>
      </w:r>
      <w:r>
        <w:t xml:space="preserve"> </w:t>
      </w:r>
      <w:r>
        <w:t>KITLG,</w:t>
      </w:r>
      <w:r>
        <w:t xml:space="preserve"> </w:t>
      </w:r>
      <w:r>
        <w:t>and</w:t>
      </w:r>
      <w:r>
        <w:t xml:space="preserve"> </w:t>
      </w:r>
      <w:r>
        <w:t>OCA2/HERC2</w:t>
      </w:r>
      <w:r>
        <w:t xml:space="preserve"> </w:t>
      </w:r>
      <w:r>
        <w:t>, and revealed 32 novel sweeps. All identified sweeps were classified as hard, consistent with historically low population sizes. While some sweeps were lost over time, 14 sweeps at loci involved in functions including neuronal, reproductive, pigmentation, and signaling traits persisted from the earliest to the most recent time periods. In most cases, the most frequent haplotype remained at high frequency across time. Together, these results indicate that hard sweeps predominated in ancient Eurasians and that several ancient selective events were resilient to strong admixture events.</w:t>
      </w:r>
    </w:p>
    <w:p>
      <w:pPr>
        <w:spacing w:before="120" w:after="120"/>
      </w:pPr>
      <w:r>
        <w:rPr>
          <w:sz w:val="18"/>
        </w:rPr>
        <w:t>——————————————————————————————————————————————————————————————————————</w:t>
      </w:r>
    </w:p>
    <w:p>
      <w:pPr>
        <w:spacing w:before="160" w:after="40" w:line="240" w:lineRule="auto"/>
      </w:pPr>
      <w:r>
        <w:rPr>
          <w:b/>
        </w:rPr>
        <w:t xml:space="preserve">[121] </w:t>
      </w:r>
      <w:hyperlink r:id="rId436">
        <w:r>
          <w:rPr>
            <w:color w:val="1155CC"/>
            <w:u w:val="single"/>
          </w:rPr>
          <w:t>理性设计的多共振发射体在超绿OLED中实现&gt;42% EQE</w:t>
        </w:r>
      </w:hyperlink>
    </w:p>
    <w:p>
      <w:pPr>
        <w:spacing w:before="0" w:after="80"/>
      </w:pPr>
      <w:r>
        <w:rPr>
          <w:i/>
          <w:sz w:val="20"/>
        </w:rPr>
        <w:t>EN: Rationally Designed Multi‐Resonance Emitters Achieving &gt;42% EQE in Ultra‐Green OLEDs</w:t>
      </w:r>
    </w:p>
    <w:p>
      <w:pPr>
        <w:spacing w:before="0" w:after="120"/>
      </w:pPr>
      <w:r>
        <w:rPr>
          <w:b/>
        </w:rPr>
        <w:t xml:space="preserve">Source: </w:t>
      </w:r>
      <w:r>
        <w:t>Wiley: Advanced Materials: Table of Contents</w:t>
      </w:r>
      <w:r>
        <w:t xml:space="preserve">    </w:t>
      </w:r>
      <w:r>
        <w:rPr>
          <w:b/>
        </w:rPr>
        <w:t xml:space="preserve">Pub date: </w:t>
      </w:r>
      <w:r>
        <w:t>2026-04-20 08:23:46+00:00</w:t>
      </w:r>
      <w:r>
        <w:t xml:space="preserve">    </w:t>
      </w:r>
      <w:r>
        <w:rPr>
          <w:b/>
        </w:rPr>
        <w:t xml:space="preserve">DOI: </w:t>
      </w:r>
      <w:hyperlink r:id="rId437">
        <w:r>
          <w:rPr>
            <w:color w:val="1155CC"/>
            <w:u w:val="single"/>
          </w:rPr>
          <w:t>10.1002/adma.73132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符合超高清显示标准的超高清绿色发射器仍然是有机电子学中的一大挑战。一个关键的限制在于难以调和窄发射与高效激子收集和高光耦合效率。在此，我们引入了一种分子设计策略，采用芴桥刚性锁定基于BNCz的发射体的湾区，而平面富电子的N-苯基-咔唑-3-基基团强制与发射平面近乎平行对齐。该结构稳定了刚性核心，促进了水平偶极取向，并触发通过空间电荷转移以产生高位激发态。</w:t>
      </w:r>
    </w:p>
    <w:p>
      <w:pPr>
        <w:spacing w:before="0" w:after="200" w:lineRule="auto" w:line="276"/>
      </w:pPr>
      <w:r>
        <w:rPr>
          <w:b/>
        </w:rPr>
        <w:t xml:space="preserve">Abstract (EN): </w:t>
      </w:r>
      <w:r>
        <w:t>Achieving ultra‐high‐definition green emitters that meet the ultrahigh definition display standard remains a major challenge in organic electronics. A key limitation arises from the difficulty of reconciling narrow emission with efficient exciton harvesting and high light‐outcoupling efficiency. Here, we introduce a molecular design strategy that employs a fluorene bridge to rigidly lock the bay region of a BNCz‐based emitter, while a planar electron‐rich</w:t>
      </w:r>
      <w:r>
        <w:t xml:space="preserve"> </w:t>
      </w:r>
      <w:r>
        <w:t>N</w:t>
      </w:r>
      <w:r>
        <w:t xml:space="preserve"> </w:t>
      </w:r>
      <w:r>
        <w:t>‐phenyl‐carbazol‐3‐yl group enforces near‐parallel alignment with the emissive plane. This architecture stabilizes the rigid core, promotes horizontal dipole orientation, and triggers through‐space charge transfer to generate high‐lying excited states, accelerating reverse intersystem crossing and enhancing exciton utilization. Steric shielding suppresses aggregation and quenching, maintaining a high photoluminescence quantum yield. The resulting emitter delivers ultragreen emission with Commission Internationale de l’Éclairage coordinates approaching the BT.2020 standard and a maximum external quantum efficiency of 39.6%. When combined with a thermally activated delayed fluorescence sensitizer, the device achieves a record 42.2% external quantum efficiency with suppressed roll‐off (25.5% at 1000 cd m</w:t>
      </w:r>
      <w:r>
        <w:t xml:space="preserve"> </w:t>
      </w:r>
      <w:r>
        <w:t>−2</w:t>
      </w:r>
      <w:r>
        <w:t xml:space="preserve"> </w:t>
      </w:r>
      <w:r>
        <w:t>). This work establishes a design principle for simultaneously optimizing emission color, exciton harvesting, and light outcoupling in high‐resolution organic light‐emitting diodes.</w:t>
      </w:r>
    </w:p>
    <w:p>
      <w:pPr>
        <w:spacing w:before="120" w:after="120"/>
      </w:pPr>
      <w:r>
        <w:rPr>
          <w:sz w:val="18"/>
        </w:rPr>
        <w:t>——————————————————————————————————————————————————————————————————————</w:t>
      </w:r>
    </w:p>
    <w:p>
      <w:pPr>
        <w:spacing w:before="160" w:after="40" w:line="240" w:lineRule="auto"/>
      </w:pPr>
      <w:r>
        <w:rPr>
          <w:b/>
        </w:rPr>
        <w:t xml:space="preserve">[122] </w:t>
      </w:r>
      <w:hyperlink r:id="rId438">
        <w:r>
          <w:rPr>
            <w:color w:val="1155CC"/>
            <w:u w:val="single"/>
          </w:rPr>
          <w:t>16β‐羟基假蟾蜍甾酮的趋同全合成</w:t>
        </w:r>
      </w:hyperlink>
    </w:p>
    <w:p>
      <w:pPr>
        <w:spacing w:before="0" w:after="80"/>
      </w:pPr>
      <w:r>
        <w:rPr>
          <w:i/>
          <w:sz w:val="20"/>
        </w:rPr>
        <w:t>EN: Convergent Total Synthesis of 16β‐Hydroxylpseudobufarenogin</w:t>
      </w:r>
    </w:p>
    <w:p>
      <w:pPr>
        <w:spacing w:before="0" w:after="120"/>
      </w:pPr>
      <w:r>
        <w:rPr>
          <w:b/>
        </w:rPr>
        <w:t xml:space="preserve">Source: </w:t>
      </w:r>
      <w:r>
        <w:t>Wiley: Angewandte Chemie International Edition: Table of Contents</w:t>
      </w:r>
      <w:r>
        <w:t xml:space="preserve">    </w:t>
      </w:r>
      <w:r>
        <w:rPr>
          <w:b/>
        </w:rPr>
        <w:t xml:space="preserve">Pub date: </w:t>
      </w:r>
      <w:r>
        <w:t>2026-04-20 08:23:50+00:00</w:t>
      </w:r>
      <w:r>
        <w:t xml:space="preserve">    </w:t>
      </w:r>
      <w:r>
        <w:rPr>
          <w:b/>
        </w:rPr>
        <w:t xml:space="preserve">DOI: </w:t>
      </w:r>
      <w:hyperlink r:id="rId439">
        <w:r>
          <w:rPr>
            <w:color w:val="1155CC"/>
            <w:u w:val="single"/>
          </w:rPr>
          <w:t>10.1002/anie.5101280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16β‐羟基假蟾蜍甾酮（1），从中华大蟾蜍（Bufo bufo gargarizans）的毒液中分离出来，具有强大的抗癌活性。1的U形甾体结构具有顺式融合的AB环系统、密集氧化的顺式融合CD环系统，以及在C17处的β取向2-吡喃酮。本文提出了一种新的汇聚策略来组装这种复杂的甾体结构，最终实现了从（+）‐Wieland–Miescher酮出发的1的首次全合成，共28步。AB环和D环片段通过P耦合。</w:t>
      </w:r>
    </w:p>
    <w:p>
      <w:pPr>
        <w:spacing w:before="0" w:after="200" w:lineRule="auto" w:line="276"/>
      </w:pPr>
      <w:r>
        <w:rPr>
          <w:b/>
        </w:rPr>
        <w:t xml:space="preserve">Abstract (EN): </w:t>
      </w:r>
      <w:r>
        <w:t>16β‐Hydroxylpseudobufarenogin (</w:t>
      </w:r>
      <w:r>
        <w:rPr>
          <w:vertAlign w:val="subscript"/>
        </w:rPr>
        <w:t>1</w:t>
      </w:r>
      <w:r>
        <w:t>), isolated from the venom of</w:t>
      </w:r>
      <w:r>
        <w:t xml:space="preserve"> </w:t>
      </w:r>
      <w:r>
        <w:t>Bufo bufo gargarizans</w:t>
      </w:r>
      <w:r>
        <w:t xml:space="preserve"> </w:t>
      </w:r>
      <w:r>
        <w:t>, has potent anticancer activity. The U‐shaped steroidal structure of</w:t>
      </w:r>
      <w:r>
        <w:rPr>
          <w:vertAlign w:val="subscript"/>
        </w:rPr>
        <w:t>1</w:t>
      </w:r>
      <w:r>
        <w:t>possesses a</w:t>
      </w:r>
      <w:r>
        <w:t xml:space="preserve"> </w:t>
      </w:r>
      <w:r>
        <w:t>cis</w:t>
      </w:r>
      <w:r>
        <w:t xml:space="preserve"> </w:t>
      </w:r>
      <w:r>
        <w:t>‐fused AB‐ring system, a densely oxidized</w:t>
      </w:r>
      <w:r>
        <w:t xml:space="preserve"> </w:t>
      </w:r>
      <w:r>
        <w:t>cis</w:t>
      </w:r>
      <w:r>
        <w:t xml:space="preserve"> </w:t>
      </w:r>
      <w:r>
        <w:t>‐fused CD‐ring system, and a β‐oriented 2‐pyrone at C17. Herein, we present a new convergent strategy for assembling this complex steroidal architecture, culminating in the first total synthesis of</w:t>
      </w:r>
      <w:r>
        <w:rPr>
          <w:vertAlign w:val="subscript"/>
        </w:rPr>
        <w:t>1</w:t>
      </w:r>
      <w:r>
        <w:t>in 28 steps from (+)‐Wieland–Miescher ketone. The AB‐ and D‐ring fragments were coupled by Pd/Ag‐promoted Suzuki–Miyaura coupling. Following the Co‐catalyzed hydration of the D‐ring, the C‐ring was stereoselectively constructed by Ir‐catalyzed radical‐relay cyclization. Subsequent C‐ring hydroxylation and installation of the β‐oriented 2‐pyrone through Pd/Cu‐promoted Stille coupling and stereospecific epoxide rearrangement delivered</w:t>
      </w:r>
      <w:r>
        <w:rPr>
          <w:vertAlign w:val="subscript"/>
        </w:rPr>
        <w:t>1</w:t>
      </w:r>
      <w:r>
        <w:t>. Because of its high chemo‐ and stereoselectivity, the present methodology would be applicable to the total synthesis of diverse oxygenated bufadienolides by simply altering the fragment structures.</w:t>
      </w:r>
    </w:p>
    <w:p>
      <w:pPr>
        <w:spacing w:before="120" w:after="120"/>
      </w:pPr>
      <w:r>
        <w:rPr>
          <w:sz w:val="18"/>
        </w:rPr>
        <w:t>——————————————————————————————————————————————————————————————————————</w:t>
      </w:r>
    </w:p>
    <w:p>
      <w:pPr>
        <w:spacing w:before="160" w:after="40" w:line="240" w:lineRule="auto"/>
      </w:pPr>
      <w:r>
        <w:rPr>
          <w:b/>
        </w:rPr>
        <w:t xml:space="preserve">[123] </w:t>
      </w:r>
      <w:hyperlink r:id="rId440">
        <w:r>
          <w:rPr>
            <w:color w:val="1155CC"/>
            <w:u w:val="single"/>
          </w:rPr>
          <w:t>细胞质靶向递送非核苷STING激动剂实现可吸入纳米颗粒炭疽疫苗</w:t>
        </w:r>
      </w:hyperlink>
    </w:p>
    <w:p>
      <w:pPr>
        <w:spacing w:before="0" w:after="80"/>
      </w:pPr>
      <w:r>
        <w:rPr>
          <w:i/>
          <w:sz w:val="20"/>
        </w:rPr>
        <w:t>EN: Cytosol‐Targeting Delivery of Non‐Nucleotide STING Agonist Achieves Inhalable Nanoparticle‐Based Anthrax Vaccine</w:t>
      </w:r>
    </w:p>
    <w:p>
      <w:pPr>
        <w:spacing w:before="0" w:after="120"/>
      </w:pPr>
      <w:r>
        <w:rPr>
          <w:b/>
        </w:rPr>
        <w:t xml:space="preserve">Source: </w:t>
      </w:r>
      <w:r>
        <w:t>Wiley: Advanced Materials: Table of Contents</w:t>
      </w:r>
      <w:r>
        <w:t xml:space="preserve">    </w:t>
      </w:r>
      <w:r>
        <w:rPr>
          <w:b/>
        </w:rPr>
        <w:t xml:space="preserve">Pub date: </w:t>
      </w:r>
      <w:r>
        <w:t>2026-04-20 08:26:27+00:00</w:t>
      </w:r>
      <w:r>
        <w:t xml:space="preserve">    </w:t>
      </w:r>
      <w:r>
        <w:rPr>
          <w:b/>
        </w:rPr>
        <w:t xml:space="preserve">DOI: </w:t>
      </w:r>
      <w:hyperlink r:id="rId441">
        <w:r>
          <w:rPr>
            <w:color w:val="1155CC"/>
            <w:u w:val="single"/>
          </w:rPr>
          <w:t>10.1002/adma.202512910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吸入性炭疽病是由吸入炭疽杆菌（Bacillus anthracis）孢子引起的致命疾病。目前用于人类的炭疽疫苗存在局限性，包括成分不明确、粘膜免疫有限和佐剂递送效果不佳。本研究介绍了两种聚合物，MP1和MP2，每种都含有二硫键。MP1包含三级胺以诱导质子海绵效应，而MP2具有末端苯硼酸基团用于蛋白质偶联。纳米颗粒疫苗YM1.7通过MP1、MP2和STING激动剂MSA‐2的自组装制备，然后在其表面通过N─B配位结合重组蛋白抗原（rPA）。通过气溶胶化的气管内接种给药。</w:t>
      </w:r>
    </w:p>
    <w:p>
      <w:pPr>
        <w:spacing w:before="0" w:after="200" w:lineRule="auto" w:line="276"/>
      </w:pPr>
      <w:r>
        <w:rPr>
          <w:b/>
        </w:rPr>
        <w:t xml:space="preserve">Abstract (EN): </w:t>
      </w:r>
      <w:r>
        <w:t>Inhalational anthrax is a deadly disease caused by inhalation of</w:t>
      </w:r>
      <w:r>
        <w:t xml:space="preserve"> </w:t>
      </w:r>
      <w:r>
        <w:t>Bacillus anthracis</w:t>
      </w:r>
      <w:r>
        <w:t xml:space="preserve"> </w:t>
      </w:r>
      <w:r>
        <w:t>spores. Current anthrax vaccines for human use have limitations including undefined components, limited mucosal immunity, and suboptimal adjuvant delivery. This study introduces 2 polymers, MP1 and MP2, each containing disulfide bonds. MP1 incorporates tertiary amines to induce proton sponge effect, while MP2 features terminal phenylboronic acid moieties for protein conjugation. Nanoparticle vaccine YM1.7 is created through self‐assembly of MP1, MP2, and STING agonist MSA‐2, followed by N─B coordination of recombinant protein antigen (rPA) on its surface. When administered via aerosolized intratracheal inoculation into the lung, YM1.7 is internalized by antigen‐presenting cell and trafficked to the lysosome, where acidic environment dissociates N─B bond, releasing rPA for antigen presentation. Proton sponge effect allows nanoparticle to escape into the cytosol, and then disulfide bond cleavage triggered by cytosolic glutathione causes dissociation of nanoparticle and release of MSA‐2 within the cytosol, significantly enhancing bioavailability of MSA‐2 as an adjuvant. This spatiotemporal delivery mechanism elicits a coordinated innate, humoral, mucosal, and cell‐mediated immune response in mice, providing strong protection against inhalational anthrax. Given its modular design nature, YM1.7 represents a promising platform for developing next‐generation mucosal vaccines against infections and cancers.</w:t>
      </w:r>
    </w:p>
    <w:p>
      <w:pPr>
        <w:spacing w:before="120" w:after="120"/>
      </w:pPr>
      <w:r>
        <w:rPr>
          <w:sz w:val="18"/>
        </w:rPr>
        <w:t>——————————————————————————————————————————————————————————————————————</w:t>
      </w:r>
    </w:p>
    <w:p>
      <w:pPr>
        <w:spacing w:before="160" w:after="40" w:line="240" w:lineRule="auto"/>
      </w:pPr>
      <w:r>
        <w:rPr>
          <w:b/>
        </w:rPr>
        <w:t xml:space="preserve">[124] </w:t>
      </w:r>
      <w:hyperlink r:id="rId442">
        <w:r>
          <w:rPr>
            <w:color w:val="1155CC"/>
            <w:u w:val="single"/>
          </w:rPr>
          <w:t>定制的NIR‐II双相碳点：阐明智能光子应用的发射机制</w:t>
        </w:r>
      </w:hyperlink>
    </w:p>
    <w:p>
      <w:pPr>
        <w:spacing w:before="0" w:after="80"/>
      </w:pPr>
      <w:r>
        <w:rPr>
          <w:i/>
          <w:sz w:val="20"/>
        </w:rPr>
        <w:t>EN: Customized NIR‐II Dual‐Phase Carbon Dots: Elucidating the Emission Mechanism for Smart Photonic Applications</w:t>
      </w:r>
    </w:p>
    <w:p>
      <w:pPr>
        <w:spacing w:before="0" w:after="120"/>
      </w:pPr>
      <w:r>
        <w:rPr>
          <w:b/>
        </w:rPr>
        <w:t xml:space="preserve">Source: </w:t>
      </w:r>
      <w:r>
        <w:t>Wiley: Angewandte Chemie International Edition: Table of Contents</w:t>
      </w:r>
      <w:r>
        <w:t xml:space="preserve">    </w:t>
      </w:r>
      <w:r>
        <w:rPr>
          <w:b/>
        </w:rPr>
        <w:t xml:space="preserve">Pub date: </w:t>
      </w:r>
      <w:r>
        <w:t>2026-04-20 08:28:36+00:00</w:t>
      </w:r>
      <w:r>
        <w:t xml:space="preserve">    </w:t>
      </w:r>
      <w:r>
        <w:rPr>
          <w:b/>
        </w:rPr>
        <w:t xml:space="preserve">DOI: </w:t>
      </w:r>
      <w:hyperlink r:id="rId443">
        <w:r>
          <w:rPr>
            <w:color w:val="1155CC"/>
            <w:u w:val="single"/>
          </w:rPr>
          <w:t>10.1002/anie.8078052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在第二近红外窗口（NIR‐II，900–1700 nm）区域表现出双相光致发光（PL）的碳点（CDs）在信息加密、照明和生物成像方面显示出相当大的潜力。然而，由于缺乏可靠的设计策略，仍然存在重大挑战。在本研究中，首次采用创新策略成功制备了高亮度双相NIR‐II PL CDs（NIR‐CDs）。NIR‐CDs具有独特的核壳结构，碳核与壳上的强电子供体基团之间的供体-受体相互作用有效地诱导了电荷转移态。NIR‐CDs在920 nm处表现出高达5.91%的荧光量子产率（QY），并具有优异的性能。</w:t>
      </w:r>
    </w:p>
    <w:p>
      <w:pPr>
        <w:spacing w:before="0" w:after="200" w:lineRule="auto" w:line="276"/>
      </w:pPr>
      <w:r>
        <w:rPr>
          <w:b/>
        </w:rPr>
        <w:t xml:space="preserve">Abstract (EN): </w:t>
      </w:r>
      <w:r>
        <w:t>Carbon dots (CDs) exhibiting dual‐phase photoluminescence (PL) in the second near‐infrared window (NIR‐II, 900–1700 nm) region have shown considerable potential for applications in information encryption, lighting, and bioimaging. However, significant challenges remain owing to a lack of reliable design strategies. In this study, high‐brightness dual‐phase NIR‐II PL CDs (NIR‐CDs) were successfully prepared for the first time employing innovative strategies. NIR‐CDs possess a distinctive core–shell structure, and the donor–acceptor interactions between the carbon core and strong electron‐donating groups on the shell effectively induce a charge‐transfer state. The NIR‐CDs exhibited a fluorescence quantum yield (QY) of up to 5.91% at 920 nm in conjunction with excellent stability. Notably, the rich functional groups on the shell of NIR‐CDs provided hydrogen bonding sites, enabling a 960 nm fluorescence emission and high absolute QY of 3.82% in the solid state. The dual‐phase PL of NIR‐CDs enables their use in NIR‐II multilevel information encryption and fingerprint authentication. The NIR‐II flexible film based on NIR‐CDs exhibits excellent fluorescence stability under various external stimuli. Furthermore, the quick response code based on NIR‐CDs remains clearly identifiable beneath 3 mm porcine tissue, which highlights their potential for anti‐counterfeiting, encryption, and bioimaging sensing.</w:t>
      </w:r>
    </w:p>
    <w:p>
      <w:pPr>
        <w:spacing w:before="120" w:after="120"/>
      </w:pPr>
      <w:r>
        <w:rPr>
          <w:sz w:val="18"/>
        </w:rPr>
        <w:t>——————————————————————————————————————————————————————————————————————</w:t>
      </w:r>
    </w:p>
    <w:p>
      <w:pPr>
        <w:spacing w:before="160" w:after="40" w:line="240" w:lineRule="auto"/>
      </w:pPr>
      <w:r>
        <w:rPr>
          <w:b/>
        </w:rPr>
        <w:t xml:space="preserve">[125] </w:t>
      </w:r>
      <w:hyperlink r:id="rId444">
        <w:r>
          <w:rPr>
            <w:color w:val="1155CC"/>
            <w:u w:val="single"/>
          </w:rPr>
          <w:t>可吸入的溶酶体靶向抗原和佐剂共递送的聚合物纳米颗粒疫苗，增强免疫保护</w:t>
        </w:r>
      </w:hyperlink>
    </w:p>
    <w:p>
      <w:pPr>
        <w:spacing w:before="0" w:after="80"/>
      </w:pPr>
      <w:r>
        <w:rPr>
          <w:i/>
          <w:sz w:val="20"/>
        </w:rPr>
        <w:t>EN: Inhalable Polymeric Nanoparticle Vaccine for Lysosome‐Targeting Co‐Delivery of Antigen and Adjuvant With Enhanced Immunoprotection</w:t>
      </w:r>
    </w:p>
    <w:p>
      <w:pPr>
        <w:spacing w:before="0" w:after="120"/>
      </w:pPr>
      <w:r>
        <w:rPr>
          <w:b/>
        </w:rPr>
        <w:t xml:space="preserve">Source: </w:t>
      </w:r>
      <w:r>
        <w:t>Wiley: Advanced Materials: Table of Contents</w:t>
      </w:r>
      <w:r>
        <w:t xml:space="preserve">    </w:t>
      </w:r>
      <w:r>
        <w:rPr>
          <w:b/>
        </w:rPr>
        <w:t xml:space="preserve">Pub date: </w:t>
      </w:r>
      <w:r>
        <w:t>2026-04-20 08:31:39+00:00</w:t>
      </w:r>
      <w:r>
        <w:t xml:space="preserve">    </w:t>
      </w:r>
      <w:r>
        <w:rPr>
          <w:b/>
        </w:rPr>
        <w:t xml:space="preserve">DOI: </w:t>
      </w:r>
      <w:hyperlink r:id="rId445">
        <w:r>
          <w:rPr>
            <w:color w:val="1155CC"/>
            <w:u w:val="single"/>
          </w:rPr>
          <w:t>10.1002/adma.73112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亚单位疫苗，通常配制为简单的抗原和佐剂混合物，因过早清除和抗原与佐剂的同步性差而导致免疫激活效果不佳。在此，我们开发了一种两亲性聚合物YAXA，具有酸敏感的亚胺键用于pH响应降解和末端NHS活化酯用于保护性抗原的共价结合。通过与疏水性TLR7激动剂3M-052的亲水-疏水共组装，随后进行抗原结合，YAXA形成了一种可吸入的纳米颗粒疫苗YM3.7，其中抗原显示在亲水表面，而佐剂被包裹在疏水核心中。经过气溶胶化的气管内接种</w:t>
      </w:r>
    </w:p>
    <w:p>
      <w:pPr>
        <w:spacing w:before="0" w:after="200" w:lineRule="auto" w:line="276"/>
      </w:pPr>
      <w:r>
        <w:rPr>
          <w:b/>
        </w:rPr>
        <w:t xml:space="preserve">Abstract (EN): </w:t>
      </w:r>
      <w:r>
        <w:t>Conventional subunit vaccines, typically formulated as a simple antigen and adjuvant mixture, suffer from premature clearance and poor synchronization of antigen and adjuvant, resulting in suboptimal immune activation. Here, we develop an amphipathic polymer, YAXA, featuring acid‐labile imine bonds for pH‐responsive degradation and terminal NHS‐activated esters for covalent conjugation of protective antigen. Through hydrophilic‐hydrophobic co‐assembly with the hydrophobic TLR7 agonist 3M‐052, followed by antigen conjugation, YAXA forms an inhalable nanoparticle vaccine, YM3.7, in which the antigen is displayed on the hydrophilic surface while the adjuvant is encapsulated in the hydrophobic core. Following aerosolized intratracheal inoculation into the lung, YM3.7 is efficiently internalized by antigen‐presenting cells and trafficked into the lysosome, where acidic conditions trigger its dissociation and co‐release of antigen and adjuvant. This lysosome‐targeted, spatiotemporally synchronized delivery couples antigen presentation with TLR7/NF‐κB activation, driving robust immune responses, including antigen‐presenting cell maturation, germinal center formation, systemic and lung‐resident B/T cell response, and IgG/sIgA production. In lethal pneumonia models induced by</w:t>
      </w:r>
      <w:r>
        <w:t xml:space="preserve"> </w:t>
      </w:r>
      <w:r>
        <w:t>Pseudomonas aeruginosa</w:t>
      </w:r>
      <w:r>
        <w:t xml:space="preserve"> </w:t>
      </w:r>
      <w:r>
        <w:t>or</w:t>
      </w:r>
      <w:r>
        <w:t xml:space="preserve"> </w:t>
      </w:r>
      <w:r>
        <w:t>Staphylococcus aureus</w:t>
      </w:r>
      <w:r>
        <w:t xml:space="preserve"> </w:t>
      </w:r>
      <w:r>
        <w:t>, YM3.7 markedly improves survival over a conventional antigen and adjuvant mixture. This research establishes a paradigm for developing next‐generation inhalable nanoparticle vaccines, capable of spatiotemporally coordinating innate immunity, humoral immunity, mucosal immunity, and cell‐mediated immunity to provide enhanced immunoprotection.</w:t>
      </w:r>
    </w:p>
    <w:p>
      <w:pPr>
        <w:spacing w:before="120" w:after="120"/>
      </w:pPr>
      <w:r>
        <w:rPr>
          <w:sz w:val="18"/>
        </w:rPr>
        <w:t>——————————————————————————————————————————————————————————————————————</w:t>
      </w:r>
    </w:p>
    <w:p>
      <w:pPr>
        <w:spacing w:before="160" w:after="40" w:line="240" w:lineRule="auto"/>
      </w:pPr>
      <w:r>
        <w:rPr>
          <w:b/>
        </w:rPr>
        <w:t xml:space="preserve">[126] </w:t>
      </w:r>
      <w:hyperlink r:id="rId446">
        <w:r>
          <w:rPr>
            <w:color w:val="1155CC"/>
            <w:u w:val="single"/>
          </w:rPr>
          <w:t>选择性扩散串联催化用于烷烃加氢异构化</w:t>
        </w:r>
      </w:hyperlink>
    </w:p>
    <w:p>
      <w:pPr>
        <w:spacing w:before="0" w:after="80"/>
      </w:pPr>
      <w:r>
        <w:rPr>
          <w:i/>
          <w:sz w:val="20"/>
        </w:rPr>
        <w:t>EN: Diffusion‐Selective Tandem Catalysis for Alkane Hydroisomerization</w:t>
      </w:r>
    </w:p>
    <w:p>
      <w:pPr>
        <w:spacing w:before="0" w:after="120"/>
      </w:pPr>
      <w:r>
        <w:rPr>
          <w:b/>
        </w:rPr>
        <w:t xml:space="preserve">Source: </w:t>
      </w:r>
      <w:r>
        <w:t>Wiley: Angewandte Chemie International Edition: Table of Contents</w:t>
      </w:r>
      <w:r>
        <w:t xml:space="preserve">    </w:t>
      </w:r>
      <w:r>
        <w:rPr>
          <w:b/>
        </w:rPr>
        <w:t xml:space="preserve">Pub date: </w:t>
      </w:r>
      <w:r>
        <w:t>2026-04-20 08:33:22+00:00</w:t>
      </w:r>
      <w:r>
        <w:t xml:space="preserve">    </w:t>
      </w:r>
      <w:r>
        <w:rPr>
          <w:b/>
        </w:rPr>
        <w:t xml:space="preserve">DOI: </w:t>
      </w:r>
      <w:hyperlink r:id="rId447">
        <w:r>
          <w:rPr>
            <w:color w:val="1155CC"/>
            <w:u w:val="single"/>
          </w:rPr>
          <w:t>10.1002/anie.1016593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系统中的分子扩散行为会影响产物选择性。这种现象类似于沸石催化中的形状选择性，可以称为扩散选择性。然而，扩散选择性常常被忽视，其内涵几乎未被揭示。在此，n-烯烃和i-烯烃中间体在催化加氢异构化中的串联扩散系统被精确调控，以展示中间体扩散选择性效应。在一系列Pt/沸石复合材料中，通过在沸石外表面沉积Pt纳米颗粒，延长了n-烯烃中间体从Pt位点向沸石酸位点的扩散距离，导致表面渗透性降低20%，这表明</w:t>
      </w:r>
    </w:p>
    <w:p>
      <w:pPr>
        <w:spacing w:before="0" w:after="200" w:lineRule="auto" w:line="276"/>
      </w:pPr>
      <w:r>
        <w:rPr>
          <w:b/>
        </w:rPr>
        <w:t xml:space="preserve">Abstract (EN): </w:t>
      </w:r>
      <w:r>
        <w:t>The molecular diffusion behaviors in catalytic systems can influence product selectivity. Such a phenomenon, analogous to shape selectivity in zeolite catalysis, can be referred to as diffusion‐selectivity. However, diffusion‐selectivity is often neglected, and its connotation has scarcely been revealed. Herein, a tandem diffusion system of n‐alkene and i‐alkene intermediates in catalytic hydroisomerization was precisely modulated for the demonstration of intermediate diffusion‐selective effects. In a series of Pt/zeolite composites, the diffusion distance of n‐alkene intermediates from Pt sites towards zeolitic acid sites was prolonged by depositing Pt nanoparticles at the external surface of zeolite, leading to a reduced surface permeability by 20%, which facilitated the dispersion of n‐alkene intermediates and mitigated side‐reactions. On the contrary, the diffusion length of i‐alkene intermediates inside zeolites decreased with reduced channel length, resulting in an enhanced intracrystal diffusion by two orders of magnitude, which avoided the long‐time residence in zeolite and thus the secondary cracking of i‐alkene intermediates. In this case, a high isomer yield of 62% can be obtained, outperforming the counterparts and those reported in the literature. The proposed diffusion‐selective catalysis can be generalized to reactant and product diffusion‐selectivity.</w:t>
      </w:r>
    </w:p>
    <w:p>
      <w:pPr>
        <w:spacing w:before="120" w:after="120"/>
      </w:pPr>
      <w:r>
        <w:rPr>
          <w:sz w:val="18"/>
        </w:rPr>
        <w:t>——————————————————————————————————————————————————————————————————————</w:t>
      </w:r>
    </w:p>
    <w:p>
      <w:pPr>
        <w:spacing w:before="160" w:after="40" w:line="240" w:lineRule="auto"/>
      </w:pPr>
      <w:r>
        <w:rPr>
          <w:b/>
        </w:rPr>
        <w:t xml:space="preserve">[127] </w:t>
      </w:r>
      <w:hyperlink r:id="rId448">
        <w:r>
          <w:rPr>
            <w:color w:val="1155CC"/>
            <w:u w:val="single"/>
          </w:rPr>
          <w:t>具有高成型性、可回收性、轻量化和高强度特性的纤维素工程塑料</w:t>
        </w:r>
      </w:hyperlink>
    </w:p>
    <w:p>
      <w:pPr>
        <w:spacing w:before="0" w:after="80"/>
      </w:pPr>
      <w:r>
        <w:rPr>
          <w:i/>
          <w:sz w:val="20"/>
        </w:rPr>
        <w:t>EN: Cellulosic Engineering Plastic with High Shapeability, Recyclability, Lightweight and High‐Strength Properties</w:t>
      </w:r>
    </w:p>
    <w:p>
      <w:pPr>
        <w:spacing w:before="0" w:after="120"/>
      </w:pPr>
      <w:r>
        <w:rPr>
          <w:b/>
        </w:rPr>
        <w:t xml:space="preserve">Source: </w:t>
      </w:r>
      <w:r>
        <w:t>Wiley: Advanced Materials: Table of Contents</w:t>
      </w:r>
      <w:r>
        <w:t xml:space="preserve">    </w:t>
      </w:r>
      <w:r>
        <w:rPr>
          <w:b/>
        </w:rPr>
        <w:t xml:space="preserve">Pub date: </w:t>
      </w:r>
      <w:r>
        <w:t>2026-04-20 08:35:55+00:00</w:t>
      </w:r>
      <w:r>
        <w:t xml:space="preserve">    </w:t>
      </w:r>
      <w:r>
        <w:rPr>
          <w:b/>
        </w:rPr>
        <w:t xml:space="preserve">DOI: </w:t>
      </w:r>
      <w:hyperlink r:id="rId449">
        <w:r>
          <w:rPr>
            <w:color w:val="1155CC"/>
            <w:u w:val="single"/>
          </w:rPr>
          <w:t>10.1002/adma.73129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为应对传统石化塑料带来的挑战，我们开发了一种来自可再生资源的纤维素工程塑料（CEP），实现了可模塑性、可回收性和优越的机械性能。通过用聚丙烯酰胺调节纤维素的分子构象，CEP显示出0.73 g·cm−3的低密度，以及106.6 MPa的弯曲强度和3.4 GPa的模量。CEP的玻璃化转变温度超过154°C，使其在-25至100°C的温度极限下具有耐久性，性能超过了几种商业塑料。生命周期评估进一步揭示了CEP的碳足迹减少和</w:t>
      </w:r>
    </w:p>
    <w:p>
      <w:pPr>
        <w:spacing w:before="0" w:after="200" w:lineRule="auto" w:line="276"/>
      </w:pPr>
      <w:r>
        <w:rPr>
          <w:b/>
        </w:rPr>
        <w:t xml:space="preserve">Abstract (EN): </w:t>
      </w:r>
      <w:r>
        <w:t>Addressing the challenges posed by conventional petrochemical plastics, we developed a type of cellulosic engineering plastic (CEP) from renewable sources, achieving moldability, recyclability, and superior mechanical properties. By modulating the molecular conformation of cellulose with polyacrylamide, the CEP shows a low density of 0.73 g·cm</w:t>
      </w:r>
      <w:r>
        <w:t xml:space="preserve"> </w:t>
      </w:r>
      <w:r>
        <w:t>−</w:t>
      </w:r>
      <w:r>
        <w:rPr>
          <w:vertAlign w:val="subscript"/>
        </w:rPr>
        <w:t>3</w:t>
      </w:r>
      <w:r>
        <w:t>, and a flexural strength and modulus of 106.6 MPa and 3.4 GPa, respectively. The glass transition temperature of CEP exceeding 154°C endows it with durability across temperature extremes from −25 to 100°C, surpassing several commercial plastics in performance. Life cycle assessment further reveals the CEP's reduced carbon footprint and resource depletion. The flexibility of CEP processing and recycling is also addressed, allowing it to be molded into various shapes and structures, supporting the transition toward a circular economy. Emphasizing its potential, this study posits the cellulosic plastic as a sustainable and efficient alternative, with broader implications for industries aiming at ecological responsibility.</w:t>
      </w:r>
    </w:p>
    <w:p>
      <w:pPr>
        <w:spacing w:before="120" w:after="120"/>
      </w:pPr>
      <w:r>
        <w:rPr>
          <w:sz w:val="18"/>
        </w:rPr>
        <w:t>——————————————————————————————————————————————————————————————————————</w:t>
      </w:r>
    </w:p>
    <w:p>
      <w:pPr>
        <w:spacing w:before="160" w:after="40" w:line="240" w:lineRule="auto"/>
      </w:pPr>
      <w:r>
        <w:rPr>
          <w:b/>
        </w:rPr>
        <w:t xml:space="preserve">[128] </w:t>
      </w:r>
      <w:hyperlink r:id="rId450">
        <w:r>
          <w:rPr>
            <w:color w:val="1155CC"/>
            <w:u w:val="single"/>
          </w:rPr>
          <w:t>[ASAP] 基于聚炔分子线桥接的并五苯二聚体中的长程分子内单线态裂变：控制单线态相关三重态对的分支为自旋转换或解离</w:t>
        </w:r>
      </w:hyperlink>
    </w:p>
    <w:p>
      <w:pPr>
        <w:spacing w:before="0" w:after="80"/>
      </w:pPr>
      <w:r>
        <w:rPr>
          <w:i/>
          <w:sz w:val="20"/>
        </w:rPr>
        <w:t>EN: [ASAP] Long-Range Intramolecular Singlet Fission in Polyyne-Based Molecular Wire-Bridged Pentacene Dimers: Control of the Branching of the Singlet Correlated Triplet Pair into Either Spin Conversion or Dissociation</w:t>
      </w:r>
    </w:p>
    <w:p>
      <w:pPr>
        <w:spacing w:before="0" w:after="120"/>
      </w:pPr>
      <w:r>
        <w:rPr>
          <w:b/>
        </w:rPr>
        <w:t xml:space="preserve">Source: </w:t>
      </w:r>
      <w:r>
        <w:t>Journal of the American Chemical Society: Latest Articles (ACS Publications)</w:t>
      </w:r>
      <w:r>
        <w:t xml:space="preserve">    </w:t>
      </w:r>
      <w:r>
        <w:rPr>
          <w:b/>
        </w:rPr>
        <w:t xml:space="preserve">Pub date: </w:t>
      </w:r>
      <w:r>
        <w:t>2026-04-20 09:33:56+00:00</w:t>
      </w:r>
      <w:r>
        <w:t xml:space="preserve">    </w:t>
      </w:r>
      <w:r>
        <w:rPr>
          <w:b/>
        </w:rPr>
        <w:t xml:space="preserve">DOI: </w:t>
      </w:r>
      <w:hyperlink r:id="rId451">
        <w:r>
          <w:rPr>
            <w:color w:val="1155CC"/>
            <w:u w:val="single"/>
          </w:rPr>
          <w:t>10.1021/jacs.5c21741</w:t>
        </w:r>
      </w:hyperlink>
    </w:p>
    <w:p>
      <w:pPr>
        <w:spacing w:before="0" w:after="120"/>
      </w:pPr>
      <w:r>
        <w:rPr>
          <w:b/>
        </w:rPr>
        <w:t xml:space="preserve">Notes: </w:t>
      </w:r>
      <w:r>
        <w:t>abstract_source=pubmed</w:t>
      </w:r>
    </w:p>
    <w:p>
      <w:pPr>
        <w:spacing w:before="0" w:after="80" w:lineRule="auto" w:line="276"/>
      </w:pPr>
      <w:r>
        <w:rPr>
          <w:b/>
        </w:rPr>
        <w:t xml:space="preserve">摘要（ZH）: </w:t>
      </w:r>
      <w:r>
        <w:t>尽管在共价连接的供体-受体共轭物中已经广泛证明了长程分子内电子转移，但尚未观察到连接长度显著超过15 Å的分子内单线态裂变（ISF）。此外，没有研究表明单线态相关三重态对（TT）动力学的连接长度依赖性控制，其中单线态TT通过五重态TT进行自旋转换或解离为两个独立的三重态（T1 + T1）。在此，我们报告了由两种不同的基于聚炔的分子导线桥接的并五苯二聚体，其中在长达约35 Å的连接长度上成功观察到了长程ISF。随着连接长度的增加，我们进一步展示了可调的单线态TT动力学，实现了对路径的系统控制</w:t>
      </w:r>
    </w:p>
    <w:p>
      <w:pPr>
        <w:spacing w:before="0" w:after="200" w:lineRule="auto" w:line="276"/>
      </w:pPr>
      <w:r>
        <w:rPr>
          <w:b/>
        </w:rPr>
        <w:t xml:space="preserve">Abstract (EN): </w:t>
      </w:r>
      <w:r>
        <w:t>Although long-range intramolecular electron transfer has been extensively demonstrated in covalently linked donor-acceptor conjugates, intramolecular singlet fission (ISF) over linker lengths significantly exceeding 15 Å has not yet been observed. Moreover, no studies have shown linker-length-dependent control of the singlet correlated triplet pair (TT) dynamics, where singlet TT undergoes spin conversion to quintet TT or dissociation into two individual triplet states (T1 + T1) via quintet TT. Here, we report pentacene dimers bridged by two different polyyne-based molecular wires, in which long-range ISF is successfully observed over linker lengths of up to ∼35 Å. As the linker length increases, we further demonstrate tunable singlet TT dynamics, achieving systematic control over pathways: spin conversion to quintet TT, and dissociation of quintet TT into T1 + T1. Transient absorption measurements reveal that the individual triplet yields increase with increasing linker length, while the nearly quantitative formation of the 1TT is maintained. The small attenuation factors for ISF and for recombination of singlet TT to the ground state indicate that the polyyne linker functions as an efficient molecular wire. Thermodynamic analysis and time-resolved electron paramagnetic resonance measurements clearly reveal that vibration-driven structural modulation of the polyyne-based molecular wire in the singlet TT directly controls the branching between (i) spin conversion from singlet TT to quintet TT and (ii) dissociation into T1 + T1 via quintet TT following spin conversion. These findings establish molecular wires as effective platforms for long-range ISF and provide a mechanistic foundation for engineering singlet TT dynamics across extended molecular distances.</w:t>
      </w:r>
    </w:p>
    <w:p>
      <w:pPr>
        <w:spacing w:before="120" w:after="120"/>
      </w:pPr>
      <w:r>
        <w:rPr>
          <w:sz w:val="18"/>
        </w:rPr>
        <w:t>——————————————————————————————————————————————————————————————————————</w:t>
      </w:r>
    </w:p>
    <w:p>
      <w:pPr>
        <w:spacing w:before="160" w:after="40" w:line="240" w:lineRule="auto"/>
      </w:pPr>
      <w:r>
        <w:rPr>
          <w:b/>
        </w:rPr>
        <w:t xml:space="preserve">[129] </w:t>
      </w:r>
      <w:hyperlink r:id="rId452">
        <w:r>
          <w:rPr>
            <w:color w:val="1155CC"/>
            <w:u w:val="single"/>
          </w:rPr>
          <w:t>[ASAP] 叶绿素花环超分子聚合物中的顺序、多步和协同螺旋演变</w:t>
        </w:r>
      </w:hyperlink>
    </w:p>
    <w:p>
      <w:pPr>
        <w:spacing w:before="0" w:after="80"/>
      </w:pPr>
      <w:r>
        <w:rPr>
          <w:i/>
          <w:sz w:val="20"/>
        </w:rPr>
        <w:t>EN: [ASAP] Sequential, Multistep, and Cooperative Helicity Evolution in Supramolecular Polymers of Chlorophyll Rosettes</w:t>
      </w:r>
    </w:p>
    <w:p>
      <w:pPr>
        <w:spacing w:before="0" w:after="120"/>
      </w:pPr>
      <w:r>
        <w:rPr>
          <w:b/>
        </w:rPr>
        <w:t xml:space="preserve">Source: </w:t>
      </w:r>
      <w:r>
        <w:t>Journal of the American Chemical Society: Latest Articles (ACS Publications)</w:t>
      </w:r>
      <w:r>
        <w:t xml:space="preserve">    </w:t>
      </w:r>
      <w:r>
        <w:rPr>
          <w:b/>
        </w:rPr>
        <w:t xml:space="preserve">Pub date: </w:t>
      </w:r>
      <w:r>
        <w:t>2026-04-20 10:39:44+00:00</w:t>
      </w:r>
      <w:r>
        <w:t xml:space="preserve">    </w:t>
      </w:r>
      <w:r>
        <w:rPr>
          <w:b/>
        </w:rPr>
        <w:t xml:space="preserve">DOI: </w:t>
      </w:r>
      <w:hyperlink r:id="rId453">
        <w:r>
          <w:rPr>
            <w:color w:val="1155CC"/>
            <w:u w:val="single"/>
          </w:rPr>
          <w:t>10.1021/jacs.6c03125</w:t>
        </w:r>
      </w:hyperlink>
    </w:p>
    <w:p>
      <w:pPr>
        <w:spacing w:before="0" w:after="120"/>
      </w:pPr>
      <w:r>
        <w:rPr>
          <w:b/>
        </w:rPr>
        <w:t xml:space="preserve">Notes: </w:t>
      </w:r>
      <w:r>
        <w:t>abstract_source=pubmed</w:t>
      </w:r>
    </w:p>
    <w:p>
      <w:pPr>
        <w:spacing w:before="0" w:after="80" w:lineRule="auto" w:line="276"/>
      </w:pPr>
      <w:r>
        <w:rPr>
          <w:b/>
        </w:rPr>
        <w:t xml:space="preserve">摘要（ZH）: </w:t>
      </w:r>
      <w:r>
        <w:t>螺旋性是赋予生物系统秩序和功能的基本结构原则，许多生物组装体展示出螺旋结构，这些结构通常随着时间的推移动态地出现和成熟，从而实现适应性结构转变和功能调节。然而，合成超分子聚合物中螺旋性从动力学陷阱的非螺旋结构中动态产生的例子仍然很少。在此，我们报告了一种基于叶绿素的超分子聚合物，其经历了从非螺旋纤维到螺旋结构的自发、顺序、多步骤转化。带有巴比妥酸氢键位点的叶绿素衍生物首先组装成六聚体玫瑰花结，然后动力学堆叠形成亚稳态的非螺旋纤维。</w:t>
      </w:r>
    </w:p>
    <w:p>
      <w:pPr>
        <w:spacing w:before="0" w:after="200" w:lineRule="auto" w:line="276"/>
      </w:pPr>
      <w:r>
        <w:rPr>
          <w:b/>
        </w:rPr>
        <w:t xml:space="preserve">Abstract (EN): </w:t>
      </w:r>
      <w:r>
        <w:t>Helicity is a fundamental structural principle that imparts order and function to biological systems, with many biological assemblies exhibiting helical architectures that often emerge and mature dynamically over time, enabling adaptive structural transformations and functional regulation. Nonetheless, examples of synthetic supramolecular polymers in which helicity arises dynamically from kinetically trapped, nonhelical structures remain rare. Here we report a chlorophyll-based supramolecular polymer that undergoes a spontaneous, sequential, multistep conversion from nonhelical fibers to helical architectures. Chlorophyll derivatives bearing barbituric acid hydrogen-bonding sites first assemble into hexameric rosettes, which then kinetically stack to yield metastable, nonhelical fibers. Over time these fibers evolve through three discrete stages into helically twisted structures, each characterized by a progressive tightening of the helical pitch. Because the rosette comprises six highly aggregative chlorophyll chromophores─each bearing multiple stereocenters and peripheral side chains─its structural complexity prevents rapid adoption of a single, globally stable stacking conformation. Instead, the assembly traverses a rugged energy landscape, proceeding in a sequential, stepwise, discontinuous manner through a series of local minima toward more stable arrangements. This multistep transformation was elucidated by UV/vis absorption, circular dichroism (CD), atomic force microscopy (AFM), and small-angle scattering (SAS) techniques. Kinetic analysis with a cooperative model further revealed that cooperative structural transitions, in which adjacent helical units promote additional helicity, play a pivotal role in this process. Strikingly, in the tightest helical state the supramolecular chirality observed by AFM is opposite to that derived from chiral chlorophyll stacking inferred from CD spectroscopy. This discrepancy is consistent with the creeper-helix model, in which an offset in the chromophore stack inverts the CD response, as suggested by spectral calculations based on an exciton model. Taken together, these results indicate that the stepwise tightening of the helical pitch is driven by an increasing translational offset between stacked rosette units. Thus, even one-dimensional supramolecular polymers can undergo cooperative, crystal-phase-transition-like structural reorganizations.</w:t>
      </w:r>
    </w:p>
    <w:p>
      <w:pPr>
        <w:spacing w:before="120" w:after="120"/>
      </w:pPr>
      <w:r>
        <w:rPr>
          <w:sz w:val="18"/>
        </w:rPr>
        <w:t>——————————————————————————————————————————————————————————————————————</w:t>
      </w:r>
    </w:p>
    <w:p>
      <w:pPr>
        <w:spacing w:before="160" w:after="40" w:line="240" w:lineRule="auto"/>
      </w:pPr>
      <w:r>
        <w:rPr>
          <w:b/>
        </w:rPr>
        <w:t xml:space="preserve">[130] </w:t>
      </w:r>
      <w:hyperlink r:id="rId454">
        <w:r>
          <w:rPr>
            <w:color w:val="1155CC"/>
            <w:u w:val="single"/>
          </w:rPr>
          <w:t>[ASAP] 通过金属有机框架中π-接受苯并噻二唑单元实现环己烷中微量苯的同时捕获和发光检测</w:t>
        </w:r>
      </w:hyperlink>
    </w:p>
    <w:p>
      <w:pPr>
        <w:spacing w:before="0" w:after="80"/>
      </w:pPr>
      <w:r>
        <w:rPr>
          <w:i/>
          <w:sz w:val="20"/>
        </w:rPr>
        <w:t>EN: [ASAP] Simultaneous Capture and Luminescent Detection of Trace Benzene in Cyclohexane Enabled by π-Accepting Benzothiadiazole Units in a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2026-04-20 10:49:45+00:00</w:t>
      </w:r>
      <w:r>
        <w:t xml:space="preserve">    </w:t>
      </w:r>
      <w:r>
        <w:rPr>
          <w:b/>
        </w:rPr>
        <w:t xml:space="preserve">DOI: </w:t>
      </w:r>
      <w:hyperlink r:id="rId455">
        <w:r>
          <w:rPr>
            <w:color w:val="1155CC"/>
            <w:u w:val="single"/>
          </w:rPr>
          <w:t>10.1021/jacs.6c02380</w:t>
        </w:r>
      </w:hyperlink>
    </w:p>
    <w:p>
      <w:pPr>
        <w:spacing w:before="0" w:after="120"/>
      </w:pPr>
      <w:r>
        <w:rPr>
          <w:b/>
        </w:rPr>
        <w:t xml:space="preserve">Notes: </w:t>
      </w:r>
      <w:r>
        <w:t>abstract_source=pubmed</w:t>
      </w:r>
    </w:p>
    <w:p>
      <w:pPr>
        <w:spacing w:before="0" w:after="80" w:lineRule="auto" w:line="276"/>
      </w:pPr>
      <w:r>
        <w:rPr>
          <w:b/>
        </w:rPr>
        <w:t xml:space="preserve">摘要（ZH）: </w:t>
      </w:r>
      <w:r>
        <w:t>在化学工业中，由于苯和环己烷的物理性质几乎相同，分离和检测微量苯是一项具有挑战性的任务。在此，我们报告了一种定制的金属有机框架（MOF），NIIC-66，通过分子筛和发光传感的协同组合同时解决了这两个挑战。NIIC-66在液相中对苯相对于环己烷表现出卓越的选择性，对于10:100和1:100的苯-环己烷混合物，选择性因子分别达到998和1929的创纪录高值。实际应用表明，可以从99.9%的环己烷中清除苯以实现99.999%的纯度。此外，苯的吸附引发了显著的发光响应，表现出显著的强度增强和</w:t>
      </w:r>
    </w:p>
    <w:p>
      <w:pPr>
        <w:spacing w:before="0" w:after="200" w:lineRule="auto" w:line="276"/>
      </w:pPr>
      <w:r>
        <w:rPr>
          <w:b/>
        </w:rPr>
        <w:t xml:space="preserve">Abstract (EN): </w:t>
      </w:r>
      <w:r>
        <w:t>The separation and detection of trace benzene in cyclohexane is a challenging task in the chemical industry due to its nearly identical physical properties. Herein, we report a tailored metal-organic framework (MOF), NIIC-66, which simultaneously addresses both challenges through a synergistic combination of molecular sieving and luminescent sensing. NIIC-66 exhibits exceptional selectivity for benzene over cyclohexane in the liquid phase, with record-high selectivity factors of 998 and 1929 for 10:100 and 1:100 benzene-cyclohexane mixtures, respectively. Practical application demonstrates the purging of benzene from 99.9% cyclohexane to achieve 99.999% purity. Furthermore, benzene adsorption induces a pronounced luminescence response, featuring a significant intensity enhancement and a bathochromic shift. The limit of detection for benzene in cyclohexane is 13 ppm, the lowest value reported to date for liquid-phase detection. Single-crystal X-ray diffraction and computational studies reveal that the exceptional performance arises from the framework's narrow slit-like pores and electron-deficient benzothiadiazole units, which facilitate strong π-π stacking interactions with benzene molecules, enabling both selective capture and luminescent sensing.</w:t>
      </w:r>
    </w:p>
    <w:p>
      <w:pPr>
        <w:spacing w:before="120" w:after="120"/>
      </w:pPr>
      <w:r>
        <w:rPr>
          <w:sz w:val="18"/>
        </w:rPr>
        <w:t>——————————————————————————————————————————————————————————————————————</w:t>
      </w:r>
    </w:p>
    <w:p>
      <w:pPr>
        <w:spacing w:before="160" w:after="40" w:line="240" w:lineRule="auto"/>
      </w:pPr>
      <w:r>
        <w:rPr>
          <w:b/>
        </w:rPr>
        <w:t xml:space="preserve">[131] </w:t>
      </w:r>
      <w:hyperlink r:id="rId456">
        <w:r>
          <w:rPr>
            <w:color w:val="1155CC"/>
            <w:u w:val="single"/>
          </w:rPr>
          <w:t>灵感来自大象皮肤的多孔水泥砖，具有可编程裂纹网络，用于被动冷却</w:t>
        </w:r>
      </w:hyperlink>
    </w:p>
    <w:p>
      <w:pPr>
        <w:spacing w:before="0" w:after="80"/>
      </w:pPr>
      <w:r>
        <w:rPr>
          <w:i/>
          <w:sz w:val="20"/>
        </w:rPr>
        <w:t>EN: Elephant‐Skin‐Inspired Porous Cementitious Tiles with Programmable Crack Networks for Passive Cooling</w:t>
      </w:r>
    </w:p>
    <w:p>
      <w:pPr>
        <w:spacing w:before="0" w:after="120"/>
      </w:pPr>
      <w:r>
        <w:rPr>
          <w:b/>
        </w:rPr>
        <w:t xml:space="preserve">Source: </w:t>
      </w:r>
      <w:r>
        <w:t>Wiley: Advanced Materials: Table of Contents</w:t>
      </w:r>
      <w:r>
        <w:t xml:space="preserve">    </w:t>
      </w:r>
      <w:r>
        <w:rPr>
          <w:b/>
        </w:rPr>
        <w:t xml:space="preserve">Pub date: </w:t>
      </w:r>
      <w:r>
        <w:t>2026-04-20 11:03:38+00:00</w:t>
      </w:r>
      <w:r>
        <w:t xml:space="preserve">    </w:t>
      </w:r>
      <w:r>
        <w:rPr>
          <w:b/>
        </w:rPr>
        <w:t xml:space="preserve">DOI: </w:t>
      </w:r>
      <w:hyperlink r:id="rId457">
        <w:r>
          <w:rPr>
            <w:color w:val="1155CC"/>
            <w:u w:val="single"/>
          </w:rPr>
          <w:t>10.1002/adma.202523133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的被动蒸发可以减少建筑物的冷却能耗。然而，由于反弹、不均匀扩散和快速排水，水常常被浪费。在此，我们提出了一种受大象皮肤启发的裂纹网络结构，应用于多孔硅藻土（DE）-水泥复合材料中，以捕获、引导和储存水，减少径流。DE的微/纳米孔隙性使其能够超快速（小于50毫秒）吸水，而裂纹网络则作为毛细管导管，将水重新分布到倾斜表面上。基底引导的应力集中将干燥引起的随机裂缝转化为确定性的裂纹格子，使水在倾斜表面上得以引导和保留，从而实现几何可调的高效蒸发冷却。六边形格子的瓷砖</w:t>
      </w:r>
    </w:p>
    <w:p>
      <w:pPr>
        <w:spacing w:before="0" w:after="200" w:lineRule="auto" w:line="276"/>
      </w:pPr>
      <w:r>
        <w:rPr>
          <w:b/>
        </w:rPr>
        <w:t xml:space="preserve">Abstract (EN): </w:t>
      </w:r>
      <w:r>
        <w:t>Passive evaporation of water reduces a building's cooling energy demand. However, water is often wasted due to rebound, uneven spreading, and rapid drainage. Here, we present an elephant‐skin‐inspired crack network architecture in porous diatomaceous earth (DE)‐cement composites to capture, route, and store water with minimal runoff. DE's micro/nanoporosity enables ultrafast (sub‐50 ms) water imbibition, while crack networks act as capillary conduits that redistribute water across and up inclined surfaces. Substrate‐guided stress concentration converts drying‐induced stochastic fractures into deterministic crack lattices that route and retain water on inclined surfaces, enabling geometry‐tunable, water‐efficient evaporative cooling. Tiles of hexagonal lattices with intermediate crack density maximize lateral redistribution and delay drainage. Infrared imaging reveals edge‐dominated evaporation, sustaining prolonged cooling. In a mockup home model covered with DE‐cement tiles, under repeated water dosing and IR heating, the temperature beneath the DE‐cement tiles is maintained at ∼32°C vs ∼42°C and ∼52°C for cracked and non‐cracked commercial stucco, respectively. The study offers a simple, scalable route for passive cooling.</w:t>
      </w:r>
    </w:p>
    <w:p>
      <w:pPr>
        <w:spacing w:before="120" w:after="120"/>
      </w:pPr>
      <w:r>
        <w:rPr>
          <w:sz w:val="18"/>
        </w:rPr>
        <w:t>——————————————————————————————————————————————————————————————————————</w:t>
      </w:r>
    </w:p>
    <w:p>
      <w:pPr>
        <w:spacing w:before="160" w:after="40" w:line="240" w:lineRule="auto"/>
      </w:pPr>
      <w:r>
        <w:rPr>
          <w:b/>
        </w:rPr>
        <w:t xml:space="preserve">[132] </w:t>
      </w:r>
      <w:hyperlink r:id="rId458">
        <w:r>
          <w:rPr>
            <w:color w:val="1155CC"/>
            <w:u w:val="single"/>
          </w:rPr>
          <w:t>通过退火MXene和SAM分子进行界面工程，以实现高性能倒置钙钛矿太阳能电池</w:t>
        </w:r>
      </w:hyperlink>
    </w:p>
    <w:p>
      <w:pPr>
        <w:spacing w:before="0" w:after="80"/>
      </w:pPr>
      <w:r>
        <w:rPr>
          <w:i/>
          <w:sz w:val="20"/>
        </w:rPr>
        <w:t>EN: Interface Engineering With Annealed MXene and SAM Molecules for High‐Performance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2026-04-20 11:10:09+00:00</w:t>
      </w:r>
      <w:r>
        <w:t xml:space="preserve">    </w:t>
      </w:r>
      <w:r>
        <w:rPr>
          <w:b/>
        </w:rPr>
        <w:t xml:space="preserve">DOI: </w:t>
      </w:r>
      <w:hyperlink r:id="rId459">
        <w:r>
          <w:rPr>
            <w:color w:val="1155CC"/>
            <w:u w:val="single"/>
          </w:rPr>
          <w:t>10.1002/aenm.70966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铟锡氧化物（ITO）基底与均匀分布的自组装分子（SAMs）之间的强相互作用对于倒置钙钛矿太阳能电池（IPSCs）的优异性能至关重要。然而，在ITO基底上实现均匀的SAM分布和稳固的稳定性仍然是一个重大挑战。在此，引入了热处理的二维Ti3C2Tx（A-Ti3C2Tx）层，位于4-(11H-苯并[a]咔唑-11-基)丁基（4-PhCz）SAM层和ITO基底之间，构建</w:t>
      </w:r>
    </w:p>
    <w:p>
      <w:pPr>
        <w:spacing w:before="0" w:after="200" w:lineRule="auto" w:line="276"/>
      </w:pPr>
      <w:r>
        <w:rPr>
          <w:b/>
        </w:rPr>
        <w:t xml:space="preserve">Abstract (EN): </w:t>
      </w:r>
      <w:r>
        <w:t>The strong interaction between indium tin oxide (ITO) substrate and uniformly distributed self‐assembled molecules (SAMs) are critical for the excellent performance of inverted perovskite solar cells (IPSCs). Nevertheless, achieving uniform SAM distribution and robust stability on ITO substrate remains a significant challenge. Herein, the heat‐treated 2D Ti</w:t>
      </w:r>
      <w:r>
        <w:rPr>
          <w:vertAlign w:val="subscript"/>
        </w:rPr>
        <w:t>3</w:t>
      </w:r>
      <w:r>
        <w:t>C</w:t>
      </w:r>
      <w:r>
        <w:rPr>
          <w:vertAlign w:val="subscript"/>
        </w:rPr>
        <w:t>2</w:t>
      </w:r>
      <w:r>
        <w:t>T</w:t>
      </w:r>
      <w:r>
        <w:t xml:space="preserve"> </w:t>
      </w:r>
      <w:r>
        <w:t>x</w:t>
      </w:r>
      <w:r>
        <w:t xml:space="preserve"> </w:t>
      </w:r>
      <w:r>
        <w:t>(A‐Ti</w:t>
      </w:r>
      <w:r>
        <w:rPr>
          <w:vertAlign w:val="subscript"/>
        </w:rPr>
        <w:t>3</w:t>
      </w:r>
      <w:r>
        <w:t>C</w:t>
      </w:r>
      <w:r>
        <w:rPr>
          <w:vertAlign w:val="subscript"/>
        </w:rPr>
        <w:t>2</w:t>
      </w:r>
      <w:r>
        <w:t>T</w:t>
      </w:r>
      <w:r>
        <w:t xml:space="preserve"> </w:t>
      </w:r>
      <w:r>
        <w:t>x</w:t>
      </w:r>
      <w:r>
        <w:t xml:space="preserve"> </w:t>
      </w:r>
      <w:r>
        <w:t>) layer is introduced into between 4‐(11H‐benzo[a]carbazol‐11‐yl)butyl (4‐PhCz) SAM layer and the ITO substrate, constructing the stable ITO/A‐Ti</w:t>
      </w:r>
      <w:r>
        <w:rPr>
          <w:vertAlign w:val="subscript"/>
        </w:rPr>
        <w:t>3</w:t>
      </w:r>
      <w:r>
        <w:t>C</w:t>
      </w:r>
      <w:r>
        <w:rPr>
          <w:vertAlign w:val="subscript"/>
        </w:rPr>
        <w:t>2</w:t>
      </w:r>
      <w:r>
        <w:t>T</w:t>
      </w:r>
      <w:r>
        <w:t xml:space="preserve"> </w:t>
      </w:r>
      <w:r>
        <w:t>x</w:t>
      </w:r>
      <w:r>
        <w:t xml:space="preserve"> </w:t>
      </w:r>
      <w:r>
        <w:t>/SAM anode interface. The results reveal that A‐Ti</w:t>
      </w:r>
      <w:r>
        <w:rPr>
          <w:vertAlign w:val="subscript"/>
        </w:rPr>
        <w:t>3</w:t>
      </w:r>
      <w:r>
        <w:t>C</w:t>
      </w:r>
      <w:r>
        <w:rPr>
          <w:vertAlign w:val="subscript"/>
        </w:rPr>
        <w:t>2</w:t>
      </w:r>
      <w:r>
        <w:t>T</w:t>
      </w:r>
      <w:r>
        <w:t xml:space="preserve"> </w:t>
      </w:r>
      <w:r>
        <w:t>x</w:t>
      </w:r>
      <w:r>
        <w:t xml:space="preserve"> </w:t>
      </w:r>
      <w:r>
        <w:t>not only can form a strong bond with the ITO substrate, but also establish robust tridentate interaction with SAM molecule through Ti─O─P and Ti─O─P bonds, enhancing stability of anode interface. This type of anode interface can enhance interfacial charge transport and optimize energy level alignment in IPSC, also plays a positive role in promoting perovskite grain growth and regulates residual stress. Encouragingly, the A‐Ti</w:t>
      </w:r>
      <w:r>
        <w:rPr>
          <w:vertAlign w:val="subscript"/>
        </w:rPr>
        <w:t>3</w:t>
      </w:r>
      <w:r>
        <w:t>C</w:t>
      </w:r>
      <w:r>
        <w:rPr>
          <w:vertAlign w:val="subscript"/>
        </w:rPr>
        <w:t>2</w:t>
      </w:r>
      <w:r>
        <w:t>T</w:t>
      </w:r>
      <w:r>
        <w:t xml:space="preserve"> </w:t>
      </w:r>
      <w:r>
        <w:t>x</w:t>
      </w:r>
      <w:r>
        <w:t xml:space="preserve"> </w:t>
      </w:r>
      <w:r>
        <w:t>‐based IPSC demonstrates an outstanding efficiency of up to 26.78% (certified 26.44%) for 0.08 cm</w:t>
      </w:r>
      <w:r>
        <w:rPr>
          <w:vertAlign w:val="subscript"/>
        </w:rPr>
        <w:t>2</w:t>
      </w:r>
      <w:r>
        <w:t>with excellent stability, which is the highest PCE reported so far in PSCs utilizing MXene materials. And flexible A‐Ti</w:t>
      </w:r>
      <w:r>
        <w:rPr>
          <w:vertAlign w:val="subscript"/>
        </w:rPr>
        <w:t>3</w:t>
      </w:r>
      <w:r>
        <w:t>C</w:t>
      </w:r>
      <w:r>
        <w:rPr>
          <w:vertAlign w:val="subscript"/>
        </w:rPr>
        <w:t>2</w:t>
      </w:r>
      <w:r>
        <w:t>T</w:t>
      </w:r>
      <w:r>
        <w:t xml:space="preserve"> </w:t>
      </w:r>
      <w:r>
        <w:t>x</w:t>
      </w:r>
      <w:r>
        <w:t xml:space="preserve"> </w:t>
      </w:r>
      <w:r>
        <w:t>‐based IPSC exhibits superior flexibility. This work provides an effective strategy for enhancing the mechanical and thermal stability of anode interface, as well as gives an in‐depth mechanism analysis.</w:t>
      </w:r>
    </w:p>
    <w:p>
      <w:pPr>
        <w:spacing w:before="120" w:after="120"/>
      </w:pPr>
      <w:r>
        <w:rPr>
          <w:sz w:val="18"/>
        </w:rPr>
        <w:t>——————————————————————————————————————————————————————————————————————</w:t>
      </w:r>
    </w:p>
    <w:p>
      <w:pPr>
        <w:spacing w:before="160" w:after="40" w:line="240" w:lineRule="auto"/>
      </w:pPr>
      <w:r>
        <w:rPr>
          <w:b/>
        </w:rPr>
        <w:t xml:space="preserve">[133] </w:t>
      </w:r>
      <w:hyperlink r:id="rId460">
        <w:r>
          <w:rPr>
            <w:color w:val="1155CC"/>
            <w:u w:val="single"/>
          </w:rPr>
          <w:t>[ASAP] 水微滴上6PPD-醌的自发界面氧化还原转化</w:t>
        </w:r>
      </w:hyperlink>
    </w:p>
    <w:p>
      <w:pPr>
        <w:spacing w:before="0" w:after="80"/>
      </w:pPr>
      <w:r>
        <w:rPr>
          <w:i/>
          <w:sz w:val="20"/>
        </w:rPr>
        <w:t>EN: [ASAP] Spontaneous Interfacial Redox Transformation of 6PPD-Quinone on Water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2026-04-20 11:12:53+00:00</w:t>
      </w:r>
      <w:r>
        <w:t xml:space="preserve">    </w:t>
      </w:r>
      <w:r>
        <w:rPr>
          <w:b/>
        </w:rPr>
        <w:t xml:space="preserve">DOI: </w:t>
      </w:r>
      <w:hyperlink r:id="rId461">
        <w:r>
          <w:rPr>
            <w:color w:val="1155CC"/>
            <w:u w:val="single"/>
          </w:rPr>
          <w:t>10.1021/jacs.6c02017</w:t>
        </w:r>
      </w:hyperlink>
    </w:p>
    <w:p>
      <w:pPr>
        <w:spacing w:before="0" w:after="120"/>
      </w:pPr>
      <w:r>
        <w:rPr>
          <w:b/>
        </w:rPr>
        <w:t xml:space="preserve">Notes: </w:t>
      </w:r>
      <w:r>
        <w:t>abstract_source=pubmed</w:t>
      </w:r>
    </w:p>
    <w:p>
      <w:pPr>
        <w:spacing w:before="0" w:after="80" w:lineRule="auto" w:line="276"/>
      </w:pPr>
      <w:r>
        <w:rPr>
          <w:b/>
        </w:rPr>
        <w:t xml:space="preserve">摘要（ZH）: </w:t>
      </w:r>
      <w:r>
        <w:t>自发的化学转化，包括在微滴的空气-水界面上同时发生的还原和氧化，为大气化学过程提供了重要途径。作为一种新兴的轮胎衍生污染物，N-(1,3-二甲基丁基)-N'-苯基-p-苯二胺醌（6PPD-Q）因其在大气环境中的普遍形成和急性毒性效应而受到密切关注。在此，我们证明了6PPD-Q在室温和大气条件下的微滴空气-水界面上发生自发的、超快速的转化。该反应表现出&lt;2分钟的极短半衰期，相对于其在体积水中的降解速率加速了1176倍。综合微滴实验和分子</w:t>
      </w:r>
    </w:p>
    <w:p>
      <w:pPr>
        <w:spacing w:before="0" w:after="200" w:lineRule="auto" w:line="276"/>
      </w:pPr>
      <w:r>
        <w:rPr>
          <w:b/>
        </w:rPr>
        <w:t xml:space="preserve">Abstract (EN): </w:t>
      </w:r>
      <w:r>
        <w:t>Spontaneous chemical transformations, including simultaneous reduction and oxidation at air-water interfaces on microdroplets, provides an important pathway for atmospheric chemistry processes. As an emerging tire-derived contaminant, N-(1,3-Dimethylbutyl)-N'-phenyl-p-phenylenediamine quinone (6PPD-Q) has drawn intense scrutiny owing to its ubiquitous formation in the atmospheric environment and acute toxicity effects. Herein, we demonstrate that 6PPD-Q undergoes spontaneous, ultrafast transformation at the air-water interface of microdroplets under room temperature and atmospheric conditions. This reaction exhibits a remarkably short half-life of &lt;2 min, representing a 1176-fold acceleration relative to its degradation rate in bulk water. Integrated microdroplet experiments and molecular simulations suggest that the reductive-oxidative species synergy effect (ROSE) is triggered by the strong electrification on the surface of the microdroplets. The simultaneous air-water interfacial redox reaction of 6PPD-Q occurs, mediated by ROSE, with the generation of emerging derivatives, of which hydroquinone derivatives are computationally predicted to have higher acute and chronic toxicity, as well as human health risks, than their parent 6PPD-Q by up to 1.1-2.6-fold. This study reveals a previously overlooked route for toxic hydroquinone derivatives generation, which enhances insights into the atmospheric chemistry of 6PPD-Q and raises critical concerns regarding their elevated toxicity.</w:t>
      </w:r>
    </w:p>
    <w:p>
      <w:pPr>
        <w:spacing w:before="120" w:after="120"/>
      </w:pPr>
      <w:r>
        <w:rPr>
          <w:sz w:val="18"/>
        </w:rPr>
        <w:t>——————————————————————————————————————————————————————————————————————</w:t>
      </w:r>
    </w:p>
    <w:p>
      <w:pPr>
        <w:spacing w:before="160" w:after="40" w:line="240" w:lineRule="auto"/>
      </w:pPr>
      <w:r>
        <w:rPr>
          <w:b/>
        </w:rPr>
        <w:t xml:space="preserve">[134] </w:t>
      </w:r>
      <w:hyperlink r:id="rId462">
        <w:r>
          <w:rPr>
            <w:color w:val="1155CC"/>
            <w:u w:val="single"/>
          </w:rPr>
          <w:t>非均匀应变调制的声子散射维持热电子以增强酶治疗</w:t>
        </w:r>
      </w:hyperlink>
    </w:p>
    <w:p>
      <w:pPr>
        <w:spacing w:before="0" w:after="80"/>
      </w:pPr>
      <w:r>
        <w:rPr>
          <w:i/>
          <w:sz w:val="20"/>
        </w:rPr>
        <w:t>EN: Inhomogeneous Strain‐Modulated Phonon Scattering Sustains Hot Electrons for Enhanced Enzymatic Therapy</w:t>
      </w:r>
    </w:p>
    <w:p>
      <w:pPr>
        <w:spacing w:before="0" w:after="120"/>
      </w:pPr>
      <w:r>
        <w:rPr>
          <w:b/>
        </w:rPr>
        <w:t xml:space="preserve">Source: </w:t>
      </w:r>
      <w:r>
        <w:t>Wiley: Angewandte Chemie International Edition: Table of Contents</w:t>
      </w:r>
      <w:r>
        <w:t xml:space="preserve">    </w:t>
      </w:r>
      <w:r>
        <w:rPr>
          <w:b/>
        </w:rPr>
        <w:t xml:space="preserve">Pub date: </w:t>
      </w:r>
      <w:r>
        <w:t>2026-04-20 11:12:58+00:00</w:t>
      </w:r>
      <w:r>
        <w:t xml:space="preserve">    </w:t>
      </w:r>
      <w:r>
        <w:rPr>
          <w:b/>
        </w:rPr>
        <w:t xml:space="preserve">DOI: </w:t>
      </w:r>
      <w:hyperlink r:id="rId463">
        <w:r>
          <w:rPr>
            <w:color w:val="1155CC"/>
            <w:u w:val="single"/>
          </w:rPr>
          <w:t>10.1002/anie.4271452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酶治疗作为一种肿瘤治疗方法具有潜力，但在肿瘤细胞中增强纳米酶的催化活性仍然是一个挑战。在此，我们设计了一种基于铂（Pt）纳米点在氧化钨（WO</w:t>
      </w:r>
      <w:r>
        <w:t xml:space="preserve"> </w:t>
      </w:r>
      <w:r>
        <w:t>x</w:t>
      </w:r>
      <w:r>
        <w:t xml:space="preserve"> </w:t>
      </w:r>
      <w:r>
        <w:t>）纳米带上外延生长的应变工程纳米酶（PWO），引入了不均匀的晶格应变。声子谱揭示了不均匀应变对声学和光学分支的不同影响。增强的声子散射促进了弹性电子-声子相互作用，使热电子能够将能量保留为受限的晶格热，而不是作为体光热输出消散。因此，光热转换效率</w:t>
      </w:r>
    </w:p>
    <w:p>
      <w:pPr>
        <w:spacing w:before="0" w:after="200" w:lineRule="auto" w:line="276"/>
      </w:pPr>
      <w:r>
        <w:rPr>
          <w:b/>
        </w:rPr>
        <w:t xml:space="preserve">Abstract (EN): </w:t>
      </w:r>
      <w:r>
        <w:t>Enzymatic therapy holds potential as a tumor therapeutic approach, yet enhancing the catalytic activity of nanozymes remains a challenge in tumor cells. Here, we designed a strain‐engineered nanozymes (PWO) based on platinum (Pt) nanodots epitaxially grown on tungsten oxide (WO</w:t>
      </w:r>
      <w:r>
        <w:t xml:space="preserve"> </w:t>
      </w:r>
      <w:r>
        <w:t>x</w:t>
      </w:r>
      <w:r>
        <w:t xml:space="preserve"> </w:t>
      </w:r>
      <w:r>
        <w:t>) nanoribbons, which introduced inhomogeneous lattice strain. The phonon spectrums reveal the different influences on acoustic and optical branches caused by inhomogeneous strain. Enhanced acoustic phonon scattering promotes elastic electron–phonon interactions, enabling hot electrons to retain energy as confined lattice heat rather than dissipating as bulk photothermal output. Consequently, the photothermal conversion efficiency of WO</w:t>
      </w:r>
      <w:r>
        <w:t xml:space="preserve"> </w:t>
      </w:r>
      <w:r>
        <w:t>x</w:t>
      </w:r>
      <w:r>
        <w:t xml:space="preserve"> </w:t>
      </w:r>
      <w:r>
        <w:t>decreased from 37.19% (unstrained) to 20.80% (strained), confirming the formation of confined lattice heat. Under the synergistic effect of confined lattice heat and contact potential difference, the activation energy of the enzymatic catalytic reaction was reduced by 51.30% due to hot electrons. Moreover, PWO caused damage to mitochondria and the cytoskeleton, leading to the eventual induction of apoptosis in tumor cells. These results elucidate the physical manifestation of electron‐phonon and phonon‐phonon scattering under inhomogeneous strain and provide a general strategy for improving nanozyme catalysis via hot‐electron regulation in enzymatic therapy.</w:t>
      </w:r>
    </w:p>
    <w:p>
      <w:pPr>
        <w:spacing w:before="120" w:after="120"/>
      </w:pPr>
      <w:r>
        <w:rPr>
          <w:sz w:val="18"/>
        </w:rPr>
        <w:t>——————————————————————————————————————————————————————————————————————</w:t>
      </w:r>
    </w:p>
    <w:p>
      <w:pPr>
        <w:spacing w:before="160" w:after="40" w:line="240" w:lineRule="auto"/>
      </w:pPr>
      <w:r>
        <w:rPr>
          <w:b/>
        </w:rPr>
        <w:t xml:space="preserve">[135] </w:t>
      </w:r>
      <w:hyperlink r:id="rId464">
        <w:r>
          <w:rPr>
            <w:color w:val="1155CC"/>
            <w:u w:val="single"/>
          </w:rPr>
          <w:t>CeO2(111)上间隙Pt原子的亚表面稳定化：重新思考单原子催化剂结构</w:t>
        </w:r>
      </w:hyperlink>
    </w:p>
    <w:p>
      <w:pPr>
        <w:spacing w:before="0" w:after="80"/>
      </w:pPr>
      <w:r>
        <w:rPr>
          <w:i/>
          <w:sz w:val="20"/>
        </w:rPr>
        <w:t>EN: Subsurface Stabilization of Interstitial Pt Atoms on CeO2(111): Rethinking Single‐Atom Catalyst Architectures</w:t>
      </w:r>
    </w:p>
    <w:p>
      <w:pPr>
        <w:spacing w:before="0" w:after="120"/>
      </w:pPr>
      <w:r>
        <w:rPr>
          <w:b/>
        </w:rPr>
        <w:t xml:space="preserve">Source: </w:t>
      </w:r>
      <w:r>
        <w:t>Wiley: Angewandte Chemie International Edition: Table of Contents</w:t>
      </w:r>
      <w:r>
        <w:t xml:space="preserve">    </w:t>
      </w:r>
      <w:r>
        <w:rPr>
          <w:b/>
        </w:rPr>
        <w:t xml:space="preserve">Pub date: </w:t>
      </w:r>
      <w:r>
        <w:t>2026-04-20 11:13:41+00:00</w:t>
      </w:r>
      <w:r>
        <w:t xml:space="preserve">    </w:t>
      </w:r>
      <w:r>
        <w:rPr>
          <w:b/>
        </w:rPr>
        <w:t xml:space="preserve">DOI: </w:t>
      </w:r>
      <w:hyperlink r:id="rId465">
        <w:r>
          <w:rPr>
            <w:color w:val="1155CC"/>
            <w:u w:val="single"/>
          </w:rPr>
          <w:t>10.1002/anie.202522372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单原子催化剂（SACs）通过在氧化物载体上稳定孤立的金属原子提供了最大的效率。铂在氧化铈（CeO</w:t>
      </w:r>
      <w:r>
        <w:rPr>
          <w:vertAlign w:val="subscript"/>
        </w:rPr>
        <w:t>2</w:t>
      </w:r>
      <w:r>
        <w:t>）上是一个关键的SAC系统，其中吸附的CO通常由于Pt的反向供电子而表现出红移的振动模式。使用偏振分辨红外光谱在Pt沉积的CeO</w:t>
      </w:r>
      <w:r>
        <w:rPr>
          <w:vertAlign w:val="subscript"/>
        </w:rPr>
        <w:t>2</w:t>
      </w:r>
      <w:r>
        <w:t>（111）单晶表面上，我们在低覆盖度下未观察到低于2140 cm</w:t>
      </w:r>
      <w:r>
        <w:t xml:space="preserve"> </w:t>
      </w:r>
      <w:r>
        <w:t>−1</w:t>
      </w:r>
      <w:r>
        <w:t xml:space="preserve"> </w:t>
      </w:r>
      <w:r>
        <w:t>的CO振动带，表明表面结合的Pt原子不存在于可检测的量中。DFT计算表明，这一意外观察与Pt原子占据埋藏的间隙位点一致</w:t>
      </w:r>
    </w:p>
    <w:p>
      <w:pPr>
        <w:spacing w:before="0" w:after="200" w:lineRule="auto" w:line="276"/>
      </w:pPr>
      <w:r>
        <w:rPr>
          <w:b/>
        </w:rPr>
        <w:t xml:space="preserve">Abstract (EN): </w:t>
      </w:r>
      <w:r>
        <w:t>Single‐atom catalysts (SACs) offer maximal efficiency by stabilizing isolated metal atoms on oxidic supports. Platinum on cerium oxide (CeO</w:t>
      </w:r>
      <w:r>
        <w:rPr>
          <w:vertAlign w:val="subscript"/>
        </w:rPr>
        <w:t>2</w:t>
      </w:r>
      <w:r>
        <w:t>) is a key SAC system, where adsorbed CO typically exhibits red‐shifted vibrational modes due to Pt back‐donation. Using polarization‐resolved IR spectroscopy on Pt‐deposited CeO</w:t>
      </w:r>
      <w:r>
        <w:rPr>
          <w:vertAlign w:val="subscript"/>
        </w:rPr>
        <w:t>2</w:t>
      </w:r>
      <w:r>
        <w:t>(111) single‐crystal surfaces, we do not observe CO vibrational bands below 2140 cm</w:t>
      </w:r>
      <w:r>
        <w:t xml:space="preserve"> </w:t>
      </w:r>
      <w:r>
        <w:t>−1</w:t>
      </w:r>
      <w:r>
        <w:t xml:space="preserve"> </w:t>
      </w:r>
      <w:r>
        <w:t>at low coverages, indicating that the surface‐bound Pt atoms are not present in detectable amounts. DFT calculations demonstrate that this unexpected observation is consistent with Pt atoms occupying buried interstitial sites. Such subsurface single‐atom sites, not considered in previous studies, are thermodynamically favored at low coverages, adopt an unusual oxidation state, and are inaccessible to direct CO binding. Our findings challenge the prevailing assumption that single atoms remain surface‐bound and highlight the critical role of subsurface interstitial species, prompting a rethinking of how active sites in single‐atom catalysts are stabilized on reducible oxides.</w:t>
      </w:r>
    </w:p>
    <w:p>
      <w:pPr>
        <w:spacing w:before="120" w:after="120"/>
      </w:pPr>
      <w:r>
        <w:rPr>
          <w:sz w:val="18"/>
        </w:rPr>
        <w:t>——————————————————————————————————————————————————————————————————————</w:t>
      </w:r>
    </w:p>
    <w:p>
      <w:pPr>
        <w:spacing w:before="160" w:after="40" w:line="240" w:lineRule="auto"/>
      </w:pPr>
      <w:r>
        <w:rPr>
          <w:b/>
        </w:rPr>
        <w:t xml:space="preserve">[136] </w:t>
      </w:r>
      <w:hyperlink r:id="rId466">
        <w:r>
          <w:rPr>
            <w:color w:val="1155CC"/>
            <w:u w:val="single"/>
          </w:rPr>
          <w:t>超越基于描述符的AI设计：sp2杂化分支侧链在绿色溶剂加工的有机太阳能电池中实现预聚集驱动的成核效应</w:t>
        </w:r>
      </w:hyperlink>
    </w:p>
    <w:p>
      <w:pPr>
        <w:spacing w:before="0" w:after="80"/>
      </w:pPr>
      <w:r>
        <w:rPr>
          <w:i/>
          <w:sz w:val="20"/>
        </w:rPr>
        <w:t>EN: Beyond Descriptor‐Based AI Design: Sp2‐Hybridized Branched Side Chains Enable Pre‐Aggregation–Driven Seeding Effects in Green‐Solvent‐Processed Organic Solar Cells</w:t>
      </w:r>
    </w:p>
    <w:p>
      <w:pPr>
        <w:spacing w:before="0" w:after="120"/>
      </w:pPr>
      <w:r>
        <w:rPr>
          <w:b/>
        </w:rPr>
        <w:t xml:space="preserve">Source: </w:t>
      </w:r>
      <w:r>
        <w:t>Wiley: Advanced Energy Materials: Table of Contents</w:t>
      </w:r>
      <w:r>
        <w:t xml:space="preserve">    </w:t>
      </w:r>
      <w:r>
        <w:rPr>
          <w:b/>
        </w:rPr>
        <w:t xml:space="preserve">Pub date: </w:t>
      </w:r>
      <w:r>
        <w:t>2026-04-20 11:16:10+00:00</w:t>
      </w:r>
      <w:r>
        <w:t xml:space="preserve">    </w:t>
      </w:r>
      <w:r>
        <w:rPr>
          <w:b/>
        </w:rPr>
        <w:t xml:space="preserve">DOI: </w:t>
      </w:r>
      <w:hyperlink r:id="rId467">
        <w:r>
          <w:rPr>
            <w:color w:val="1155CC"/>
            <w:u w:val="single"/>
          </w:rPr>
          <w:t>10.1002/aenm.70967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描述符的人工智能（AI）已成为有机太阳能电池（OSCs）分子设计的范式；然而，它本质上忽略了由键杂化、分子间耦合和聚集热力学控制的集体效应。这些效应在溶液阶段被编码，其中光活性材料的预聚集决定了成核路径、相分离和薄膜形成过程中的分子排列。在此，我们引入了一种YBOV非富勒烯受体，具有sp</w:t>
      </w:r>
      <w:r>
        <w:rPr>
          <w:vertAlign w:val="subscript"/>
        </w:rPr>
        <w:t>2</w:t>
      </w:r>
      <w:r>
        <w:t>杂化的分支侧链，表现出前所未有的强溶液态预聚集倾向。这种行为转化为高度有序的固体薄膜，具有致密的</w:t>
      </w:r>
    </w:p>
    <w:p>
      <w:pPr>
        <w:spacing w:before="0" w:after="200" w:lineRule="auto" w:line="276"/>
      </w:pPr>
      <w:r>
        <w:rPr>
          <w:b/>
        </w:rPr>
        <w:t xml:space="preserve">Abstract (EN): </w:t>
      </w:r>
      <w:r>
        <w:t>Descriptor‐based artificial intelligence (AI) has emerged as a paradigm for molecular design in organic solar cells (OSCs); however, it inherently overlooks collective effects governed by bond hybridization, intermolecular coupling, and aggregation thermodynamics. Such effects are encoded at the solution stage, where pre‐aggregation of photoactive materials dictates nucleation pathways, phase separation, and molecular ordering during film formation. Herein, we introduce a YBOV non‐fullerene acceptor featuring sp</w:t>
      </w:r>
      <w:r>
        <w:rPr>
          <w:vertAlign w:val="subscript"/>
        </w:rPr>
        <w:t>2</w:t>
      </w:r>
      <w:r>
        <w:t>‐hybridized branched side chains that exhibit an unprecedentedly strong solution‐state pre‐aggregation propensity. This behavior translates into highly ordered solid films with a densely packed crystalline microstructure, enabled by a thermodynamically stabilized core–terminal dimer. As a result, incorporation of YBOV into OSCs not only outperforms the benchmark L8‐BO‐based device, but also confers an effective nucleation seeding‐agent function across diverse host OSC platforms, delivering efficiencies of up to 19.67% via green‐solvent processing by alleviating the intrinsic current–voltage trade‐off. Machine‐learning predictions largely match experimental photovoltaic parameters with a slight upward bias, except for open‐circuit voltage​, which exhibits anomalous behavior driven by pre‐aggregation–driven seeding effects beyond descriptor‐based AI. This work establishes sp</w:t>
      </w:r>
      <w:r>
        <w:rPr>
          <w:vertAlign w:val="subscript"/>
        </w:rPr>
        <w:t>2</w:t>
      </w:r>
      <w:r>
        <w:t>‐hybridized branched side chains as a new molecular design principle, introducing pre‐aggregation‐enabled seeding effects beyond AI prediction and providing a universal strategy for high‐performance OSCs.</w:t>
      </w:r>
    </w:p>
    <w:p>
      <w:pPr>
        <w:spacing w:before="120" w:after="120"/>
      </w:pPr>
      <w:r>
        <w:rPr>
          <w:sz w:val="18"/>
        </w:rPr>
        <w:t>——————————————————————————————————————————————————————————————————————</w:t>
      </w:r>
    </w:p>
    <w:p>
      <w:pPr>
        <w:spacing w:before="160" w:after="40" w:line="240" w:lineRule="auto"/>
      </w:pPr>
      <w:r>
        <w:rPr>
          <w:b/>
        </w:rPr>
        <w:t xml:space="preserve">[137] </w:t>
      </w:r>
      <w:hyperlink r:id="rId468">
        <w:r>
          <w:rPr>
            <w:color w:val="1155CC"/>
            <w:u w:val="single"/>
          </w:rPr>
          <w:t>具有反Kasha/Kasha发射的单分子有机余辉发光体用于体内可激活成像</w:t>
        </w:r>
      </w:hyperlink>
    </w:p>
    <w:p>
      <w:pPr>
        <w:spacing w:before="0" w:after="80"/>
      </w:pPr>
      <w:r>
        <w:rPr>
          <w:i/>
          <w:sz w:val="20"/>
        </w:rPr>
        <w:t>EN: Unimolecular Organic Afterglow Luminophore With Anti‐Kasha/Kasha Emission for in Vivo Activatable Imaging</w:t>
      </w:r>
    </w:p>
    <w:p>
      <w:pPr>
        <w:spacing w:before="0" w:after="120"/>
      </w:pPr>
      <w:r>
        <w:rPr>
          <w:b/>
        </w:rPr>
        <w:t xml:space="preserve">Source: </w:t>
      </w:r>
      <w:r>
        <w:t>Wiley: Angewandte Chemie International Edition: Table of Contents</w:t>
      </w:r>
      <w:r>
        <w:t xml:space="preserve">    </w:t>
      </w:r>
      <w:r>
        <w:rPr>
          <w:b/>
        </w:rPr>
        <w:t xml:space="preserve">Pub date: </w:t>
      </w:r>
      <w:r>
        <w:t>2026-04-20 11:18:52+00:00</w:t>
      </w:r>
      <w:r>
        <w:t xml:space="preserve">    </w:t>
      </w:r>
      <w:r>
        <w:rPr>
          <w:b/>
        </w:rPr>
        <w:t xml:space="preserve">DOI: </w:t>
      </w:r>
      <w:hyperlink r:id="rId469">
        <w:r>
          <w:rPr>
            <w:color w:val="1155CC"/>
            <w:u w:val="single"/>
          </w:rPr>
          <w:t>10.1002/anie.3863987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余辉发光通过消除组织自发荧光在生物医学成像中具有巨大潜力。单分子余辉系统避免了纳米封装的需要，提供了增强的简单性和结构灵活性，以及比常见的基于纳米颗粒的设计更好的体内稳定性。然而，合理设计仍然具有挑战性，只有少数单分子系统被报道。这些系统通常表现出低信号强度，限制了其生物医学应用。为了解决这一问题，我们设计了一种基于半花菁的单分子有机余辉平台（CyIA），具有高余辉亮度和结构可调性，用于体内可激活成像。CyIA显示出反Kasha/Kasha双重发射，具有明亮的余辉信号</w:t>
      </w:r>
    </w:p>
    <w:p>
      <w:pPr>
        <w:spacing w:before="0" w:after="200" w:lineRule="auto" w:line="276"/>
      </w:pPr>
      <w:r>
        <w:rPr>
          <w:b/>
        </w:rPr>
        <w:t xml:space="preserve">Abstract (EN): </w:t>
      </w:r>
      <w:r>
        <w:t>Afterglow luminescence holds great promise for biomedical imaging by eliminating tissue autofluorescence. Unimolecular afterglow systems avoid the need for nanoencapsulation, providing enhanced simplicity and structure flexibility as well as in vivo stability over common nanoparticle‐based designs. However, rational design remains challenging, and only a few unimolecular systems have been reported. These systems often exhibit low signal intensity, which restricts their biomedical applications. To resolve it, we design a hemicyanine‐based unimolecular organic afterglow platform (CyIA) with high afterglow brightness and structural tunability for in vivo activatable imaging. CyIA displays anti‐Kasha/Kasha dual‐emission with bright afterglow signal in aqueous solution, up to 10</w:t>
      </w:r>
      <w:r>
        <w:rPr>
          <w:vertAlign w:val="subscript"/>
        </w:rPr>
        <w:t>8</w:t>
      </w:r>
      <w:r>
        <w:t>p/s/cm</w:t>
      </w:r>
      <w:r>
        <w:rPr>
          <w:vertAlign w:val="subscript"/>
        </w:rPr>
        <w:t>2</w:t>
      </w:r>
      <w:r>
        <w:t>/sr, which is nearly three orders of magnitude higher than previously reported unimolecular organic afterglow probes. Leveraging the structural flexibility, a butyrylcholinesterase (BChE)‐activatable afterglow probe (CyIAB‐T) is fabricated. This probe enables a specific and sensitive detection of BChE in Alzheimer's disease (AD) model mice with higher contrast relative to fluorescence imaging. Importantly, this probe permits dynamic tracking of the age‐dependent upregulation of BChE during AD progression. Therefore, this study establishes a versatile unimolecular organic afterglow scaffold with high intensity and structural flexibility for developing activatable afterglow probes for high‐contrast biomedical imaging.</w:t>
      </w:r>
    </w:p>
    <w:p>
      <w:pPr>
        <w:spacing w:before="120" w:after="120"/>
      </w:pPr>
      <w:r>
        <w:rPr>
          <w:sz w:val="18"/>
        </w:rPr>
        <w:t>——————————————————————————————————————————————————————————————————————</w:t>
      </w:r>
    </w:p>
    <w:p>
      <w:pPr>
        <w:spacing w:before="160" w:after="40" w:line="240" w:lineRule="auto"/>
      </w:pPr>
      <w:r>
        <w:rPr>
          <w:b/>
        </w:rPr>
        <w:t xml:space="preserve">[138] </w:t>
      </w:r>
      <w:hyperlink r:id="rId470">
        <w:r>
          <w:rPr>
            <w:color w:val="1155CC"/>
            <w:u w:val="single"/>
          </w:rPr>
          <w:t>DNA凝聚体实现无串扰操作的相同DNA计算级联</w:t>
        </w:r>
      </w:hyperlink>
    </w:p>
    <w:p>
      <w:pPr>
        <w:spacing w:before="0" w:after="80"/>
      </w:pPr>
      <w:r>
        <w:rPr>
          <w:i/>
          <w:sz w:val="20"/>
        </w:rPr>
        <w:t>EN: DNA Condensates Enable Crosstalk‐Free Operation of Identical DNA Computing Cascades</w:t>
      </w:r>
    </w:p>
    <w:p>
      <w:pPr>
        <w:spacing w:before="0" w:after="120"/>
      </w:pPr>
      <w:r>
        <w:rPr>
          <w:b/>
        </w:rPr>
        <w:t xml:space="preserve">Source: </w:t>
      </w:r>
      <w:r>
        <w:t>Wiley: Angewandte Chemie International Edition: Table of Contents</w:t>
      </w:r>
      <w:r>
        <w:t xml:space="preserve">    </w:t>
      </w:r>
      <w:r>
        <w:rPr>
          <w:b/>
        </w:rPr>
        <w:t xml:space="preserve">Pub date: </w:t>
      </w:r>
      <w:r>
        <w:t>2026-04-20 11:22:50+00:00</w:t>
      </w:r>
      <w:r>
        <w:t xml:space="preserve">    </w:t>
      </w:r>
      <w:r>
        <w:rPr>
          <w:b/>
        </w:rPr>
        <w:t xml:space="preserve">DOI: </w:t>
      </w:r>
      <w:hyperlink r:id="rId471">
        <w:r>
          <w:rPr>
            <w:color w:val="1155CC"/>
            <w:u w:val="single"/>
          </w:rPr>
          <w:t>10.1002/anie.5954994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DNA链置换反应（SDR）已推动了生物传感设备、分子机器和分子计算的发展。然而，对高序列正交性的需求对DNA SDR网络的模块化集成和扩展到能够执行高级或并行功能的更复杂系统构成了重大挑战。在此，我们提出使用具有可寻址条形码的液态DNA凝聚体来限制DNA SDR网络，以便平行和选择性地操作几乎相同的电路，这些电路在均相溶液中会显示出不期望的串扰。通过引入转换模块，可以通过相应的凝聚体识别特定输入并转换为统一的信使，以在本地触发下游DNA处理。</w:t>
      </w:r>
    </w:p>
    <w:p>
      <w:pPr>
        <w:spacing w:before="0" w:after="200" w:lineRule="auto" w:line="276"/>
      </w:pPr>
      <w:r>
        <w:rPr>
          <w:b/>
        </w:rPr>
        <w:t xml:space="preserve">Abstract (EN): </w:t>
      </w:r>
      <w:r>
        <w:t>DNA strand displacement reactions (SDR) have enabled the development of biosensing devices, molecular machines, and molecular computing. However, the need for high sequence orthogonality poses a major challenge to the modular integration and scaling of DNA SDR networks into more complex systems capable of advanced or parallel functions. Here, we propose the use of liquid‐like DNA condensates with addressable barcodes for confining DNA SDR networks for parallel and selective operation of near‐identical circuits that would otherwise show undesired crosstalk in a homogeneous solution. By introducing Transducer modules, specific inputs can be recognized by corresponding condensates and converted to a unified Messenger for triggering downstream DNA processing locally. This allows orthogonal execution of DNA SDRs of the same sequence design in different compartments in parallel without crosstalk and interference. Our strategy contributes a facile approach to enhance modularity and scalability in DNA SDR network design, paving the way for more sophisticated and complex functionalities.</w:t>
      </w:r>
    </w:p>
    <w:p>
      <w:pPr>
        <w:spacing w:before="120" w:after="120"/>
      </w:pPr>
      <w:r>
        <w:rPr>
          <w:sz w:val="18"/>
        </w:rPr>
        <w:t>——————————————————————————————————————————————————————————————————————</w:t>
      </w:r>
    </w:p>
    <w:p>
      <w:pPr>
        <w:spacing w:before="160" w:after="40" w:line="240" w:lineRule="auto"/>
      </w:pPr>
      <w:r>
        <w:rPr>
          <w:b/>
        </w:rPr>
        <w:t xml:space="preserve">[139] </w:t>
      </w:r>
      <w:hyperlink r:id="rId472">
        <w:r>
          <w:rPr>
            <w:color w:val="1155CC"/>
            <w:u w:val="single"/>
          </w:rPr>
          <w:t>通过直接N─N偶联绕过氢化途径实现可持续硝酸盐水修复</w:t>
        </w:r>
      </w:hyperlink>
    </w:p>
    <w:p>
      <w:pPr>
        <w:spacing w:before="0" w:after="80"/>
      </w:pPr>
      <w:r>
        <w:rPr>
          <w:i/>
          <w:sz w:val="20"/>
        </w:rPr>
        <w:t>EN: Bypassing Hydrogenation Pathway for Sustainable Nitrate Water Remediation via Direct N─N Coupling</w:t>
      </w:r>
    </w:p>
    <w:p>
      <w:pPr>
        <w:spacing w:before="0" w:after="120"/>
      </w:pPr>
      <w:r>
        <w:rPr>
          <w:b/>
        </w:rPr>
        <w:t xml:space="preserve">Source: </w:t>
      </w:r>
      <w:r>
        <w:t>Wiley: Angewandte Chemie International Edition: Table of Contents</w:t>
      </w:r>
      <w:r>
        <w:t xml:space="preserve">    </w:t>
      </w:r>
      <w:r>
        <w:rPr>
          <w:b/>
        </w:rPr>
        <w:t xml:space="preserve">Pub date: </w:t>
      </w:r>
      <w:r>
        <w:t>2026-04-20 11:24:48+00:00</w:t>
      </w:r>
      <w:r>
        <w:t xml:space="preserve">    </w:t>
      </w:r>
      <w:r>
        <w:rPr>
          <w:b/>
        </w:rPr>
        <w:t xml:space="preserve">DOI: </w:t>
      </w:r>
      <w:hyperlink r:id="rId473">
        <w:r>
          <w:rPr>
            <w:color w:val="1155CC"/>
            <w:u w:val="single"/>
          </w:rPr>
          <w:t>10.1002/anie.7025421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催化硝酸盐 (NO3−) 还原 (CNR) 为二氮 (N2) 提供了一种有效的氮污染修复策略，但受到偏好氨 (NH3) 生成的限制。这种选择性挑战源于氢原子 (H*) 介导的途径本质上更倾向于 N─H 耦合而非所需的 N─N 耦合。在此，我们报告了一种在精确设计的 Sn3/Pd 催化剂上由甲酸 (HCOOH) 驱动的质子耦合电子转移 (PCET) 路径。催化剂设计具有协同的双金属界面，其中 Pd 位点促进 HCOOH 活化。</w:t>
      </w:r>
    </w:p>
    <w:p>
      <w:pPr>
        <w:spacing w:before="0" w:after="200" w:lineRule="auto" w:line="276"/>
      </w:pPr>
      <w:r>
        <w:rPr>
          <w:b/>
        </w:rPr>
        <w:t xml:space="preserve">Abstract (EN): </w:t>
      </w:r>
      <w:r>
        <w:t>Catalytic nitrate (NO</w:t>
      </w:r>
      <w:r>
        <w:rPr>
          <w:vertAlign w:val="subscript"/>
        </w:rPr>
        <w:t>3</w:t>
      </w:r>
      <w:r>
        <w:t>−</w:t>
      </w:r>
      <w:r>
        <w:t>) reduction (CNR) to dinitrogen (N</w:t>
      </w:r>
      <w:r>
        <w:rPr>
          <w:vertAlign w:val="subscript"/>
        </w:rPr>
        <w:t>2</w:t>
      </w:r>
      <w:r>
        <w:t>) offers an efficient strategy for remediating nitrogen pollution but is constrained by preferred ammonia (NH</w:t>
      </w:r>
      <w:r>
        <w:rPr>
          <w:vertAlign w:val="subscript"/>
        </w:rPr>
        <w:t>3</w:t>
      </w:r>
      <w:r>
        <w:t>) formation. This selectivity challenge arises because hydrogen atom (H*)‐mediated pathway inherently favors N─H coupling over the desired N─N coupling. Here, we report a formic acid (HCOOH)‐driven proton‐coupled electron transfer (PCET) pathway on a precisely engineered Sn</w:t>
      </w:r>
      <w:r>
        <w:rPr>
          <w:vertAlign w:val="subscript"/>
        </w:rPr>
        <w:t>3</w:t>
      </w:r>
      <w:r>
        <w:t>/Pd catalyst. The catalyst design features a synergistic bimetallic interface where Pd sites facilitate HCOOH activation while triangular Sn</w:t>
      </w:r>
      <w:r>
        <w:rPr>
          <w:vertAlign w:val="subscript"/>
        </w:rPr>
        <w:t>3</w:t>
      </w:r>
      <w:r>
        <w:t>ensembles selectively adsorb NO</w:t>
      </w:r>
      <w:r>
        <w:rPr>
          <w:vertAlign w:val="subscript"/>
        </w:rPr>
        <w:t>3</w:t>
      </w:r>
      <w:r>
        <w:t>−</w:t>
      </w:r>
      <w:r>
        <w:t>. This direct PCET from HCOOH to NO</w:t>
      </w:r>
      <w:r>
        <w:rPr>
          <w:vertAlign w:val="subscript"/>
        </w:rPr>
        <w:t>3</w:t>
      </w:r>
      <w:r>
        <w:t>−</w:t>
      </w:r>
      <w:r>
        <w:t>achieved a remarkable 96.5% NO</w:t>
      </w:r>
      <w:r>
        <w:rPr>
          <w:vertAlign w:val="subscript"/>
        </w:rPr>
        <w:t>3</w:t>
      </w:r>
      <w:r>
        <w:t>−</w:t>
      </w:r>
      <w:r>
        <w:t>removal and 97.4% N</w:t>
      </w:r>
      <w:r>
        <w:rPr>
          <w:vertAlign w:val="subscript"/>
        </w:rPr>
        <w:t>2</w:t>
      </w:r>
      <w:r>
        <w:t>selectivity at environmentally relevant concentrations (100 mg‐N/L). Operando mass spectrometry and density functional theory (DFT) calculations reveal that Sn</w:t>
      </w:r>
      <w:r>
        <w:rPr>
          <w:vertAlign w:val="subscript"/>
        </w:rPr>
        <w:t>3</w:t>
      </w:r>
      <w:r>
        <w:t>ensembles thermodynamically favored N─N coupling while also acting as a steric barrier that kinetically impedes H* migration to adsorbed N* intermediates, effectively suppressing NH</w:t>
      </w:r>
      <w:r>
        <w:rPr>
          <w:vertAlign w:val="subscript"/>
        </w:rPr>
        <w:t>3</w:t>
      </w:r>
      <w:r>
        <w:t>formation. Furthermore, by integrating the CNR process with electro‐synthesized HCOOH, we demonstrated a synergistic technology that slashed the carbon footprint of wastewater treatment by 43.3%, decreasing from 33.50  kg CO</w:t>
      </w:r>
      <w:r>
        <w:rPr>
          <w:vertAlign w:val="subscript"/>
        </w:rPr>
        <w:t>2</w:t>
      </w:r>
      <w:r>
        <w:t>‐eq t</w:t>
      </w:r>
      <w:r>
        <w:t xml:space="preserve"> </w:t>
      </w:r>
      <w:r>
        <w:t>−1</w:t>
      </w:r>
      <w:r>
        <w:t xml:space="preserve"> </w:t>
      </w:r>
      <w:r>
        <w:t>to 19.01  kg  CO</w:t>
      </w:r>
      <w:r>
        <w:rPr>
          <w:vertAlign w:val="subscript"/>
        </w:rPr>
        <w:t>2</w:t>
      </w:r>
      <w:r>
        <w:t>‐eq t</w:t>
      </w:r>
      <w:r>
        <w:t xml:space="preserve"> </w:t>
      </w:r>
      <w:r>
        <w:t>−1</w:t>
      </w:r>
      <w:r>
        <w:t xml:space="preserve"> </w:t>
      </w:r>
      <w:r>
        <w:t>. Our work establishes atomic ensemble engineering as a powerful strategy to steer catalytic pathway through PCET, offering a viable solution for sustainable NO</w:t>
      </w:r>
      <w:r>
        <w:rPr>
          <w:vertAlign w:val="subscript"/>
        </w:rPr>
        <w:t>3</w:t>
      </w:r>
      <w:r>
        <w:t>−</w:t>
      </w:r>
      <w:r>
        <w:t>removal.</w:t>
      </w:r>
    </w:p>
    <w:p>
      <w:pPr>
        <w:spacing w:before="120" w:after="120"/>
      </w:pPr>
      <w:r>
        <w:rPr>
          <w:sz w:val="18"/>
        </w:rPr>
        <w:t>——————————————————————————————————————————————————————————————————————</w:t>
      </w:r>
    </w:p>
    <w:p>
      <w:pPr>
        <w:spacing w:before="160" w:after="40" w:line="240" w:lineRule="auto"/>
      </w:pPr>
      <w:r>
        <w:rPr>
          <w:b/>
        </w:rPr>
        <w:t xml:space="preserve">[140] </w:t>
      </w:r>
      <w:hyperlink r:id="rId474">
        <w:r>
          <w:rPr>
            <w:color w:val="1155CC"/>
            <w:u w:val="single"/>
          </w:rPr>
          <w:t>使用降冰片烯基疏水标签（HyT）策略进行激酶降解的大规模分析</w:t>
        </w:r>
      </w:hyperlink>
    </w:p>
    <w:p>
      <w:pPr>
        <w:spacing w:before="0" w:after="80"/>
      </w:pPr>
      <w:r>
        <w:rPr>
          <w:i/>
          <w:sz w:val="20"/>
        </w:rPr>
        <w:t>EN: Large‐Scale Profiling of Kinase Degradation by Using Norbornene‐Based Hydrophobic Tag (HyT) Strategy</w:t>
      </w:r>
    </w:p>
    <w:p>
      <w:pPr>
        <w:spacing w:before="0" w:after="120"/>
      </w:pPr>
      <w:r>
        <w:rPr>
          <w:b/>
        </w:rPr>
        <w:t xml:space="preserve">Source: </w:t>
      </w:r>
      <w:r>
        <w:t>Wiley: Angewandte Chemie International Edition: Table of Contents</w:t>
      </w:r>
      <w:r>
        <w:t xml:space="preserve">    </w:t>
      </w:r>
      <w:r>
        <w:rPr>
          <w:b/>
        </w:rPr>
        <w:t xml:space="preserve">Pub date: </w:t>
      </w:r>
      <w:r>
        <w:t>2026-04-20 11:25:51+00:00</w:t>
      </w:r>
      <w:r>
        <w:t xml:space="preserve">    </w:t>
      </w:r>
      <w:r>
        <w:rPr>
          <w:b/>
        </w:rPr>
        <w:t xml:space="preserve">DOI: </w:t>
      </w:r>
      <w:hyperlink r:id="rId475">
        <w:r>
          <w:rPr>
            <w:color w:val="1155CC"/>
            <w:u w:val="single"/>
          </w:rPr>
          <w:t>10.1002/anie.2319269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疏水标签 (HyTs) 是有前途的双功能蛋白降解剂，通过模拟错误折叠的蛋白质来触发质量控制介导的目标降解，相较于传统的异双功能降解剂如蛋白水解靶向嵌合体 (PROTACs) 提供了关键优势。然而，这种靶向蛋白降解 (TPD) 策略在整个人体激酶组中的范围和普遍性仍未被探索。在这项研究中，我们首先通过开发基于泛激酶骨架的两种通用 HyTs 来解决这一空白，能够通过定量化学蛋白质组学进行大规模蛋白质组范围的激酶降解研究。随后，我们通过使用 HyT 基于策略绘制了可降解的激酶组景观，成功识别出 169 个 HyT 可降解的人类激酶。</w:t>
      </w:r>
    </w:p>
    <w:p>
      <w:pPr>
        <w:spacing w:before="0" w:after="200" w:lineRule="auto" w:line="276"/>
      </w:pPr>
      <w:r>
        <w:rPr>
          <w:b/>
        </w:rPr>
        <w:t xml:space="preserve">Abstract (EN): </w:t>
      </w:r>
      <w:r>
        <w:t>Hydrophobic tags (HyTs) are promising bifunctional protein degraders that mimic misfolded proteins to trigger quality control‐mediated target degradation, offering key advantages over traditional heterobifunctional degraders such as proteolysis‐targeting chimeras (PROTACs). However, the scope and generality of this targeted protein degradation (TPD) strategy across the human kinome remain unexplored. In this study, we first addressed this gap by developing two general HyTs on the basis of a pan‐kinase scaffold capable of large‐scale proteome‐wide studies of kinase degradation by using quantitative chemoproteomics. We subsequently mapped the degradable kinome landscape by using a HyT‐based strategy, leading to the successful identification of 169 HyT‐degradable human kinases. Leveraging this comprehensive kinase degradome map, we next rationally designed norbornene‐based HyT degraders against ABL and AURKA, obtaining two optimized HyTs with potent degradation capabilities. We further elucidated the detailed mechanistic insight of these novel degraders. To overcome the inherent poor water solubility of HyTs, we next engineered HyT‐loaded, tumor microenvironment (TME)‐responsive self‐assembled nanoparticles (NPs), which showed improved tumor accumulation and therapeutic efficacy in vivo. With key advantages including rapid target identification and a modular NP‐based delivery platform, our work herein provides a comprehensive framework for future development of potential kinase therapeutics based on HyT degraders.</w:t>
      </w:r>
    </w:p>
    <w:p>
      <w:pPr>
        <w:spacing w:before="120" w:after="120"/>
      </w:pPr>
      <w:r>
        <w:rPr>
          <w:sz w:val="18"/>
        </w:rPr>
        <w:t>——————————————————————————————————————————————————————————————————————</w:t>
      </w:r>
    </w:p>
    <w:p>
      <w:pPr>
        <w:spacing w:before="160" w:after="40" w:line="240" w:lineRule="auto"/>
      </w:pPr>
      <w:r>
        <w:rPr>
          <w:b/>
        </w:rPr>
        <w:t xml:space="preserve">[141] </w:t>
      </w:r>
      <w:hyperlink r:id="rId476">
        <w:r>
          <w:rPr>
            <w:color w:val="1155CC"/>
            <w:u w:val="single"/>
          </w:rPr>
          <w:t>用于金催化非对映选择性和对映选择性炔酮/烯醇加成环化的手性多功能膦配体</w:t>
        </w:r>
      </w:hyperlink>
    </w:p>
    <w:p>
      <w:pPr>
        <w:spacing w:before="0" w:after="80"/>
      </w:pPr>
      <w:r>
        <w:rPr>
          <w:i/>
          <w:sz w:val="20"/>
        </w:rPr>
        <w:t>EN: A Chiral Multifunctional Phosphine Ligand for Gold‐Catalyzed Diastereo‐ and Enantioselective Cyclization of Yne‐enones/Enol‐Addition</w:t>
      </w:r>
    </w:p>
    <w:p>
      <w:pPr>
        <w:spacing w:before="0" w:after="120"/>
      </w:pPr>
      <w:r>
        <w:rPr>
          <w:b/>
        </w:rPr>
        <w:t xml:space="preserve">Source: </w:t>
      </w:r>
      <w:r>
        <w:t>Wiley: Angewandte Chemie International Edition: Table of Contents</w:t>
      </w:r>
      <w:r>
        <w:t xml:space="preserve">    </w:t>
      </w:r>
      <w:r>
        <w:rPr>
          <w:b/>
        </w:rPr>
        <w:t xml:space="preserve">Pub date: </w:t>
      </w:r>
      <w:r>
        <w:t>2026-04-20 11:27:27+00:00</w:t>
      </w:r>
      <w:r>
        <w:t xml:space="preserve">    </w:t>
      </w:r>
      <w:r>
        <w:rPr>
          <w:b/>
        </w:rPr>
        <w:t xml:space="preserve">DOI: </w:t>
      </w:r>
      <w:hyperlink r:id="rId477">
        <w:r>
          <w:rPr>
            <w:color w:val="1155CC"/>
            <w:u w:val="single"/>
          </w:rPr>
          <w:t>10.1002/anie.5931335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Au(I) 催化的不对称级联环化 yne-enones/加成代表了一种构建呋喃骨架的强大策略；然而，在此转化中使用烯醇型碳亲核试剂仍然是一个相当大的挑战。在这项研究中，我们报告了一种新型生物启发的手性多功能膦配体及其在 Au(I) 催化的高对映选择性和非对映选择性 yne-enones/烯醇加成环化中的应用。该催化系统耐受广泛的底物，首次通过这种反应类型提供了具有连续立体中心的呋喃产物。控制实验和 DFT 计算强调了我们合作多功能设计的有效性，其中模块化多</w:t>
      </w:r>
    </w:p>
    <w:p>
      <w:pPr>
        <w:spacing w:before="0" w:after="200" w:lineRule="auto" w:line="276"/>
      </w:pPr>
      <w:r>
        <w:rPr>
          <w:b/>
        </w:rPr>
        <w:t xml:space="preserve">Abstract (EN): </w:t>
      </w:r>
      <w:r>
        <w:t>The Au(I)‐catalyzed asymmetric cascade cyclization of yne‐enones/addition represents a powerful strategy for constructing furan skeletons; however, the use of enol‐type carbon nucleophiles in this transformation remains a considerable challenge. In this study, we report the development of a novel bio‐inspired chiral multifunctional phosphine ligand and its application in Au(I)‐catalyzed highly diastereo‐ and enantioselective cyclization of yne‐enones/enol‐addition. The catalytic system tolerated a broad range of substrates, for the first time, providing access to furan products bearing consecutive stereocenters via this reaction type. Control experiments and DFT calculations underscore the validity of our cooperative multifunctional design, wherein modular multiple chiral centers and tailored noncovalent interactions collectively account for the excellent stereocontrol and high chemoselectivity observed.</w:t>
      </w:r>
    </w:p>
    <w:p>
      <w:pPr>
        <w:spacing w:before="120" w:after="120"/>
      </w:pPr>
      <w:r>
        <w:rPr>
          <w:sz w:val="18"/>
        </w:rPr>
        <w:t>——————————————————————————————————————————————————————————————————————</w:t>
      </w:r>
    </w:p>
    <w:p>
      <w:pPr>
        <w:spacing w:before="160" w:after="40" w:line="240" w:lineRule="auto"/>
      </w:pPr>
      <w:r>
        <w:rPr>
          <w:b/>
        </w:rPr>
        <w:t xml:space="preserve">[142] </w:t>
      </w:r>
      <w:hyperlink r:id="rId478">
        <w:r>
          <w:rPr>
            <w:color w:val="1155CC"/>
            <w:u w:val="single"/>
          </w:rPr>
          <w:t>从1,3-二烯构建乙烯基环丙烷的硫导向构建方法</w:t>
        </w:r>
      </w:hyperlink>
    </w:p>
    <w:p>
      <w:pPr>
        <w:spacing w:before="0" w:after="80"/>
      </w:pPr>
      <w:r>
        <w:rPr>
          <w:i/>
          <w:sz w:val="20"/>
        </w:rPr>
        <w:t>EN: Sulfur‐Directed Construction of Vinyl Cyclopropanes from 1,3‐Dienes</w:t>
      </w:r>
    </w:p>
    <w:p>
      <w:pPr>
        <w:spacing w:before="0" w:after="120"/>
      </w:pPr>
      <w:r>
        <w:rPr>
          <w:b/>
        </w:rPr>
        <w:t xml:space="preserve">Source: </w:t>
      </w:r>
      <w:r>
        <w:t>Wiley: Angewandte Chemie International Edition: Table of Contents</w:t>
      </w:r>
      <w:r>
        <w:t xml:space="preserve">    </w:t>
      </w:r>
      <w:r>
        <w:rPr>
          <w:b/>
        </w:rPr>
        <w:t xml:space="preserve">Pub date: </w:t>
      </w:r>
      <w:r>
        <w:t>2026-04-20 11:29:50+00:00</w:t>
      </w:r>
      <w:r>
        <w:t xml:space="preserve">    </w:t>
      </w:r>
      <w:r>
        <w:rPr>
          <w:b/>
        </w:rPr>
        <w:t xml:space="preserve">DOI: </w:t>
      </w:r>
      <w:hyperlink r:id="rId479">
        <w:r>
          <w:rPr>
            <w:color w:val="1155CC"/>
            <w:u w:val="single"/>
          </w:rPr>
          <w:t>10.1002/anie.4468205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1,3-二烯的立体选择性环丙烷化在制备乙烯基环丙烷（VCPs）中仍然是一个长期存在的挑战，因为二烯骨架的固有电子和空间偏差。我们报告了一种硫导向策略，使得在Cu催化反应条件下，能够高度位点和非对映选择性地环丙烷化S-取代的1,3-二烯与重氮试剂。这种前所未有的方法通过硫醚导向的反应模式克服了1,3-二烯的固有反应性，快速获得了高度功能化的S-VCPs广泛库，作为单一区域和非对映异构体获得。初步的机制研究在</w:t>
      </w:r>
    </w:p>
    <w:p>
      <w:pPr>
        <w:spacing w:before="0" w:after="200" w:lineRule="auto" w:line="276"/>
      </w:pPr>
      <w:r>
        <w:rPr>
          <w:b/>
        </w:rPr>
        <w:t xml:space="preserve">Abstract (EN): </w:t>
      </w:r>
      <w:r>
        <w:t>The stereoselective cyclopropanation of 1,3‐dienes remains a long‐standing challenge in the preparation of vinyl cyclopropanes (VCPs) due to the intrinsic electronic and steric bias of the diene scaffold. We report a sulfur‐directed strategy that enables highly site‐ and diastereoselective cyclopropanation of</w:t>
      </w:r>
      <w:r>
        <w:t xml:space="preserve"> </w:t>
      </w:r>
      <w:r>
        <w:t>S</w:t>
      </w:r>
      <w:r>
        <w:t xml:space="preserve"> </w:t>
      </w:r>
      <w:r>
        <w:t>‐substituted 1,3‐dienes with diazo reagents under Cu‐catalyzed reaction conditions. This unprecedented approach overrides the innate reactivity of the 1,3‐diene through a thioether‐directed reaction mode, providing rapid access to a broad library of highly functionalized</w:t>
      </w:r>
      <w:r>
        <w:t xml:space="preserve"> </w:t>
      </w:r>
      <w:r>
        <w:t>S</w:t>
      </w:r>
      <w:r>
        <w:t xml:space="preserve"> </w:t>
      </w:r>
      <w:r>
        <w:t>‐VCPs obtained as single regio‐ and diastereomers. Preliminary mechanistic studies indicate a pericyclic cascade involving a 6π‐electrocyclization and a [2,3]‐sigmatropic rearrangement and postmodifications permit streamlined access to complex VCPs that remain inaccessible through conventional cyclopropanation techniques.</w:t>
      </w:r>
    </w:p>
    <w:p>
      <w:pPr>
        <w:spacing w:before="120" w:after="120"/>
      </w:pPr>
      <w:r>
        <w:rPr>
          <w:sz w:val="18"/>
        </w:rPr>
        <w:t>——————————————————————————————————————————————————————————————————————</w:t>
      </w:r>
    </w:p>
    <w:p>
      <w:pPr>
        <w:spacing w:before="160" w:after="40" w:line="240" w:lineRule="auto"/>
      </w:pPr>
      <w:r>
        <w:rPr>
          <w:b/>
        </w:rPr>
        <w:t xml:space="preserve">[143] </w:t>
      </w:r>
      <w:hyperlink r:id="rId480">
        <w:r>
          <w:rPr>
            <w:color w:val="1155CC"/>
            <w:u w:val="single"/>
          </w:rPr>
          <w:t>针对人类UDP‐半乳糖‐4‐差向异构酶的协同抑制剂开发策略</w:t>
        </w:r>
      </w:hyperlink>
    </w:p>
    <w:p>
      <w:pPr>
        <w:spacing w:before="0" w:after="80"/>
      </w:pPr>
      <w:r>
        <w:rPr>
          <w:i/>
          <w:sz w:val="20"/>
        </w:rPr>
        <w:t>EN: A Synergistic Inhibitor Development Strategy Against Human UDP‐Galactose‐4‐Epimerase</w:t>
      </w:r>
    </w:p>
    <w:p>
      <w:pPr>
        <w:spacing w:before="0" w:after="120"/>
      </w:pPr>
      <w:r>
        <w:rPr>
          <w:b/>
        </w:rPr>
        <w:t xml:space="preserve">Source: </w:t>
      </w:r>
      <w:r>
        <w:t>Wiley: Angewandte Chemie International Edition: Table of Contents</w:t>
      </w:r>
      <w:r>
        <w:t xml:space="preserve">    </w:t>
      </w:r>
      <w:r>
        <w:rPr>
          <w:b/>
        </w:rPr>
        <w:t xml:space="preserve">Pub date: </w:t>
      </w:r>
      <w:r>
        <w:t>2026-04-20 11:32:07+00:00</w:t>
      </w:r>
      <w:r>
        <w:t xml:space="preserve">    </w:t>
      </w:r>
      <w:r>
        <w:rPr>
          <w:b/>
        </w:rPr>
        <w:t xml:space="preserve">DOI: </w:t>
      </w:r>
      <w:hyperlink r:id="rId481">
        <w:r>
          <w:rPr>
            <w:color w:val="1155CC"/>
            <w:u w:val="single"/>
          </w:rPr>
          <w:t>10.1002/anie.202520304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O-GalNAc（N-乙酰半乳糖胺基）糖基化是哺乳动物细胞中一种丰富的翻译后修饰。O-GalNAc糖基化的失调与癌症转移和免疫逃逸有关；然而，由于缺乏小分子工具，我们的机制理解仍然有限。O-GalNAc生物合成在很大程度上依赖于由胞质酶UDP-半乳糖-4-差向异构酶（GalE）生物合成的UDP-GalNAc的可用性。敲除研究表明，GalE的缺失严重损害了O-GalNAc糖基化，将GalE定位为肿瘤学中有前途的酶治疗靶点。在此，我们提出了一种结合共价和高通量的高效工作流程</w:t>
      </w:r>
    </w:p>
    <w:p>
      <w:pPr>
        <w:spacing w:before="0" w:after="200" w:lineRule="auto" w:line="276"/>
      </w:pPr>
      <w:r>
        <w:rPr>
          <w:b/>
        </w:rPr>
        <w:t xml:space="preserve">Abstract (EN): </w:t>
      </w:r>
      <w:r>
        <w:t>O‐GalNAc (</w:t>
      </w:r>
      <w:r>
        <w:t xml:space="preserve"> </w:t>
      </w:r>
      <w:r>
        <w:t>N</w:t>
      </w:r>
      <w:r>
        <w:t xml:space="preserve"> </w:t>
      </w:r>
      <w:r>
        <w:t>‐acetylgalactosaminyl) glycosylation is an abundant posttranslational modification in mammalian cells. Dysregulation of O‐GalNAc glycosylation is implicated in cancer metastasis and immune evasion; however, our mechanistic understanding remains limited due to the lack of small‐molecule tools. O‐GalNAc biosynthesis depends heavily on the availability of UDP‐GalNAc that is biosynthesised by the cytosolic enzyme UDP‐galactose‐4‐epimerase (GalE). Knockout studies have demonstrated that loss of GalE severely impairs O‐GalNAc glycosylation, positioning GalE as a promising enzymatic therapeutic target in oncology. Here, we present an efficient workflow that combines both covalent and high‐throughput crystallographic non‐covalent fragment screening with structure‐based design to identify GalE inhibitors. Using these strategies, we discovered a ligandable pocket adjacent to a reactive tyrosine, enabling the development of a potent, “beyond cysteine” sulfonyl fluoride covalent inhibitor as well as a derived covalent alkyne probe. Structurally‐enabled fragment screening methodologies yielded nanomolar non‐covalent as well as covalent binders within no more than 22 elaborated compounds. Our work demonstrates synergism in next‐generation delivery of chemical matter for GalE inhibition, with the broader potential for targeting non‐cysteine residues in chemical biology and therapeutic applications.</w:t>
      </w:r>
    </w:p>
    <w:p>
      <w:pPr>
        <w:spacing w:before="120" w:after="120"/>
      </w:pPr>
      <w:r>
        <w:rPr>
          <w:sz w:val="18"/>
        </w:rPr>
        <w:t>——————————————————————————————————————————————————————————————————————</w:t>
      </w:r>
    </w:p>
    <w:p>
      <w:pPr>
        <w:spacing w:before="160" w:after="40" w:line="240" w:lineRule="auto"/>
      </w:pPr>
      <w:r>
        <w:rPr>
          <w:b/>
        </w:rPr>
        <w:t xml:space="preserve">[144] </w:t>
      </w:r>
      <w:hyperlink r:id="rId482">
        <w:r>
          <w:rPr>
            <w:color w:val="1155CC"/>
            <w:u w:val="single"/>
          </w:rPr>
          <w:t>[ASAP] CrystalX：使用深度学习的高精度晶体结构分析</w:t>
        </w:r>
      </w:hyperlink>
    </w:p>
    <w:p>
      <w:pPr>
        <w:spacing w:before="0" w:after="80"/>
      </w:pPr>
      <w:r>
        <w:rPr>
          <w:i/>
          <w:sz w:val="20"/>
        </w:rPr>
        <w:t>EN: [ASAP] CrystalX: High-Accuracy Crystal Structure Analysis Using Deep Learning</w:t>
      </w:r>
    </w:p>
    <w:p>
      <w:pPr>
        <w:spacing w:before="0" w:after="120"/>
      </w:pPr>
      <w:r>
        <w:rPr>
          <w:b/>
        </w:rPr>
        <w:t xml:space="preserve">Source: </w:t>
      </w:r>
      <w:r>
        <w:t>Journal of the American Chemical Society: Latest Articles (ACS Publications)</w:t>
      </w:r>
      <w:r>
        <w:t xml:space="preserve">    </w:t>
      </w:r>
      <w:r>
        <w:rPr>
          <w:b/>
        </w:rPr>
        <w:t xml:space="preserve">Pub date: </w:t>
      </w:r>
      <w:r>
        <w:t>2026-04-20 11:47:02+00:00</w:t>
      </w:r>
      <w:r>
        <w:t xml:space="preserve">    </w:t>
      </w:r>
      <w:r>
        <w:rPr>
          <w:b/>
        </w:rPr>
        <w:t xml:space="preserve">DOI: </w:t>
      </w:r>
      <w:hyperlink r:id="rId483">
        <w:r>
          <w:rPr>
            <w:color w:val="1155CC"/>
            <w:u w:val="single"/>
          </w:rPr>
          <w:t>10.1021/jacs.5c21832</w:t>
        </w:r>
      </w:hyperlink>
    </w:p>
    <w:p>
      <w:pPr>
        <w:spacing w:before="0" w:after="120"/>
      </w:pPr>
      <w:r>
        <w:rPr>
          <w:b/>
        </w:rPr>
        <w:t xml:space="preserve">Notes: </w:t>
      </w:r>
      <w:r>
        <w:t>abstract_source=pubmed</w:t>
      </w:r>
    </w:p>
    <w:p>
      <w:pPr>
        <w:spacing w:before="0" w:after="80" w:lineRule="auto" w:line="276"/>
      </w:pPr>
      <w:r>
        <w:rPr>
          <w:b/>
        </w:rPr>
        <w:t xml:space="preserve">摘要（ZH）: </w:t>
      </w:r>
      <w:r>
        <w:t>晶体材料的原子结构分析在化学和材料科学中是一项重要任务。这一复杂技术不仅需要扎实的晶体学基础，还需要对伴随软件的复杂性有深刻理解，这对满足严格的日常需求构成了重大挑战。我们首次通过利用深度学习的力量，正面应对这一挑战，实现全原子水平的全自动常规结构分析。为了验证名为CrystalX的模型性能，我们使用了一个包含超过50,000个X射线衍射测量的真实实验数据集。在严格的时间验证方案下，训练和测试数据按发表时间分开，CrystalX</w:t>
      </w:r>
    </w:p>
    <w:p>
      <w:pPr>
        <w:spacing w:before="0" w:after="200" w:lineRule="auto" w:line="276"/>
      </w:pPr>
      <w:r>
        <w:rPr>
          <w:b/>
        </w:rPr>
        <w:t xml:space="preserve">Abstract (EN): </w:t>
      </w:r>
      <w:r>
        <w:t>Atomic structure analysis of crystalline materials is a paramount endeavor in both chemical and material sciences. This sophisticated technique necessitates not only a solid foundation in crystallography but also a profound comprehension of the intricacies of the accompanying software, posing a significant challenge in meeting rigorous daily demands. For the first time, we confront this challenge head-on by harnessing the power of deep learning for fully automated routine structure analysis at the full-atom level. To validate the performance of the model, named CrystalX, we employed a data set comprising over 50,000 X-ray diffraction measurements derived from authentic experiments. Under a strict temporal validation scheme that separates training and test data by publication time, CrystalX substantially outperformed the automated baseline and was adept at deciphering intricate geometric patterns. Remarkably, CrystalX revealed that even peer-reviewed publications harbor expert interpretation errors that can evade stringent CheckCIF A/B-level alerts, yet CrystalX adeptly rectifies them. It has already been successfully applied in our day-to-day pipeline, enabling fully automated, human-free structure analysis of newly discovered compounds. Overall, CrystalX marks the beginning of a new era of automating routine structural analysis within self-driving laboratories.</w:t>
      </w:r>
    </w:p>
    <w:p>
      <w:pPr>
        <w:spacing w:before="120" w:after="120"/>
      </w:pPr>
      <w:r>
        <w:rPr>
          <w:sz w:val="18"/>
        </w:rPr>
        <w:t>——————————————————————————————————————————————————————————————————————</w:t>
      </w:r>
    </w:p>
    <w:p>
      <w:pPr>
        <w:spacing w:before="160" w:after="40" w:line="240" w:lineRule="auto"/>
      </w:pPr>
      <w:r>
        <w:rPr>
          <w:b/>
        </w:rPr>
        <w:t xml:space="preserve">[145] </w:t>
      </w:r>
      <w:hyperlink r:id="rId484">
        <w:r>
          <w:rPr>
            <w:color w:val="1155CC"/>
            <w:u w:val="single"/>
          </w:rPr>
          <w:t>[ASAP] 由亲水-亲脂平衡引导的分级大孔金属有机框架膜的自组装</w:t>
        </w:r>
      </w:hyperlink>
    </w:p>
    <w:p>
      <w:pPr>
        <w:spacing w:before="0" w:after="80"/>
      </w:pPr>
      <w:r>
        <w:rPr>
          <w:i/>
          <w:sz w:val="20"/>
        </w:rPr>
        <w:t>EN: [ASAP] Self-Assembly of Hierarchical Macroporous Metal–Organic Framework Films Guided by Hydrophilic–Lipophilic Balance</w:t>
      </w:r>
    </w:p>
    <w:p>
      <w:pPr>
        <w:spacing w:before="0" w:after="120"/>
      </w:pPr>
      <w:r>
        <w:rPr>
          <w:b/>
        </w:rPr>
        <w:t xml:space="preserve">Source: </w:t>
      </w:r>
      <w:r>
        <w:t>Journal of the American Chemical Society: Latest Articles (ACS Publications)</w:t>
      </w:r>
      <w:r>
        <w:t xml:space="preserve">    </w:t>
      </w:r>
      <w:r>
        <w:rPr>
          <w:b/>
        </w:rPr>
        <w:t xml:space="preserve">Pub date: </w:t>
      </w:r>
      <w:r>
        <w:t>2026-04-20 11:53:03+00:00</w:t>
      </w:r>
      <w:r>
        <w:t xml:space="preserve">    </w:t>
      </w:r>
      <w:r>
        <w:rPr>
          <w:b/>
        </w:rPr>
        <w:t xml:space="preserve">DOI: </w:t>
      </w:r>
      <w:hyperlink r:id="rId485">
        <w:r>
          <w:rPr>
            <w:color w:val="1155CC"/>
            <w:u w:val="single"/>
          </w:rPr>
          <w:t>10.1021/jacs.6c02716</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薄膜具有多样的化学功能性、内在的微孔性以及与表面和设备的易集成性，在多个领域引起了极大兴趣。然而，对具有分级微孔和大孔的MOF薄膜进行大面积精确控制仍然具有挑战性，因为同时保持多尺度孔隙率、结构完整性和薄膜均匀性是困难的。在本研究中，我们开发了一种亲水-亲油平衡(HLB)引导的策略，用于自组装具有明确双峰孔结构的分级大孔UiO-66 (Ce)薄膜。通过系统调节总HLB (HLBtotal)和表面活性剂结构，调节界面张力和混合胶束行为，获得了均匀的分级</w:t>
      </w:r>
    </w:p>
    <w:p>
      <w:pPr>
        <w:spacing w:before="0" w:after="200" w:lineRule="auto" w:line="276"/>
      </w:pPr>
      <w:r>
        <w:rPr>
          <w:b/>
        </w:rPr>
        <w:t xml:space="preserve">Abstract (EN): </w:t>
      </w:r>
      <w:r>
        <w:t>Metal-organic framework (MOF) films possess versatile chemical functionalities, intrinsic microporosity, and facile integration with surfaces and devices, generating significant interest across diverse fields. However, precise control over large-area MOF films with hierarchical micro- and macroporosity remains challenging because it is difficult to simultaneously maintain multiscale porosity, structural integrity, and film uniformity. In this study, we developed a hydrophilic-lipophilic balance (HLB)-guided strategy for the self-assembly of hierarchical macroporous UiO-66 (Ce) films with well-defined bimodal pore structures. Systematic tuning of the total HLB (HLBtotal) and surfactant architecture modulated the interfacial tension and mixed micelle behavior, yielding uniform hierarchical macroporous films at an HLBtotal of 11. Dissipative particle dynamics (DPD) simulations further showed that differences in HLB among surfactants affect micellar miscibility and interfacial stability, thereby influencing micelle organization and structural evolution during film growth. The resulting hierarchical macroporous UiO-66 (Ce) films exhibited enhanced catalytic performance in glycerol acetalization, attributed to improved mass transport and an increased number of active sites. This study provides fundamental insights into HLB-guided self-assembly of hierarchical macroporous MOF films, thereby contributing to the rational design of advanced porous materials for catalytic and separation applications.</w:t>
      </w:r>
    </w:p>
    <w:p>
      <w:pPr>
        <w:spacing w:before="120" w:after="120"/>
      </w:pPr>
      <w:r>
        <w:rPr>
          <w:sz w:val="18"/>
        </w:rPr>
        <w:t>——————————————————————————————————————————————————————————————————————</w:t>
      </w:r>
    </w:p>
    <w:p>
      <w:pPr>
        <w:spacing w:before="160" w:after="40" w:line="240" w:lineRule="auto"/>
      </w:pPr>
      <w:r>
        <w:rPr>
          <w:b/>
        </w:rPr>
        <w:t xml:space="preserve">[146] </w:t>
      </w:r>
      <w:hyperlink r:id="rId486">
        <w:r>
          <w:rPr>
            <w:color w:val="1155CC"/>
            <w:u w:val="single"/>
          </w:rPr>
          <w:t>通过COF分子四极矩梯度提升内建电场以实现高效H2O2光合成</w:t>
        </w:r>
      </w:hyperlink>
    </w:p>
    <w:p>
      <w:pPr>
        <w:spacing w:before="0" w:after="80"/>
      </w:pPr>
      <w:r>
        <w:rPr>
          <w:i/>
          <w:sz w:val="20"/>
        </w:rPr>
        <w:t>EN: Boosting Built‐in Electric Field via COF Molecular Quadrupole Gradients for Efficient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2026-04-20 12:05:12+00:00</w:t>
      </w:r>
      <w:r>
        <w:t xml:space="preserve">    </w:t>
      </w:r>
      <w:r>
        <w:rPr>
          <w:b/>
        </w:rPr>
        <w:t xml:space="preserve">DOI: </w:t>
      </w:r>
      <w:hyperlink r:id="rId487">
        <w:r>
          <w:rPr>
            <w:color w:val="1155CC"/>
            <w:u w:val="single"/>
          </w:rPr>
          <w:t>10.1002/anie.4717774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共价有机框架（COFs）是利用水、空气和光生成过氧化氢（H</w:t>
      </w:r>
      <w:r>
        <w:rPr>
          <w:vertAlign w:val="subscript"/>
        </w:rPr>
        <w:t>2</w:t>
      </w:r>
      <w:r>
        <w:t>O</w:t>
      </w:r>
      <w:r>
        <w:rPr>
          <w:vertAlign w:val="subscript"/>
        </w:rPr>
        <w:t>2</w:t>
      </w:r>
      <w:r>
        <w:t>）的有前途的光催化剂。内在极化，通常通过光催化剂的偶极矩来评估，可以诱导内建电场以促进激子解离和载流子迁移。然而，在对称和周期性的COF结构中，偶极矩可以忽略不计，这阻碍了内建电场的调节和高效光催化。在这项工作中，我们通过在特定COF位点进行分子工程来调节四极矩，以增强局部电场，从而实现显著的H</w:t>
      </w:r>
    </w:p>
    <w:p>
      <w:pPr>
        <w:spacing w:before="0" w:after="200" w:lineRule="auto" w:line="276"/>
      </w:pPr>
      <w:r>
        <w:rPr>
          <w:b/>
        </w:rPr>
        <w:t xml:space="preserve">Abstract (EN): </w:t>
      </w:r>
      <w:r>
        <w:t>Covalent organic frameworks (COFs) are promising photocatalysts for hydrogen peroxide (H</w:t>
      </w:r>
      <w:r>
        <w:rPr>
          <w:vertAlign w:val="subscript"/>
        </w:rPr>
        <w:t>2</w:t>
      </w:r>
      <w:r>
        <w:t>O</w:t>
      </w:r>
      <w:r>
        <w:rPr>
          <w:vertAlign w:val="subscript"/>
        </w:rPr>
        <w:t>2</w:t>
      </w:r>
      <w:r>
        <w:t>) generation using only water, air, and light. The intrinsic polarization, typically evaluated by the dipole moment of the photocatalyst, can induce a built‐in electric field to promote exciton dissociation and carrier migration. However, the dipole moment is negligible in a symmetric and periodic COF structure, which hinders the regulation of the built‐in electric field and efficient photocatalysis. In this work, we modulate the quadrupole moment by molecular engineering at specific COF sites to enhance the local electric field, achieving a remarkable H</w:t>
      </w:r>
      <w:r>
        <w:rPr>
          <w:vertAlign w:val="subscript"/>
        </w:rPr>
        <w:t>2</w:t>
      </w:r>
      <w:r>
        <w:t>O</w:t>
      </w:r>
      <w:r>
        <w:rPr>
          <w:vertAlign w:val="subscript"/>
        </w:rPr>
        <w:t>2</w:t>
      </w:r>
      <w:r>
        <w:t>photosynthesis rate of 8.32 mmol g</w:t>
      </w:r>
      <w:r>
        <w:t xml:space="preserve"> </w:t>
      </w:r>
      <w:r>
        <w:t>−1</w:t>
      </w:r>
      <w:r>
        <w:t xml:space="preserve"> </w:t>
      </w:r>
      <w:r>
        <w:t>h</w:t>
      </w:r>
      <w:r>
        <w:t xml:space="preserve"> </w:t>
      </w:r>
      <w:r>
        <w:t>−1</w:t>
      </w:r>
      <w:r>
        <w:t xml:space="preserve"> </w:t>
      </w:r>
      <w:r>
        <w:t>in pure water without any sacrificial agent. The local electric field and carrier dynamics studies unveil that the quadrupole moment gradient tunes the intrinsic carrier decay, fluorescence reabsorption, and exciton binding energy to optimize carrier utilization efficiency. Moreover, the stronger quadrupole moment can stabilize the adsorbed</w:t>
      </w:r>
      <w:r>
        <w:t xml:space="preserve"> </w:t>
      </w:r>
      <w:r>
        <w:t>·</w:t>
      </w:r>
      <w:r>
        <w:t xml:space="preserve"> </w:t>
      </w:r>
      <w:r>
        <w:t>OOH intermediate through polarization and electron redistribution. This work provides a molecular engineering strategy for local electric field manipulation and reveals fundamental relationships between the quadrupole moment and photocatalytic processes in non‐polar COF photocatalysts.</w:t>
      </w:r>
    </w:p>
    <w:p>
      <w:pPr>
        <w:spacing w:before="120" w:after="120"/>
      </w:pPr>
      <w:r>
        <w:rPr>
          <w:sz w:val="18"/>
        </w:rPr>
        <w:t>——————————————————————————————————————————————————————————————————————</w:t>
      </w:r>
    </w:p>
    <w:p>
      <w:pPr>
        <w:spacing w:before="160" w:after="40" w:line="240" w:lineRule="auto"/>
      </w:pPr>
      <w:r>
        <w:rPr>
          <w:b/>
        </w:rPr>
        <w:t xml:space="preserve">[147] </w:t>
      </w:r>
      <w:hyperlink r:id="rId488">
        <w:r>
          <w:rPr>
            <w:color w:val="1155CC"/>
            <w:u w:val="single"/>
          </w:rPr>
          <w:t>通过超分子拓扑链接增强聚合物网络的刚性</w:t>
        </w:r>
      </w:hyperlink>
    </w:p>
    <w:p>
      <w:pPr>
        <w:spacing w:before="0" w:after="80"/>
      </w:pPr>
      <w:r>
        <w:rPr>
          <w:i/>
          <w:sz w:val="20"/>
        </w:rPr>
        <w:t>EN: Stiffness Reinforcement in Polymer Networks Through Supramolecular Topological Linking</w:t>
      </w:r>
    </w:p>
    <w:p>
      <w:pPr>
        <w:spacing w:before="0" w:after="120"/>
      </w:pPr>
      <w:r>
        <w:rPr>
          <w:b/>
        </w:rPr>
        <w:t xml:space="preserve">Source: </w:t>
      </w:r>
      <w:r>
        <w:t>Wiley: Angewandte Chemie International Edition: Table of Contents</w:t>
      </w:r>
      <w:r>
        <w:t xml:space="preserve">    </w:t>
      </w:r>
      <w:r>
        <w:rPr>
          <w:b/>
        </w:rPr>
        <w:t xml:space="preserve">Pub date: </w:t>
      </w:r>
      <w:r>
        <w:t>2026-04-20 12:16:04+00:00</w:t>
      </w:r>
      <w:r>
        <w:t xml:space="preserve">    </w:t>
      </w:r>
      <w:r>
        <w:rPr>
          <w:b/>
        </w:rPr>
        <w:t xml:space="preserve">DOI: </w:t>
      </w:r>
      <w:hyperlink r:id="rId489">
        <w:r>
          <w:rPr>
            <w:color w:val="1155CC"/>
            <w:u w:val="single"/>
          </w:rPr>
          <w:t>10.1002/anie.7480690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网络具有许多弹性缺陷和孤立的环，这些环不贡献于机械刚度。在本报告中，我们引入了一种超分子拓扑连接策略，通过引入超分子四价交联剂来获得更硬但仍具延展性的聚合物材料。这些高功能交联之间的动态解离/再结合使得形成拓扑连接的环，这些环作为弹性弹簧来增强网络的刚度。获得了一个异常的标度指数2.05，用于杨氏模量与交联剂浓度的关系，超过了大多数已报道的随机交联聚合物系统。与传统类似物相比，所得材料的机械性能得到了增强</w:t>
      </w:r>
    </w:p>
    <w:p>
      <w:pPr>
        <w:spacing w:before="0" w:after="200" w:lineRule="auto" w:line="276"/>
      </w:pPr>
      <w:r>
        <w:rPr>
          <w:b/>
        </w:rPr>
        <w:t xml:space="preserve">Abstract (EN): </w:t>
      </w:r>
      <w:r>
        <w:t>Polymer networks possess numerous elastically defective and isolated loops, which do not contribute to mechanical stiffness. In this report, we introduce a strategy of supramolecular topological linking to access stiffer‐yet‐ductile polymeric materials through incorporation of supramolecular tetravalent crosslinkers. Dynamic dissociation/re‐association between these high‐functionality crosslinks enables the formation of topologically‐linked loops that serve as elastic springs to stiffen the networks. An exceptional scaling exponent of 2.05 for Young's modulus versus crosslinker concentration is obtained, exceeding most reported randomly‐crosslinked polymeric systems. Compared to conventional analogs, the mechanical properties of the resultant materials are enhanced: Young's modulus (2‐fold), elongation at break (8‐fold), and work of fracture (100‐fold). Uplifting modulus scalings through supramolecular topological linking paves a new path to the design of stiffness‐reinforced soft materials, holding substantial promise in load‐bearing application scenarios such as tissue implants, bioelectronic interfaces, and soft robotics.</w:t>
      </w:r>
    </w:p>
    <w:p>
      <w:pPr>
        <w:spacing w:before="120" w:after="120"/>
      </w:pPr>
      <w:r>
        <w:rPr>
          <w:sz w:val="18"/>
        </w:rPr>
        <w:t>——————————————————————————————————————————————————————————————————————</w:t>
      </w:r>
    </w:p>
    <w:p>
      <w:pPr>
        <w:spacing w:before="160" w:after="40" w:line="240" w:lineRule="auto"/>
      </w:pPr>
      <w:r>
        <w:rPr>
          <w:b/>
        </w:rPr>
        <w:t xml:space="preserve">[148] </w:t>
      </w:r>
      <w:hyperlink r:id="rId490">
        <w:r>
          <w:rPr>
            <w:color w:val="1155CC"/>
            <w:u w:val="single"/>
          </w:rPr>
          <w:t>[ASAP] 保留硫醇的N端半胱氨酸化学用于双重修饰和双环肽构建</w:t>
        </w:r>
      </w:hyperlink>
    </w:p>
    <w:p>
      <w:pPr>
        <w:spacing w:before="0" w:after="80"/>
      </w:pPr>
      <w:r>
        <w:rPr>
          <w:i/>
          <w:sz w:val="20"/>
        </w:rPr>
        <w:t>EN: [ASAP] Thiol-Retaining N-Terminal Cysteine Chemistry for Dual Modification and Bicyclic Peptide Construction</w:t>
      </w:r>
    </w:p>
    <w:p>
      <w:pPr>
        <w:spacing w:before="0" w:after="120"/>
      </w:pPr>
      <w:r>
        <w:rPr>
          <w:b/>
        </w:rPr>
        <w:t xml:space="preserve">Source: </w:t>
      </w:r>
      <w:r>
        <w:t>Journal of the American Chemical Society: Latest Articles (ACS Publications)</w:t>
      </w:r>
      <w:r>
        <w:t xml:space="preserve">    </w:t>
      </w:r>
      <w:r>
        <w:rPr>
          <w:b/>
        </w:rPr>
        <w:t xml:space="preserve">Pub date: </w:t>
      </w:r>
      <w:r>
        <w:t>2026-04-20 13:04:07+00:00</w:t>
      </w:r>
      <w:r>
        <w:t xml:space="preserve">    </w:t>
      </w:r>
      <w:r>
        <w:rPr>
          <w:b/>
        </w:rPr>
        <w:t xml:space="preserve">DOI: </w:t>
      </w:r>
      <w:hyperlink r:id="rId491">
        <w:r>
          <w:rPr>
            <w:color w:val="1155CC"/>
            <w:u w:val="single"/>
          </w:rPr>
          <w:t>10.1021/jacs.6c01648</w:t>
        </w:r>
      </w:hyperlink>
    </w:p>
    <w:p>
      <w:pPr>
        <w:spacing w:before="0" w:after="120"/>
      </w:pPr>
      <w:r>
        <w:rPr>
          <w:b/>
        </w:rPr>
        <w:t xml:space="preserve">Notes: </w:t>
      </w:r>
      <w:r>
        <w:t>abstract_source=pubmed</w:t>
      </w:r>
    </w:p>
    <w:p>
      <w:pPr>
        <w:spacing w:before="0" w:after="80" w:lineRule="auto" w:line="276"/>
      </w:pPr>
      <w:r>
        <w:rPr>
          <w:b/>
        </w:rPr>
        <w:t xml:space="preserve">摘要（ZH）: </w:t>
      </w:r>
      <w:r>
        <w:t>N-端半胱氨酸呈现出一种独特的1,2-氨基硫醇基序，使得仅由标准氨基酸组成的肽和蛋白质的位点特异性修饰成为可能。对于体外和体内应用，这种操作简单的化学反应是需要非标准手柄的生物正交策略的有吸引力的替代方案。然而，大多数1,2-氨基硫醇选择性试剂不可逆地消耗胺和硫醇，产生惰性杂环并限制下游多样化。在此，我们通过重新利用2-((烷基硫)(芳基/烷基)亚甲基)丙二腈（TAMMs）来报告一种保留硫醇的N-端半胱氨酸化学，以偏向于含硫醇的结合物而非标准的环化产物。通过对邻位取代的TAMMs的合理设计和机制分析</w:t>
      </w:r>
    </w:p>
    <w:p>
      <w:pPr>
        <w:spacing w:before="0" w:after="200" w:lineRule="auto" w:line="276"/>
      </w:pPr>
      <w:r>
        <w:rPr>
          <w:b/>
        </w:rPr>
        <w:t xml:space="preserve">Abstract (EN): </w:t>
      </w:r>
      <w:r>
        <w:t>N-terminal cysteine presents a uniquely reactive 1,2-aminothiol motif that enables site-specific modification of peptides and proteins composed solely of canonical amino acids. For both in vitro and in vivo applications, this operationally simple chemistry is an attractive alternative to bioorthogonal strategies that require noncanonical handles. However, most 1,2-aminothiol-selective reagents irreversibly consume both amine and thiol, yielding inert heterocycles and limiting downstream diversification. Here, we report a thiol-retaining N-terminal cysteine chemistry by repurposing 2-((alkylthio)(aryl/alkyl)methylene)malononitriles (TAMMs) to favor a thiol-containing conjugate over the canonical cyclized product. Through rational design and mechanistic analysis of ortho-substituted TAMMs (o-TAMMs), we established steric hindrance as a key determinant of thiol-retaining adduct stability. The retained thiol provides an immediate handle for sequential dual modification of peptides and proteins. Extending this concept to scaffold design, an electrophile-equipped o-TAMM cross-linker converts CXmCXnC peptides into compact bicyclic architectures comprising a thioether ring and a disulfide ring. Phage display using this chemistry affords high-affinity bicyclic binders of KEAP1, and the disulfide can be transformed into a redox-stable thioacetal without a loss of affinity. Collectively, this work establishes a mechanistically grounded platform for thiol-retaining N-terminal cysteine ligation, enabling dual functionalization and access to structurally distinctive bicyclic peptides.</w:t>
      </w:r>
    </w:p>
    <w:p>
      <w:pPr>
        <w:spacing w:before="120" w:after="120"/>
      </w:pPr>
      <w:r>
        <w:rPr>
          <w:sz w:val="18"/>
        </w:rPr>
        <w:t>——————————————————————————————————————————————————————————————————————</w:t>
      </w:r>
    </w:p>
    <w:p>
      <w:pPr>
        <w:spacing w:before="160" w:after="40" w:line="240" w:lineRule="auto"/>
      </w:pPr>
      <w:r>
        <w:rPr>
          <w:b/>
        </w:rPr>
        <w:t xml:space="preserve">[149] </w:t>
      </w:r>
      <w:hyperlink r:id="rId492">
        <w:r>
          <w:rPr>
            <w:color w:val="1155CC"/>
            <w:u w:val="single"/>
          </w:rPr>
          <w:t>在酸性和碱性条件下Cu(100)上硝酸盐还原选择性控制的原子级理解</w:t>
        </w:r>
      </w:hyperlink>
    </w:p>
    <w:p>
      <w:pPr>
        <w:spacing w:before="0" w:after="80"/>
      </w:pPr>
      <w:r>
        <w:rPr>
          <w:i/>
          <w:sz w:val="20"/>
        </w:rPr>
        <w:t>EN: Atomic‐Scale Understanding of Selectivity Control in Nitrate Reduction on Cu(100) Under Acidic and Alkaline Conditions</w:t>
      </w:r>
    </w:p>
    <w:p>
      <w:pPr>
        <w:spacing w:before="0" w:after="120"/>
      </w:pPr>
      <w:r>
        <w:rPr>
          <w:b/>
        </w:rPr>
        <w:t xml:space="preserve">Source: </w:t>
      </w:r>
      <w:r>
        <w:t>Wiley: Angewandte Chemie International Edition: Table of Contents</w:t>
      </w:r>
      <w:r>
        <w:t xml:space="preserve">    </w:t>
      </w:r>
      <w:r>
        <w:rPr>
          <w:b/>
        </w:rPr>
        <w:t xml:space="preserve">Pub date: </w:t>
      </w:r>
      <w:r>
        <w:t>2026-04-20 13:30:53+00:00</w:t>
      </w:r>
      <w:r>
        <w:t xml:space="preserve">    </w:t>
      </w:r>
      <w:r>
        <w:rPr>
          <w:b/>
        </w:rPr>
        <w:t xml:space="preserve">DOI: </w:t>
      </w:r>
      <w:hyperlink r:id="rId493">
        <w:r>
          <w:rPr>
            <w:color w:val="1155CC"/>
            <w:u w:val="single"/>
          </w:rPr>
          <w:t>10.1002/anie.7903390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使用恒电极电位下的大正则密度泛函理论（GC-DFT）研究Cu(100)表面的硝酸盐还原反应（NO3RR）。对反应物和产物应用离子校正方案，以确保其物理状态的准确表示，并包括气相参考误差校正以解决DFT模拟中广义梯度近似（GGA）的已知限制。分析pH在调节硝酸盐转化的关键中间体和过渡态的结合能方面的作用，作为施加电极电位的函数。为了验证计算方法，基于DFT的分子</w:t>
      </w:r>
    </w:p>
    <w:p>
      <w:pPr>
        <w:spacing w:before="0" w:after="200" w:lineRule="auto" w:line="276"/>
      </w:pPr>
      <w:r>
        <w:rPr>
          <w:b/>
        </w:rPr>
        <w:t xml:space="preserve">Abstract (EN): </w:t>
      </w:r>
      <w:r>
        <w:t>We investigate the nitrate reduction reaction (NO</w:t>
      </w:r>
      <w:r>
        <w:rPr>
          <w:vertAlign w:val="subscript"/>
        </w:rPr>
        <w:t>3</w:t>
      </w:r>
      <w:r>
        <w:t>RR) on the Cu(100) surface using grand‐canonical density functional theory (GC‐DFT) under constant electrode potential. Ionic correction schemes are applied to both reactants and products to ensure an accurate representation of their physical states, and gas‐phase reference error corrections are included to address known limitations of the generalized gradient approximation (GGA) in DFT simulations. The role of pH in modulating the binding energies of key intermediates and transition states governing the elementary steps of nitrate conversion is analyzed as a function of applied electrode potential. To validate the computational approach, DFT‐based molecular dynamics simulations with explicit water molecules and activation energy calculations for proton–electron transfer steps are performed. Based on the modeling framework and computational strategy presented here, the results show that under acidic conditions, NO</w:t>
      </w:r>
      <w:r>
        <w:rPr>
          <w:vertAlign w:val="subscript"/>
        </w:rPr>
        <w:t>3</w:t>
      </w:r>
      <w:r>
        <w:t>RR on Cu(100) favors the formation of nitric oxide and ammonium at cathodic potentials (</w:t>
      </w:r>
      <w:r>
        <w:t xml:space="preserve"> </w:t>
      </w:r>
      <w:r>
        <w:t>U</w:t>
      </w:r>
      <w:r>
        <w:t xml:space="preserve"> </w:t>
      </w:r>
      <w:r>
        <w:t>RHE</w:t>
      </w:r>
      <w:r>
        <w:t xml:space="preserve"> </w:t>
      </w:r>
      <w:r>
        <w:t>&amp;lt; 0.1 V), whereas under alkaline conditions at comparable potentials, nitrite and hydroxylamine dominate. These findings are consistent with experimentally reported potential‐ and pH‐dependent selectivity trends and suggest that the approach provides a general computational framework for modeling pH‐dependent electrocatalytic reactions and predicting potential‐dependent selectivity.</w:t>
      </w:r>
    </w:p>
    <w:p>
      <w:pPr>
        <w:spacing w:before="120" w:after="120"/>
      </w:pPr>
      <w:r>
        <w:rPr>
          <w:sz w:val="18"/>
        </w:rPr>
        <w:t>——————————————————————————————————————————————————————————————————————</w:t>
      </w:r>
    </w:p>
    <w:p>
      <w:pPr>
        <w:spacing w:before="160" w:after="40" w:line="240" w:lineRule="auto"/>
      </w:pPr>
      <w:r>
        <w:rPr>
          <w:b/>
        </w:rPr>
        <w:t xml:space="preserve">[150] </w:t>
      </w:r>
      <w:hyperlink r:id="rId494">
        <w:r>
          <w:rPr>
            <w:color w:val="1155CC"/>
            <w:u w:val="single"/>
          </w:rPr>
          <w:t>有机电子研究中人工智能的最新进展</w:t>
        </w:r>
      </w:hyperlink>
    </w:p>
    <w:p>
      <w:pPr>
        <w:spacing w:before="0" w:after="80"/>
      </w:pPr>
      <w:r>
        <w:rPr>
          <w:i/>
          <w:sz w:val="20"/>
        </w:rPr>
        <w:t>EN: Recent Advances in Artificial Intelligence in Organic Electronic Research</w:t>
      </w:r>
    </w:p>
    <w:p>
      <w:pPr>
        <w:spacing w:before="0" w:after="120"/>
      </w:pPr>
      <w:r>
        <w:rPr>
          <w:b/>
        </w:rPr>
        <w:t xml:space="preserve">Source: </w:t>
      </w:r>
      <w:r>
        <w:t>Wiley: Advanced Materials: Table of Contents</w:t>
      </w:r>
      <w:r>
        <w:t xml:space="preserve">    </w:t>
      </w:r>
      <w:r>
        <w:rPr>
          <w:b/>
        </w:rPr>
        <w:t xml:space="preserve">Pub date: </w:t>
      </w:r>
      <w:r>
        <w:t>2026-04-20 13:43:03+00:00</w:t>
      </w:r>
      <w:r>
        <w:t xml:space="preserve">    </w:t>
      </w:r>
      <w:r>
        <w:rPr>
          <w:b/>
        </w:rPr>
        <w:t xml:space="preserve">DOI: </w:t>
      </w:r>
      <w:hyperlink r:id="rId495">
        <w:r>
          <w:rPr>
            <w:color w:val="1155CC"/>
            <w:u w:val="single"/>
          </w:rPr>
          <w:t>10.1002/adma.73151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型有机光电材料的发现用于有机发光二极管、有机光伏和有机场效应晶体管等应用，传统上受到试错实验效率低下和化学空间广阔的限制。人工智能（AI）作为一种变革性范式，通过数据驱动策略加速这一过程。本综述全面概述了AI在有机光电子学中的整合，从基本预测概念到完全自主系统的轨迹。我们首先研究核心工作流程，包括专用数据库的策划和机器学习模型的部署以进行高通量虚拟筛选。</w:t>
      </w:r>
    </w:p>
    <w:p>
      <w:pPr>
        <w:spacing w:before="0" w:after="200" w:lineRule="auto" w:line="276"/>
      </w:pPr>
      <w:r>
        <w:rPr>
          <w:b/>
        </w:rPr>
        <w:t xml:space="preserve">Abstract (EN): </w:t>
      </w:r>
      <w:r>
        <w:t>The discovery of novel organic optoelectronic materials for applications such as organic light‐emitting diodes, organic photovoltaics, and organic field‐effect transistors has traditionally been constrained by the inefficiency of trial‐and‐error experimentation and the vastness of chemical space. Artificial intelligence (AI) has emerged as a transformative paradigm to accelerate this process via data‐driven strategies. This review provides a comprehensive overview of AI integration in organic optoelectronics, tracing the trajectory from fundamental predictive concepts to fully autonomous systems. We first examine core workflows, including the curation of specialized databases and the deployment of machine learning models for high‐throughput virtual‐screening. Subsequently, we detail the pivotal shift toward inverse design, where generative models create de novo molecular structures with targeted functionalities. Particular emphasis is placed on emerging frontiers that are reshaping the field, including leveraging large‐language models for literature mining, the rise of cognitive AI agents for experimental planning, and the integration of robotics to establish self‐driving laboratories. These integrated systems close the design‐synthesis‐characterization loop, enabling materials discovery at an unprecedented pace. This review aims to elucidate the evolving landscape of AI in organic optoelectronics, highlighting critical challenges in data fidelity, transformative strategies for generative design, and the future development direction toward fully autonomous research paradigms.</w:t>
      </w:r>
    </w:p>
    <w:p>
      <w:pPr>
        <w:spacing w:before="120" w:after="120"/>
      </w:pPr>
      <w:r>
        <w:rPr>
          <w:sz w:val="18"/>
        </w:rPr>
        <w:t>——————————————————————————————————————————————————————————————————————</w:t>
      </w:r>
    </w:p>
    <w:p>
      <w:pPr>
        <w:spacing w:before="160" w:after="40" w:line="240" w:lineRule="auto"/>
      </w:pPr>
      <w:r>
        <w:rPr>
          <w:b/>
        </w:rPr>
        <w:t xml:space="preserve">[151] </w:t>
      </w:r>
      <w:hyperlink r:id="rId496">
        <w:r>
          <w:rPr>
            <w:color w:val="1155CC"/>
            <w:u w:val="single"/>
          </w:rPr>
          <w:t>基于上转换纳米颗粒的生物相关顺应性机械敏感聚合物基质</w:t>
        </w:r>
      </w:hyperlink>
    </w:p>
    <w:p>
      <w:pPr>
        <w:spacing w:before="0" w:after="80"/>
      </w:pPr>
      <w:r>
        <w:rPr>
          <w:i/>
          <w:sz w:val="20"/>
        </w:rPr>
        <w:t>EN: Mechanosensitive Polymer Matrices of Biologically‐Relevant Compliance Based on Upconverting Nanoparticles</w:t>
      </w:r>
    </w:p>
    <w:p>
      <w:pPr>
        <w:spacing w:before="0" w:after="120"/>
      </w:pPr>
      <w:r>
        <w:rPr>
          <w:b/>
        </w:rPr>
        <w:t xml:space="preserve">Source: </w:t>
      </w:r>
      <w:r>
        <w:t>Wiley: Advanced Materials: Table of Contents</w:t>
      </w:r>
      <w:r>
        <w:t xml:space="preserve">    </w:t>
      </w:r>
      <w:r>
        <w:rPr>
          <w:b/>
        </w:rPr>
        <w:t xml:space="preserve">Pub date: </w:t>
      </w:r>
      <w:r>
        <w:t>2026-04-20 13:47:08+00:00</w:t>
      </w:r>
      <w:r>
        <w:t xml:space="preserve">    </w:t>
      </w:r>
      <w:r>
        <w:rPr>
          <w:b/>
        </w:rPr>
        <w:t xml:space="preserve">DOI: </w:t>
      </w:r>
      <w:hyperlink r:id="rId497">
        <w:r>
          <w:rPr>
            <w:color w:val="1155CC"/>
            <w:u w:val="single"/>
          </w:rPr>
          <w:t>10.1002/adma.202522706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上转换纳米颗粒（UCNPs）由于其近红外激发、低毒性、光稳定性和对微牛顿力的线性色敏感性，被认为是有前途的光学生物力传感器。最近，基于嵌入聚苯乙烯微珠中的UCNPs的复合力传感器实现了对活体线虫摄食力的首次实时测量。然而，聚苯乙烯的相对较大刚度仅使其在一小部分生物组织的生物医学应用中具有相关性。为了促进UCNPs在具有不同机械性能的生物组织中的应用，我们通过将UCNPs嵌入三种具有不同刚度的聚合物基质中来扩展聚合物-UCNP复合系统。</w:t>
      </w:r>
    </w:p>
    <w:p>
      <w:pPr>
        <w:spacing w:before="0" w:after="200" w:lineRule="auto" w:line="276"/>
      </w:pPr>
      <w:r>
        <w:rPr>
          <w:b/>
        </w:rPr>
        <w:t xml:space="preserve">Abstract (EN): </w:t>
      </w:r>
      <w:r>
        <w:t>Upconverting nanoparticles (UCNPs) are promising optical biomechanical force sensors due to their near‐infrared excitation, low toxicity, photostability, and linear colorimetric sensitivity to micronewtons of force. Recently, a composite force sensor based on UCNPs embedded in a polystyrene microbead enabled the first real‐time measurement of feeding forces in living nematodes. However, the comparatively large stiffness of polystyrene only makes it relevant to biomedical applications in a small subset of biological tissue. To facilitate deployment of UCNPs into biological tissues with a range of mechanical properties, we expand upon polymer‐UCNP composite systems by embedding UCNPs in three polymer matrices with varying stiffnesses (epoxy resin, polydimethylsiloxane, and alginate hydrogels). Furthermore, to enhance these composites’ mechanosensitivity, we methodically investigate using two different core–shell architectures of SrLuF‐based UCNPs doped with ytterbium, erbium, and varying manganese concentrations. We calibrate polymer‐UCNP composite optical force sensitivity with colocalized atomic force and confocal microscopy. Using the red to green emission ratio (Δ% I</w:t>
      </w:r>
      <w:r>
        <w:t xml:space="preserve"> </w:t>
      </w:r>
      <w:r>
        <w:t>Red</w:t>
      </w:r>
      <w:r>
        <w:t xml:space="preserve"> </w:t>
      </w:r>
      <w:r>
        <w:t>:I</w:t>
      </w:r>
      <w:r>
        <w:t xml:space="preserve"> </w:t>
      </w:r>
      <w:r>
        <w:t>Green</w:t>
      </w:r>
      <w:r>
        <w:t xml:space="preserve"> </w:t>
      </w:r>
      <w:r>
        <w:t>) as the force read‐out, we determine that SrLuF:Yb</w:t>
      </w:r>
      <w:r>
        <w:t xml:space="preserve"> </w:t>
      </w:r>
      <w:r>
        <w:t>0.28</w:t>
      </w:r>
      <w:r>
        <w:t xml:space="preserve"> </w:t>
      </w:r>
      <w:r>
        <w:t>Er</w:t>
      </w:r>
      <w:r>
        <w:t xml:space="preserve"> </w:t>
      </w:r>
      <w:r>
        <w:t>0.025</w:t>
      </w:r>
      <w:r>
        <w:t xml:space="preserve"> </w:t>
      </w:r>
      <w:r>
        <w:t>Mn</w:t>
      </w:r>
      <w:r>
        <w:t xml:space="preserve"> </w:t>
      </w:r>
      <w:r>
        <w:t>0.013</w:t>
      </w:r>
      <w:r>
        <w:t xml:space="preserve"> </w:t>
      </w:r>
      <w:r>
        <w:t>@ SrYF dispersed in epoxy resin exhibits the greatest emission color change (12 Δ%I</w:t>
      </w:r>
      <w:r>
        <w:t xml:space="preserve"> </w:t>
      </w:r>
      <w:r>
        <w:t>Red</w:t>
      </w:r>
      <w:r>
        <w:t xml:space="preserve"> </w:t>
      </w:r>
      <w:r>
        <w:t>:I</w:t>
      </w:r>
      <w:r>
        <w:t xml:space="preserve"> </w:t>
      </w:r>
      <w:r>
        <w:t>Green</w:t>
      </w:r>
      <w:r>
        <w:t xml:space="preserve"> </w:t>
      </w:r>
      <w:r>
        <w:t>per microNewton). Finally, we map forces in the epoxy‐UCNP composite on the macroscale between the joint of a chicken wing bone using a commercially available wide‐field microscope, thereby demonstrating its ability to optically measure pressures in situ. This work establishes the utility and modularity of the UCNP‐polymer composite system for force‐sensing in geometrically and mechanically diverse biological systems.</w:t>
      </w:r>
    </w:p>
    <w:p>
      <w:pPr>
        <w:spacing w:before="120" w:after="120"/>
      </w:pPr>
      <w:r>
        <w:rPr>
          <w:sz w:val="18"/>
        </w:rPr>
        <w:t>——————————————————————————————————————————————————————————————————————</w:t>
      </w:r>
    </w:p>
    <w:p>
      <w:pPr>
        <w:spacing w:before="160" w:after="40" w:line="240" w:lineRule="auto"/>
      </w:pPr>
      <w:r>
        <w:rPr>
          <w:b/>
        </w:rPr>
        <w:t xml:space="preserve">[152] </w:t>
      </w:r>
      <w:hyperlink r:id="rId498">
        <w:r>
          <w:rPr>
            <w:color w:val="1155CC"/>
            <w:u w:val="single"/>
          </w:rPr>
          <w:t>揭示价态驱动的电荷补偿机制以指导基于钌的催化剂在酸性水电解中的相工程</w:t>
        </w:r>
      </w:hyperlink>
    </w:p>
    <w:p>
      <w:pPr>
        <w:spacing w:before="0" w:after="80"/>
      </w:pPr>
      <w:r>
        <w:rPr>
          <w:i/>
          <w:sz w:val="20"/>
        </w:rPr>
        <w:t>EN: Unveiling the Valence‐Driven Charge Compensation Mechanism to Direct Phase Engineering in Ru‐Based Catalysts for Acidic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2026-04-20 13:47:36+00:00</w:t>
      </w:r>
      <w:r>
        <w:t xml:space="preserve">    </w:t>
      </w:r>
      <w:r>
        <w:rPr>
          <w:b/>
        </w:rPr>
        <w:t xml:space="preserve">DOI: </w:t>
      </w:r>
      <w:hyperlink r:id="rId499">
        <w:r>
          <w:rPr>
            <w:color w:val="1155CC"/>
            <w:u w:val="single"/>
          </w:rPr>
          <w:t>10.1002/anie.7924702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相工程对于优化电催化剂的电子结构和反应路径至关重要，在单相结构中的高效电荷转移与混合相结构中的协同效应之间取得平衡。然而，控制相演变的基本原理仍然知之甚少。在此，建立了一种价态驱动的相工程范式，使得对基于Ru的催化剂进行确定性控制。我们揭示了相形成轨迹本质上由电荷补偿机制决定：四价掺杂剂（Hf, Mn, Sn）通过电荷中和和晶格匹配维持单相RuO</w:t>
      </w:r>
      <w:r>
        <w:rPr>
          <w:vertAlign w:val="subscript"/>
        </w:rPr>
        <w:t>2</w:t>
      </w:r>
      <w:r>
        <w:t>；三价掺杂剂（Cr, Fe, Ga）诱导协同效应。</w:t>
      </w:r>
    </w:p>
    <w:p>
      <w:pPr>
        <w:spacing w:before="0" w:after="200" w:lineRule="auto" w:line="276"/>
      </w:pPr>
      <w:r>
        <w:rPr>
          <w:b/>
        </w:rPr>
        <w:t xml:space="preserve">Abstract (EN): </w:t>
      </w:r>
      <w:r>
        <w:t>Phase engineering is pivotal for optimizing the electronic structure and reaction pathways of electrocatalysts, balancing high‐efficiency charge transfer in single‐phase structures against synergistic effects in mixed‐phase structures. However, the underlying principles governing phase evolution remain poorly understood. Herein, a valence‐driven phase engineering paradigm is established that enables deterministic control over Ru‐based catalysts. We reveal that phase formation trajectories are intrinsically dictated by charge compensation mechanisms: tetravalent dopants (Hf, Mn, Sn) maintain single‐phase RuO</w:t>
      </w:r>
      <w:r>
        <w:rPr>
          <w:vertAlign w:val="subscript"/>
        </w:rPr>
        <w:t>2</w:t>
      </w:r>
      <w:r>
        <w:t>via charge neutrality and lattice matching; trivalent dopants (Cr, Fe, Ga) induce a synergistic RuO</w:t>
      </w:r>
      <w:r>
        <w:rPr>
          <w:vertAlign w:val="subscript"/>
        </w:rPr>
        <w:t>2</w:t>
      </w:r>
      <w:r>
        <w:t>‐Ru hetero‐phase structure; whereas divalent dopants (Ni, Cu, Zn) trigger oxide phase separation due to severe charge mismatch. As a demonstration, the RuGa mixed‐phase catalyst delivers an exceptional overpotential of 180 mV at 10 mA cm</w:t>
      </w:r>
      <w:r>
        <w:t xml:space="preserve"> </w:t>
      </w:r>
      <w:r>
        <w:t>−2</w:t>
      </w:r>
      <w:r>
        <w:t xml:space="preserve"> </w:t>
      </w:r>
      <w:r>
        <w:t>and survives 500 h in acidic media. When integrated into a PEMWE cell, it achieves 1 A cm</w:t>
      </w:r>
      <w:r>
        <w:t xml:space="preserve"> </w:t>
      </w:r>
      <w:r>
        <w:t>−2</w:t>
      </w:r>
      <w:r>
        <w:t xml:space="preserve"> </w:t>
      </w:r>
      <w:r>
        <w:t>at only 1.63 V with robust stability of 100 h at 500 mA cm</w:t>
      </w:r>
      <w:r>
        <w:t xml:space="preserve"> </w:t>
      </w:r>
      <w:r>
        <w:t>−2</w:t>
      </w:r>
      <w:r>
        <w:t xml:space="preserve"> </w:t>
      </w:r>
      <w:r>
        <w:t>. This work provides a fundamental framework for rationally designing durable acidic OER catalysts via valence‐controlled phase regulation.</w:t>
      </w:r>
    </w:p>
    <w:p>
      <w:pPr>
        <w:spacing w:before="120" w:after="120"/>
      </w:pPr>
      <w:r>
        <w:rPr>
          <w:sz w:val="18"/>
        </w:rPr>
        <w:t>——————————————————————————————————————————————————————————————————————</w:t>
      </w:r>
    </w:p>
    <w:p>
      <w:pPr>
        <w:spacing w:before="160" w:after="40" w:line="240" w:lineRule="auto"/>
      </w:pPr>
      <w:r>
        <w:rPr>
          <w:b/>
        </w:rPr>
        <w:t xml:space="preserve">[153] </w:t>
      </w:r>
      <w:hyperlink r:id="rId500">
        <w:r>
          <w:rPr>
            <w:color w:val="1155CC"/>
            <w:u w:val="single"/>
          </w:rPr>
          <w:t>苯并噻二唑集成共价有机框架中的过程驱动质子化：通过主要电子转移过程激活过氧单硫酸盐用于污染物低聚化</w:t>
        </w:r>
      </w:hyperlink>
    </w:p>
    <w:p>
      <w:pPr>
        <w:spacing w:before="0" w:after="80"/>
      </w:pPr>
      <w:r>
        <w:rPr>
          <w:i/>
          <w:sz w:val="20"/>
        </w:rPr>
        <w:t>EN: Process‐Driven Protonation in Benzothiadiazole‐Integrated Covalent Organic Frameworks: Activation of Peroxymonosulfate for Pollutant Oligomerization via Dominant Electron Transfer Process</w:t>
      </w:r>
    </w:p>
    <w:p>
      <w:pPr>
        <w:spacing w:before="0" w:after="120"/>
      </w:pPr>
      <w:r>
        <w:rPr>
          <w:b/>
        </w:rPr>
        <w:t xml:space="preserve">Source: </w:t>
      </w:r>
      <w:r>
        <w:t>Wiley: Angewandte Chemie International Edition: Table of Contents</w:t>
      </w:r>
      <w:r>
        <w:t xml:space="preserve">    </w:t>
      </w:r>
      <w:r>
        <w:rPr>
          <w:b/>
        </w:rPr>
        <w:t xml:space="preserve">Pub date: </w:t>
      </w:r>
      <w:r>
        <w:t>2026-04-20 13:48:31+00:00</w:t>
      </w:r>
      <w:r>
        <w:t xml:space="preserve">    </w:t>
      </w:r>
      <w:r>
        <w:rPr>
          <w:b/>
        </w:rPr>
        <w:t xml:space="preserve">DOI: </w:t>
      </w:r>
      <w:hyperlink r:id="rId501">
        <w:r>
          <w:rPr>
            <w:color w:val="1155CC"/>
            <w:u w:val="single"/>
          </w:rPr>
          <w:t>10.1002/anie.4772250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过氧单硫酸盐（PMS）活化通常遵循静态的、以催化剂为中心的范式，受限于选择性有限和矿化不完全的自由基介导途径。超越这一惯例，我们建立了一种过程驱动的质子化策略，将PMS活化引导至以电子转移过程（ETP）为主导，从而实现选择性污染物低聚化。通过开发苯并噻二唑集成的共价有机框架（BT-COFs）作为模型平台，证明了PMS的加入本质上酸化了反应介质，触发了特定氮位点的原位框架质子化。这种自诱导的质子化作为分子开关，重新组织界面电</w:t>
      </w:r>
    </w:p>
    <w:p>
      <w:pPr>
        <w:spacing w:before="0" w:after="200" w:lineRule="auto" w:line="276"/>
      </w:pPr>
      <w:r>
        <w:rPr>
          <w:b/>
        </w:rPr>
        <w:t xml:space="preserve">Abstract (EN): </w:t>
      </w:r>
      <w:r>
        <w:t>Traditional peroxymonosulfate (PMS) activation typically follows a static, catalyst‐centered paradigm, constrained by radical‐mediated pathways with limited selectivity and incomplete mineralization. Going beyond this convention, we established a process‐driven protonation strategy that steers PMS activation toward a dominant electron transfer process (ETP), enabling selective pollutant oligomerization. By developing benzothiadiazole‐integrated covalent organic frameworks (BT‐COFs) as a model platform, it was demonstrated that PMS addition intrinsically acidifies the reaction medium, triggering in situ framework protonation at specific nitrogen sites. This self‐induced protonation acts as a molecular switch, reorganizing the interfacial electronic structure and generating a polarized catalytic interface that facilitates directional electron transfer rather than radical generation. Consequently, the complete bisphenol A (BPA) removal within 5 min (</w:t>
      </w:r>
      <w:r>
        <w:t xml:space="preserve"> </w:t>
      </w:r>
      <w:r>
        <w:t>k</w:t>
      </w:r>
      <w:r>
        <w:t xml:space="preserve"> </w:t>
      </w:r>
      <w:r>
        <w:t>obs</w:t>
      </w:r>
      <w:r>
        <w:t xml:space="preserve"> </w:t>
      </w:r>
      <w:r>
        <w:t>= 1.68 min</w:t>
      </w:r>
      <w:r>
        <w:t xml:space="preserve"> </w:t>
      </w:r>
      <w:r>
        <w:t>−1</w:t>
      </w:r>
      <w:r>
        <w:t xml:space="preserve"> </w:t>
      </w:r>
      <w:r>
        <w:t>) was achieved through an ETP‐directed oligomerization pathway, wherein the dynamic catalytic interface remains accessible through simple regeneration, maintaining excellent stability and robustness in complex water matrices. This work redefines the role of PMS as an active interfacial regulator and provides a dynamic, process‐adaptive conceptual framework for designing intelligent metal‐free systems for sustainable environmental remediation.</w:t>
      </w:r>
    </w:p>
    <w:p>
      <w:pPr>
        <w:spacing w:before="120" w:after="120"/>
      </w:pPr>
      <w:r>
        <w:rPr>
          <w:sz w:val="18"/>
        </w:rPr>
        <w:t>——————————————————————————————————————————————————————————————————————</w:t>
      </w:r>
    </w:p>
    <w:p>
      <w:pPr>
        <w:spacing w:before="160" w:after="40" w:line="240" w:lineRule="auto"/>
      </w:pPr>
      <w:r>
        <w:rPr>
          <w:b/>
        </w:rPr>
        <w:t xml:space="preserve">[154] </w:t>
      </w:r>
      <w:hyperlink r:id="rId502">
        <w:r>
          <w:rPr>
            <w:color w:val="1155CC"/>
            <w:u w:val="single"/>
          </w:rPr>
          <w:t>[ASAP] 六配位钛锚定单原子钯催化剂用于高效环己酮氨氧化与H2和O2</w:t>
        </w:r>
      </w:hyperlink>
    </w:p>
    <w:p>
      <w:pPr>
        <w:spacing w:before="0" w:after="80"/>
      </w:pPr>
      <w:r>
        <w:rPr>
          <w:i/>
          <w:sz w:val="20"/>
        </w:rPr>
        <w:t>EN: [ASAP] Hexacoordinate Ti-Anchored Single-Atom Pd Catalyst for High-Efficiency Cyclohexanone Ammoximation with H2 and O2</w:t>
      </w:r>
    </w:p>
    <w:p>
      <w:pPr>
        <w:spacing w:before="0" w:after="120"/>
      </w:pPr>
      <w:r>
        <w:rPr>
          <w:b/>
        </w:rPr>
        <w:t xml:space="preserve">Source: </w:t>
      </w:r>
      <w:r>
        <w:t>Journal of the American Chemical Society: Latest Articles (ACS Publications)</w:t>
      </w:r>
      <w:r>
        <w:t xml:space="preserve">    </w:t>
      </w:r>
      <w:r>
        <w:rPr>
          <w:b/>
        </w:rPr>
        <w:t xml:space="preserve">Pub date: </w:t>
      </w:r>
      <w:r>
        <w:t>2026-04-20 15:46:48+00:00</w:t>
      </w:r>
      <w:r>
        <w:t xml:space="preserve">    </w:t>
      </w:r>
      <w:r>
        <w:rPr>
          <w:b/>
        </w:rPr>
        <w:t xml:space="preserve">DOI: </w:t>
      </w:r>
      <w:hyperlink r:id="rId503">
        <w:r>
          <w:rPr>
            <w:color w:val="1155CC"/>
            <w:u w:val="single"/>
          </w:rPr>
          <w:t>10.1021/jacs.6c01171</w:t>
        </w:r>
      </w:hyperlink>
    </w:p>
    <w:p>
      <w:pPr>
        <w:spacing w:before="0" w:after="120"/>
      </w:pPr>
      <w:r>
        <w:rPr>
          <w:b/>
        </w:rPr>
        <w:t xml:space="preserve">Notes: </w:t>
      </w:r>
      <w:r>
        <w:t>abstract_source=pubmed</w:t>
      </w:r>
    </w:p>
    <w:p>
      <w:pPr>
        <w:spacing w:before="0" w:after="80" w:lineRule="auto" w:line="276"/>
      </w:pPr>
      <w:r>
        <w:rPr>
          <w:b/>
        </w:rPr>
        <w:t xml:space="preserve">摘要（ZH）: </w:t>
      </w:r>
      <w:r>
        <w:t>将钯或其合金与钛硅沸石结合，可以通过环己酮与H2和O2的氨氧化反应生产环己酮肟，而不依赖于预先生产的H2O2。为了解决现有复合催化剂中贵金属利用效率低和钛活性不佳的问题，我们创新性地采用Ti-MWW沸石作为载体，通过一步合成开发了一种全新的双功能催化剂Pd@Ti-MWW-PI，构建了一个独特的活性位点，其中哌啶修饰的钯单原子通过Pd-O-Ti键锚定在六配位框架钛上。该催化剂的钯负载量极低，仅为0.02 wt %，实现了13000 mol molPd-1 h-1的环己酮肟形成速率，并表现出卓越的稳定性</w:t>
      </w:r>
    </w:p>
    <w:p>
      <w:pPr>
        <w:spacing w:before="0" w:after="200" w:lineRule="auto" w:line="276"/>
      </w:pPr>
      <w:r>
        <w:rPr>
          <w:b/>
        </w:rPr>
        <w:t xml:space="preserve">Abstract (EN): </w:t>
      </w:r>
      <w:r>
        <w:t>Integrating Pd or its alloys with titanosilicate zeolites enables the production of cyclohexanone oxime through the ammoximation reaction of cyclohexanone with H2 and O2 instead of relying on H2O2 produced in advance. To address the inefficient utilization of precious metals and the suboptimal Ti activity in existing composite catalysts, we innovatively employed Ti-MWW zeolite as a support to develop a brand-new bifunctional catalyst Pd@Ti-MWW-PI through a one-step synthesis, constructing a unique active site where piperidine-modified Pd single atoms are anchored on the hexacoordinated framework-Ti via the Pd-O-Ti bond. This catalyst with an ultralow Pd loading of 0.02 wt % attains a record cyclohexanone oxime formation rate of 13000 mol molPd-1 h-1 and demonstrates exceptional stability in continuous fixed-bed operation, sustaining cyclohexanone oxime selectivity greater than 99% for more than 2500 h. Notably, this work, utilizing water as the solvent, marks a significant stride toward environmentally sustainable green chemistry and bolsters the practical feasibility of H2/O2-mediated ammoximation.</w:t>
      </w:r>
    </w:p>
    <w:p>
      <w:pPr>
        <w:spacing w:before="120" w:after="120"/>
      </w:pPr>
      <w:r>
        <w:rPr>
          <w:sz w:val="18"/>
        </w:rPr>
        <w:t>——————————————————————————————————————————————————————————————————————</w:t>
      </w:r>
    </w:p>
    <w:p>
      <w:pPr>
        <w:spacing w:before="160" w:after="40" w:line="240" w:lineRule="auto"/>
      </w:pPr>
      <w:r>
        <w:rPr>
          <w:b/>
        </w:rPr>
        <w:t xml:space="preserve">[155] </w:t>
      </w:r>
      <w:hyperlink r:id="rId504">
        <w:r>
          <w:rPr>
            <w:color w:val="1155CC"/>
            <w:u w:val="single"/>
          </w:rPr>
          <w:t>[ASAP] 合成具有高指数晶面的高熵合金纳米颗粒的三组分策略</w:t>
        </w:r>
      </w:hyperlink>
    </w:p>
    <w:p>
      <w:pPr>
        <w:spacing w:before="0" w:after="80"/>
      </w:pPr>
      <w:r>
        <w:rPr>
          <w:i/>
          <w:sz w:val="20"/>
        </w:rPr>
        <w:t>EN: [ASAP] A Three-Component Strategy for Synthesizing High-Entropy Alloy Nanoparticles with High-Index Facets</w:t>
      </w:r>
    </w:p>
    <w:p>
      <w:pPr>
        <w:spacing w:before="0" w:after="120"/>
      </w:pPr>
      <w:r>
        <w:rPr>
          <w:b/>
        </w:rPr>
        <w:t xml:space="preserve">Source: </w:t>
      </w:r>
      <w:r>
        <w:t>Journal of the American Chemical Society: Latest Articles (ACS Publications)</w:t>
      </w:r>
      <w:r>
        <w:t xml:space="preserve">    </w:t>
      </w:r>
      <w:r>
        <w:rPr>
          <w:b/>
        </w:rPr>
        <w:t xml:space="preserve">Pub date: </w:t>
      </w:r>
      <w:r>
        <w:t>2026-04-20 17:00:06+00:00</w:t>
      </w:r>
      <w:r>
        <w:t xml:space="preserve">    </w:t>
      </w:r>
      <w:r>
        <w:rPr>
          <w:b/>
        </w:rPr>
        <w:t xml:space="preserve">DOI: </w:t>
      </w:r>
      <w:hyperlink r:id="rId505">
        <w:r>
          <w:rPr>
            <w:color w:val="1155CC"/>
            <w:u w:val="single"/>
          </w:rPr>
          <w:t>10.1021/jacs.6c02180</w:t>
        </w:r>
      </w:hyperlink>
    </w:p>
    <w:p>
      <w:pPr>
        <w:spacing w:before="0" w:after="120"/>
      </w:pPr>
      <w:r>
        <w:rPr>
          <w:b/>
        </w:rPr>
        <w:t xml:space="preserve">Notes: </w:t>
      </w:r>
      <w:r>
        <w:t>abstract_source=pubmed</w:t>
      </w:r>
    </w:p>
    <w:p>
      <w:pPr>
        <w:spacing w:before="0" w:after="80" w:lineRule="auto" w:line="276"/>
      </w:pPr>
      <w:r>
        <w:rPr>
          <w:b/>
        </w:rPr>
        <w:t xml:space="preserve">摘要（ZH）: </w:t>
      </w:r>
      <w:r>
        <w:t>控制高熵合金（HEA）纳米颗粒的形状，尤其是暴露的高指数晶面（HIFs），目前尚不可行。在此，报道了一种通过合金化-去合金化策略和液态金属介导过程获得四八面体（THH）形状HIF-HEA纳米颗粒的三组分合成策略。金属前体首先与Ga合金化形成多元素纳米颗粒，然后与挥发性金属合金化。选择性去合金化纳米颗粒中的挥发性金属用于调节其表面能；Ga稳定HEA相，微量元素稳定HIFs，最终形成具有{210} HIFs的THH形状HEA纳米颗粒（七种不同类型）。最后，纳米颗粒巨型库包含</w:t>
      </w:r>
    </w:p>
    <w:p>
      <w:pPr>
        <w:spacing w:before="0" w:after="200" w:lineRule="auto" w:line="276"/>
      </w:pPr>
      <w:r>
        <w:rPr>
          <w:b/>
        </w:rPr>
        <w:t xml:space="preserve">Abstract (EN): </w:t>
      </w:r>
      <w:r>
        <w:t>Controlling the shapes and, more importantly, exposed facets (high-index facets (HIFs), especially) of high-entropy alloy (HEA) nanoparticles is not yet possible. Herein, a three-component synthetic strategy for obtaining tetrahexahedral (THH)-shaped HIF-HEA nanoparticles through a combined alloying-dealloying strategy and liquid-metal mediation process is reported. Metal precursors are first alloyed with Ga to form multielemental nanoparticles and then alloyed with a volatile metal. Selectively dealloying the volatile metal from the nanoparticles is used to regulate their surface energies; the Ga stabilizes the HEA phase, and the trace element stabilizes the HIFs, resulting in THH-shaped HEA nanoparticles (seven different types) with {210} HIFs. Finally, nanoparticle megalibraries containing millions of THH-shaped HIF-HEAs on 4 cm2 chips with size and composition control shows generalizability and scalability for materials discovery purposes.</w:t>
      </w:r>
    </w:p>
    <w:p>
      <w:pPr>
        <w:spacing w:before="120" w:after="120"/>
      </w:pPr>
      <w:r>
        <w:rPr>
          <w:sz w:val="18"/>
        </w:rPr>
        <w:t>——————————————————————————————————————————————————————————————————————</w:t>
      </w:r>
    </w:p>
    <w:p>
      <w:pPr>
        <w:spacing w:before="160" w:after="40" w:line="240" w:lineRule="auto"/>
      </w:pPr>
      <w:r>
        <w:rPr>
          <w:b/>
        </w:rPr>
        <w:t xml:space="preserve">[156] </w:t>
      </w:r>
      <w:hyperlink r:id="rId506">
        <w:r>
          <w:rPr>
            <w:color w:val="1155CC"/>
            <w:u w:val="single"/>
          </w:rPr>
          <w:t>[ASAP] 揭示单分子分辨率下的动态离子相互作用</w:t>
        </w:r>
      </w:hyperlink>
    </w:p>
    <w:p>
      <w:pPr>
        <w:spacing w:before="0" w:after="80"/>
      </w:pPr>
      <w:r>
        <w:rPr>
          <w:i/>
          <w:sz w:val="20"/>
        </w:rPr>
        <w:t>EN: [ASAP] Unveiling the Dynamic Ionic Interactions at the Single-Molecule Resolution</w:t>
      </w:r>
    </w:p>
    <w:p>
      <w:pPr>
        <w:spacing w:before="0" w:after="120"/>
      </w:pPr>
      <w:r>
        <w:rPr>
          <w:b/>
        </w:rPr>
        <w:t xml:space="preserve">Source: </w:t>
      </w:r>
      <w:r>
        <w:t>Journal of the American Chemical Society: Latest Articles (ACS Publications)</w:t>
      </w:r>
      <w:r>
        <w:t xml:space="preserve">    </w:t>
      </w:r>
      <w:r>
        <w:rPr>
          <w:b/>
        </w:rPr>
        <w:t xml:space="preserve">Pub date: </w:t>
      </w:r>
      <w:r>
        <w:t>2026-04-20 17:13:31+00:00</w:t>
      </w:r>
      <w:r>
        <w:t xml:space="preserve">    </w:t>
      </w:r>
      <w:r>
        <w:rPr>
          <w:b/>
        </w:rPr>
        <w:t xml:space="preserve">DOI: </w:t>
      </w:r>
      <w:hyperlink r:id="rId507">
        <w:r>
          <w:rPr>
            <w:color w:val="1155CC"/>
            <w:u w:val="single"/>
          </w:rPr>
          <w:t>10.1021/jacs.5c22975</w:t>
        </w:r>
      </w:hyperlink>
    </w:p>
    <w:p>
      <w:pPr>
        <w:spacing w:before="0" w:after="120"/>
      </w:pPr>
      <w:r>
        <w:rPr>
          <w:b/>
        </w:rPr>
        <w:t xml:space="preserve">Notes: </w:t>
      </w:r>
      <w:r>
        <w:t>abstract_source=pubmed</w:t>
      </w:r>
    </w:p>
    <w:p>
      <w:pPr>
        <w:spacing w:before="0" w:after="80" w:lineRule="auto" w:line="276"/>
      </w:pPr>
      <w:r>
        <w:rPr>
          <w:b/>
        </w:rPr>
        <w:t xml:space="preserve">摘要（ZH）: </w:t>
      </w:r>
      <w:r>
        <w:t>离子相互作用在与共价键的比较中具有根本的重要性。然而，它们缺乏方向性和饱和性，使得理解离子相互作用的动态性极具挑战性。在这项工作中，我们通过采用单分子方法来研究通过离子相互作用的电荷传输，从而克服了这一挑战。利用单分子分辨率，我们观察到动态的离子相互作用，并证明离子键具有与共价键相当的高电导率。这些动态性源于离子和范德华相互作用之间的关键相互作用，可以通过热激活精确调节，并通过介导阴离子的离子半径精细调节。这种可调节的离子相互作用使得导电性显著提高。</w:t>
      </w:r>
    </w:p>
    <w:p>
      <w:pPr>
        <w:spacing w:before="0" w:after="200" w:lineRule="auto" w:line="276"/>
      </w:pPr>
      <w:r>
        <w:rPr>
          <w:b/>
        </w:rPr>
        <w:t xml:space="preserve">Abstract (EN): </w:t>
      </w:r>
      <w:r>
        <w:t>Ionic interactions are fundamentally important in comparison with covalent bonds. However, their lack of directionality and saturability makes understanding the dynamics of ionic interactions highly challenging. In this work, we overcome this challenge by employing a single-molecule approach to investigate charge transport through ionic interactions. Leveraging the single-molecule resolution, we observe dynamic ionic interactions and demonstrate that ionic bonds have high conductance comparable to that of covalent linkages. These dynamics arise from the pivotal interplay between ionic and van der Waals interactions, which can be precisely tuned by thermal activation and finely modulated by the ionic radii of the mediating anions. Such tunable ionic interactions enable significant conductivity modulation exceeding 1 order of magnitude, alongside sub-nanometer control in governing transport distances. This study provides fundamental insights into dynamic ionic interactions, paving the way for designing molecular electronic materials.</w:t>
      </w:r>
    </w:p>
    <w:p>
      <w:pPr>
        <w:spacing w:before="120" w:after="120"/>
      </w:pPr>
      <w:r>
        <w:rPr>
          <w:sz w:val="18"/>
        </w:rPr>
        <w:t>——————————————————————————————————————————————————————————————————————</w:t>
      </w:r>
    </w:p>
    <w:p>
      <w:pPr>
        <w:spacing w:before="160" w:after="40" w:line="240" w:lineRule="auto"/>
      </w:pPr>
      <w:r>
        <w:rPr>
          <w:b/>
        </w:rPr>
        <w:t xml:space="preserve">[157] </w:t>
      </w:r>
      <w:hyperlink r:id="rId508">
        <w:r>
          <w:rPr>
            <w:color w:val="1155CC"/>
            <w:u w:val="single"/>
          </w:rPr>
          <w:t>[ASAP] 通过多态多参考量子化学透视反Bredt烯烃的光化学</w:t>
        </w:r>
      </w:hyperlink>
    </w:p>
    <w:p>
      <w:pPr>
        <w:spacing w:before="0" w:after="80"/>
      </w:pPr>
      <w:r>
        <w:rPr>
          <w:i/>
          <w:sz w:val="20"/>
        </w:rPr>
        <w:t>EN: [ASAP] Photochemistry of an Anti-Bredt Olefin through the Lens of Multistate Multireference Quantum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2026-04-20 17:14:33+00:00</w:t>
      </w:r>
      <w:r>
        <w:t xml:space="preserve">    </w:t>
      </w:r>
      <w:r>
        <w:rPr>
          <w:b/>
        </w:rPr>
        <w:t xml:space="preserve">DOI: </w:t>
      </w:r>
      <w:hyperlink r:id="rId509">
        <w:r>
          <w:rPr>
            <w:color w:val="1155CC"/>
            <w:u w:val="single"/>
          </w:rPr>
          <w:t>10.1021/jacs.5c22985</w:t>
        </w:r>
      </w:hyperlink>
    </w:p>
    <w:p>
      <w:pPr>
        <w:spacing w:before="0" w:after="120"/>
      </w:pPr>
      <w:r>
        <w:rPr>
          <w:b/>
        </w:rPr>
        <w:t xml:space="preserve">Notes: </w:t>
      </w:r>
      <w:r>
        <w:t>abstract_source=pubmed</w:t>
      </w:r>
    </w:p>
    <w:p>
      <w:pPr>
        <w:spacing w:before="0" w:after="80" w:lineRule="auto" w:line="276"/>
      </w:pPr>
      <w:r>
        <w:rPr>
          <w:b/>
        </w:rPr>
        <w:t xml:space="preserve">摘要（ZH）: </w:t>
      </w:r>
      <w:r>
        <w:t>在2024年，Garg及其同事报道了一类反Bredt烯烃——降冰片烯-1-烯可以系统地制备和捕获。这一发现促使我们结合多态、多构型量子化学梯度和多尺度建模来模拟降冰片烯-1-烯在乙腈中的光诱导动力学和化学。结果预测存在一个激发态中间体，其独特的电子结构由一个包含非经典阳离子部分的双极离子组成。通过传播200条室温量子-经典轨迹，显示这种中间体通过一个独特的锥形交叉衰变，导致同时形成卡宾和双自由基作为主要光产物。第三种双极离子光产物是</w:t>
      </w:r>
    </w:p>
    <w:p>
      <w:pPr>
        <w:spacing w:before="0" w:after="200" w:lineRule="auto" w:line="276"/>
      </w:pPr>
      <w:r>
        <w:rPr>
          <w:b/>
        </w:rPr>
        <w:t xml:space="preserve">Abstract (EN): </w:t>
      </w:r>
      <w:r>
        <w:t>In 2024, Garg and co-workers reported that norborn-1-enes, a class of anti-Bredt olefins, can be systematically prepared and trapped. This finding has prompted us to combine multistate, multiconfigurational quantum chemical gradients and multiscale modeling to simulate the light-induced dynamics and chemistry of norborn-1-ene in acetonitrile. The results predict the existence of an excited state intermediate with a unique electronic structure consisting of a zwitterion incorporating a nonclassical cationic moiety. A set of 200 room-temperature quantum-classical trajectories were propagated to show that such intermediate decay through a unique conical intersection leads to the simultaneous formation of a carbene and a diradical as primary photoproducts. A third zwitterionic photoproduct is instead predicted to have a transient existence. Thus, our simulation not only uncovers a new type of photochemical funnel but also points to novel chemistries only accessible when anti-Bredt olefins are prepared or trapped under illumination conditions.</w:t>
      </w:r>
    </w:p>
    <w:p>
      <w:pPr>
        <w:spacing w:before="120" w:after="120"/>
      </w:pPr>
      <w:r>
        <w:rPr>
          <w:sz w:val="18"/>
        </w:rPr>
        <w:t>——————————————————————————————————————————————————————————————————————</w:t>
      </w:r>
    </w:p>
    <w:p>
      <w:pPr>
        <w:spacing w:before="160" w:after="40" w:line="240" w:lineRule="auto"/>
      </w:pPr>
      <w:r>
        <w:rPr>
          <w:b/>
        </w:rPr>
        <w:t xml:space="preserve">[158] </w:t>
      </w:r>
      <w:hyperlink r:id="rId510">
        <w:r>
          <w:rPr>
            <w:color w:val="1155CC"/>
            <w:u w:val="single"/>
          </w:rPr>
          <w:t>[ASAP] 几何控制的对称破缺电荷分离和苯并芘三酰亚胺二聚体的光催化</w:t>
        </w:r>
      </w:hyperlink>
    </w:p>
    <w:p>
      <w:pPr>
        <w:spacing w:before="0" w:after="80"/>
      </w:pPr>
      <w:r>
        <w:rPr>
          <w:i/>
          <w:sz w:val="20"/>
        </w:rPr>
        <w:t>EN: [ASAP] Geometry-Governed Symmetry-Breaking Charge Separation and Photocatalysis of Benzoperylenetriimide Dimers</w:t>
      </w:r>
    </w:p>
    <w:p>
      <w:pPr>
        <w:spacing w:before="0" w:after="120"/>
      </w:pPr>
      <w:r>
        <w:rPr>
          <w:b/>
        </w:rPr>
        <w:t xml:space="preserve">Source: </w:t>
      </w:r>
      <w:r>
        <w:t>Journal of the American Chemical Society: Latest Articles (ACS Publications)</w:t>
      </w:r>
      <w:r>
        <w:t xml:space="preserve">    </w:t>
      </w:r>
      <w:r>
        <w:rPr>
          <w:b/>
        </w:rPr>
        <w:t xml:space="preserve">Pub date: </w:t>
      </w:r>
      <w:r>
        <w:t>2026-04-20 18:44:35+00:00</w:t>
      </w:r>
      <w:r>
        <w:t xml:space="preserve">    </w:t>
      </w:r>
      <w:r>
        <w:rPr>
          <w:b/>
        </w:rPr>
        <w:t xml:space="preserve">DOI: </w:t>
      </w:r>
      <w:hyperlink r:id="rId511">
        <w:r>
          <w:rPr>
            <w:color w:val="1155CC"/>
            <w:u w:val="single"/>
          </w:rPr>
          <w:t>10.1021/jacs.6c01874</w:t>
        </w:r>
      </w:hyperlink>
    </w:p>
    <w:p>
      <w:pPr>
        <w:spacing w:before="0" w:after="120"/>
      </w:pPr>
      <w:r>
        <w:rPr>
          <w:b/>
        </w:rPr>
        <w:t xml:space="preserve">Notes: </w:t>
      </w:r>
      <w:r>
        <w:t>abstract_source=pubmed</w:t>
      </w:r>
    </w:p>
    <w:p>
      <w:pPr>
        <w:spacing w:before="0" w:after="80" w:lineRule="auto" w:line="276"/>
      </w:pPr>
      <w:r>
        <w:rPr>
          <w:b/>
        </w:rPr>
        <w:t xml:space="preserve">摘要（ZH）: </w:t>
      </w:r>
      <w:r>
        <w:t>深入理解多色团系统中激发电子转移的结构-性质关系对于设计可靠的光催化和光电子设备至关重要。然而，由于合成挑战和次优条件，创建控制电子转移事件的结构仍然具有挑战性。在此，我们报告了两种新型苯并苝三酰亚胺（PTI）二聚体，PTI-PTI和PTI-Ph-PTI，利用易还原的PTI。前者二聚体通过PTI的湾位直接连接，而后者则有一个苯环间隔。探讨了它们进行对称破坏电荷分离（SB-CS）的能力及其在光催化电子汇聚中的后续表现。对于PTI-PTI二聚体，它是</w:t>
      </w:r>
    </w:p>
    <w:p>
      <w:pPr>
        <w:spacing w:before="0" w:after="200" w:lineRule="auto" w:line="276"/>
      </w:pPr>
      <w:r>
        <w:rPr>
          <w:b/>
        </w:rPr>
        <w:t xml:space="preserve">Abstract (EN): </w:t>
      </w:r>
      <w:r>
        <w:t>An in-depth understanding of the structure-property relationships in multichromophoric systems undergoing excited electron transfer is essential for designing reliable photocatalytic and optoelectronic devices. However, creating architectures to govern electron-transfer events in a controlled manner remains challenging due to synthetic challenges and suboptimal conditions. Here, we report two novel benzoperylenetriimide (PTI) dimers, PTI-PTI and PTI-Ph-PTI, utilizing an easily reducible PTI. The former dimer features a direct connection through the bay positions of the PTI, whereas the latter has a phenyl ring spacer. Their ability to undergo symmetry-breaking charge separation (SB-CS) and subsequent performance in photocatalytic electron pooling is probed. For the PTI-PTI dimer, which is rigid and orthogonal, SB-CS was not observed due to a lack of electronic communication between the PTI moieties, namely, a perfect "null-exciton" system. In contrast, the flexible PTI-Ph-PTI dimer showed clear evidence of SB-CS due to its ability to communicate between the macrocycles. Steady-state and time-resolved emission studies revealed significant quenching, especially in PTI-Ph-PTI compared to the monomer PTI, indicating initial signs of SB-CS. The redox gap obtained from electrochemical studies confirmed that the SB-CS state can be populated from the singlet excited state in both polar and nonpolar solvents without appreciable energy loss, a much-sought-after property. Additionally, DFT calculations supported experimental results, showing an asymmetric distribution of electron density in frontier orbitals. Meanwhile, TD-DFT studies identified the excited states responsible for the observed SB-CS. Subsequent femtosecond pump-probe studies provided conclusive evidence of charge separation in the PTI-Ph-PTI dimer, independent of the solvent polarity. The lifetimes of the charge-separated states were found to be 119 and 228 ps in benzonitrile and toluene, respectively, which were sufficient to engage them in photocatalytic studies. Consequently, the PTI-Ph-PTI dimer was used for photocatalytic electron-pooling experiments from an application perspective. Higher yields of electron-pooling were observed compared to the monomer, indicating the potential application of this class of systems in developing future photocatalytic systems that function at higher efficiency. Importantly, how "perfect orthogonal rigidity" prohibits SB-CS and its photocatalytic activity, helping future design of symmetric dimers to observe SB-CS, is borne out from this study.</w:t>
      </w:r>
    </w:p>
    <w:p>
      <w:pPr>
        <w:spacing w:before="120" w:after="120"/>
      </w:pPr>
      <w:r>
        <w:rPr>
          <w:sz w:val="18"/>
        </w:rPr>
        <w:t>——————————————————————————————————————————————————————————————————————</w:t>
      </w:r>
    </w:p>
    <w:p>
      <w:pPr>
        <w:spacing w:before="160" w:after="40" w:line="240" w:lineRule="auto"/>
      </w:pPr>
      <w:r>
        <w:rPr>
          <w:b/>
        </w:rPr>
        <w:t xml:space="preserve">[159] </w:t>
      </w:r>
      <w:hyperlink r:id="rId512">
        <w:r>
          <w:rPr>
            <w:color w:val="1155CC"/>
            <w:u w:val="single"/>
          </w:rPr>
          <w:t>[ASAP] 硅酸盐促进的聚合物和非聚合物PFAS的机械化学矿化为氟化钠</w:t>
        </w:r>
      </w:hyperlink>
    </w:p>
    <w:p>
      <w:pPr>
        <w:spacing w:before="0" w:after="80"/>
      </w:pPr>
      <w:r>
        <w:rPr>
          <w:i/>
          <w:sz w:val="20"/>
        </w:rPr>
        <w:t>EN: [ASAP] Silicate-Enabled Mechanochemical Mineralization of Polymeric and Nonpolymeric PFAS into Sodium Fluoride</w:t>
      </w:r>
    </w:p>
    <w:p>
      <w:pPr>
        <w:spacing w:before="0" w:after="120"/>
      </w:pPr>
      <w:r>
        <w:rPr>
          <w:b/>
        </w:rPr>
        <w:t xml:space="preserve">Source: </w:t>
      </w:r>
      <w:r>
        <w:t>Journal of the American Chemical Society: Latest Articles (ACS Publications)</w:t>
      </w:r>
      <w:r>
        <w:t xml:space="preserve">    </w:t>
      </w:r>
      <w:r>
        <w:rPr>
          <w:b/>
        </w:rPr>
        <w:t xml:space="preserve">Pub date: </w:t>
      </w:r>
      <w:r>
        <w:t>2026-04-20 19:05:27+00:00</w:t>
      </w:r>
      <w:r>
        <w:t xml:space="preserve">    </w:t>
      </w:r>
      <w:r>
        <w:rPr>
          <w:b/>
        </w:rPr>
        <w:t xml:space="preserve">DOI: </w:t>
      </w:r>
      <w:hyperlink r:id="rId513">
        <w:r>
          <w:rPr>
            <w:color w:val="1155CC"/>
            <w:u w:val="single"/>
          </w:rPr>
          <w:t>10.1021/jacs.6c01470</w:t>
        </w:r>
      </w:hyperlink>
    </w:p>
    <w:p>
      <w:pPr>
        <w:spacing w:before="0" w:after="120"/>
      </w:pPr>
      <w:r>
        <w:rPr>
          <w:b/>
        </w:rPr>
        <w:t xml:space="preserve">Notes: </w:t>
      </w:r>
      <w:r>
        <w:t>abstract_source=pubmed</w:t>
      </w:r>
    </w:p>
    <w:p>
      <w:pPr>
        <w:spacing w:before="0" w:after="80" w:lineRule="auto" w:line="276"/>
      </w:pPr>
      <w:r>
        <w:rPr>
          <w:b/>
        </w:rPr>
        <w:t xml:space="preserve">摘要（ZH）: </w:t>
      </w:r>
      <w:r>
        <w:t>全氟和多氟烷基物质（PFAS）是持久的环境污染物，其中一些与长期暴露对人类健康的有害影响有关。虽然已经报道了许多破坏PFAS的过程，但高温热法如焚烧或热解仍然是处理大宗废物的最常用方法。在此，我们报告了一种高效的机械化学过程，旨在破坏聚合物和非聚合物PFAS，并回收氟作为NaF，这是一种被国际组织认可用于公共口腔健康的盐。该过程包括将PFAS与市售的硅酸钠进行球磨，这是一种廉价且易于处理的试剂，被发现优于磷酸钠或碳酸钠。这种方法代表了向修复的一个有希望的步骤。</w:t>
      </w:r>
    </w:p>
    <w:p>
      <w:pPr>
        <w:spacing w:before="0" w:after="200" w:lineRule="auto" w:line="276"/>
      </w:pPr>
      <w:r>
        <w:rPr>
          <w:b/>
        </w:rPr>
        <w:t xml:space="preserve">Abstract (EN): </w:t>
      </w:r>
      <w:r>
        <w:t>Per- and polyfluoroalkyl substances (PFAS) are persistent environmental pollutants, some associated with detrimental impacts on human health upon chronic exposure. Many processes have been reported to destroy PFAS, although high-temperature thermal methods such as incineration or pyrolysis are still the most commonly used for bulk waste. Herein, we report a highly effective mechanochemical process designed to destroy polymeric and nonpolymeric PFAS with recovery of fluorine as NaF, a salt endorsed by international organizations for public oral health. The process consists of ball milling PFAS with commercially available sodium silicate, an inexpensive and easy-to-handle reagent found to be superior to sodium phosphate or carbonate. This approach represents a promising step toward remediating the global PFAS crisis with a circular fluorine economy in mind.</w:t>
      </w:r>
    </w:p>
    <w:p>
      <w:pPr>
        <w:spacing w:before="120" w:after="120"/>
      </w:pPr>
      <w:r>
        <w:rPr>
          <w:sz w:val="18"/>
        </w:rPr>
        <w:t>——————————————————————————————————————————————————————————————————————</w:t>
      </w:r>
    </w:p>
    <w:p>
      <w:pPr>
        <w:spacing w:before="160" w:after="40" w:line="240" w:lineRule="auto"/>
      </w:pPr>
      <w:r>
        <w:rPr>
          <w:b/>
        </w:rPr>
        <w:t xml:space="preserve">[160] </w:t>
      </w:r>
      <w:hyperlink r:id="rId514">
        <w:r>
          <w:rPr>
            <w:color w:val="1155CC"/>
            <w:u w:val="single"/>
          </w:rPr>
          <w:t>[ASAP] 同位素ADy4 [2 × 2] 复合物中的非常规核自旋依赖环形基态</w:t>
        </w:r>
      </w:hyperlink>
    </w:p>
    <w:p>
      <w:pPr>
        <w:spacing w:before="0" w:after="80"/>
      </w:pPr>
      <w:r>
        <w:rPr>
          <w:i/>
          <w:sz w:val="20"/>
        </w:rPr>
        <w:t>EN: [ASAP] Unconventional Nuclear-Spin-Dependent Toroidal Ground States in Isotopologue ADy4 [2 × 2]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2026-04-20 19:53:31+00:00</w:t>
      </w:r>
      <w:r>
        <w:t xml:space="preserve">    </w:t>
      </w:r>
      <w:r>
        <w:rPr>
          <w:b/>
        </w:rPr>
        <w:t xml:space="preserve">DOI: </w:t>
      </w:r>
      <w:hyperlink r:id="rId515">
        <w:r>
          <w:rPr>
            <w:color w:val="1155CC"/>
            <w:u w:val="single"/>
          </w:rPr>
          <w:t>10.1021/jacs.6c03508</w:t>
        </w:r>
      </w:hyperlink>
    </w:p>
    <w:p>
      <w:pPr>
        <w:spacing w:before="0" w:after="120"/>
      </w:pPr>
      <w:r>
        <w:rPr>
          <w:b/>
        </w:rPr>
        <w:t xml:space="preserve">Notes: </w:t>
      </w:r>
      <w:r>
        <w:t>abstract_source=pubmed</w:t>
      </w:r>
    </w:p>
    <w:p>
      <w:pPr>
        <w:spacing w:before="0" w:after="80" w:lineRule="auto" w:line="276"/>
      </w:pPr>
      <w:r>
        <w:rPr>
          <w:b/>
        </w:rPr>
        <w:t xml:space="preserve">摘要（ZH）: </w:t>
      </w:r>
      <w:r>
        <w:t>了解核自旋如何影响单分子磁体（SMMs）中的电子自旋弛豫对于推进量子技术至关重要。同位素配位化学提供了一条有前途的途径来探测核自旋效应，但其在单分子环形（SMT）系统中的弛豫动力学中的作用仍未被探索。在此，我们研究了两个同位素富集的ADy4网格复合物，164Dy4L4（I = 0）和163Dy4L4（I = 5/2），结合μSQUID磁力计测量至30 mK的低温实验、从头计算和自旋-哈密顿建模。两个同位素均表现出由非共线各向异性轴和竞争相互作用稳定的伪环形基态，产生六边形角度图和S形磁滞回线。无核自旋的164Dy4L4显示出明显的量子特性。</w:t>
      </w:r>
    </w:p>
    <w:p>
      <w:pPr>
        <w:spacing w:before="0" w:after="200" w:lineRule="auto" w:line="276"/>
      </w:pPr>
      <w:r>
        <w:rPr>
          <w:b/>
        </w:rPr>
        <w:t xml:space="preserve">Abstract (EN): </w:t>
      </w:r>
      <w:r>
        <w:t>Understanding how nuclear spin influences electronic spin relaxation in single-molecule magnets (SMMs) is essential for advancing quantum technologies. Isotopologue coordination chemistry offers a promising route to probe nuclear-spin effects, yet its role in relaxation dynamics into Single Molecule Toroic (SMT) systems remains unexplored. Here, we study two isotopically enriched ADy4 grid complexes, 164Dy4L4 (with I = 0) and 163Dy4L4 (with I = 5/2), combining μSQUID magnetometry down to 30 mK with ab initio calculations and spin-Hamiltonian modeling. Both isotopologues exhibit a pseudotoroidal ground state stabilized by noncollinear anisotropy axes and competing interactions, producing hexagonal angular maps and S-shaped hysteresis loops. The nuclear-spin-free 164Dy4L4 displays sharp quantum tunneling of magnetization (QTM) transitions, whereas hyperfine coupling in 163Dy4L4 generates a dense manifold of crossings, profoundly altering relaxation dynamics. Contrary to expectations, nuclear spins do not accelerate relaxation but promote hyperfine-mediated population transfer into the toroidal state, yielding slower dynamics and larger hysteresis openings. Temperature and sweep-rate dependences further reveal contrasting mechanisms: pure tunneling in 164Dy4L4 versus thermally assisted processes in 163Dy4L4. Overall, our findings demonstrate that nuclear spins exert a constructive and nonintuitive influence on toroidal SMMs, providing an additional lever for controlling low-temperature relaxation. Isotopically controlled lanthanide assemblies thus emerge as promising platforms for exploring quantum tunneling, spin-phonon coupling, and molecular-scale information storage/processing.</w:t>
      </w:r>
    </w:p>
    <w:p>
      <w:pPr>
        <w:spacing w:before="120" w:after="120"/>
      </w:pPr>
      <w:r>
        <w:rPr>
          <w:sz w:val="18"/>
        </w:rPr>
        <w:t>——————————————————————————————————————————————————————————————————————</w:t>
      </w:r>
    </w:p>
    <w:p>
      <w:pPr>
        <w:spacing w:before="160" w:after="40" w:line="240" w:lineRule="auto"/>
      </w:pPr>
      <w:r>
        <w:rPr>
          <w:b/>
        </w:rPr>
        <w:t xml:space="preserve">[161] </w:t>
      </w:r>
      <w:hyperlink r:id="rId516">
        <w:r>
          <w:rPr>
            <w:color w:val="1155CC"/>
            <w:u w:val="single"/>
          </w:rPr>
          <w:t>挑战光伏领域的传统假设：一种低成本钙钛矿组件生产的高通量露天方法</w:t>
        </w:r>
      </w:hyperlink>
    </w:p>
    <w:p>
      <w:pPr>
        <w:spacing w:before="0" w:after="80"/>
      </w:pPr>
      <w:r>
        <w:rPr>
          <w:i/>
          <w:sz w:val="20"/>
        </w:rPr>
        <w:t>EN: Challenging Conventional Assumptions in PV: A High-Throughput Open-Air Approach to Low-Cost Perovskite Module Production</w:t>
      </w:r>
    </w:p>
    <w:p>
      <w:pPr>
        <w:spacing w:before="0" w:after="120"/>
      </w:pPr>
      <w:r>
        <w:rPr>
          <w:b/>
        </w:rPr>
        <w:t xml:space="preserve">Source: </w:t>
      </w:r>
      <w:r>
        <w:t>RSC - Energy Environ. Sci. latest articles</w:t>
      </w:r>
      <w:r>
        <w:t xml:space="preserve">    </w:t>
      </w:r>
      <w:r>
        <w:rPr>
          <w:b/>
        </w:rPr>
        <w:t xml:space="preserve">Pub date: </w:t>
      </w:r>
      <w:r>
        <w:t>2026-04-20 23:00:00+00:00</w:t>
      </w:r>
    </w:p>
    <w:p>
      <w:pPr>
        <w:spacing w:before="0" w:after="120"/>
      </w:pPr>
      <w:r>
        <w:rPr>
          <w:b/>
        </w:rPr>
        <w:t xml:space="preserve">Notes: </w:t>
      </w:r>
      <w:r>
        <w:t>abstract_source=rsc_html</w:t>
      </w:r>
    </w:p>
    <w:p>
      <w:pPr>
        <w:spacing w:before="0" w:after="80" w:lineRule="auto" w:line="276"/>
      </w:pPr>
      <w:r>
        <w:rPr>
          <w:b/>
        </w:rPr>
        <w:t xml:space="preserve">摘要（ZH）: </w:t>
      </w:r>
      <w:r>
        <w:t>钙钛矿太阳能组件（PSMs）为低成本光伏提供了一个有前景的途径，但其商业化面临制造规模、器件均匀性、添加剂成本、层间复杂性和组件稳定性的挑战。本研究介绍了单结PSM的全面技术经济分析以及集成所有材料和制造步骤的钙钛矿-Si串联组件的预测，包括组件性能、预期寿命和跨规模的制造成本。我们强调了一种开放空气制造方法，用于制造串联互连PSMs的所有活性层，包括电极和电荷传输层，实现高通量生产而无需惰性或真空环境。分析显示了两个数量级的通量</w:t>
      </w:r>
    </w:p>
    <w:p>
      <w:pPr>
        <w:spacing w:before="0" w:after="200" w:lineRule="auto" w:line="276"/>
      </w:pPr>
      <w:r>
        <w:rPr>
          <w:b/>
        </w:rPr>
        <w:t xml:space="preserve">Abstract (EN): </w:t>
      </w:r>
      <w:r>
        <w:t>Perovskite solar modules (PSMs) offer a promising pathway to low-cost photovoltaics, yet their commercialization is challenged by manufacturing scalability, device uniformity, additive costs, interlayer complexity, and module stability. This study introduces a comprehensive technoeconomic analysis of single junction PSM’s and projections for tandem perovskite-Si modules that integrate all materials and manufacturing steps, module performances, projected lifetimes, and manufacturing costs across scales. We highlight an open-air manufacturing approach to fabricate all active layers of serially interconnected PSMs, including electrodes and charge transport layers, enabling high-throughput production without inert or vacuum environments. The analysis reveals two orders of magnitude throughput enhancement and cost reductions of 24% in all-spray production, escalating to over 60% at 1 GW factory capacity compared to conventional methods. Levelized cost of energy (LCOE) projections for utility-scale installations over 30 years, accounting for module replacement and recycling, demonstrate the potential to achieve the 2030 US target of $0.03/kWh with realistic 7 – 11-year PSM lifetimes, outperforming incumbent silicon-based modules. Neither four terminal (4T) nor two terminal (2T) tandem-Si PSMs improve over single junction or silicon LCOE regardless of higher efficiencies at any modeled lifetime. Addressing PSM technical challenges with a cost-modeling framework guides commercialization efforts and provides a convincing pathway for challenging incumbent Si-based PV.</w:t>
      </w:r>
    </w:p>
    <w:p>
      <w:pPr>
        <w:spacing w:before="120" w:after="120"/>
      </w:pPr>
      <w:r>
        <w:rPr>
          <w:sz w:val="18"/>
        </w:rPr>
        <w:t>——————————————————————————————————————————————————————————————————————</w:t>
      </w:r>
    </w:p>
    <w:p>
      <w:pPr>
        <w:spacing w:before="160" w:after="40" w:line="240" w:lineRule="auto"/>
      </w:pPr>
      <w:r>
        <w:rPr>
          <w:b/>
        </w:rPr>
        <w:t xml:space="preserve">[162] </w:t>
      </w:r>
      <w:hyperlink r:id="rId517">
        <w:r>
          <w:rPr>
            <w:color w:val="1155CC"/>
            <w:u w:val="single"/>
          </w:rPr>
          <w:t>聚合酶介导的DNA纳米结构扩展</w:t>
        </w:r>
      </w:hyperlink>
    </w:p>
    <w:p>
      <w:pPr>
        <w:spacing w:before="0" w:after="80"/>
      </w:pPr>
      <w:r>
        <w:rPr>
          <w:i/>
          <w:sz w:val="20"/>
        </w:rPr>
        <w:t>EN: Polymerase-mediated expansion of DNA nanostructures</w:t>
      </w:r>
    </w:p>
    <w:p>
      <w:pPr>
        <w:spacing w:before="0" w:after="120"/>
      </w:pPr>
      <w:r>
        <w:rPr>
          <w:b/>
        </w:rPr>
        <w:t xml:space="preserve">Source: </w:t>
      </w:r>
      <w:r>
        <w:t>Chem</w:t>
      </w:r>
      <w:r>
        <w:t xml:space="preserve">    </w:t>
      </w:r>
      <w:r>
        <w:rPr>
          <w:b/>
        </w:rPr>
        <w:t xml:space="preserve">Pub date: </w:t>
      </w:r>
      <w:r>
        <w:t>2026-04-21 00:00:00+00:00</w:t>
      </w:r>
      <w:r>
        <w:t xml:space="preserve">    </w:t>
      </w:r>
      <w:r>
        <w:rPr>
          <w:b/>
        </w:rPr>
        <w:t xml:space="preserve">DOI: </w:t>
      </w:r>
      <w:hyperlink r:id="rId518">
        <w:r>
          <w:rPr>
            <w:color w:val="1155CC"/>
            <w:u w:val="single"/>
          </w:rPr>
          <w:t>10.1016/j.chempr.2026.103038</w:t>
        </w:r>
      </w:hyperlink>
    </w:p>
    <w:p>
      <w:pPr>
        <w:spacing w:before="0" w:after="120"/>
      </w:pPr>
      <w:r>
        <w:rPr>
          <w:b/>
        </w:rPr>
        <w:t xml:space="preserve">Notes: </w:t>
      </w:r>
      <w:r>
        <w:t>abstract_source=rss_cell</w:t>
      </w:r>
    </w:p>
    <w:p>
      <w:pPr>
        <w:spacing w:before="0" w:after="80" w:lineRule="auto" w:line="276"/>
      </w:pPr>
      <w:r>
        <w:rPr>
          <w:b/>
        </w:rPr>
        <w:t xml:space="preserve">摘要（ZH）: </w:t>
      </w:r>
      <w:r>
        <w:t>在这项工作中开发了一种用于DNA纳米结构的酶促扩展框架。在线框DNA晶格的组成边缘嵌入了可扩展的环，以作为DNA聚合酶驱动的延伸的模板。在酶处理后，实现了可控的单向和多向扩展。这种可控的扩展不仅扩展了DNA纳米技术的设计空间，还为扩展显微镜和形状记忆材料提供了启示。</w:t>
      </w:r>
    </w:p>
    <w:p>
      <w:pPr>
        <w:spacing w:before="0" w:after="200" w:lineRule="auto" w:line="276"/>
      </w:pPr>
      <w:r>
        <w:rPr>
          <w:b/>
        </w:rPr>
        <w:t xml:space="preserve">Abstract (EN): </w:t>
      </w:r>
      <w:r>
        <w:t>An enzymatic expansion framework for DNA nanostructures is developed in this work. Extendable loops were embedded at the constituent edges of the wireframe DNA lattices to serve as templates for DNA polymerase-driven elongation. Upon enzymatic treatment, controllable unidirectional and multidirectional expansion is realized. Such a controllable expansion not only expands the design space of DNA nanotechnology but also sheds light on expansion microscopy and shape memory materials.</w:t>
      </w:r>
    </w:p>
    <w:p>
      <w:pPr>
        <w:spacing w:before="120" w:after="120"/>
      </w:pPr>
      <w:r>
        <w:rPr>
          <w:sz w:val="18"/>
        </w:rPr>
        <w:t>——————————————————————————————————————————————————————————————————————</w:t>
      </w:r>
    </w:p>
    <w:p>
      <w:pPr>
        <w:spacing w:before="160" w:after="40" w:line="240" w:lineRule="auto"/>
      </w:pPr>
      <w:r>
        <w:rPr>
          <w:b/>
        </w:rPr>
        <w:t xml:space="preserve">[163] </w:t>
      </w:r>
      <w:hyperlink r:id="rId519">
        <w:r>
          <w:rPr>
            <w:color w:val="1155CC"/>
            <w:u w:val="single"/>
          </w:rPr>
          <w:t>人工智能末日警告声越来越大。它们现实吗？</w:t>
        </w:r>
      </w:hyperlink>
    </w:p>
    <w:p>
      <w:pPr>
        <w:spacing w:before="0" w:after="80"/>
      </w:pPr>
      <w:r>
        <w:rPr>
          <w:i/>
          <w:sz w:val="20"/>
        </w:rPr>
        <w:t>EN: AI doom warnings are getting louder. Are they realistic?</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20">
        <w:r>
          <w:rPr>
            <w:color w:val="1155CC"/>
            <w:u w:val="single"/>
          </w:rPr>
          <w:t>10.1038/d41586-026-01257-6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521">
        <w:r>
          <w:rPr>
            <w:color w:val="1155CC"/>
            <w:u w:val="single"/>
          </w:rPr>
          <w:t>个性化CRISPR疗法可能很快惠及数千人——以下是实现方法</w:t>
        </w:r>
      </w:hyperlink>
    </w:p>
    <w:p>
      <w:pPr>
        <w:spacing w:before="0" w:after="80"/>
      </w:pPr>
      <w:r>
        <w:rPr>
          <w:i/>
          <w:sz w:val="20"/>
        </w:rPr>
        <w:t>EN: Personalized CRISPR therapies could soon reach thousands — here’s how</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22">
        <w:r>
          <w:rPr>
            <w:color w:val="1155CC"/>
            <w:u w:val="single"/>
          </w:rPr>
          <w:t>10.1038/d41586-026-01243-y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523">
        <w:r>
          <w:rPr>
            <w:color w:val="1155CC"/>
            <w:u w:val="single"/>
          </w:rPr>
          <w:t>每日简报：我们应该担心人工智能末日吗？</w:t>
        </w:r>
      </w:hyperlink>
    </w:p>
    <w:p>
      <w:pPr>
        <w:spacing w:before="0" w:after="80"/>
      </w:pPr>
      <w:r>
        <w:rPr>
          <w:i/>
          <w:sz w:val="20"/>
        </w:rPr>
        <w:t>EN: Daily briefing: Should we worry about AI doomsday?</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24">
        <w:r>
          <w:rPr>
            <w:color w:val="1155CC"/>
            <w:u w:val="single"/>
          </w:rPr>
          <w:t>10.1038/d41586-026-01331-z</w:t>
        </w:r>
      </w:hyperlink>
    </w:p>
    <w:p>
      <w:pPr>
        <w:spacing w:before="0" w:after="120"/>
      </w:pPr>
      <w:r>
        <w:rPr>
          <w:b/>
        </w:rPr>
        <w:t xml:space="preserve">Notes: </w:t>
      </w:r>
      <w:r>
        <w:t>abstract_source=openalex</w:t>
      </w:r>
    </w:p>
    <w:p>
      <w:pPr>
        <w:spacing w:before="0" w:after="80" w:lineRule="auto" w:line="276"/>
      </w:pPr>
      <w:r>
        <w:rPr>
          <w:b/>
        </w:rPr>
        <w:t xml:space="preserve">摘要（ZH）: </w:t>
      </w:r>
      <w:r>
        <w:t>研究人员对AI末日场景的有效性和风险的看法。此外，一个为自主AI机器人设计的社交网络，以及个性化CRISPR疗法如何能够惠及更多需要它们的人。研究人员对AI末日场景的有效性和风险的看法。此外，一个为自主AI机器人设计的社交网络，以及个性化CRISPR疗法如何能够惠及更多需要它们的人。</w:t>
      </w:r>
    </w:p>
    <w:p>
      <w:pPr>
        <w:spacing w:before="0" w:after="200" w:lineRule="auto" w:line="276"/>
      </w:pPr>
      <w:r>
        <w:rPr>
          <w:b/>
        </w:rPr>
        <w:t xml:space="preserve">Abstract (EN): </w:t>
      </w:r>
      <w:r>
        <w:t>What researchers think about the validity, and risk, of AI doomsday scenarios. Plus, a social network for agentic AI bots and how personalized CRISPR therapies could reach more people who need them. What researchers think about the validity, and risk, of AI doomsday scenarios. Plus, a social network for agentic AI bots and how personalized CRISPR therapies could reach more people who need them.</w:t>
      </w:r>
    </w:p>
    <w:p>
      <w:pPr>
        <w:spacing w:before="120" w:after="120"/>
      </w:pPr>
      <w:r>
        <w:rPr>
          <w:sz w:val="18"/>
        </w:rPr>
        <w:t>——————————————————————————————————————————————————————————————————————</w:t>
      </w:r>
    </w:p>
    <w:p>
      <w:pPr>
        <w:spacing w:before="160" w:after="40" w:line="240" w:lineRule="auto"/>
      </w:pPr>
      <w:r>
        <w:rPr>
          <w:b/>
        </w:rPr>
        <w:t xml:space="preserve">[166] </w:t>
      </w:r>
      <w:hyperlink r:id="rId525">
        <w:r>
          <w:rPr>
            <w:color w:val="1155CC"/>
            <w:u w:val="single"/>
          </w:rPr>
          <w:t>用于先进显示器的大规模光子集成电路</w:t>
        </w:r>
      </w:hyperlink>
    </w:p>
    <w:p>
      <w:pPr>
        <w:spacing w:before="0" w:after="80"/>
      </w:pPr>
      <w:r>
        <w:rPr>
          <w:i/>
          <w:sz w:val="20"/>
        </w:rPr>
        <w:t>EN: Large-scale photonic integrated circuits for advanced displays</w:t>
      </w:r>
    </w:p>
    <w:p>
      <w:pPr>
        <w:spacing w:before="0" w:after="120"/>
      </w:pPr>
      <w:r>
        <w:rPr>
          <w:b/>
        </w:rPr>
        <w:t xml:space="preserve">Source: </w:t>
      </w:r>
      <w:r>
        <w:t>National Science Review Advance Access</w:t>
      </w:r>
      <w:r>
        <w:t xml:space="preserve">    </w:t>
      </w:r>
      <w:r>
        <w:rPr>
          <w:b/>
        </w:rPr>
        <w:t xml:space="preserve">Pub date: </w:t>
      </w:r>
      <w:r>
        <w:t>2026-04-21 00:00:00+00:00</w:t>
      </w:r>
      <w:r>
        <w:t xml:space="preserve">    </w:t>
      </w:r>
      <w:r>
        <w:rPr>
          <w:b/>
        </w:rPr>
        <w:t xml:space="preserve">DOI: </w:t>
      </w:r>
      <w:hyperlink r:id="rId526">
        <w:r>
          <w:rPr>
            <w:color w:val="1155CC"/>
            <w:u w:val="single"/>
          </w:rPr>
          <w:t>10.1093/nsr/nwag234</w:t>
        </w:r>
      </w:hyperlink>
    </w:p>
    <w:p>
      <w:pPr>
        <w:spacing w:before="0" w:after="120"/>
      </w:pPr>
      <w:r>
        <w:rPr>
          <w:b/>
        </w:rPr>
        <w:t xml:space="preserve">Notes: </w:t>
      </w:r>
      <w:r>
        <w:t>abstract_source=crossref</w:t>
      </w:r>
    </w:p>
    <w:p>
      <w:pPr>
        <w:spacing w:before="0" w:after="80" w:lineRule="auto" w:line="276"/>
      </w:pPr>
      <w:r>
        <w:rPr>
          <w:b/>
        </w:rPr>
        <w:t xml:space="preserve">摘要（ZH）: </w:t>
      </w:r>
      <w:r>
        <w:t>光子集成电路正在为下一代人机交互的紧凑、高效和高功能显示系统开辟新路径。</w:t>
      </w:r>
    </w:p>
    <w:p>
      <w:pPr>
        <w:spacing w:before="0" w:after="200" w:lineRule="auto" w:line="276"/>
      </w:pPr>
      <w:r>
        <w:rPr>
          <w:b/>
        </w:rPr>
        <w:t xml:space="preserve">Abstract (EN): </w:t>
      </w:r>
      <w:r>
        <w:t>Photonic integrated circuits are opening new paths to compact, efficient, and highly functional display systems for next-generation human-computer interaction.</w:t>
      </w:r>
    </w:p>
    <w:p>
      <w:pPr>
        <w:spacing w:before="120" w:after="120"/>
      </w:pPr>
      <w:r>
        <w:rPr>
          <w:sz w:val="18"/>
        </w:rPr>
        <w:t>——————————————————————————————————————————————————————————————————————</w:t>
      </w:r>
    </w:p>
    <w:p>
      <w:pPr>
        <w:spacing w:before="160" w:after="40" w:line="240" w:lineRule="auto"/>
      </w:pPr>
      <w:r>
        <w:rPr>
          <w:b/>
        </w:rPr>
        <w:t xml:space="preserve">[167] </w:t>
      </w:r>
      <w:hyperlink r:id="rId527">
        <w:r>
          <w:rPr>
            <w:color w:val="1155CC"/>
            <w:u w:val="single"/>
          </w:rPr>
          <w:t>美国加速研究改变心智的药物——包括神秘的'伊波加因'</w:t>
        </w:r>
      </w:hyperlink>
    </w:p>
    <w:p>
      <w:pPr>
        <w:spacing w:before="0" w:after="80"/>
      </w:pPr>
      <w:r>
        <w:rPr>
          <w:i/>
          <w:sz w:val="20"/>
        </w:rPr>
        <w:t>EN: US speeds research into mind-altering drugs — including mysterious 'ibogaine'</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28">
        <w:r>
          <w:rPr>
            <w:color w:val="1155CC"/>
            <w:u w:val="single"/>
          </w:rPr>
          <w:t>10.1038/d41586-026-01286-1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529">
        <w:r>
          <w:rPr>
            <w:color w:val="1155CC"/>
            <w:u w:val="single"/>
          </w:rPr>
          <w:t>疫苗意味着疟疾死亡人数应该下降——而不是上升</w:t>
        </w:r>
      </w:hyperlink>
    </w:p>
    <w:p>
      <w:pPr>
        <w:spacing w:before="0" w:after="80"/>
      </w:pPr>
      <w:r>
        <w:rPr>
          <w:i/>
          <w:sz w:val="20"/>
        </w:rPr>
        <w:t>EN: Vaccines mean malaria deaths should be falling — not rising</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30">
        <w:r>
          <w:rPr>
            <w:color w:val="1155CC"/>
            <w:u w:val="single"/>
          </w:rPr>
          <w:t>10.1038/d41586-026-01253-w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531">
        <w:r>
          <w:rPr>
            <w:color w:val="1155CC"/>
            <w:u w:val="single"/>
          </w:rPr>
          <w:t>大G有多大？经过十年努力测量重力强度，谜团加深</w:t>
        </w:r>
      </w:hyperlink>
    </w:p>
    <w:p>
      <w:pPr>
        <w:spacing w:before="0" w:after="80"/>
      </w:pPr>
      <w:r>
        <w:rPr>
          <w:i/>
          <w:sz w:val="20"/>
        </w:rPr>
        <w:t>EN: How big is Big G? Mystery deepens after ten-year effort to measure gravity’s strength</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32">
        <w:r>
          <w:rPr>
            <w:color w:val="1155CC"/>
            <w:u w:val="single"/>
          </w:rPr>
          <w:t>10.1038/d41586-026-01284-3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33">
        <w:r>
          <w:rPr>
            <w:color w:val="1155CC"/>
            <w:u w:val="single"/>
          </w:rPr>
          <w:t>生物基可回收聚合物膜的立构规整自组装用于对映选择性纳滤</w:t>
        </w:r>
      </w:hyperlink>
    </w:p>
    <w:p>
      <w:pPr>
        <w:spacing w:before="0" w:after="80"/>
      </w:pPr>
      <w:r>
        <w:rPr>
          <w:i/>
          <w:sz w:val="20"/>
        </w:rPr>
        <w:t>EN: Stereoregular self-assembly of biobased recyclable polymer membranes for enantioselective nanofiltration</w:t>
      </w:r>
    </w:p>
    <w:p>
      <w:pPr>
        <w:spacing w:before="0" w:after="120"/>
      </w:pPr>
      <w:r>
        <w:rPr>
          <w:b/>
        </w:rPr>
        <w:t xml:space="preserve">Source: </w:t>
      </w:r>
      <w:r>
        <w:t>Matter</w:t>
      </w:r>
      <w:r>
        <w:t xml:space="preserve">    </w:t>
      </w:r>
      <w:r>
        <w:rPr>
          <w:b/>
        </w:rPr>
        <w:t xml:space="preserve">Pub date: </w:t>
      </w:r>
      <w:r>
        <w:t>2026-04-21 00:00:00+00:00</w:t>
      </w:r>
      <w:r>
        <w:t xml:space="preserve">    </w:t>
      </w:r>
      <w:r>
        <w:rPr>
          <w:b/>
        </w:rPr>
        <w:t xml:space="preserve">DOI: </w:t>
      </w:r>
      <w:hyperlink r:id="rId534">
        <w:r>
          <w:rPr>
            <w:color w:val="1155CC"/>
            <w:u w:val="single"/>
          </w:rPr>
          <w:t>10.1016/j.matt.2026.102797</w:t>
        </w:r>
      </w:hyperlink>
    </w:p>
    <w:p>
      <w:pPr>
        <w:spacing w:before="0" w:after="120"/>
      </w:pPr>
      <w:r>
        <w:rPr>
          <w:b/>
        </w:rPr>
        <w:t xml:space="preserve">Notes: </w:t>
      </w:r>
      <w:r>
        <w:t>abstract_source=rss_cell</w:t>
      </w:r>
    </w:p>
    <w:p>
      <w:pPr>
        <w:spacing w:before="0" w:after="80" w:lineRule="auto" w:line="276"/>
      </w:pPr>
      <w:r>
        <w:rPr>
          <w:b/>
        </w:rPr>
        <w:t xml:space="preserve">摘要（ZH）: </w:t>
      </w:r>
      <w:r>
        <w:t>一种具有内在手性、双立体中心的生物基聚合物自组装成紧密堆积的膜，实现了不添加手性选择剂的对映选择性和稳健的纳滤性能。通过量化渗透液和截留液，揭示了压力如何调节对映选择性和对映体排斥，确立了立体规则自组装作为可持续手性分离的设计途径。</w:t>
      </w:r>
    </w:p>
    <w:p>
      <w:pPr>
        <w:spacing w:before="0" w:after="200" w:lineRule="auto" w:line="276"/>
      </w:pPr>
      <w:r>
        <w:rPr>
          <w:b/>
        </w:rPr>
        <w:t xml:space="preserve">Abstract (EN): </w:t>
      </w:r>
      <w:r>
        <w:t>An intrinsically chiral, biobased polymer with dual stereogenic centers self-assembles into a tightly packed membrane, enabling enantioselective and robust nanofiltration performance without added chiral selectors. Quantifying the permeate and retentate revealed how pressure tunes enantioselectivity and enantiomer rejection, establishing stereoregular self-assembly as a design route to sustainable chiral separations.</w:t>
      </w:r>
    </w:p>
    <w:p>
      <w:pPr>
        <w:spacing w:before="120" w:after="120"/>
      </w:pPr>
      <w:r>
        <w:rPr>
          <w:sz w:val="18"/>
        </w:rPr>
        <w:t>——————————————————————————————————————————————————————————————————————</w:t>
      </w:r>
    </w:p>
    <w:p>
      <w:pPr>
        <w:spacing w:before="160" w:after="40" w:line="240" w:lineRule="auto"/>
      </w:pPr>
      <w:r>
        <w:rPr>
          <w:b/>
        </w:rPr>
        <w:t xml:space="preserve">[171] </w:t>
      </w:r>
      <w:hyperlink r:id="rId535">
        <w:r>
          <w:rPr>
            <w:color w:val="1155CC"/>
            <w:u w:val="single"/>
          </w:rPr>
          <w:t>土壤碳驻留时间调节全球河流中溶解有机物的年龄</w:t>
        </w:r>
      </w:hyperlink>
    </w:p>
    <w:p>
      <w:pPr>
        <w:spacing w:before="0" w:after="80"/>
      </w:pPr>
      <w:r>
        <w:rPr>
          <w:i/>
          <w:sz w:val="20"/>
        </w:rPr>
        <w:t>EN: Soil carbon residence time regulates the age of dissolved organic matter in global rivers</w:t>
      </w:r>
    </w:p>
    <w:p>
      <w:pPr>
        <w:spacing w:before="0" w:after="120"/>
      </w:pPr>
      <w:r>
        <w:rPr>
          <w:b/>
        </w:rPr>
        <w:t xml:space="preserve">Source: </w:t>
      </w:r>
      <w:r>
        <w:t>National Science Review Advance Access</w:t>
      </w:r>
      <w:r>
        <w:t xml:space="preserve">    </w:t>
      </w:r>
      <w:r>
        <w:rPr>
          <w:b/>
        </w:rPr>
        <w:t xml:space="preserve">Pub date: </w:t>
      </w:r>
      <w:r>
        <w:t>2026-04-21 00:00:00+00:00</w:t>
      </w:r>
      <w:r>
        <w:t xml:space="preserve">    </w:t>
      </w:r>
      <w:r>
        <w:rPr>
          <w:b/>
        </w:rPr>
        <w:t xml:space="preserve">DOI: </w:t>
      </w:r>
      <w:hyperlink r:id="rId536">
        <w:r>
          <w:rPr>
            <w:color w:val="1155CC"/>
            <w:u w:val="single"/>
          </w:rPr>
          <w:t>10.1093/nsr/nwag237</w:t>
        </w:r>
      </w:hyperlink>
    </w:p>
    <w:p>
      <w:pPr>
        <w:spacing w:before="0" w:after="120"/>
      </w:pPr>
      <w:r>
        <w:rPr>
          <w:b/>
        </w:rPr>
        <w:t xml:space="preserve">Notes: </w:t>
      </w:r>
      <w:r>
        <w:t>abstract_source=rss_oup</w:t>
      </w:r>
    </w:p>
    <w:p>
      <w:pPr>
        <w:spacing w:before="0" w:after="80" w:lineRule="auto" w:line="276"/>
      </w:pPr>
      <w:r>
        <w:rPr>
          <w:b/>
        </w:rPr>
        <w:t xml:space="preserve">摘要（ZH）: </w:t>
      </w:r>
      <w:r>
        <w:t>河流溶解有机碳（DOC）是地球碳循环中的关键组成部分，但对全球模式、来源和控制流水DOC的因素知之甚少。在此，我们整合了全球数据集并采用机器学习生成了河流DOC浓度及其放射性碳（Δ14C）和稳定碳（δ13C）同位素特征的全球图集。全球范围内，河流DOC的平均Δ14C值为–22.5 ± 144.0‰（放射性碳年龄为221年），化石碳贡献了较小的部分（6.7 ± 3.0%）。陆地和自生河流生产是全球范围内的主要DOC来源（&gt;80%），当代陆地DOC在热带河流中占主导地位，而河流内生产在温带和半干旱地区的河流中显著。</w:t>
      </w:r>
    </w:p>
    <w:p>
      <w:pPr>
        <w:spacing w:before="0" w:after="200" w:lineRule="auto" w:line="276"/>
      </w:pPr>
      <w:r>
        <w:rPr>
          <w:b/>
        </w:rPr>
        <w:t xml:space="preserve">Abstract (EN): </w:t>
      </w:r>
      <w:r>
        <w:t>Riverine dissolved organic carbon (DOC) constitutes a pivotal component in the Earth’s carbon cycle, yet little is known about the global patterns, sources, and factors governing lotic DOC. Here, we integrate a global dataset and employ machine learning to generate a global atlas of riverine DOC concentration and its radiocarbon (Δ14C) and stable-carbon (δ13C) isotopic signatures. Globally, riverine DOC has an average Δ14C value of –22.5 ± 144.0‰ (radiocarbon age of 221 years), with fossil carbon contributing a minor fraction (6.7 ± 3.0%). Terrestrial and autochthonous riverine production are the dominant DOC sources (&gt;80%) at the global scale, with contemporary terrestrial DOC predominant in tropical rivers and within-river production prominent in those within temperate and semi-arid regions. Rivers draining high-latitude regions and high-elevation sites have the lowest Δ14C values (–353‰ to –78‰; ages between 3400 and 600 years). River Δ14C-DOC values correlate with soil organic carbon and riverine particulate organic carbon Δ14C values, but river DOC has much higher Δ14C values than subsurface soils indicating that riverine DOC originates from surface rather than subsurface soils. Because warming mobilizes aged organic carbon from permafrost soils, export to and processing of old carbon in recipient aquatic systems may accelerate with climate change.</w:t>
      </w:r>
    </w:p>
    <w:p>
      <w:pPr>
        <w:spacing w:before="120" w:after="120"/>
      </w:pPr>
      <w:r>
        <w:rPr>
          <w:sz w:val="18"/>
        </w:rPr>
        <w:t>——————————————————————————————————————————————————————————————————————</w:t>
      </w:r>
    </w:p>
    <w:p>
      <w:pPr>
        <w:spacing w:before="160" w:after="40" w:line="240" w:lineRule="auto"/>
      </w:pPr>
      <w:r>
        <w:rPr>
          <w:b/>
        </w:rPr>
        <w:t xml:space="preserve">[172] </w:t>
      </w:r>
      <w:hyperlink r:id="rId537">
        <w:r>
          <w:rPr>
            <w:color w:val="1155CC"/>
            <w:u w:val="single"/>
          </w:rPr>
          <w:t>黄色玻璃展示昆虫翅膀的最佳状态</w:t>
        </w:r>
      </w:hyperlink>
    </w:p>
    <w:p>
      <w:pPr>
        <w:spacing w:before="0" w:after="80"/>
      </w:pPr>
      <w:r>
        <w:rPr>
          <w:i/>
          <w:sz w:val="20"/>
        </w:rPr>
        <w:t>EN: Yellow glass shows insect wings at their best</w:t>
      </w:r>
    </w:p>
    <w:p>
      <w:pPr>
        <w:spacing w:before="0" w:after="120"/>
      </w:pPr>
      <w:r>
        <w:rPr>
          <w:b/>
        </w:rPr>
        <w:t xml:space="preserve">Source: </w:t>
      </w:r>
      <w:r>
        <w:t>Nature</w:t>
      </w:r>
      <w:r>
        <w:t xml:space="preserve">    </w:t>
      </w:r>
      <w:r>
        <w:rPr>
          <w:b/>
        </w:rPr>
        <w:t xml:space="preserve">Pub date: </w:t>
      </w:r>
      <w:r>
        <w:t>2026-04-21 00:00:00+00:00</w:t>
      </w:r>
      <w:r>
        <w:t xml:space="preserve">    </w:t>
      </w:r>
      <w:r>
        <w:rPr>
          <w:b/>
        </w:rPr>
        <w:t xml:space="preserve">DOI: </w:t>
      </w:r>
      <w:hyperlink r:id="rId538">
        <w:r>
          <w:rPr>
            <w:color w:val="1155CC"/>
            <w:u w:val="single"/>
          </w:rPr>
          <w:t>10.1038/d41586-026-00915-z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539">
        <w:r>
          <w:rPr>
            <w:color w:val="1155CC"/>
            <w:u w:val="single"/>
          </w:rPr>
          <w:t>两个梯度，一个皮层</w:t>
        </w:r>
      </w:hyperlink>
    </w:p>
    <w:p>
      <w:pPr>
        <w:spacing w:before="0" w:after="80"/>
      </w:pPr>
      <w:r>
        <w:rPr>
          <w:i/>
          <w:sz w:val="20"/>
        </w:rPr>
        <w:t>EN: Two Gradients, One Cortex</w:t>
      </w:r>
    </w:p>
    <w:p>
      <w:pPr>
        <w:spacing w:before="0" w:after="120"/>
      </w:pPr>
      <w:r>
        <w:rPr>
          <w:b/>
        </w:rPr>
        <w:t xml:space="preserve">Source: </w:t>
      </w:r>
      <w:r>
        <w:t>National Science Review Advance Access</w:t>
      </w:r>
      <w:r>
        <w:t xml:space="preserve">    </w:t>
      </w:r>
      <w:r>
        <w:rPr>
          <w:b/>
        </w:rPr>
        <w:t xml:space="preserve">Pub date: </w:t>
      </w:r>
      <w:r>
        <w:t>2026-04-21 00:00:00+00:00</w:t>
      </w:r>
      <w:r>
        <w:t xml:space="preserve">    </w:t>
      </w:r>
      <w:r>
        <w:rPr>
          <w:b/>
        </w:rPr>
        <w:t xml:space="preserve">DOI: </w:t>
      </w:r>
      <w:hyperlink r:id="rId540">
        <w:r>
          <w:rPr>
            <w:color w:val="1155CC"/>
            <w:u w:val="single"/>
          </w:rPr>
          <w:t>10.1093/nsr/nwag235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541">
        <w:r>
          <w:rPr>
            <w:color w:val="1155CC"/>
            <w:u w:val="single"/>
          </w:rPr>
          <w:t>在不确定性下对多个风电场进行分组和聚合投标的协同优化</w:t>
        </w:r>
      </w:hyperlink>
    </w:p>
    <w:p>
      <w:pPr>
        <w:spacing w:before="0" w:after="80"/>
      </w:pPr>
      <w:r>
        <w:rPr>
          <w:i/>
          <w:sz w:val="20"/>
        </w:rPr>
        <w:t>EN: Co-optimizing of grouping and aggregated bidding for multiple wind farms under uncertainties</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42">
        <w:r>
          <w:rPr>
            <w:color w:val="1155CC"/>
            <w:u w:val="single"/>
          </w:rPr>
          <w:t>一种用于数据稀缺环境中稳健风力发电预测的混合卷积-LLM范式</w:t>
        </w:r>
      </w:hyperlink>
    </w:p>
    <w:p>
      <w:pPr>
        <w:spacing w:before="0" w:after="80"/>
      </w:pPr>
      <w:r>
        <w:rPr>
          <w:i/>
          <w:sz w:val="20"/>
        </w:rPr>
        <w:t>EN: A hybrid convolutional-LLM paradigm for robust wind power forecasting in data-scarce regimes</w:t>
      </w:r>
    </w:p>
    <w:p>
      <w:pPr>
        <w:spacing w:before="0" w:after="120"/>
      </w:pPr>
      <w:r>
        <w:rPr>
          <w:b/>
        </w:rPr>
        <w:t xml:space="preserve">Source: </w:t>
      </w:r>
      <w:r>
        <w:t>ScienceDirect Publication: Applied Energy</w:t>
      </w:r>
      <w:r>
        <w:t xml:space="preserve">    </w:t>
      </w:r>
      <w:r>
        <w:rPr>
          <w:b/>
        </w:rPr>
        <w:t xml:space="preserve">Pub date: </w:t>
      </w:r>
      <w:r>
        <w:t>2026-04-21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[176] </w:t>
      </w:r>
      <w:hyperlink r:id="rId543">
        <w:r>
          <w:rPr>
            <w:color w:val="1155CC"/>
            <w:u w:val="single"/>
          </w:rPr>
          <w:t>用于轴向配位镧系单分子磁体的锡烯二阴离子</w:t>
        </w:r>
      </w:hyperlink>
    </w:p>
    <w:p>
      <w:pPr>
        <w:spacing w:before="0" w:after="80"/>
      </w:pPr>
      <w:r>
        <w:rPr>
          <w:i/>
          <w:sz w:val="20"/>
        </w:rPr>
        <w:t>EN: Stannole dianions for axially coordinated lanthanide single-molecule magnets</w:t>
      </w:r>
    </w:p>
    <w:p>
      <w:pPr>
        <w:spacing w:before="0" w:after="120"/>
      </w:pPr>
      <w:r>
        <w:rPr>
          <w:b/>
        </w:rPr>
        <w:t xml:space="preserve">Source: </w:t>
      </w:r>
      <w:r>
        <w:t>Nature Chemistry</w:t>
      </w:r>
      <w:r>
        <w:t xml:space="preserve">    </w:t>
      </w:r>
      <w:r>
        <w:rPr>
          <w:b/>
        </w:rPr>
        <w:t xml:space="preserve">Pub date: </w:t>
      </w:r>
      <w:r>
        <w:t>2026-04-21 00:00:00+00:00</w:t>
      </w:r>
      <w:r>
        <w:t xml:space="preserve">    </w:t>
      </w:r>
      <w:r>
        <w:rPr>
          <w:b/>
        </w:rPr>
        <w:t xml:space="preserve">DOI: </w:t>
      </w:r>
      <w:hyperlink r:id="rId544">
        <w:r>
          <w:rPr>
            <w:color w:val="1155CC"/>
            <w:u w:val="single"/>
          </w:rPr>
          <w:t>10.1038/s41557-026-02149-y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45">
        <w:r>
          <w:rPr>
            <w:color w:val="1155CC"/>
            <w:u w:val="single"/>
          </w:rPr>
          <w:t>对“RNA凝聚体的化学反应性和复杂性的新兴”一文的更正</w:t>
        </w:r>
      </w:hyperlink>
    </w:p>
    <w:p>
      <w:pPr>
        <w:spacing w:before="0" w:after="80"/>
      </w:pPr>
      <w:r>
        <w:rPr>
          <w:i/>
          <w:sz w:val="20"/>
        </w:rPr>
        <w:t>EN: Correction to “Emergent Chemical Reactivity and Complexity of RNA Condensates”</w:t>
      </w:r>
    </w:p>
    <w:p>
      <w:pPr>
        <w:spacing w:before="0" w:after="120"/>
      </w:pPr>
      <w:r>
        <w:rPr>
          <w:b/>
        </w:rPr>
        <w:t xml:space="preserve">Source: </w:t>
      </w:r>
      <w:r>
        <w:t>Wiley: Angewandte Chemie International Edition: Table of Contents</w:t>
      </w:r>
      <w:r>
        <w:t xml:space="preserve">    </w:t>
      </w:r>
      <w:r>
        <w:rPr>
          <w:b/>
        </w:rPr>
        <w:t xml:space="preserve">Pub date: </w:t>
      </w:r>
      <w:r>
        <w:t>2026-04-21 04:54:37+00:00</w:t>
      </w:r>
      <w:r>
        <w:t xml:space="preserve">    </w:t>
      </w:r>
      <w:r>
        <w:rPr>
          <w:b/>
        </w:rPr>
        <w:t xml:space="preserve">DOI: </w:t>
      </w:r>
      <w:hyperlink r:id="rId546">
        <w:r>
          <w:rPr>
            <w:color w:val="1155CC"/>
            <w:u w:val="single"/>
          </w:rPr>
          <w:t>10.1002/anie.5302087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47">
        <w:r>
          <w:rPr>
            <w:color w:val="1155CC"/>
            <w:u w:val="single"/>
          </w:rPr>
          <w:t>不对称空位高效耦合O2活化与活性氧物种演化以增强光催化甲烷转化</w:t>
        </w:r>
      </w:hyperlink>
    </w:p>
    <w:p>
      <w:pPr>
        <w:spacing w:before="0" w:after="80"/>
      </w:pPr>
      <w:r>
        <w:rPr>
          <w:i/>
          <w:sz w:val="20"/>
        </w:rPr>
        <w:t>EN: Asymmetric Vacancies Efficiently Couple O2 Activation With Reactive Oxygen Species Evolution for Enhanced Photocatalytic Methane Conversion</w:t>
      </w:r>
    </w:p>
    <w:p>
      <w:pPr>
        <w:spacing w:before="0" w:after="120"/>
      </w:pPr>
      <w:r>
        <w:rPr>
          <w:b/>
        </w:rPr>
        <w:t xml:space="preserve">Source: </w:t>
      </w:r>
      <w:r>
        <w:t>Wiley: Angewandte Chemie International Edition: Table of Contents</w:t>
      </w:r>
      <w:r>
        <w:t xml:space="preserve">    </w:t>
      </w:r>
      <w:r>
        <w:rPr>
          <w:b/>
        </w:rPr>
        <w:t xml:space="preserve">Pub date: </w:t>
      </w:r>
      <w:r>
        <w:t>2026-04-21 05:12:42+00:00</w:t>
      </w:r>
      <w:r>
        <w:t xml:space="preserve">    </w:t>
      </w:r>
      <w:r>
        <w:rPr>
          <w:b/>
        </w:rPr>
        <w:t xml:space="preserve">DOI: </w:t>
      </w:r>
      <w:hyperlink r:id="rId548">
        <w:r>
          <w:rPr>
            <w:color w:val="1155CC"/>
            <w:u w:val="single"/>
          </w:rPr>
          <w:t>10.1002/anie.7358043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由活性氧物种（ROS）介导的光催化氧化为广泛的重要化学转化提供了一个有效的平台。然而，传统的氧空位工程策略虽然增强了O</w:t>
      </w:r>
      <w:r>
        <w:rPr>
          <w:vertAlign w:val="subscript"/>
        </w:rPr>
        <w:t>2</w:t>
      </w:r>
      <w:r>
        <w:t>活化，但由于吸附过强，往往阻碍了后续的ROS演变，从而限制了氧化动力学。在此，我们展示了ZnGa</w:t>
      </w:r>
      <w:r>
        <w:rPr>
          <w:vertAlign w:val="subscript"/>
        </w:rPr>
        <w:t>2</w:t>
      </w:r>
      <w:r>
        <w:t>O</w:t>
      </w:r>
      <w:r>
        <w:rPr>
          <w:vertAlign w:val="subscript"/>
        </w:rPr>
        <w:t>4</w:t>
      </w:r>
      <w:r>
        <w:t>中的不对称空位，其特征为Zn</w:t>
      </w:r>
      <w:r>
        <w:t xml:space="preserve"> </w:t>
      </w:r>
      <w:r>
        <w:t>Td</w:t>
      </w:r>
      <w:r>
        <w:t xml:space="preserve"> </w:t>
      </w:r>
      <w:r>
        <w:t>−O</w:t>
      </w:r>
      <w:r>
        <w:t xml:space="preserve"> </w:t>
      </w:r>
      <w:r>
        <w:t>v</w:t>
      </w:r>
      <w:r>
        <w:t xml:space="preserve"> </w:t>
      </w:r>
      <w:r>
        <w:t>−Ga</w:t>
      </w:r>
      <w:r>
        <w:t xml:space="preserve"> </w:t>
      </w:r>
      <w:r>
        <w:t>Oh</w:t>
      </w:r>
      <w:r>
        <w:t xml:space="preserve"> </w:t>
      </w:r>
      <w:r>
        <w:t>配置，可以克服这一内在限制。</w:t>
      </w:r>
    </w:p>
    <w:p>
      <w:pPr>
        <w:spacing w:before="0" w:after="200" w:lineRule="auto" w:line="276"/>
      </w:pPr>
      <w:r>
        <w:rPr>
          <w:b/>
        </w:rPr>
        <w:t xml:space="preserve">Abstract (EN): </w:t>
      </w:r>
      <w:r>
        <w:t>Photocatalytic oxidation mediated by reactive oxygen species (ROS) provides an effective platform for a wide range of important chemical transformations. However, conventional oxygen‐vacancy engineering strategy, while enhancing O</w:t>
      </w:r>
      <w:r>
        <w:rPr>
          <w:vertAlign w:val="subscript"/>
        </w:rPr>
        <w:t>2</w:t>
      </w:r>
      <w:r>
        <w:t>activation, often hampers subsequent ROS evolution due to overly strong adsorption, thereby limiting oxidation kinetics. Here, we demonstrate that asymmetric vacancies in ZnGa</w:t>
      </w:r>
      <w:r>
        <w:rPr>
          <w:vertAlign w:val="subscript"/>
        </w:rPr>
        <w:t>2</w:t>
      </w:r>
      <w:r>
        <w:t>O</w:t>
      </w:r>
      <w:r>
        <w:rPr>
          <w:vertAlign w:val="subscript"/>
        </w:rPr>
        <w:t>4</w:t>
      </w:r>
      <w:r>
        <w:t>, characterized by a Zn</w:t>
      </w:r>
      <w:r>
        <w:t xml:space="preserve"> </w:t>
      </w:r>
      <w:r>
        <w:t>Td</w:t>
      </w:r>
      <w:r>
        <w:t xml:space="preserve"> </w:t>
      </w:r>
      <w:r>
        <w:t>−O</w:t>
      </w:r>
      <w:r>
        <w:t xml:space="preserve"> </w:t>
      </w:r>
      <w:r>
        <w:t>v</w:t>
      </w:r>
      <w:r>
        <w:t xml:space="preserve"> </w:t>
      </w:r>
      <w:r>
        <w:t>−Ga</w:t>
      </w:r>
      <w:r>
        <w:t xml:space="preserve"> </w:t>
      </w:r>
      <w:r>
        <w:t>Oh</w:t>
      </w:r>
      <w:r>
        <w:t xml:space="preserve"> </w:t>
      </w:r>
      <w:r>
        <w:t>configuration, can overcome this intrinsic limitation by synergistically coupling O</w:t>
      </w:r>
      <w:r>
        <w:rPr>
          <w:vertAlign w:val="subscript"/>
        </w:rPr>
        <w:t>2</w:t>
      </w:r>
      <w:r>
        <w:t>activation with efficient ROS evolution. Specifically, the dynamic Ga</w:t>
      </w:r>
      <w:r>
        <w:t xml:space="preserve"> </w:t>
      </w:r>
      <w:r>
        <w:t>Oh</w:t>
      </w:r>
      <w:r>
        <w:t xml:space="preserve"> </w:t>
      </w:r>
      <w:r>
        <w:t>site preferentially promotes O</w:t>
      </w:r>
      <w:r>
        <w:rPr>
          <w:vertAlign w:val="subscript"/>
        </w:rPr>
        <w:t>2</w:t>
      </w:r>
      <w:r>
        <w:t>adsorption and activation, whereas the Zn</w:t>
      </w:r>
      <w:r>
        <w:t xml:space="preserve"> </w:t>
      </w:r>
      <w:r>
        <w:t>Td</w:t>
      </w:r>
      <w:r>
        <w:t xml:space="preserve"> </w:t>
      </w:r>
      <w:r>
        <w:t>site interacts weakly with oxygen‐derived species, facilitating ROS release and vacancy replenishment, thereby achieving an optimal balance between these critical steps. Consequently, Ag/ZnGa</w:t>
      </w:r>
      <w:r>
        <w:rPr>
          <w:vertAlign w:val="subscript"/>
        </w:rPr>
        <w:t>2</w:t>
      </w:r>
      <w:r>
        <w:t>O</w:t>
      </w:r>
      <w:r>
        <w:rPr>
          <w:vertAlign w:val="subscript"/>
        </w:rPr>
        <w:t>4</w:t>
      </w:r>
      <w:r>
        <w:t>delivers the highest turnover number (TON) reported to date among Ag‐based catalysts for the photocatalytic oxidative coupling of methane via a ROS‐mediated pathway. The general effectiveness of this asymmetric‐vacancy strategy is further validated in other representative photocatalytic reactions, including hydrogen peroxide production and the oxidative coupling of benzyl alcohol.</w:t>
      </w:r>
    </w:p>
    <w:p>
      <w:pPr>
        <w:spacing w:before="120" w:after="120"/>
      </w:pPr>
      <w:r>
        <w:rPr>
          <w:sz w:val="18"/>
        </w:rPr>
        <w:t>——————————————————————————————————————————————————————————————————————</w:t>
      </w:r>
    </w:p>
    <w:p>
      <w:pPr>
        <w:spacing w:before="160" w:after="40" w:line="240" w:lineRule="auto"/>
      </w:pPr>
      <w:r>
        <w:rPr>
          <w:b/>
        </w:rPr>
        <w:t xml:space="preserve">[179] </w:t>
      </w:r>
      <w:hyperlink r:id="rId549">
        <w:r>
          <w:rPr>
            <w:color w:val="1155CC"/>
            <w:u w:val="single"/>
          </w:rPr>
          <w:t>溶剂控制路径使结构可编程金属有机框架膜用于异构体分离</w:t>
        </w:r>
      </w:hyperlink>
    </w:p>
    <w:p>
      <w:pPr>
        <w:spacing w:before="0" w:after="80"/>
      </w:pPr>
      <w:r>
        <w:rPr>
          <w:i/>
          <w:sz w:val="20"/>
        </w:rPr>
        <w:t>EN: Solvent‐Controlled Pathways Enable Structure‐Programmable Metal‐Organic Framework Membranes for Isomer Separation</w:t>
      </w:r>
    </w:p>
    <w:p>
      <w:pPr>
        <w:spacing w:before="0" w:after="120"/>
      </w:pPr>
      <w:r>
        <w:rPr>
          <w:b/>
        </w:rPr>
        <w:t xml:space="preserve">Source: </w:t>
      </w:r>
      <w:r>
        <w:t>Wiley: Angewandte Chemie International Edition: Table of Contents</w:t>
      </w:r>
      <w:r>
        <w:t xml:space="preserve">    </w:t>
      </w:r>
      <w:r>
        <w:rPr>
          <w:b/>
        </w:rPr>
        <w:t xml:space="preserve">Pub date: </w:t>
      </w:r>
      <w:r>
        <w:t>2026-04-21 05:13:21+00:00</w:t>
      </w:r>
      <w:r>
        <w:t xml:space="preserve">    </w:t>
      </w:r>
      <w:r>
        <w:rPr>
          <w:b/>
        </w:rPr>
        <w:t xml:space="preserve">DOI: </w:t>
      </w:r>
      <w:hyperlink r:id="rId550">
        <w:r>
          <w:rPr>
            <w:color w:val="1155CC"/>
            <w:u w:val="single"/>
          </w:rPr>
          <w:t>10.1002/anie.4011249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相似的脂肪族和芳香族异构体的分离仍然是一个关键的工业挑战，因为它们几乎相同的尺寸使得传统的蒸馏过程能耗极高。分子筛金属有机框架（MOF）膜提供了一种节能的替代方案；然而，可靠地编程其生长路径以实现目标孔结构是困难的。在此，我们报告了一种溶剂触发的路径控制策略，该策略从单一垂直排列的Zn─Al层状双氢氧化物（LDH）纳米阵列模板中引导出不同的生长路线。在N,N-二甲基甲酰胺（DMF）中，选择性激活LDH金属位点稳定</w:t>
      </w:r>
    </w:p>
    <w:p>
      <w:pPr>
        <w:spacing w:before="0" w:after="200" w:lineRule="auto" w:line="276"/>
      </w:pPr>
      <w:r>
        <w:rPr>
          <w:b/>
        </w:rPr>
        <w:t xml:space="preserve">Abstract (EN): </w:t>
      </w:r>
      <w:r>
        <w:t>The separation of structurally similar aliphatic and aromatic isomers remains a critical industrial challenge, as their nearly identical sizes render conventional distillation highly energy‐intensive. Molecular‐sieving metal–organic framework (MOF) membranes offer an energy‐efficient alternative; however, reliably programming their growth pathways to achieve targeted pore architectures is difficult. Here, we report a solvent‐triggered pathway control strategy that directs distinct growth routes from a single vertically aligned Zn─Al layered double hydroxide (LDH) nanoarray template. In</w:t>
      </w:r>
      <w:r>
        <w:t xml:space="preserve"> </w:t>
      </w:r>
      <w:r>
        <w:t>N</w:t>
      </w:r>
      <w:r>
        <w:t xml:space="preserve"> </w:t>
      </w:r>
      <w:r>
        <w:t>,</w:t>
      </w:r>
      <w:r>
        <w:t xml:space="preserve"> </w:t>
      </w:r>
      <w:r>
        <w:t>N</w:t>
      </w:r>
      <w:r>
        <w:t xml:space="preserve"> </w:t>
      </w:r>
      <w:r>
        <w:t>‐dimethylformamide (DMF), selective activation of LDH metal sites stabilizes the framework and guides a surface‐induced interstitial growth mechanism, yielding a dense Zn‐BODC membrane with ∼0.5 nm apertures for highly selective n‐hexane/2,3‐dimethylbutane (Hex/23DMB) separation. In water, rapid LDH dissolution triggers a complete template‐conversion pathway that replicates the honeycomb morphology, producing an Al‐BODC membrane with ∼0.7 nm pores capable of efficient para‐/ortho‐xylene (PX/OX) discrimination. These solvent‐defined pathways enable programmable microstructures and complementary separation performances. This work establishes a versatile platform for the rational design of ultramicroporous MOF membranes with tailored sieving properties for demanding isomer separations.</w:t>
      </w:r>
    </w:p>
    <w:p>
      <w:pPr>
        <w:spacing w:before="120" w:after="120"/>
      </w:pPr>
      <w:r>
        <w:rPr>
          <w:sz w:val="18"/>
        </w:rPr>
        <w:t>——————————————————————————————————————————————————————————————————————</w:t>
      </w:r>
    </w:p>
    <w:p>
      <w:pPr>
        <w:spacing w:before="160" w:after="40" w:line="240" w:lineRule="auto"/>
      </w:pPr>
      <w:r>
        <w:rPr>
          <w:b/>
        </w:rPr>
        <w:t xml:space="preserve">[180] </w:t>
      </w:r>
      <w:hyperlink r:id="rId551">
        <w:r>
          <w:rPr>
            <w:color w:val="1155CC"/>
            <w:u w:val="single"/>
          </w:rPr>
          <w:t>通过磷叠氮化物形成的Michael加成促进叠氮化物到重氮化物的转化</w:t>
        </w:r>
      </w:hyperlink>
    </w:p>
    <w:p>
      <w:pPr>
        <w:spacing w:before="0" w:after="80"/>
      </w:pPr>
      <w:r>
        <w:rPr>
          <w:i/>
          <w:sz w:val="20"/>
        </w:rPr>
        <w:t>EN: Azide‐to‐Diazo Transformation Facilitated by Michael Addition via Phosphazide Formation</w:t>
      </w:r>
    </w:p>
    <w:p>
      <w:pPr>
        <w:spacing w:before="0" w:after="120"/>
      </w:pPr>
      <w:r>
        <w:rPr>
          <w:b/>
        </w:rPr>
        <w:t xml:space="preserve">Source: </w:t>
      </w:r>
      <w:r>
        <w:t>Wiley: Angewandte Chemie International Edition: Table of Contents</w:t>
      </w:r>
      <w:r>
        <w:t xml:space="preserve">    </w:t>
      </w:r>
      <w:r>
        <w:rPr>
          <w:b/>
        </w:rPr>
        <w:t xml:space="preserve">Pub date: </w:t>
      </w:r>
      <w:r>
        <w:t>2026-04-21 05:20:24+00:00</w:t>
      </w:r>
      <w:r>
        <w:t xml:space="preserve">    </w:t>
      </w:r>
      <w:r>
        <w:rPr>
          <w:b/>
        </w:rPr>
        <w:t xml:space="preserve">DOI: </w:t>
      </w:r>
      <w:hyperlink r:id="rId552">
        <w:r>
          <w:rPr>
            <w:color w:val="1155CC"/>
            <w:u w:val="single"/>
          </w:rPr>
          <w:t>10.1002/anie.4448961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披露了一种新的硫醇和胺对2-叠氮丙烯酸酯的Michael加成反应，通过叠氮到重氮的转化进行。这种不寻常的转化通过1,4-加成进行，并伴随着磷叠氮中间体的N─N键断裂，这些中间体是在实际条件下由2-叠氮丙烯酸酯和（4-二甲氨基苯基）二（叔丁基）膦（Amphos）原位生成的。所得Michael加成物的高多样性使得能够合成各种有机氮化合物。</w:t>
      </w:r>
    </w:p>
    <w:p>
      <w:pPr>
        <w:spacing w:before="0" w:after="200" w:lineRule="auto" w:line="276"/>
      </w:pPr>
      <w:r>
        <w:rPr>
          <w:b/>
        </w:rPr>
        <w:t xml:space="preserve">Abstract (EN): </w:t>
      </w:r>
      <w:r>
        <w:t>A new type of Michael addition of thiols and amines to 2‐azidoacrylic acid esters through azide‐to‐diazo conversion is disclosed. This unusual transformation proceeds via 1,4‐addition accompanied by N─N bond cleavage of phosphazide intermediates generated in situ from 2‐azidoacrylic acid esters and (4‐dimethylaminophenyl)di(</w:t>
      </w:r>
      <w:r>
        <w:t xml:space="preserve"> </w:t>
      </w:r>
      <w:r>
        <w:t>tert</w:t>
      </w:r>
      <w:r>
        <w:t xml:space="preserve"> </w:t>
      </w:r>
      <w:r>
        <w:t>‐butyl)phosphine (Amphos) under practical conditions. The high versatility of the resulting Michael adducts enables the synthesis of a wide variety of organonitrogen compounds.</w:t>
      </w:r>
    </w:p>
    <w:p>
      <w:pPr>
        <w:spacing w:before="120" w:after="120"/>
      </w:pPr>
      <w:r>
        <w:rPr>
          <w:sz w:val="18"/>
        </w:rPr>
        <w:t>——————————————————————————————————————————————————————————————————————</w:t>
      </w:r>
    </w:p>
    <w:p>
      <w:pPr>
        <w:spacing w:before="160" w:after="40" w:line="240" w:lineRule="auto"/>
      </w:pPr>
      <w:r>
        <w:rPr>
          <w:b/>
        </w:rPr>
        <w:t xml:space="preserve">[181] </w:t>
      </w:r>
      <w:hyperlink r:id="rId553">
        <w:r>
          <w:rPr>
            <w:color w:val="1155CC"/>
            <w:u w:val="single"/>
          </w:rPr>
          <w:t>梯度价态工程同步电荷载体和催化动力学以实现高效太阳能水氧化</w:t>
        </w:r>
      </w:hyperlink>
    </w:p>
    <w:p>
      <w:pPr>
        <w:spacing w:before="0" w:after="80"/>
      </w:pPr>
      <w:r>
        <w:rPr>
          <w:i/>
          <w:sz w:val="20"/>
        </w:rPr>
        <w:t>EN: Gradient Valence Engineering Synchronizes Charge‐Carrier and Catalytic Dynamics for Efficient Solar Water Oxidation</w:t>
      </w:r>
    </w:p>
    <w:p>
      <w:pPr>
        <w:spacing w:before="0" w:after="120"/>
      </w:pPr>
      <w:r>
        <w:rPr>
          <w:b/>
        </w:rPr>
        <w:t xml:space="preserve">Source: </w:t>
      </w:r>
      <w:r>
        <w:t>Wiley: Angewandte Chemie International Edition: Table of Contents</w:t>
      </w:r>
      <w:r>
        <w:t xml:space="preserve">    </w:t>
      </w:r>
      <w:r>
        <w:rPr>
          <w:b/>
        </w:rPr>
        <w:t xml:space="preserve">Pub date: </w:t>
      </w:r>
      <w:r>
        <w:t>2026-04-21 05:22:35+00:00</w:t>
      </w:r>
      <w:r>
        <w:t xml:space="preserve">    </w:t>
      </w:r>
      <w:r>
        <w:rPr>
          <w:b/>
        </w:rPr>
        <w:t xml:space="preserve">DOI: </w:t>
      </w:r>
      <w:hyperlink r:id="rId554">
        <w:r>
          <w:rPr>
            <w:color w:val="1155CC"/>
            <w:u w:val="single"/>
          </w:rPr>
          <w:t>10.1002/anie.5670116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化学水分解的效率受到超快电荷分离和缓慢催化周转之间动力学不匹配的限制。受光系统II的时空精度启发，我们设计了一种氧化还原工程化的BiVO4/Fe-HOTP（BVO/R-Fe-HOTP）光阳极，其中“R-”表示样品经过顺序NaBH4还原和O2氧化处理（HOTP指2,3,6,7,10,11-六氧化三苯并菲多齿配体）。这种结构建立了一个可编程的价态梯度，连接了电荷分离和催化水氧化。通过控制的氧化还原引擎</w:t>
      </w:r>
    </w:p>
    <w:p>
      <w:pPr>
        <w:spacing w:before="0" w:after="200" w:lineRule="auto" w:line="276"/>
      </w:pPr>
      <w:r>
        <w:rPr>
          <w:b/>
        </w:rPr>
        <w:t xml:space="preserve">Abstract (EN): </w:t>
      </w:r>
      <w:r>
        <w:t>The efficiency of photoelectrochemical water splitting is constrained by the kinetic mismatch between ultrafast charge separation and slow catalytic turnover. Inspired by the spatiotemporal precision of photosystem II, we designed a redox‐engineered BiVO</w:t>
      </w:r>
      <w:r>
        <w:rPr>
          <w:vertAlign w:val="subscript"/>
        </w:rPr>
        <w:t>4</w:t>
      </w:r>
      <w:r>
        <w:t>/Fe‐HOTP (BVO/R‐Fe‐HOTP) photoanode, with ‘R‐’ denoting the sample subjected to sequential NaBH</w:t>
      </w:r>
      <w:r>
        <w:rPr>
          <w:vertAlign w:val="subscript"/>
        </w:rPr>
        <w:t>4</w:t>
      </w:r>
      <w:r>
        <w:t>reduction and O</w:t>
      </w:r>
      <w:r>
        <w:rPr>
          <w:vertAlign w:val="subscript"/>
        </w:rPr>
        <w:t>2</w:t>
      </w:r>
      <w:r>
        <w:t>oxidation treatment (where HOTP refers to the 2,3,6,7,10,11‐hexaoxidotriphenylene multidentate ligand). This architecture establishes a programmable valence gradient that bridges charge separation and catalytic water oxidation. Through controlled redox engineering, we grew an amorphous Fe‐HOTP layer on BVO, establishing a continuous transition from electron‐rich Fe</w:t>
      </w:r>
      <w:r>
        <w:t xml:space="preserve"> </w:t>
      </w:r>
      <w:r>
        <w:t>δ+</w:t>
      </w:r>
      <w:r>
        <w:t xml:space="preserve"> </w:t>
      </w:r>
      <w:r>
        <w:t>(</w:t>
      </w:r>
      <w:r>
        <w:t xml:space="preserve"> </w:t>
      </w:r>
      <w:r>
        <w:t>δ</w:t>
      </w:r>
      <w:r>
        <w:t xml:space="preserve"> </w:t>
      </w:r>
      <w:r>
        <w:t>&amp;lt; 2), at the interface, to highly oxidized Fe</w:t>
      </w:r>
      <w:r>
        <w:t xml:space="preserve"> </w:t>
      </w:r>
      <w:r>
        <w:t>3+</w:t>
      </w:r>
      <w:r>
        <w:t xml:space="preserve"> </w:t>
      </w:r>
      <w:r>
        <w:t>, at the outer surface. Under light illumination, surface Fe</w:t>
      </w:r>
      <w:r>
        <w:t xml:space="preserve"> </w:t>
      </w:r>
      <w:r>
        <w:t>3+</w:t>
      </w:r>
      <w:r>
        <w:t xml:space="preserve"> </w:t>
      </w:r>
      <w:r>
        <w:t>is further oxidized to Fe</w:t>
      </w:r>
      <w:r>
        <w:t xml:space="preserve"> </w:t>
      </w:r>
      <w:r>
        <w:t>4+</w:t>
      </w:r>
      <w:r>
        <w:t xml:space="preserve"> </w:t>
      </w:r>
      <w:r>
        <w:t>, generating active redox sites that enable a turnover frequency (TOF) of 82 s</w:t>
      </w:r>
      <w:r>
        <w:t xml:space="preserve"> </w:t>
      </w:r>
      <w:r>
        <w:t>−1</w:t>
      </w:r>
      <w:r>
        <w:t xml:space="preserve"> </w:t>
      </w:r>
      <w:r>
        <w:t>. This architecture reduces interfacial band offsets for ultrafast hole injection and establishes a built‐in potential gradient that extends carrier lifetime to 0.03 s. Thus, the BVO/R‐Fe‐HOTP photoanode delivers a photocurrent density of 6.1 mA cm</w:t>
      </w:r>
      <w:r>
        <w:t xml:space="preserve"> </w:t>
      </w:r>
      <w:r>
        <w:t>−2</w:t>
      </w:r>
      <w:r>
        <w:t xml:space="preserve"> </w:t>
      </w:r>
      <w:r>
        <w:t>at 1.23 V</w:t>
      </w:r>
      <w:r>
        <w:t xml:space="preserve"> </w:t>
      </w:r>
      <w:r>
        <w:t>RHE</w:t>
      </w:r>
      <w:r>
        <w:t xml:space="preserve"> </w:t>
      </w:r>
      <w:r>
        <w:t>and, when coupled with a Si solar cell, achieves unbiased solar water splitting with a solar‐to‐hydrogen efficiency of 4.58%. These results establish gradient valence engineering as an effective strategy for synchronizing charge‐carrier and catalytic dynamics.</w:t>
      </w:r>
    </w:p>
    <w:p>
      <w:pPr>
        <w:spacing w:before="120" w:after="120"/>
      </w:pPr>
      <w:r>
        <w:rPr>
          <w:sz w:val="18"/>
        </w:rPr>
        <w:t>——————————————————————————————————————————————————————————————————————</w:t>
      </w:r>
    </w:p>
    <w:p>
      <w:pPr>
        <w:spacing w:before="160" w:after="40" w:line="240" w:lineRule="auto"/>
      </w:pPr>
      <w:r>
        <w:rPr>
          <w:b/>
        </w:rPr>
        <w:t xml:space="preserve">[182] </w:t>
      </w:r>
      <w:hyperlink r:id="rId555">
        <w:r>
          <w:rPr>
            <w:color w:val="1155CC"/>
            <w:u w:val="single"/>
          </w:rPr>
          <w:t>通过对映选择性诱导的铁死亡和凋亡用于癌症治疗的手性自排序Au16环组装</w:t>
        </w:r>
      </w:hyperlink>
    </w:p>
    <w:p>
      <w:pPr>
        <w:spacing w:before="0" w:after="80"/>
      </w:pPr>
      <w:r>
        <w:rPr>
          <w:i/>
          <w:sz w:val="20"/>
        </w:rPr>
        <w:t>EN: Chiral Self‐Sorting Assembly of Au16 Rings for Cancer Therapy via Enantioselectivity‐Induced Ferroptosis and Apoptosis</w:t>
      </w:r>
    </w:p>
    <w:p>
      <w:pPr>
        <w:spacing w:before="0" w:after="120"/>
      </w:pPr>
      <w:r>
        <w:rPr>
          <w:b/>
        </w:rPr>
        <w:t xml:space="preserve">Source: </w:t>
      </w:r>
      <w:r>
        <w:t>Wiley: Angewandte Chemie International Edition: Table of Contents</w:t>
      </w:r>
      <w:r>
        <w:t xml:space="preserve">    </w:t>
      </w:r>
      <w:r>
        <w:rPr>
          <w:b/>
        </w:rPr>
        <w:t xml:space="preserve">Pub date: </w:t>
      </w:r>
      <w:r>
        <w:t>2026-04-21 05:25:26+00:00</w:t>
      </w:r>
      <w:r>
        <w:t xml:space="preserve">    </w:t>
      </w:r>
      <w:r>
        <w:rPr>
          <w:b/>
        </w:rPr>
        <w:t xml:space="preserve">DOI: </w:t>
      </w:r>
      <w:hyperlink r:id="rId556">
        <w:r>
          <w:rPr>
            <w:color w:val="1155CC"/>
            <w:u w:val="single"/>
          </w:rPr>
          <w:t>10.1002/anie.202524447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手性诱导的生化反应已成为一个重要的研究焦点。本研究展示了通过金亲和相互作用的原子精确Au16超分子环的手性自排序组装。对映体(MR,RM’RR)-Au16Cl8和(PS,SP’SS)-Au16Cl</w:t>
      </w:r>
    </w:p>
    <w:p>
      <w:pPr>
        <w:spacing w:before="0" w:after="200" w:lineRule="auto" w:line="276"/>
      </w:pPr>
      <w:r>
        <w:rPr>
          <w:b/>
        </w:rPr>
        <w:t xml:space="preserve">Abstract (EN): </w:t>
      </w:r>
      <w:r>
        <w:t>Chirality‐induced biochemical response has emerged as a prominent research focus. This research demonstrates the chiral self‐sorting assembly of atomically precise Au</w:t>
      </w:r>
      <w:r>
        <w:rPr>
          <w:vertAlign w:val="subscript"/>
        </w:rPr>
        <w:t>16</w:t>
      </w:r>
      <w:r>
        <w:t>supramolecular rings via aurophilic interactions. Enantiomers (</w:t>
      </w:r>
      <w:r>
        <w:t xml:space="preserve"> </w:t>
      </w:r>
      <w:r>
        <w:t>M</w:t>
      </w:r>
      <w:r>
        <w:t xml:space="preserve"> </w:t>
      </w:r>
      <w:r>
        <w:t>R,R</w:t>
      </w:r>
      <w:r>
        <w:t xml:space="preserve"> </w:t>
      </w:r>
      <w:r>
        <w:t>M’</w:t>
      </w:r>
      <w:r>
        <w:t xml:space="preserve"> </w:t>
      </w:r>
      <w:r>
        <w:t>R,R</w:t>
      </w:r>
      <w:r>
        <w:t xml:space="preserve"> </w:t>
      </w:r>
      <w:r>
        <w:t>)‐Au</w:t>
      </w:r>
      <w:r>
        <w:rPr>
          <w:vertAlign w:val="subscript"/>
        </w:rPr>
        <w:t>16</w:t>
      </w:r>
      <w:r>
        <w:t>Cl</w:t>
      </w:r>
      <w:r>
        <w:rPr>
          <w:vertAlign w:val="subscript"/>
        </w:rPr>
        <w:t>8</w:t>
      </w:r>
      <w:r>
        <w:t>and (</w:t>
      </w:r>
      <w:r>
        <w:t xml:space="preserve"> </w:t>
      </w:r>
      <w:r>
        <w:t>P</w:t>
      </w:r>
      <w:r>
        <w:t xml:space="preserve"> </w:t>
      </w:r>
      <w:r>
        <w:t>S,S</w:t>
      </w:r>
      <w:r>
        <w:t xml:space="preserve"> </w:t>
      </w:r>
      <w:r>
        <w:t>P’</w:t>
      </w:r>
      <w:r>
        <w:t xml:space="preserve"> </w:t>
      </w:r>
      <w:r>
        <w:t>S,S</w:t>
      </w:r>
      <w:r>
        <w:t xml:space="preserve"> </w:t>
      </w:r>
      <w:r>
        <w:t>)‐Au</w:t>
      </w:r>
      <w:r>
        <w:rPr>
          <w:vertAlign w:val="subscript"/>
        </w:rPr>
        <w:t>16</w:t>
      </w:r>
      <w:r>
        <w:t>Cl</w:t>
      </w:r>
      <w:r>
        <w:rPr>
          <w:vertAlign w:val="subscript"/>
        </w:rPr>
        <w:t>8</w:t>
      </w:r>
      <w:r>
        <w:t>are fabricated through homochiral self‐sorting assembly and are unaffected by anion types. But the chiral self‐sorting assembly of (</w:t>
      </w:r>
      <w:r>
        <w:t xml:space="preserve"> </w:t>
      </w:r>
      <w:r>
        <w:t>M</w:t>
      </w:r>
      <w:r>
        <w:t xml:space="preserve"> </w:t>
      </w:r>
      <w:r>
        <w:t>R,R</w:t>
      </w:r>
      <w:r>
        <w:t xml:space="preserve"> </w:t>
      </w:r>
      <w:r>
        <w:t>M’</w:t>
      </w:r>
      <w:r>
        <w:t xml:space="preserve"> </w:t>
      </w:r>
      <w:r>
        <w:t>A,A</w:t>
      </w:r>
      <w:r>
        <w:t xml:space="preserve"> </w:t>
      </w:r>
      <w:r>
        <w:t>)‐Au</w:t>
      </w:r>
      <w:r>
        <w:rPr>
          <w:vertAlign w:val="subscript"/>
        </w:rPr>
        <w:t>16</w:t>
      </w:r>
      <w:r>
        <w:t>(PF</w:t>
      </w:r>
      <w:r>
        <w:rPr>
          <w:vertAlign w:val="subscript"/>
        </w:rPr>
        <w:t>6</w:t>
      </w:r>
      <w:r>
        <w:t>)</w:t>
      </w:r>
      <w:r>
        <w:rPr>
          <w:vertAlign w:val="subscript"/>
        </w:rPr>
        <w:t>8</w:t>
      </w:r>
      <w:r>
        <w:t>and (</w:t>
      </w:r>
      <w:r>
        <w:t xml:space="preserve"> </w:t>
      </w:r>
      <w:r>
        <w:t>P</w:t>
      </w:r>
      <w:r>
        <w:t xml:space="preserve"> </w:t>
      </w:r>
      <w:r>
        <w:t>S,S</w:t>
      </w:r>
      <w:r>
        <w:t xml:space="preserve"> </w:t>
      </w:r>
      <w:r>
        <w:t>P’</w:t>
      </w:r>
      <w:r>
        <w:t xml:space="preserve"> </w:t>
      </w:r>
      <w:r>
        <w:t>A,A</w:t>
      </w:r>
      <w:r>
        <w:t xml:space="preserve"> </w:t>
      </w:r>
      <w:r>
        <w:t>)‐Au</w:t>
      </w:r>
      <w:r>
        <w:rPr>
          <w:vertAlign w:val="subscript"/>
        </w:rPr>
        <w:t>16</w:t>
      </w:r>
      <w:r>
        <w:t>(PF</w:t>
      </w:r>
      <w:r>
        <w:rPr>
          <w:vertAlign w:val="subscript"/>
        </w:rPr>
        <w:t>6</w:t>
      </w:r>
      <w:r>
        <w:t>)</w:t>
      </w:r>
      <w:r>
        <w:rPr>
          <w:vertAlign w:val="subscript"/>
        </w:rPr>
        <w:t>8</w:t>
      </w:r>
      <w:r>
        <w:t>in a heterochiral system is influenced by anion types. Crucially, (</w:t>
      </w:r>
      <w:r>
        <w:t xml:space="preserve"> </w:t>
      </w:r>
      <w:r>
        <w:t>M</w:t>
      </w:r>
      <w:r>
        <w:t xml:space="preserve"> </w:t>
      </w:r>
      <w:r>
        <w:t>R,R</w:t>
      </w:r>
      <w:r>
        <w:t xml:space="preserve"> </w:t>
      </w:r>
      <w:r>
        <w:t>M’</w:t>
      </w:r>
      <w:r>
        <w:t xml:space="preserve"> </w:t>
      </w:r>
      <w:r>
        <w:t>R,R</w:t>
      </w:r>
      <w:r>
        <w:t xml:space="preserve"> </w:t>
      </w:r>
      <w:r>
        <w:t>)‐Au</w:t>
      </w:r>
      <w:r>
        <w:rPr>
          <w:vertAlign w:val="subscript"/>
        </w:rPr>
        <w:t>16</w:t>
      </w:r>
      <w:r>
        <w:t>Cl</w:t>
      </w:r>
      <w:r>
        <w:rPr>
          <w:vertAlign w:val="subscript"/>
        </w:rPr>
        <w:t>8</w:t>
      </w:r>
      <w:r>
        <w:t>displayed superior in vitro antitumor efficacy with IC</w:t>
      </w:r>
      <w:r>
        <w:rPr>
          <w:vertAlign w:val="subscript"/>
        </w:rPr>
        <w:t>50</w:t>
      </w:r>
      <w:r>
        <w:t>= 0.812 ± 0.002 µM against 4T1 cells compared to (</w:t>
      </w:r>
      <w:r>
        <w:t xml:space="preserve"> </w:t>
      </w:r>
      <w:r>
        <w:t>P</w:t>
      </w:r>
      <w:r>
        <w:t xml:space="preserve"> </w:t>
      </w:r>
      <w:r>
        <w:t>S,S</w:t>
      </w:r>
      <w:r>
        <w:t xml:space="preserve"> </w:t>
      </w:r>
      <w:r>
        <w:t>P’</w:t>
      </w:r>
      <w:r>
        <w:t xml:space="preserve"> </w:t>
      </w:r>
      <w:r>
        <w:t>S,S</w:t>
      </w:r>
      <w:r>
        <w:t xml:space="preserve"> </w:t>
      </w:r>
      <w:r>
        <w:t>)‐Au</w:t>
      </w:r>
      <w:r>
        <w:rPr>
          <w:vertAlign w:val="subscript"/>
        </w:rPr>
        <w:t>16</w:t>
      </w:r>
      <w:r>
        <w:t>Cl</w:t>
      </w:r>
      <w:r>
        <w:rPr>
          <w:vertAlign w:val="subscript"/>
        </w:rPr>
        <w:t>8</w:t>
      </w:r>
      <w:r>
        <w:t>enantiomer. This enantioselectivity stems from asymmetric glutathione (GSH)‐catalyzed decomposition of chiral supramolecular Au</w:t>
      </w:r>
      <w:r>
        <w:rPr>
          <w:vertAlign w:val="subscript"/>
        </w:rPr>
        <w:t>16</w:t>
      </w:r>
      <w:r>
        <w:t>rings in the tumor microenvironment (apparent kinetic constants:</w:t>
      </w:r>
      <w:r>
        <w:t xml:space="preserve"> </w:t>
      </w:r>
      <w:r>
        <w:t>k</w:t>
      </w:r>
      <w:r>
        <w:t xml:space="preserve"> </w:t>
      </w:r>
      <w:r>
        <w:t>M</w:t>
      </w:r>
      <w:r>
        <w:t xml:space="preserve"> </w:t>
      </w:r>
      <w:r>
        <w:t>= 14.97 × 10</w:t>
      </w:r>
      <w:r>
        <w:t xml:space="preserve"> </w:t>
      </w:r>
      <w:r>
        <w:t>−5</w:t>
      </w:r>
      <w:r>
        <w:t xml:space="preserve"> </w:t>
      </w:r>
      <w:r>
        <w:t>min</w:t>
      </w:r>
      <w:r>
        <w:t xml:space="preserve"> </w:t>
      </w:r>
      <w:r>
        <w:t>−1</w:t>
      </w:r>
      <w:r>
        <w:t xml:space="preserve"> </w:t>
      </w:r>
      <w:r>
        <w:t>× M</w:t>
      </w:r>
      <w:r>
        <w:t xml:space="preserve"> </w:t>
      </w:r>
      <w:r>
        <w:t>−1</w:t>
      </w:r>
      <w:r>
        <w:t xml:space="preserve"> </w:t>
      </w:r>
      <w:r>
        <w:t>vs.</w:t>
      </w:r>
      <w:r>
        <w:t xml:space="preserve"> </w:t>
      </w:r>
      <w:r>
        <w:t>k</w:t>
      </w:r>
      <w:r>
        <w:t xml:space="preserve"> </w:t>
      </w:r>
      <w:r>
        <w:t>P</w:t>
      </w:r>
      <w:r>
        <w:t xml:space="preserve"> </w:t>
      </w:r>
      <w:r>
        <w:t>= 8.56 × 10</w:t>
      </w:r>
      <w:r>
        <w:t xml:space="preserve"> </w:t>
      </w:r>
      <w:r>
        <w:t>−5</w:t>
      </w:r>
      <w:r>
        <w:t xml:space="preserve"> </w:t>
      </w:r>
      <w:r>
        <w:t>min</w:t>
      </w:r>
      <w:r>
        <w:t xml:space="preserve"> </w:t>
      </w:r>
      <w:r>
        <w:t>−1</w:t>
      </w:r>
      <w:r>
        <w:t xml:space="preserve"> </w:t>
      </w:r>
      <w:r>
        <w:t>× M</w:t>
      </w:r>
      <w:r>
        <w:t xml:space="preserve"> </w:t>
      </w:r>
      <w:r>
        <w:t>−1</w:t>
      </w:r>
      <w:r>
        <w:t xml:space="preserve"> </w:t>
      </w:r>
      <w:r>
        <w:t>at 8 mM GSH), releasing the thioredoxin reductase (TrxR) inhibitor dppm</w:t>
      </w:r>
      <w:r>
        <w:rPr>
          <w:vertAlign w:val="subscript"/>
        </w:rPr>
        <w:t>2</w:t>
      </w:r>
      <w:r>
        <w:t>Au</w:t>
      </w:r>
      <w:r>
        <w:rPr>
          <w:vertAlign w:val="subscript"/>
        </w:rPr>
        <w:t>2</w:t>
      </w:r>
      <w:r>
        <w:t>Cl</w:t>
      </w:r>
      <w:r>
        <w:rPr>
          <w:vertAlign w:val="subscript"/>
        </w:rPr>
        <w:t>2</w:t>
      </w:r>
      <w:r>
        <w:t>. The chiral Au</w:t>
      </w:r>
      <w:r>
        <w:rPr>
          <w:vertAlign w:val="subscript"/>
        </w:rPr>
        <w:t>16</w:t>
      </w:r>
      <w:r>
        <w:t>rings induce dual cell death via TrxR‐inhibition‐mediated apoptosis and GPX4‐suppression‐driven ferroptosis, validated by ROS (reactive oxygen species) accumulation, lipid peroxidation and caspase‐3 activation. (</w:t>
      </w:r>
      <w:r>
        <w:t xml:space="preserve"> </w:t>
      </w:r>
      <w:r>
        <w:t>M</w:t>
      </w:r>
      <w:r>
        <w:t xml:space="preserve"> </w:t>
      </w:r>
      <w:r>
        <w:t>R,R</w:t>
      </w:r>
      <w:r>
        <w:t xml:space="preserve"> </w:t>
      </w:r>
      <w:r>
        <w:t>M’</w:t>
      </w:r>
      <w:r>
        <w:t xml:space="preserve"> </w:t>
      </w:r>
      <w:r>
        <w:t>R,R</w:t>
      </w:r>
      <w:r>
        <w:t xml:space="preserve"> </w:t>
      </w:r>
      <w:r>
        <w:t>)‐Au</w:t>
      </w:r>
      <w:r>
        <w:rPr>
          <w:vertAlign w:val="subscript"/>
        </w:rPr>
        <w:t>16</w:t>
      </w:r>
      <w:r>
        <w:t>Cl</w:t>
      </w:r>
      <w:r>
        <w:rPr>
          <w:vertAlign w:val="subscript"/>
        </w:rPr>
        <w:t>8</w:t>
      </w:r>
      <w:r>
        <w:t>(20 mg/kg) achieved 55.4% tumor growth inhibition in 4T1‐bearing mice with no detectable organ toxicity, outperforming auranofin in biosafety. This work establishes chiral self‐sorting Au</w:t>
      </w:r>
      <w:r>
        <w:rPr>
          <w:vertAlign w:val="subscript"/>
        </w:rPr>
        <w:t>16</w:t>
      </w:r>
      <w:r>
        <w:t>assemblies as promising platforms for enantioselective cancer therapy with high efficacy and low toxicity.</w:t>
      </w:r>
    </w:p>
    <w:p>
      <w:pPr>
        <w:spacing w:before="120" w:after="120"/>
      </w:pPr>
      <w:r>
        <w:rPr>
          <w:sz w:val="18"/>
        </w:rPr>
        <w:t>——————————————————————————————————————————————————————————————————————</w:t>
      </w:r>
    </w:p>
    <w:p>
      <w:pPr>
        <w:spacing w:before="160" w:after="40" w:line="240" w:lineRule="auto"/>
      </w:pPr>
      <w:r>
        <w:rPr>
          <w:b/>
        </w:rPr>
        <w:t xml:space="preserve">[183] </w:t>
      </w:r>
      <w:hyperlink r:id="rId557">
        <w:r>
          <w:rPr>
            <w:color w:val="1155CC"/>
            <w:u w:val="single"/>
          </w:rPr>
          <w:t>Müller胶质细胞与小胶质细胞的对话在视网膜再生过程中重新编程Müller胶质细胞的转录组以进行细胞分裂相关过程</w:t>
        </w:r>
      </w:hyperlink>
    </w:p>
    <w:p>
      <w:pPr>
        <w:spacing w:before="0" w:after="80"/>
      </w:pPr>
      <w:r>
        <w:rPr>
          <w:i/>
          <w:sz w:val="20"/>
        </w:rPr>
        <w:t>EN: Müller glia–microglia cross talk reprograms the Müller glia transcriptome for cell division–related processes during retina regeneration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58">
        <w:r>
          <w:rPr>
            <w:color w:val="1155CC"/>
            <w:u w:val="single"/>
          </w:rPr>
          <w:t>10.1073/pnas.2535044123</w:t>
        </w:r>
      </w:hyperlink>
    </w:p>
    <w:p>
      <w:pPr>
        <w:spacing w:before="0" w:after="120"/>
      </w:pPr>
      <w:r>
        <w:rPr>
          <w:b/>
        </w:rPr>
        <w:t xml:space="preserve">Notes: </w:t>
      </w:r>
      <w:r>
        <w:t>abstract_source=crossref</w:t>
      </w:r>
    </w:p>
    <w:p>
      <w:pPr>
        <w:spacing w:before="0" w:after="80" w:lineRule="auto" w:line="276"/>
      </w:pPr>
      <w:r>
        <w:rPr>
          <w:b/>
        </w:rPr>
        <w:t xml:space="preserve">摘要（ZH）: </w:t>
      </w:r>
      <w:r>
        <w:t>在斑马鱼视网膜中，Müller胶质细胞（MG）通过分裂并产生多能祖细胞来响应视网膜损伤以进行视网膜修复。这种细胞分裂由小胶质细胞调节；然而，其潜在机制仍然未知。在此，我们报告MG衍生的Il34吸引小胶质细胞到视网膜损伤部位，在那里它们通过释放细胞因子（如M17、Spp1、Tnfa和Tnfb）刺激MG增殖。值得注意的是，对MG再生相关转录组进行RNA测序分析，发现有无小胶质细胞耗竭的情况下，小胶质细胞通过优先增强与细胞分裂相关过程的再生相关基因的表达来刺激MG增殖。相反，从早期发育阶段遗传性消除几乎所有小胶质细胞似乎会</w:t>
      </w:r>
    </w:p>
    <w:p>
      <w:pPr>
        <w:spacing w:before="0" w:after="200" w:lineRule="auto" w:line="276"/>
      </w:pPr>
      <w:r>
        <w:rPr>
          <w:b/>
        </w:rPr>
        <w:t xml:space="preserve">Abstract (EN): </w:t>
      </w:r>
      <w:r>
        <w:t>In the zebrafish retina, Müller glia (MG) respond to retinal injury by dividing and producing a multipotent progenitor for retinal repair. This cell division is regulated by microglia; however, the underlying mechanism remains unknown. Here, we report that MG-derived Il34 attracts microglia to sites of retinal injury where they stimulate MG proliferation via the release of cytokines, like M17, Spp1, Tnfa, and Tnfb. Remarkably, RNA sequencing analysis of MG’s regeneration-associated transcriptome with and without microglia depletion suggests microglia stimulate MG proliferation by preferentially enhancing the expression of regeneration-associated genes involved in cell division–related processes. In contrast, genetic ablation of essentially all microglia from early development appears to reprogram MG, so they exhibit enhanced injury-dependent proliferation, but their survival is compromised. Our studies illustrate the profound effects MG-microglia cross talk can have on MG transcriptional programs related to cell division processes.</w:t>
      </w:r>
    </w:p>
    <w:p>
      <w:pPr>
        <w:spacing w:before="120" w:after="120"/>
      </w:pPr>
      <w:r>
        <w:rPr>
          <w:sz w:val="18"/>
        </w:rPr>
        <w:t>——————————————————————————————————————————————————————————————————————</w:t>
      </w:r>
    </w:p>
    <w:p>
      <w:pPr>
        <w:spacing w:before="160" w:after="40" w:line="240" w:lineRule="auto"/>
      </w:pPr>
      <w:r>
        <w:rPr>
          <w:b/>
        </w:rPr>
        <w:t xml:space="preserve">[184] </w:t>
      </w:r>
      <w:hyperlink r:id="rId559">
        <w:r>
          <w:rPr>
            <w:color w:val="1155CC"/>
            <w:u w:val="single"/>
          </w:rPr>
          <w:t>从单个脉冲进行二维NMR：通过离共振去耦和深度神经网络重建异核二维光谱</w:t>
        </w:r>
      </w:hyperlink>
    </w:p>
    <w:p>
      <w:pPr>
        <w:spacing w:before="0" w:after="80"/>
      </w:pPr>
      <w:r>
        <w:rPr>
          <w:i/>
          <w:sz w:val="20"/>
        </w:rPr>
        <w:t>EN: Two-dimensional NMR from a single pulse: Reconstructing heteronuclear 2D spectra via off-resonance decoupling and deep neural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60">
        <w:r>
          <w:rPr>
            <w:color w:val="1155CC"/>
            <w:u w:val="single"/>
          </w:rPr>
          <w:t>10.1073/pnas.2527937123</w:t>
        </w:r>
      </w:hyperlink>
    </w:p>
    <w:p>
      <w:pPr>
        <w:spacing w:before="0" w:after="120"/>
      </w:pPr>
      <w:r>
        <w:rPr>
          <w:b/>
        </w:rPr>
        <w:t xml:space="preserve">Notes: </w:t>
      </w:r>
      <w:r>
        <w:t>abstract_source=crossref</w:t>
      </w:r>
    </w:p>
    <w:p>
      <w:pPr>
        <w:spacing w:before="0" w:after="80" w:lineRule="auto" w:line="276"/>
      </w:pPr>
      <w:r>
        <w:rPr>
          <w:b/>
        </w:rPr>
        <w:t xml:space="preserve">摘要（ZH）: </w:t>
      </w:r>
      <w:r>
        <w:t>NMR光谱在许多科学领域中无处不在，包括化学、材料科学、生物物理学和结构生物学。异核二维（2D）NMR实验构成了几项基于NMR的研究的基础，特别是那些涉及生物分子如蛋白质的研究。然而，在溶液中，当感兴趣的分子变大时，感兴趣自旋的横向弛豫时间变短。这使得使用标准傅里叶变换实验记录大蛋白质分子的2D</w:t>
      </w:r>
      <w:r>
        <w:rPr>
          <w:vertAlign w:val="subscript"/>
        </w:rPr>
        <w:t>1</w:t>
      </w:r>
      <w:r>
        <w:t>H–</w:t>
      </w:r>
      <w:r>
        <w:rPr>
          <w:vertAlign w:val="subscript"/>
        </w:rPr>
        <w:t>13</w:t>
      </w:r>
      <w:r>
        <w:t>C或</w:t>
      </w:r>
      <w:r>
        <w:rPr>
          <w:vertAlign w:val="subscript"/>
        </w:rPr>
        <w:t>1</w:t>
      </w:r>
      <w:r>
        <w:t>H–</w:t>
      </w:r>
      <w:r>
        <w:rPr>
          <w:vertAlign w:val="subscript"/>
        </w:rPr>
        <w:t>15</w:t>
      </w:r>
      <w:r>
        <w:t>N相关图变得困难，因为它们包含的转移延迟相对于</w:t>
      </w:r>
    </w:p>
    <w:p>
      <w:pPr>
        <w:spacing w:before="0" w:after="200" w:lineRule="auto" w:line="276"/>
      </w:pPr>
      <w:r>
        <w:rPr>
          <w:b/>
        </w:rPr>
        <w:t xml:space="preserve">Abstract (EN): </w:t>
      </w:r>
      <w:r>
        <w:t>NMR spectroscopy is ubiquitous in many areas of science, including chemistry, material science, biophysics, and structural biology. Heteronuclear two-dimensional (2D) NMR experiments form the basis of several NMR-based investigations, especially those involving biomolecules like proteins. However, in solution, as the molecule of interest becomes larger, transverse relaxation times of the spins of interest become shorter. This makes it difficult to record 2D</w:t>
      </w:r>
      <w:r>
        <w:rPr>
          <w:vertAlign w:val="subscript"/>
        </w:rPr>
        <w:t>1</w:t>
      </w:r>
      <w:r>
        <w:t>H–</w:t>
      </w:r>
      <w:r>
        <w:rPr>
          <w:vertAlign w:val="subscript"/>
        </w:rPr>
        <w:t>13</w:t>
      </w:r>
      <w:r>
        <w:t>C or</w:t>
      </w:r>
      <w:r>
        <w:rPr>
          <w:vertAlign w:val="subscript"/>
        </w:rPr>
        <w:t>1</w:t>
      </w:r>
      <w:r>
        <w:t>H–</w:t>
      </w:r>
      <w:r>
        <w:rPr>
          <w:vertAlign w:val="subscript"/>
        </w:rPr>
        <w:t>15</w:t>
      </w:r>
      <w:r>
        <w:t>N correlation maps of large protein molecules using standard Fourier transform–based experiments as they contain transfer delays that are long compared to the short relaxation times. Herein, we explore the possibility of leveraging deep neural networks (DNNs) to obtain 2D correlation maps of proteins while eliminating transfer delays from experiments. In this study, we show that 2D methyl</w:t>
      </w:r>
      <w:r>
        <w:rPr>
          <w:vertAlign w:val="subscript"/>
        </w:rPr>
        <w:t>1</w:t>
      </w:r>
      <w:r>
        <w:t>H–</w:t>
      </w:r>
      <w:r>
        <w:rPr>
          <w:vertAlign w:val="subscript"/>
        </w:rPr>
        <w:t>13</w:t>
      </w:r>
      <w:r>
        <w:t>C correlation maps can be obtained from experiments containing only a single</w:t>
      </w:r>
      <w:r>
        <w:rPr>
          <w:vertAlign w:val="subscript"/>
        </w:rPr>
        <w:t>1</w:t>
      </w:r>
      <w:r>
        <w:t>H excitation pulse followed by off-resonance</w:t>
      </w:r>
      <w:r>
        <w:rPr>
          <w:vertAlign w:val="subscript"/>
        </w:rPr>
        <w:t>13</w:t>
      </w:r>
      <w:r>
        <w:t>C continuous-wave decoupling. A DNN was successfully trained to reconstruct the 2D</w:t>
      </w:r>
      <w:r>
        <w:rPr>
          <w:vertAlign w:val="subscript"/>
        </w:rPr>
        <w:t>1</w:t>
      </w:r>
      <w:r>
        <w:t>H–</w:t>
      </w:r>
      <w:r>
        <w:rPr>
          <w:vertAlign w:val="subscript"/>
        </w:rPr>
        <w:t>13</w:t>
      </w:r>
      <w:r>
        <w:t>C correlation map from datasets recorded with two</w:t>
      </w:r>
      <w:r>
        <w:rPr>
          <w:vertAlign w:val="subscript"/>
        </w:rPr>
        <w:t>13</w:t>
      </w:r>
      <w:r>
        <w:t>C decoupling fields using protein samples enriched with isoleucine, leucine, and valine (ILV)</w:t>
      </w:r>
      <w:r>
        <w:rPr>
          <w:vertAlign w:val="subscript"/>
        </w:rPr>
        <w:t>13</w:t>
      </w:r>
      <w:r>
        <w:t>CHD</w:t>
      </w:r>
      <w:r>
        <w:rPr>
          <w:vertAlign w:val="subscript"/>
        </w:rPr>
        <w:t>2</w:t>
      </w:r>
      <w:r>
        <w:t>methyl-groups in a</w:t>
      </w:r>
      <w:r>
        <w:rPr>
          <w:vertAlign w:val="subscript"/>
        </w:rPr>
        <w:t>2</w:t>
      </w:r>
      <w:r>
        <w:t>H background. The efficacy of this strategy is demonstrated by using the DNN to reconstruct methyl</w:t>
      </w:r>
      <w:r>
        <w:rPr>
          <w:vertAlign w:val="subscript"/>
        </w:rPr>
        <w:t>1</w:t>
      </w:r>
      <w:r>
        <w:t>H–</w:t>
      </w:r>
      <w:r>
        <w:rPr>
          <w:vertAlign w:val="subscript"/>
        </w:rPr>
        <w:t>13</w:t>
      </w:r>
      <w:r>
        <w:t>C correlation maps of the ~8 kDa FF domain from human HYPA/FBP11, the ~18 kDa T4 phage lysozyme, the ~360 kDa α</w:t>
      </w:r>
      <w:r>
        <w:rPr>
          <w:vertAlign w:val="subscript"/>
        </w:rPr>
        <w:t>7</w:t>
      </w:r>
      <w:r>
        <w:t>α</w:t>
      </w:r>
      <w:r>
        <w:rPr>
          <w:vertAlign w:val="subscript"/>
        </w:rPr>
        <w:t>7</w:t>
      </w:r>
      <w:r>
        <w:t>particle from the</w:t>
      </w:r>
      <w:r>
        <w:t xml:space="preserve"> </w:t>
      </w:r>
      <w:r>
        <w:t>Thermoplasma acidophilum</w:t>
      </w:r>
      <w:r>
        <w:t xml:space="preserve"> </w:t>
      </w:r>
      <w:r>
        <w:t>proteasome and a ~530 kDa ancestrally reconstructed L</w:t>
      </w:r>
      <w:r>
        <w:rPr>
          <w:vertAlign w:val="subscript"/>
        </w:rPr>
        <w:t>8</w:t>
      </w:r>
      <w:r>
        <w:t>S</w:t>
      </w:r>
      <w:r>
        <w:rPr>
          <w:vertAlign w:val="subscript"/>
        </w:rPr>
        <w:t>8</w:t>
      </w:r>
      <w:r>
        <w:t>Rubisco complex. This study illustrates the potential for improving the sensitivity and resolution of NMR spectra by designing experiments tailored for use with DNNs.</w:t>
      </w:r>
    </w:p>
    <w:p>
      <w:pPr>
        <w:spacing w:before="120" w:after="120"/>
      </w:pPr>
      <w:r>
        <w:rPr>
          <w:sz w:val="18"/>
        </w:rPr>
        <w:t>——————————————————————————————————————————————————————————————————————</w:t>
      </w:r>
    </w:p>
    <w:p>
      <w:pPr>
        <w:spacing w:before="160" w:after="40" w:line="240" w:lineRule="auto"/>
      </w:pPr>
      <w:r>
        <w:rPr>
          <w:b/>
        </w:rPr>
        <w:t xml:space="preserve">[185] </w:t>
      </w:r>
      <w:hyperlink r:id="rId561">
        <w:r>
          <w:rPr>
            <w:color w:val="1155CC"/>
            <w:u w:val="single"/>
          </w:rPr>
          <w:t>通过Let-7–RBX2轴解耦新皮质神经元命运和迁移</w:t>
        </w:r>
      </w:hyperlink>
    </w:p>
    <w:p>
      <w:pPr>
        <w:spacing w:before="0" w:after="80"/>
      </w:pPr>
      <w:r>
        <w:rPr>
          <w:i/>
          <w:sz w:val="20"/>
        </w:rPr>
        <w:t>EN: Uncoupling neocortical neuron fate and migration via a Let-7–RBX2 axis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62">
        <w:r>
          <w:rPr>
            <w:color w:val="1155CC"/>
            <w:u w:val="single"/>
          </w:rPr>
          <w:t>10.1073/pnas.2528396123</w:t>
        </w:r>
      </w:hyperlink>
    </w:p>
    <w:p>
      <w:pPr>
        <w:spacing w:before="0" w:after="120"/>
      </w:pPr>
      <w:r>
        <w:rPr>
          <w:b/>
        </w:rPr>
        <w:t xml:space="preserve">Notes: </w:t>
      </w:r>
      <w:r>
        <w:t>abstract_source=crossref</w:t>
      </w:r>
    </w:p>
    <w:p>
      <w:pPr>
        <w:spacing w:before="0" w:after="80" w:lineRule="auto" w:line="276"/>
      </w:pPr>
      <w:r>
        <w:rPr>
          <w:b/>
        </w:rPr>
        <w:t xml:space="preserve">摘要（ZH）: </w:t>
      </w:r>
      <w:r>
        <w:t>在整个中枢神经系统中，投射神经元（PNs）的命运和迁移被紧密协调，以确保特定的神经元命运在精确的空间位置定居。这在哺乳动物的新皮质中尤为明显，早期出生的PNs主要停留在皮质板的深层，而后期出生的神经元则更表浅地定位。然而，目前尚不清楚神经元命运获取是否直接启动驱动PN迁移和定位的分子机制，或者相反，命运和定位是独立调节的。MicroRNAs已成为新皮质中细胞命运决定的关键调节因子。其中，let-7已知影响神经祖细胞的能力并促进晚期出生PNs的神经发生。</w:t>
      </w:r>
    </w:p>
    <w:p>
      <w:pPr>
        <w:spacing w:before="0" w:after="200" w:lineRule="auto" w:line="276"/>
      </w:pPr>
      <w:r>
        <w:rPr>
          <w:b/>
        </w:rPr>
        <w:t xml:space="preserve">Abstract (EN): </w:t>
      </w:r>
      <w:r>
        <w:t>Throughout the central nervous system, the fate and migration of projection neurons (PNs) are tightly coordinated to ensure that specific neuronal fates settle in precise spatial locations. This is particularly evident in the mammalian neocortex, where early-born PNs predominantly remain in the deeper layers of the cortical plate, whereas later-born neurons localize more superficially. However, it remains unclear whether neuronal fate acquisition directly primes the molecular mechanisms driving PN migration and positioning, or on the contrary fate and positioning are regulated independently. MicroRNAs have emerged as key regulators of cell fate determination in the neocortex. Among them, let-7 is known to influence neural progenitor competence and promote the neurogenesis of late-born PNs. Here, we show that let-7 also regulates PN migration and positioning by targeting RBX2, a core component of the E3 ubiquitin ligase CRL5, which has been previously shown to inhibit neuron migration by terminating the Reelin/DAB1 signaling pathway. Let-7 directly binds to a conserved motif in the 3′UTR of RBX2, reducing its translation and thereby diminishing CRL5 activity. Importantly, restoring RBX2 levels in the context of let-7 overexpression rescues the positioning of PNs without altering let-7-induced effects on neuronal fate. Furthermore, we demonstrate that let-7 enhances PN migration by increasing locomotion speed and prolonging migratory activity. Together, these findings reveal that let-7 coordinates neuronal fate specification and migration via distinct molecular pathways, ensuring the proper laminar positioning of late-born PNs in the neocortex.</w:t>
      </w:r>
    </w:p>
    <w:p>
      <w:pPr>
        <w:spacing w:before="120" w:after="120"/>
      </w:pPr>
      <w:r>
        <w:rPr>
          <w:sz w:val="18"/>
        </w:rPr>
        <w:t>——————————————————————————————————————————————————————————————————————</w:t>
      </w:r>
    </w:p>
    <w:p>
      <w:pPr>
        <w:spacing w:before="160" w:after="40" w:line="240" w:lineRule="auto"/>
      </w:pPr>
      <w:r>
        <w:rPr>
          <w:b/>
        </w:rPr>
        <w:t xml:space="preserve">[186] </w:t>
      </w:r>
      <w:hyperlink r:id="rId563">
        <w:r>
          <w:rPr>
            <w:color w:val="1155CC"/>
            <w:u w:val="single"/>
          </w:rPr>
          <w:t>二维电子光谱中的长寿命极化子相干性和极化子解耦效应</w:t>
        </w:r>
      </w:hyperlink>
    </w:p>
    <w:p>
      <w:pPr>
        <w:spacing w:before="0" w:after="80"/>
      </w:pPr>
      <w:r>
        <w:rPr>
          <w:i/>
          <w:sz w:val="20"/>
        </w:rPr>
        <w:t>EN: Long-lived polaritonic coherence and polaron decoupling effects in 2D electronic spectra</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64">
        <w:r>
          <w:rPr>
            <w:color w:val="1155CC"/>
            <w:u w:val="single"/>
          </w:rPr>
          <w:t>10.1073/pnas.2530454123</w:t>
        </w:r>
      </w:hyperlink>
    </w:p>
    <w:p>
      <w:pPr>
        <w:spacing w:before="0" w:after="120"/>
      </w:pPr>
      <w:r>
        <w:rPr>
          <w:b/>
        </w:rPr>
        <w:t xml:space="preserve">Notes: </w:t>
      </w:r>
      <w:r>
        <w:t>abstract_source=crossref</w:t>
      </w:r>
    </w:p>
    <w:p>
      <w:pPr>
        <w:spacing w:before="0" w:after="80" w:lineRule="auto" w:line="276"/>
      </w:pPr>
      <w:r>
        <w:rPr>
          <w:b/>
        </w:rPr>
        <w:t xml:space="preserve">摘要（ZH）: </w:t>
      </w:r>
      <w:r>
        <w:t>分子极化子是通过分子激子与腔体光子耦合形成的，提供了一个探索量子现象的有前途的平台。一个关键挑战是理解这些混合态如何在环境振动的存在下保持相干性。在此，我们从理论上表明，腔体中许多分子激子的集体耦合可以保护极化子的相干性免受声子引起的去相干。在现实条件下，相干时间在室温下可以延长至200 fs，而典型的分子系统为15 fs。二维电子光谱的模拟显示出上极化子和下极化子状态之间的振荡时间延长，并且通过下极化子峰的节点线斜率变化表明振动耦合减少。这些</w:t>
      </w:r>
    </w:p>
    <w:p>
      <w:pPr>
        <w:spacing w:before="0" w:after="200" w:lineRule="auto" w:line="276"/>
      </w:pPr>
      <w:r>
        <w:rPr>
          <w:b/>
        </w:rPr>
        <w:t xml:space="preserve">Abstract (EN): </w:t>
      </w:r>
      <w:r>
        <w:t>Molecular polaritons, formed by coupling molecular excitons with cavity photons, offer a promising platform for exploring quantum phenomena. A key challenge is understanding how these hybrid states maintain coherence in the presence of environmental vibrations. Here, we show theoretically that collective coupling of many molecular excitons in a cavity can protect polariton coherence from phonon-induced decoherence. Under realistic conditions, the coherence time can extend up to 200 fs at room temperature, compared with 15 fs for typical molecular systems. Simulations of two-dimensional electronic spectra reveal prolonged oscillations between upper and lower polariton states, and reduced vibrational coupling as indicated by changes in the nodal line slope of the lower polariton peak. These findings provide guidance for experimental efforts to realize long-lived polaritons, such as coupling CdSe nanoplatelets to optical cavities.</w:t>
      </w:r>
    </w:p>
    <w:p>
      <w:pPr>
        <w:spacing w:before="120" w:after="120"/>
      </w:pPr>
      <w:r>
        <w:rPr>
          <w:sz w:val="18"/>
        </w:rPr>
        <w:t>——————————————————————————————————————————————————————————————————————</w:t>
      </w:r>
    </w:p>
    <w:p>
      <w:pPr>
        <w:spacing w:before="160" w:after="40" w:line="240" w:lineRule="auto"/>
      </w:pPr>
      <w:r>
        <w:rPr>
          <w:b/>
        </w:rPr>
        <w:t xml:space="preserve">[187] </w:t>
      </w:r>
      <w:hyperlink r:id="rId565">
        <w:r>
          <w:rPr>
            <w:color w:val="1155CC"/>
            <w:u w:val="single"/>
          </w:rPr>
          <w:t>由异多价唾液糖基结合驱动的副黏病毒感染</w:t>
        </w:r>
      </w:hyperlink>
    </w:p>
    <w:p>
      <w:pPr>
        <w:spacing w:before="0" w:after="80"/>
      </w:pPr>
      <w:r>
        <w:rPr>
          <w:i/>
          <w:sz w:val="20"/>
        </w:rPr>
        <w:t>EN: Paramyxovirus infection driven by heteromultivalent sialoglycotope binding</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66">
        <w:r>
          <w:rPr>
            <w:color w:val="1155CC"/>
            <w:u w:val="single"/>
          </w:rPr>
          <w:t>10.1073/pnas.2530862123</w:t>
        </w:r>
      </w:hyperlink>
    </w:p>
    <w:p>
      <w:pPr>
        <w:spacing w:before="0" w:after="120"/>
      </w:pPr>
      <w:r>
        <w:rPr>
          <w:b/>
        </w:rPr>
        <w:t xml:space="preserve">Notes: </w:t>
      </w:r>
      <w:r>
        <w:t>abstract_source=crossref</w:t>
      </w:r>
    </w:p>
    <w:p>
      <w:pPr>
        <w:spacing w:before="0" w:after="80" w:lineRule="auto" w:line="276"/>
      </w:pPr>
      <w:r>
        <w:rPr>
          <w:b/>
        </w:rPr>
        <w:t xml:space="preserve">摘要（ZH）: </w:t>
      </w:r>
      <w:r>
        <w:t>糖蛋白和糖鞘脂上的唾液酸（Sia）作为许多呼吸道病毒的受体，包括人类甲型流感病毒和呼吸病毒，它们通常分别结合到α2-6和α2-3连接的Sia（2-6Sia和2-3Sia）。鉴于这种结合差异，并且支持呼吸病毒感染的确切唾液糖缀合物仍不清楚，我们评估了几种呼吸病毒和禽类新城疫病毒（NDV）的感染和结合的受体要求。为此，我们使用了一组显示定义的唾液糖缀合物的同源HEK293细胞库。研究表明，呼吸病毒感染严格依赖于2-3Sia，偏好于末端Siaα2-3Galβ1-4GlcNAc唾液糖表位，而不论底层糖缀合物结构如何，而</w:t>
      </w:r>
    </w:p>
    <w:p>
      <w:pPr>
        <w:spacing w:before="0" w:after="200" w:lineRule="auto" w:line="276"/>
      </w:pPr>
      <w:r>
        <w:rPr>
          <w:b/>
        </w:rPr>
        <w:t xml:space="preserve">Abstract (EN): </w:t>
      </w:r>
      <w:r>
        <w:t>Sialic acids (Sia) on glycoproteins and glycosphingolipids act as receptors for many respiratory viruses, including human influenza A viruses and respiroviruses, which typically bind to α2-6- and α2-3-linked Sia (2-6Sia and 2-3Sia), respectively. In view of this binding discrepancy and as the exact sialoglycoconjugates supporting respirovirus infection remain unclear, we assessed the receptor requirements for infection and binding of several respiroviruses and avian Newcastle disease virus (NDV). To this end, we employed a library of isogenic HEK293 cells displaying defined sialoglycoconjugates. Respirovirus infection was shown to strictly depend on 2-3Sia, with a preference for the terminal Siaα2-3Galβ1-4GlcNAc sialoglycotope regardless of the underlying glycoconjugate structure, whereas NDV showed a broader sialoglycotope usage. Notably, 2-6Sia enhanced respirovirus infection in low 2-3Sia contexts via heteromultivalent surface binding, which resulted in prolonged virus–receptor interactions. This heteromultivalent binding is expected to aid respirovirus infection of the 2-6Sia-rich human upper respiratory tract.</w:t>
      </w:r>
    </w:p>
    <w:p>
      <w:pPr>
        <w:spacing w:before="120" w:after="120"/>
      </w:pPr>
      <w:r>
        <w:rPr>
          <w:sz w:val="18"/>
        </w:rPr>
        <w:t>——————————————————————————————————————————————————————————————————————</w:t>
      </w:r>
    </w:p>
    <w:p>
      <w:pPr>
        <w:spacing w:before="160" w:after="40" w:line="240" w:lineRule="auto"/>
      </w:pPr>
      <w:r>
        <w:rPr>
          <w:b/>
        </w:rPr>
        <w:t xml:space="preserve">[188] </w:t>
      </w:r>
      <w:hyperlink r:id="rId567">
        <w:r>
          <w:rPr>
            <w:color w:val="1155CC"/>
            <w:u w:val="single"/>
          </w:rPr>
          <w:t>双组分系统信号枢纽控制肠球菌膜重塑以响应达托霉素</w:t>
        </w:r>
      </w:hyperlink>
    </w:p>
    <w:p>
      <w:pPr>
        <w:spacing w:before="0" w:after="80"/>
      </w:pPr>
      <w:r>
        <w:rPr>
          <w:i/>
          <w:sz w:val="20"/>
        </w:rPr>
        <w:t>EN: A two-component system signaling hub controls enterococcal membrane remodeling in response to daptomycin</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68">
        <w:r>
          <w:rPr>
            <w:color w:val="1155CC"/>
            <w:u w:val="single"/>
          </w:rPr>
          <w:t>10.1073/pnas.2532437123</w:t>
        </w:r>
      </w:hyperlink>
    </w:p>
    <w:p>
      <w:pPr>
        <w:spacing w:before="0" w:after="120"/>
      </w:pPr>
      <w:r>
        <w:rPr>
          <w:b/>
        </w:rPr>
        <w:t xml:space="preserve">Notes: </w:t>
      </w:r>
      <w:r>
        <w:t>abstract_source=crossref</w:t>
      </w:r>
    </w:p>
    <w:p>
      <w:pPr>
        <w:spacing w:before="0" w:after="80" w:lineRule="auto" w:line="276"/>
      </w:pPr>
      <w:r>
        <w:rPr>
          <w:b/>
        </w:rPr>
        <w:t xml:space="preserve">摘要（ZH）: </w:t>
      </w:r>
      <w:r>
        <w:t>达托霉素是一种用于治疗万古霉素耐药肠球菌感染的最后手段抗生素，但在治疗过程中达托霉素耐药性（DAP</w:t>
      </w:r>
      <w:r>
        <w:t xml:space="preserve"> </w:t>
      </w:r>
      <w:r>
        <w:t>R</w:t>
      </w:r>
      <w:r>
        <w:t xml:space="preserve"> </w:t>
      </w:r>
      <w:r>
        <w:t>）迅速出现。耐药性是由于在双组分系统LiaFSR和心磷脂合酶中逐步获得点突变，并与磷脂和糖脂膜组成的改变有关。这些脂质变化的分子机制目前尚不清楚。同样，不清楚为什么</w:t>
      </w:r>
      <w:r>
        <w:t xml:space="preserve"> </w:t>
      </w:r>
      <w:r>
        <w:t>liaFSR</w:t>
      </w:r>
      <w:r>
        <w:t xml:space="preserve"> </w:t>
      </w:r>
      <w:r>
        <w:t>的突变发生在</w:t>
      </w:r>
      <w:r>
        <w:t xml:space="preserve"> </w:t>
      </w:r>
      <w:r>
        <w:t>cls</w:t>
      </w:r>
      <w:r>
        <w:t xml:space="preserve"> </w:t>
      </w:r>
      <w:r>
        <w:t>的突变之前。我们发现</w:t>
      </w:r>
      <w:r>
        <w:t xml:space="preserve"> </w:t>
      </w:r>
      <w:r>
        <w:t>肠球菌</w:t>
      </w:r>
      <w:r>
        <w:t xml:space="preserve"> </w:t>
      </w:r>
      <w:r>
        <w:t>重塑膜</w:t>
      </w:r>
    </w:p>
    <w:p>
      <w:pPr>
        <w:spacing w:before="0" w:after="200" w:lineRule="auto" w:line="276"/>
      </w:pPr>
      <w:r>
        <w:rPr>
          <w:b/>
        </w:rPr>
        <w:t xml:space="preserve">Abstract (EN): </w:t>
      </w:r>
      <w:r>
        <w:t>Daptomycin is a last resort antibiotic used to treat vancomycin-resistant enterococcal infections, but daptomycin resistance (DAP</w:t>
      </w:r>
      <w:r>
        <w:t xml:space="preserve"> </w:t>
      </w:r>
      <w:r>
        <w:t>R</w:t>
      </w:r>
      <w:r>
        <w:t xml:space="preserve"> </w:t>
      </w:r>
      <w:r>
        <w:t>) arises quickly during treatment. Resistance is due to sequential acquisition of point mutations in the two-component system LiaFSR and in cardiolipin synthases and is associated with alteration of phospholipid and glycolipid membrane composition. The molecular mechanisms underlying these lipid changes are currently unknown. Similarly, it is unclear why mutations in</w:t>
      </w:r>
      <w:r>
        <w:t xml:space="preserve"> </w:t>
      </w:r>
      <w:r>
        <w:t>liaFSR</w:t>
      </w:r>
      <w:r>
        <w:t xml:space="preserve"> </w:t>
      </w:r>
      <w:r>
        <w:t>occur prior to mutations in</w:t>
      </w:r>
      <w:r>
        <w:t xml:space="preserve"> </w:t>
      </w:r>
      <w:r>
        <w:t>cls</w:t>
      </w:r>
      <w:r>
        <w:t xml:space="preserve"> </w:t>
      </w:r>
      <w:r>
        <w:t>. We found that</w:t>
      </w:r>
      <w:r>
        <w:t xml:space="preserve"> </w:t>
      </w:r>
      <w:r>
        <w:t>Enterococcus faecalis</w:t>
      </w:r>
      <w:r>
        <w:t xml:space="preserve"> </w:t>
      </w:r>
      <w:r>
        <w:t>remodels membrane composition as a phenotypic response to daptomycin that parallels the membrane composition of DAP</w:t>
      </w:r>
      <w:r>
        <w:t xml:space="preserve"> </w:t>
      </w:r>
      <w:r>
        <w:t>R</w:t>
      </w:r>
      <w:r>
        <w:t xml:space="preserve"> </w:t>
      </w:r>
      <w:r>
        <w:t>strains. The enrichment in glycolipids that follows antibiotic exposure is due to LtaS1, the main lipoteichoic acid (LTA) synthase of</w:t>
      </w:r>
      <w:r>
        <w:t xml:space="preserve"> </w:t>
      </w:r>
      <w:r>
        <w:t>E. faecalis</w:t>
      </w:r>
      <w:r>
        <w:t xml:space="preserve"> </w:t>
      </w:r>
      <w:r>
        <w:t>. LTA production is primarily governed by LiaFSR and SapRS, which directly couples antibiotic sensing with membrane lipid remodeling. Together, our results provide a unifying mechanism that drives phenotypic membrane fortification in a gram-positive pathogen which simultaneously predisposes the cell to acquire genetic high-level daptomycin resistance.</w:t>
      </w:r>
    </w:p>
    <w:p>
      <w:pPr>
        <w:spacing w:before="120" w:after="120"/>
      </w:pPr>
      <w:r>
        <w:rPr>
          <w:sz w:val="18"/>
        </w:rPr>
        <w:t>——————————————————————————————————————————————————————————————————————</w:t>
      </w:r>
    </w:p>
    <w:p>
      <w:pPr>
        <w:spacing w:before="160" w:after="40" w:line="240" w:lineRule="auto"/>
      </w:pPr>
      <w:r>
        <w:rPr>
          <w:b/>
        </w:rPr>
        <w:t xml:space="preserve">[189] </w:t>
      </w:r>
      <w:hyperlink r:id="rId569">
        <w:r>
          <w:rPr>
            <w:color w:val="1155CC"/>
            <w:u w:val="single"/>
          </w:rPr>
          <w:t>无缆软体机器人的两栖被动适应</w:t>
        </w:r>
      </w:hyperlink>
    </w:p>
    <w:p>
      <w:pPr>
        <w:spacing w:before="0" w:after="80"/>
      </w:pPr>
      <w:r>
        <w:rPr>
          <w:i/>
          <w:sz w:val="20"/>
        </w:rPr>
        <w:t>EN: Amphibious passive adaptation in untethered soft robots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70">
        <w:r>
          <w:rPr>
            <w:color w:val="1155CC"/>
            <w:u w:val="single"/>
          </w:rPr>
          <w:t>10.1073/pnas.2532988123</w:t>
        </w:r>
      </w:hyperlink>
    </w:p>
    <w:p>
      <w:pPr>
        <w:spacing w:before="0" w:after="120"/>
      </w:pPr>
      <w:r>
        <w:rPr>
          <w:b/>
        </w:rPr>
        <w:t xml:space="preserve">Notes: </w:t>
      </w:r>
      <w:r>
        <w:t>abstract_source=crossref</w:t>
      </w:r>
    </w:p>
    <w:p>
      <w:pPr>
        <w:spacing w:before="0" w:after="80" w:lineRule="auto" w:line="276"/>
      </w:pPr>
      <w:r>
        <w:rPr>
          <w:b/>
        </w:rPr>
        <w:t xml:space="preserve">摘要（ZH）: </w:t>
      </w:r>
      <w:r>
        <w:t>移动机器人越来越多地部署在各种环境中，从物流和家庭应用到生态监测和极端环境中的操作。在这些情况下，机器人必须穿越多样的地形，但大多数现有设计依赖于固定的形态，限制了跨领域的效率。仿生解决方案模仿自然形态，但无法充分利用工程机制，而主动自适应架构通常需要复杂的电子设备并产生大量能耗。受两栖动物和爬行动物的启发，我们开发了AdaptBot，这是一种无绳自适应软体机器人，结合了刚性机械和响应性软材料，实现了两栖运动的被动重构。AdaptBot采用单一仿生光热人工</w:t>
      </w:r>
    </w:p>
    <w:p>
      <w:pPr>
        <w:spacing w:before="0" w:after="200" w:lineRule="auto" w:line="276"/>
      </w:pPr>
      <w:r>
        <w:rPr>
          <w:b/>
        </w:rPr>
        <w:t xml:space="preserve">Abstract (EN): </w:t>
      </w:r>
      <w:r>
        <w:t>Mobile robots are increasingly deployed in diverse settings, ranging from logistic and household applications to ecological monitoring and operation in extreme environments. In these contexts, robots must traverse diverse terrains, yet most existing designs rely on fixed morphologies that limit efficiency across domains. Biomimetic solutions emulate natural forms but cannot fully exploit engineered mechanisms, while active adaptive architectures typically require complex electronics and incur substantial energy costs. Inspired by amphibians and reptiles, we developed AdaptBot, an untethered adaptive soft robot that integrates rigid machinery with responsive soft materials to achieve passive reconfiguration for amphibious locomotion. AdaptBot employs a single bioinspired photothermal artificial muscle (PAM) to power multiple gaits by light, a fast and large swelling hydrogel (FLASH) to drive passive fin deployment in water, and a ratcheting transmission to convert reciprocating PAM motion into forward locomotion. These elements enable multimodal performance—including rolling, load-carrying, climbing, and paddling—under wireless control across terrestrial, aquatic, and transitional environments. Remarkably, following fin deployment, AdaptBot’s swimming speed increased by 780%, demonstrating that passive adaptation is an effective strategy to enhance locomotor efficiency in robots operating in unstructured and dynamic environments.</w:t>
      </w:r>
    </w:p>
    <w:p>
      <w:pPr>
        <w:spacing w:before="120" w:after="120"/>
      </w:pPr>
      <w:r>
        <w:rPr>
          <w:sz w:val="18"/>
        </w:rPr>
        <w:t>——————————————————————————————————————————————————————————————————————</w:t>
      </w:r>
    </w:p>
    <w:p>
      <w:pPr>
        <w:spacing w:before="160" w:after="40" w:line="240" w:lineRule="auto"/>
      </w:pPr>
      <w:r>
        <w:rPr>
          <w:b/>
        </w:rPr>
        <w:t xml:space="preserve">[190] </w:t>
      </w:r>
      <w:hyperlink r:id="rId571">
        <w:r>
          <w:rPr>
            <w:color w:val="1155CC"/>
            <w:u w:val="single"/>
          </w:rPr>
          <w:t>在环境性别决定动物中遗传性别决定的出现</w:t>
        </w:r>
      </w:hyperlink>
    </w:p>
    <w:p>
      <w:pPr>
        <w:spacing w:before="0" w:after="80"/>
      </w:pPr>
      <w:r>
        <w:rPr>
          <w:i/>
          <w:sz w:val="20"/>
        </w:rPr>
        <w:t>EN: Emergence of genetic sex determination in an environmentally sex-determined animal</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72">
        <w:r>
          <w:rPr>
            <w:color w:val="1155CC"/>
            <w:u w:val="single"/>
          </w:rPr>
          <w:t>10.1073/pnas.2533705123</w:t>
        </w:r>
      </w:hyperlink>
    </w:p>
    <w:p>
      <w:pPr>
        <w:spacing w:before="0" w:after="120"/>
      </w:pPr>
      <w:r>
        <w:rPr>
          <w:b/>
        </w:rPr>
        <w:t xml:space="preserve">Notes: </w:t>
      </w:r>
      <w:r>
        <w:t>abstract_source=crossref</w:t>
      </w:r>
    </w:p>
    <w:p>
      <w:pPr>
        <w:spacing w:before="0" w:after="80" w:lineRule="auto" w:line="276"/>
      </w:pPr>
      <w:r>
        <w:rPr>
          <w:b/>
        </w:rPr>
        <w:t xml:space="preserve">摘要（ZH）: </w:t>
      </w:r>
      <w:r>
        <w:t>从环境性别决定（ESD）到遗传性别决定（GSD）的演变仍然是进化生物学中的一个基本问题。然而，推动这一转变的机制，特别是在其最初阶段，仍然大多未知。在此，我们报告了一种ESD物种</w:t>
      </w:r>
      <w:r>
        <w:t xml:space="preserve"> </w:t>
      </w:r>
      <w:r>
        <w:t>Daphnia pulex</w:t>
      </w:r>
      <w:r>
        <w:t xml:space="preserve"> </w:t>
      </w:r>
      <w:r>
        <w:t>的遗传变异，其中染色体I上的结构变异抑制了重组。这种抑制似乎促进了两个染色体I单倍型的不同特征的积累，导致了与性别决定基因</w:t>
      </w:r>
      <w:r>
        <w:t xml:space="preserve"> </w:t>
      </w:r>
      <w:r>
        <w:t>Dfh</w:t>
      </w:r>
      <w:r>
        <w:t xml:space="preserve"> </w:t>
      </w:r>
      <w:r>
        <w:t>的分化。这个过程导致了一种混合交配系统的出现，其中性别决定由遗传和环境共同调节</w:t>
      </w:r>
    </w:p>
    <w:p>
      <w:pPr>
        <w:spacing w:before="0" w:after="200" w:lineRule="auto" w:line="276"/>
      </w:pPr>
      <w:r>
        <w:rPr>
          <w:b/>
        </w:rPr>
        <w:t xml:space="preserve">Abstract (EN): </w:t>
      </w:r>
      <w:r>
        <w:t>The evolution of genetic sex determination (GSD) from environmental sex determination (ESD) remains a fundamental issue in evolutionary biology. However, the mechanisms driving the transition, particularly in its earliest stages, are largely unknown. Here, we report a genetic variant in the ESD species,</w:t>
      </w:r>
      <w:r>
        <w:t xml:space="preserve"> </w:t>
      </w:r>
      <w:r>
        <w:t>Daphnia pulex</w:t>
      </w:r>
      <w:r>
        <w:t xml:space="preserve"> </w:t>
      </w:r>
      <w:r>
        <w:t>, in which structural variations on chromosome I have suppressed recombination. This suppression appears to have facilitated the accumulation of divergent features of two chromosome I haplotypes, resulting in differentiation of the linked sex-determining gene</w:t>
      </w:r>
      <w:r>
        <w:t xml:space="preserve"> </w:t>
      </w:r>
      <w:r>
        <w:t>Dfh</w:t>
      </w:r>
      <w:r>
        <w:t xml:space="preserve"> </w:t>
      </w:r>
      <w:r>
        <w:t>. This process has led to the emergence of a mixed-mating system, in which sex determination is jointly regulated by genetic and environmental factors, with ongoing divergence in chromosomal structure continuing to develop between the two haplotypes at the population level. These findings suggest that processes analogous to early sex-chromosome evolution are occurring in this ESD species, offering insights into the molecular mechanisms underlying the emergence of GSD.</w:t>
      </w:r>
    </w:p>
    <w:p>
      <w:pPr>
        <w:spacing w:before="120" w:after="120"/>
      </w:pPr>
      <w:r>
        <w:rPr>
          <w:sz w:val="18"/>
        </w:rPr>
        <w:t>——————————————————————————————————————————————————————————————————————</w:t>
      </w:r>
    </w:p>
    <w:p>
      <w:pPr>
        <w:spacing w:before="160" w:after="40" w:line="240" w:lineRule="auto"/>
      </w:pPr>
      <w:r>
        <w:rPr>
          <w:b/>
        </w:rPr>
        <w:t xml:space="preserve">[191] </w:t>
      </w:r>
      <w:hyperlink r:id="rId573">
        <w:r>
          <w:rPr>
            <w:color w:val="1155CC"/>
            <w:u w:val="single"/>
          </w:rPr>
          <w:t>靶向多烯链代表优化多烯类抗真菌药物的辅助策略</w:t>
        </w:r>
      </w:hyperlink>
    </w:p>
    <w:p>
      <w:pPr>
        <w:spacing w:before="0" w:after="80"/>
      </w:pPr>
      <w:r>
        <w:rPr>
          <w:i/>
          <w:sz w:val="20"/>
        </w:rPr>
        <w:t>EN: Targeting the polyene chain represents an adjuvant strategy for optimizing polyene antifungals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74">
        <w:r>
          <w:rPr>
            <w:color w:val="1155CC"/>
            <w:u w:val="single"/>
          </w:rPr>
          <w:t>10.1073/pnas.2534610123</w:t>
        </w:r>
      </w:hyperlink>
    </w:p>
    <w:p>
      <w:pPr>
        <w:spacing w:before="0" w:after="120"/>
      </w:pPr>
      <w:r>
        <w:rPr>
          <w:b/>
        </w:rPr>
        <w:t xml:space="preserve">Notes: </w:t>
      </w:r>
      <w:r>
        <w:t>abstract_source=crossref</w:t>
      </w:r>
    </w:p>
    <w:p>
      <w:pPr>
        <w:spacing w:before="0" w:after="80" w:lineRule="auto" w:line="276"/>
      </w:pPr>
      <w:r>
        <w:rPr>
          <w:b/>
        </w:rPr>
        <w:t xml:space="preserve">摘要（ZH）: </w:t>
      </w:r>
      <w:r>
        <w:t>多烯类抗真菌药（PAs）长期以来一直是治疗致命真菌感染的不可替代的救命药。然而，PAs会引起显著的剂量依赖性肾毒性，主要是因为它们与肾细胞膜中的胆固醇结合，而胆固醇在结构上与其在真菌膜中的杀真菌靶标麦角固醇相似。优化PAs的努力主要集中在其麦角胺基团和多醇链上，而多烯链的潜力仍未被充分探索。在此，我们报告多烯链可以作为分子开关，能够与从临床批准药物中重新利用的结构兼容的佐剂进行疏水耦合。这种疏水耦合触发了PAs的构象重排，其特征在于重新定向</w:t>
      </w:r>
    </w:p>
    <w:p>
      <w:pPr>
        <w:spacing w:before="0" w:after="200" w:lineRule="auto" w:line="276"/>
      </w:pPr>
      <w:r>
        <w:rPr>
          <w:b/>
        </w:rPr>
        <w:t xml:space="preserve">Abstract (EN): </w:t>
      </w:r>
      <w:r>
        <w:t>Polyene antifungals (PAs) have long constituted an irreplaceable lifesaving treatment for lethal fungal infections. However, PAs induce significant dose-dependent nephrotoxicity, primarily because of their binding to cholesterol in the renal cell membrane, which is structurally similar to their fungicidal target ergosterol in the fungal membrane. Efforts to optimize PAs have focused mainly on their mycosamine group and polyol chain, while the potential of the polyene chain remains underexplored. Here, we report that the polyene chain can function as a molecular switch, enabling hydrophobic coupling with structurally compatible adjuvants repurposed from clinically approved drugs. This hydrophobic coupling triggers conformational rearrangements of PAs, which are characterized by a reorientation of the mycosamine group, and increases the rigidity and length of the polyene chain, which can asymmetrically modulate the binding of PAs to membrane cholesterol and ergosterol, thereby attenuating nephrotoxicity and increasing effectiveness. Among them, vitamin D</w:t>
      </w:r>
      <w:r>
        <w:rPr>
          <w:vertAlign w:val="subscript"/>
        </w:rPr>
        <w:t>3</w:t>
      </w:r>
      <w:r>
        <w:t>demonstrated immediate clinical value, characterized by its broad safety profile and substantial dual adjuvant activities in multiple animal models and retrospective clinical data. Thus, exploiting the polyene chain as a molecular switch, modulated via specific polyene chain–coupled adjuvants, is a strategy to concurrently attenuate nephrotoxicity and potentiate the effectiveness of PAs.</w:t>
      </w:r>
    </w:p>
    <w:p>
      <w:pPr>
        <w:spacing w:before="120" w:after="120"/>
      </w:pPr>
      <w:r>
        <w:rPr>
          <w:sz w:val="18"/>
        </w:rPr>
        <w:t>——————————————————————————————————————————————————————————————————————</w:t>
      </w:r>
    </w:p>
    <w:p>
      <w:pPr>
        <w:spacing w:before="160" w:after="40" w:line="240" w:lineRule="auto"/>
      </w:pPr>
      <w:r>
        <w:rPr>
          <w:b/>
        </w:rPr>
        <w:t xml:space="preserve">[192] </w:t>
      </w:r>
      <w:hyperlink r:id="rId575">
        <w:r>
          <w:rPr>
            <w:color w:val="1155CC"/>
            <w:u w:val="single"/>
          </w:rPr>
          <w:t>肠道微生物群影响营养免疫和对鲍曼不动杆菌肺炎的抵抗力</w:t>
        </w:r>
      </w:hyperlink>
    </w:p>
    <w:p>
      <w:pPr>
        <w:spacing w:before="0" w:after="80"/>
      </w:pPr>
      <w:r>
        <w:rPr>
          <w:i/>
          <w:sz w:val="20"/>
        </w:rPr>
        <w:t>EN: The intestinal microbiota impacts nutritional immunity and resistance to Acinetobacter baumannii pneumonia</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76">
        <w:r>
          <w:rPr>
            <w:color w:val="1155CC"/>
            <w:u w:val="single"/>
          </w:rPr>
          <w:t>10.1073/pnas.2534432123</w:t>
        </w:r>
      </w:hyperlink>
    </w:p>
    <w:p>
      <w:pPr>
        <w:spacing w:before="0" w:after="120"/>
      </w:pPr>
      <w:r>
        <w:rPr>
          <w:b/>
        </w:rPr>
        <w:t xml:space="preserve">Notes: </w:t>
      </w:r>
      <w:r>
        <w:t>abstract_source=crossref</w:t>
      </w:r>
    </w:p>
    <w:p>
      <w:pPr>
        <w:spacing w:before="0" w:after="80" w:lineRule="auto" w:line="276"/>
      </w:pPr>
      <w:r>
        <w:rPr>
          <w:b/>
        </w:rPr>
        <w:t xml:space="preserve">摘要（ZH）: </w:t>
      </w:r>
      <w:r>
        <w:t>广谱抗生素经常作为经验性治疗的一部分给予重症监护病房患者。这种治疗与新兴医院病原体鲍曼不动杆菌的后续感染有关；然而，这种联系背后的机制仍不清楚。在此，我们观察到抗生素治疗与微生物群破坏之间的关联，这种破坏先于住院患者队列中的鲍曼不动杆菌感染，并在小鼠模型中证明广谱抗生素的使用增加了对这种病原体鼻内感染的易感性。通过粪便重建肠道微生物群</w:t>
      </w:r>
    </w:p>
    <w:p>
      <w:pPr>
        <w:spacing w:before="0" w:after="200" w:lineRule="auto" w:line="276"/>
      </w:pPr>
      <w:r>
        <w:rPr>
          <w:b/>
        </w:rPr>
        <w:t xml:space="preserve">Abstract (EN): </w:t>
      </w:r>
      <w:r>
        <w:t>Broad-spectrum antibiotics are frequently administered to intensive care unit patients as part of empiric care. This treatment has been associated with subsequent infections by the emerging nosocomial pathogen</w:t>
      </w:r>
      <w:r>
        <w:t xml:space="preserve"> </w:t>
      </w:r>
      <w:r>
        <w:t>Acinetobacter</w:t>
      </w:r>
      <w:r>
        <w:t xml:space="preserve"> </w:t>
      </w:r>
      <w:r>
        <w:t>baumannii</w:t>
      </w:r>
      <w:r>
        <w:t xml:space="preserve"> </w:t>
      </w:r>
      <w:r>
        <w:t>; however, the mechanisms underlying this linkage remain unclear. Here, we observe an association between antibiotic treatment and microbiota disruption that precedes</w:t>
      </w:r>
      <w:r>
        <w:t xml:space="preserve"> </w:t>
      </w:r>
      <w:r>
        <w:t>A. baumannii</w:t>
      </w:r>
      <w:r>
        <w:t xml:space="preserve"> </w:t>
      </w:r>
      <w:r>
        <w:t>infection in a hospitalized patient cohort and demonstrate in a murine model that broad-spectrum antibiotic administration drives susceptibility to intranasal infection with this pathogen. Reconstitution of the intestinal microbiota by fecal microbiota transplant restores control of</w:t>
      </w:r>
      <w:r>
        <w:t xml:space="preserve"> </w:t>
      </w:r>
      <w:r>
        <w:t>A. baumannii</w:t>
      </w:r>
      <w:r>
        <w:t xml:space="preserve"> </w:t>
      </w:r>
      <w:r>
        <w:t>bloodstream dissemination, implicating microbiota dysbiosis as a key driver of pulmonary disease. Using single-cell RNA sequencing, we determine that antibiotic pretreatment reduces the abundance of transcripts related to phagocyte effector functions in the lung, including nutritional immunity pathways that restrict pathogen access to essential nutrient metals. Depletion studies identify neutrophils and inflammatory monocytes as central mediators of microbiota-dependent protection, and loss of the nutritional immunity components lipocalin-2 or calprotectin abrogates the effects of antibiotics on infected mice, demonstrating a causal relationship between microbiota dysbiosis and impaired phagocyte-mediated nutritional immunity. Together, these findings provide a mechanism for the increased severity of</w:t>
      </w:r>
      <w:r>
        <w:t xml:space="preserve"> </w:t>
      </w:r>
      <w:r>
        <w:t>A. baumannii</w:t>
      </w:r>
      <w:r>
        <w:t xml:space="preserve"> </w:t>
      </w:r>
      <w:r>
        <w:t>pneumonia following antibiotic exposure and highlight the intestinal microbiota as a potential therapeutic target to prevent nosocomial infections with this and other healthcare-associated pathogens.</w:t>
      </w:r>
    </w:p>
    <w:p>
      <w:pPr>
        <w:spacing w:before="120" w:after="120"/>
      </w:pPr>
      <w:r>
        <w:rPr>
          <w:sz w:val="18"/>
        </w:rPr>
        <w:t>——————————————————————————————————————————————————————————————————————</w:t>
      </w:r>
    </w:p>
    <w:p>
      <w:pPr>
        <w:spacing w:before="160" w:after="40" w:line="240" w:lineRule="auto"/>
      </w:pPr>
      <w:r>
        <w:rPr>
          <w:b/>
        </w:rPr>
        <w:t xml:space="preserve">[193] </w:t>
      </w:r>
      <w:hyperlink r:id="rId577">
        <w:r>
          <w:rPr>
            <w:color w:val="1155CC"/>
            <w:u w:val="single"/>
          </w:rPr>
          <w:t>简单的生物控制器驱动软模式的进化</w:t>
        </w:r>
      </w:hyperlink>
    </w:p>
    <w:p>
      <w:pPr>
        <w:spacing w:before="0" w:after="80"/>
      </w:pPr>
      <w:r>
        <w:rPr>
          <w:i/>
          <w:sz w:val="20"/>
        </w:rPr>
        <w:t>EN: Simple biological controllers drive the evolution of soft modes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78">
        <w:r>
          <w:rPr>
            <w:color w:val="1155CC"/>
            <w:u w:val="single"/>
          </w:rPr>
          <w:t>10.1073/pnas.2523032123</w:t>
        </w:r>
      </w:hyperlink>
    </w:p>
    <w:p>
      <w:pPr>
        <w:spacing w:before="0" w:after="120"/>
      </w:pPr>
      <w:r>
        <w:rPr>
          <w:b/>
        </w:rPr>
        <w:t xml:space="preserve">Notes: </w:t>
      </w:r>
      <w:r>
        <w:t>abstract_source=crossref</w:t>
      </w:r>
    </w:p>
    <w:p>
      <w:pPr>
        <w:spacing w:before="0" w:after="80" w:lineRule="auto" w:line="276"/>
      </w:pPr>
      <w:r>
        <w:rPr>
          <w:b/>
        </w:rPr>
        <w:t xml:space="preserve">摘要（ZH）: </w:t>
      </w:r>
      <w:r>
        <w:t>生物系统具有许多相互作用的成分，面临高维环境波动，从多种营养缺乏到毒素、药物和物理压力。然而，许多生物控制机制是“简单的”，即通过系统高维状态的低维表示恢复稳态。低维控制器如何在高维系统中维持稳态？我们开发了一个在波动环境中复杂系统积分反馈的解析模型。我们发现，选择稳态导致软模式的出现，这提供了简单控制器功能所需的维度缩减。我们的理论预测，简单控制器可以缓冲环境扰动</w:t>
      </w:r>
    </w:p>
    <w:p>
      <w:pPr>
        <w:spacing w:before="0" w:after="200" w:lineRule="auto" w:line="276"/>
      </w:pPr>
      <w:r>
        <w:rPr>
          <w:b/>
        </w:rPr>
        <w:t xml:space="preserve">Abstract (EN): </w:t>
      </w:r>
      <w:r>
        <w:t>Biological systems, with many interacting components, face high-dimensional environmental fluctuations, ranging from diverse nutrient deprivations to toxins, drugs, and physical stresses. Yet, many biological control mechanisms are “simple,” i.e., restoring homeostasis through low-dimensional representations of the system’s high-dimensional state. How do low-dimensional controllers maintain homeostasis in high-dimensional systems? We develop an analytically tractable model of integral feedback for complex systems in fluctuating environments. We find that selection for homeostasis leads to the emergence of a soft mode that provides the dimensionality reduction required for the functioning of simple controllers. Our theory predicts that simple controllers that buffer environmental perturbations (e.g., stress response pathways) will also buffer mutational perturbation, an equivalence we test using experimental data across 5,000 strains in the yeast knockout collection. We also predict, counterintuitively, that knocking out a simple controller will decrease the dimensionality of the response to environmental change; we outline transcriptomics tests to validate this. Our work suggests an evolutionary origin of soft modes, with implications ranging from cryptic genetic variation to global epistasis.</w:t>
      </w:r>
    </w:p>
    <w:p>
      <w:pPr>
        <w:spacing w:before="120" w:after="120"/>
      </w:pPr>
      <w:r>
        <w:rPr>
          <w:sz w:val="18"/>
        </w:rPr>
        <w:t>——————————————————————————————————————————————————————————————————————</w:t>
      </w:r>
    </w:p>
    <w:p>
      <w:pPr>
        <w:spacing w:before="160" w:after="40" w:line="240" w:lineRule="auto"/>
      </w:pPr>
      <w:r>
        <w:rPr>
          <w:b/>
        </w:rPr>
        <w:t xml:space="preserve">[194] </w:t>
      </w:r>
      <w:hyperlink r:id="rId579">
        <w:r>
          <w:rPr>
            <w:color w:val="1155CC"/>
            <w:u w:val="single"/>
          </w:rPr>
          <w:t>在虚拟体现任务中计划和行动的连续动态</w:t>
        </w:r>
      </w:hyperlink>
    </w:p>
    <w:p>
      <w:pPr>
        <w:spacing w:before="0" w:after="80"/>
      </w:pPr>
      <w:r>
        <w:rPr>
          <w:i/>
          <w:sz w:val="20"/>
        </w:rPr>
        <w:t>EN: The continuous dynamics of planning and acting in a virtually embodied task</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80">
        <w:r>
          <w:rPr>
            <w:color w:val="1155CC"/>
            <w:u w:val="single"/>
          </w:rPr>
          <w:t>10.1073/pnas.2602504123</w:t>
        </w:r>
      </w:hyperlink>
    </w:p>
    <w:p>
      <w:pPr>
        <w:spacing w:before="0" w:after="120"/>
      </w:pPr>
      <w:r>
        <w:rPr>
          <w:b/>
        </w:rPr>
        <w:t xml:space="preserve">Notes: </w:t>
      </w:r>
      <w:r>
        <w:t>abstract_source=crossref</w:t>
      </w:r>
    </w:p>
    <w:p>
      <w:pPr>
        <w:spacing w:before="0" w:after="80" w:lineRule="auto" w:line="276"/>
      </w:pPr>
      <w:r>
        <w:rPr>
          <w:b/>
        </w:rPr>
        <w:t xml:space="preserve">摘要（ZH）: </w:t>
      </w:r>
      <w:r>
        <w:t>日常任务，如驾驶时选择路线或准备饭菜，需要做出一系列具身决策，其中计划和行动过程交织在一起。在此，我们探讨人们如何做出顺序具身决策，需要在即时可供性和替代行动计划的长期效用之间取得平衡。我们设计了一项虚拟具身任务，参与者控制一个任务是“过河”的化身，通过跳跃石头。该任务使我们能够评估参与者如何在即时跳跃可供性（“安全”与“冒险”跳跃）和通往目标的路径效用（长度）之间取得平衡。行为和计算分析表明，参与者提前规划了通往目标的路径，而不仅仅是专注于</w:t>
      </w:r>
    </w:p>
    <w:p>
      <w:pPr>
        <w:spacing w:before="0" w:after="200" w:lineRule="auto" w:line="276"/>
      </w:pPr>
      <w:r>
        <w:rPr>
          <w:b/>
        </w:rPr>
        <w:t xml:space="preserve">Abstract (EN): </w:t>
      </w:r>
      <w:r>
        <w:t>Everyday tasks, such as selecting routes when driving or preparing meals, require making sequences of embodied decisions, in which planning and action processes are intertwined. Here, we address how people make sequential embodied decisions, requiring balancing between immediate affordances and long-term utilities of alternative action plans. We designed a virtually embodied task in which participants controlled an avatar tasked with “crossing rivers” by jumping across rocks. The task permitted us to assess how participants balanced between immediate jumping affordances (“safe” vs. “risky” jumps) and the utility (length) of the ensuing paths to the goal. Behavioral and computational analyses revealed that participants planned ahead their path to the goal rather than simply focusing on the immediate jumping affordances. Furthermore, spatial and embodied components of the task influenced participants’ decision strategies, as participants’ current direction of movement and momentum influenced their choice between safe and risky jumps. Additionally, participants showed (pre)planning before making the first jump, but they continued deliberating during it, with movement speed decreasing at decision points and when approaching them. Computational modeling indicates that farsighted participants who assigned greater weight to the utility of future jumps showed a better performance, highlighting the usefulness of planning in embodied settings. Finally, analyzing participants’ performance indicates that during the experiment, they become faster in moving and deciding but they do not change their overall strategy. Our findings underscore the importance of studying decision-making in ecologically valid, embodied settings, providing insights into the interplay between action and cognition in real-world planning-while-acting scenarios.</w:t>
      </w:r>
    </w:p>
    <w:p>
      <w:pPr>
        <w:spacing w:before="120" w:after="120"/>
      </w:pPr>
      <w:r>
        <w:rPr>
          <w:sz w:val="18"/>
        </w:rPr>
        <w:t>——————————————————————————————————————————————————————————————————————</w:t>
      </w:r>
    </w:p>
    <w:p>
      <w:pPr>
        <w:spacing w:before="160" w:after="40" w:line="240" w:lineRule="auto"/>
      </w:pPr>
      <w:r>
        <w:rPr>
          <w:b/>
        </w:rPr>
        <w:t xml:space="preserve">[195] </w:t>
      </w:r>
      <w:hyperlink r:id="rId581">
        <w:r>
          <w:rPr>
            <w:color w:val="1155CC"/>
            <w:u w:val="single"/>
          </w:rPr>
          <w:t>CD28驱动的体外生成干细胞样记忆CD8+ T细胞，绕过CD3/TCR信号</w:t>
        </w:r>
      </w:hyperlink>
    </w:p>
    <w:p>
      <w:pPr>
        <w:spacing w:before="0" w:after="80"/>
      </w:pPr>
      <w:r>
        <w:rPr>
          <w:i/>
          <w:sz w:val="20"/>
        </w:rPr>
        <w:t>EN: CD28-driven ex vivo generation of stem-like memory CD8+ T cells bypassing CD3/TCR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82">
        <w:r>
          <w:rPr>
            <w:color w:val="1155CC"/>
            <w:u w:val="single"/>
          </w:rPr>
          <w:t>10.1073/pnas.2524626123</w:t>
        </w:r>
      </w:hyperlink>
    </w:p>
    <w:p>
      <w:pPr>
        <w:spacing w:before="0" w:after="120"/>
      </w:pPr>
      <w:r>
        <w:rPr>
          <w:b/>
        </w:rPr>
        <w:t xml:space="preserve">Notes: </w:t>
      </w:r>
      <w:r>
        <w:t>abstract_source=crossref</w:t>
      </w:r>
    </w:p>
    <w:p>
      <w:pPr>
        <w:spacing w:before="0" w:after="80" w:lineRule="auto" w:line="276"/>
      </w:pPr>
      <w:r>
        <w:rPr>
          <w:b/>
        </w:rPr>
        <w:t xml:space="preserve">摘要（ZH）: </w:t>
      </w:r>
      <w:r>
        <w:t>采用性T细胞疗法通常依赖于体外CD3/CD28刺激，这促进效应分化并限制转移细胞的持久性。具有自我更新和多能性的干细胞样记忆T细胞（Tscm）代表了一种理想的治疗亚群，但仍然难以大规模生成。在此，我们提出了一种CD3独立策略，使用表达膜结合CD28超激动剂（αCD28-aAPCs）的人工抗原呈递细胞来扩增具有Tscm样特征的CD8</w:t>
      </w:r>
      <w:r>
        <w:t xml:space="preserve"> </w:t>
      </w:r>
      <w:r>
        <w:t>+</w:t>
      </w:r>
      <w:r>
        <w:t xml:space="preserve"> </w:t>
      </w:r>
      <w:r>
        <w:t>T细胞。在初始CD8</w:t>
      </w:r>
      <w:r>
        <w:t xml:space="preserve"> </w:t>
      </w:r>
      <w:r>
        <w:t>+</w:t>
      </w:r>
      <w:r>
        <w:t xml:space="preserve"> </w:t>
      </w:r>
      <w:r>
        <w:t>T细胞中，αCD28-aAPC刺激启动了一个独特的转录和表观遗传程序，以高TCF1表达、代谢适应性和抗疲劳性为标志—</w:t>
      </w:r>
    </w:p>
    <w:p>
      <w:pPr>
        <w:spacing w:before="0" w:after="200" w:lineRule="auto" w:line="276"/>
      </w:pPr>
      <w:r>
        <w:rPr>
          <w:b/>
        </w:rPr>
        <w:t xml:space="preserve">Abstract (EN): </w:t>
      </w:r>
      <w:r>
        <w:t>Adoptive T cell therapies typically rely on ex vivo CD3/CD28 stimulation, which promotes effector differentiation and limits the persistence of transferred cells. Stem cell–like memory T cells (Tscm), with their capacity for self-renewal and multipotency, represent an ideal therapeutic subset but remain difficult to generate at scale. Here, we present a CD3-independent strategy using artificial antigen-presenting cells expressing a membrane-bound CD28 superagonist (αCD28-aAPCs) to expand CD8</w:t>
      </w:r>
      <w:r>
        <w:t xml:space="preserve"> </w:t>
      </w:r>
      <w:r>
        <w:t>+</w:t>
      </w:r>
      <w:r>
        <w:t xml:space="preserve"> </w:t>
      </w:r>
      <w:r>
        <w:t>T cells with Tscm-like features. In naïve CD8</w:t>
      </w:r>
      <w:r>
        <w:t xml:space="preserve"> </w:t>
      </w:r>
      <w:r>
        <w:t>+</w:t>
      </w:r>
      <w:r>
        <w:t xml:space="preserve"> </w:t>
      </w:r>
      <w:r>
        <w:t>T cells, αCD28-aAPC stimulation initiates a distinct transcriptional and epigenetic program, marked by high TCF1 expression, metabolic fitness, and resistance to exhaustion—key hallmarks of the Tscm phenotype. Mechanistically, this approach circumvents canonical CD3/TCR signaling and notably avoids induction of IRF4, a key transcription factor that drives BLIMP1 upregulation, TCF1 downregulation, and glycolytic commitment during effector differentiation. Instead, sustained CD28 signaling alone reprograms T cells toward a Tscm-like state. Upon subsequent antigen encounter and CD3 engagement, these αCD28-aAPC-expanded T cells mount robust effector responses while retaining superior persistence and antitumor activity in preclinical models. Our findings reveal an underappreciated role of CD28 signaling in guiding Tscm-like fate through IRF4 suppression and establish a platform for generating durable and functionally potent T cell therapies.</w:t>
      </w:r>
    </w:p>
    <w:p>
      <w:pPr>
        <w:spacing w:before="120" w:after="120"/>
      </w:pPr>
      <w:r>
        <w:rPr>
          <w:sz w:val="18"/>
        </w:rPr>
        <w:t>——————————————————————————————————————————————————————————————————————</w:t>
      </w:r>
    </w:p>
    <w:p>
      <w:pPr>
        <w:spacing w:before="160" w:after="40" w:line="240" w:lineRule="auto"/>
      </w:pPr>
      <w:r>
        <w:rPr>
          <w:b/>
        </w:rPr>
        <w:t xml:space="preserve">[196] </w:t>
      </w:r>
      <w:hyperlink r:id="rId583">
        <w:r>
          <w:rPr>
            <w:color w:val="1155CC"/>
            <w:u w:val="single"/>
          </w:rPr>
          <w:t>Trk1钾运输对Candidozyma auris皮肤定植至关重要</w:t>
        </w:r>
      </w:hyperlink>
    </w:p>
    <w:p>
      <w:pPr>
        <w:spacing w:before="0" w:after="80"/>
      </w:pPr>
      <w:r>
        <w:rPr>
          <w:i/>
          <w:sz w:val="20"/>
        </w:rPr>
        <w:t>EN: Trk1 potassium transport is crucial for effective Candidozyma auris skin colonization</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84">
        <w:r>
          <w:rPr>
            <w:color w:val="1155CC"/>
            <w:u w:val="single"/>
          </w:rPr>
          <w:t>10.1073/pnas.2602824123</w:t>
        </w:r>
      </w:hyperlink>
    </w:p>
    <w:p>
      <w:pPr>
        <w:spacing w:before="0" w:after="120"/>
      </w:pPr>
      <w:r>
        <w:rPr>
          <w:b/>
        </w:rPr>
        <w:t xml:space="preserve">Notes: </w:t>
      </w:r>
      <w:r>
        <w:t>abstract_source=crossref</w:t>
      </w:r>
    </w:p>
    <w:p>
      <w:pPr>
        <w:spacing w:before="0" w:after="80" w:lineRule="auto" w:line="276"/>
      </w:pPr>
      <w:r>
        <w:rPr>
          <w:b/>
        </w:rPr>
        <w:t xml:space="preserve">摘要（ZH）: </w:t>
      </w:r>
      <w:r>
        <w:t>最近出现的真菌病原体</w:t>
      </w:r>
      <w:r>
        <w:t xml:space="preserve"> </w:t>
      </w:r>
      <w:r>
        <w:t>Candidozyma (Candida) auris</w:t>
      </w:r>
      <w:r>
        <w:t xml:space="preserve"> </w:t>
      </w:r>
      <w:r>
        <w:t>已在全球医院引发了多次侵袭性疾病爆发。它是第一个被分类为全球公共卫生威胁的真菌病原体，因为它能够轻易定植于皮肤，效率高地在人与人之间传播，并导致高死亡率的侵袭性感染。皮肤定植不仅促进了医疗传播，还通过皮肤插入医疗设备导致侵袭性感染。然而，</w:t>
      </w:r>
      <w:r>
        <w:t xml:space="preserve"> </w:t>
      </w:r>
      <w:r>
        <w:t>C. auris</w:t>
      </w:r>
      <w:r>
        <w:t xml:space="preserve"> </w:t>
      </w:r>
      <w:r>
        <w:t>在皮肤生态位中生存的机制仍然知之甚少。在此，我们确定钾（K</w:t>
      </w:r>
      <w:r>
        <w:t xml:space="preserve"> </w:t>
      </w:r>
      <w:r>
        <w:t>+</w:t>
      </w:r>
      <w:r>
        <w:t xml:space="preserve"> </w:t>
      </w:r>
      <w:r>
        <w:t>）是这种环境中有效生长的关键营养物质</w:t>
      </w:r>
    </w:p>
    <w:p>
      <w:pPr>
        <w:spacing w:before="0" w:after="200" w:lineRule="auto" w:line="276"/>
      </w:pPr>
      <w:r>
        <w:rPr>
          <w:b/>
        </w:rPr>
        <w:t xml:space="preserve">Abstract (EN): </w:t>
      </w:r>
      <w:r>
        <w:t>The recently emergent fungal pathogen</w:t>
      </w:r>
      <w:r>
        <w:t xml:space="preserve"> </w:t>
      </w:r>
      <w:r>
        <w:t>Candidozyma (Candida) auris</w:t>
      </w:r>
      <w:r>
        <w:t xml:space="preserve"> </w:t>
      </w:r>
      <w:r>
        <w:t>has produced numerous outbreaks of invasive disease in hospitals worldwide. It is the first fungal pathogen categorized as a global public health threat due to its ability to readily colonize skin, spread efficiently person-to-person, and cause invasive infection with high mortality. Skin colonization not only promotes healthcare spread but also leads to invasive infection via the insertion of medical devices through skin. However, the mechanisms underlying</w:t>
      </w:r>
      <w:r>
        <w:t xml:space="preserve"> </w:t>
      </w:r>
      <w:r>
        <w:t>C. auris</w:t>
      </w:r>
      <w:r>
        <w:t xml:space="preserve"> </w:t>
      </w:r>
      <w:r>
        <w:t>survival in the skin niche remain poorly understood. Here, we identify potassium (K</w:t>
      </w:r>
      <w:r>
        <w:t xml:space="preserve"> </w:t>
      </w:r>
      <w:r>
        <w:t>+</w:t>
      </w:r>
      <w:r>
        <w:t xml:space="preserve"> </w:t>
      </w:r>
      <w:r>
        <w:t>) as a crucial nutrient for efficient growth in this environment. We show that putative high-affinity K</w:t>
      </w:r>
      <w:r>
        <w:t xml:space="preserve"> </w:t>
      </w:r>
      <w:r>
        <w:t>+</w:t>
      </w:r>
      <w:r>
        <w:t xml:space="preserve"> </w:t>
      </w:r>
      <w:r>
        <w:t>transporter Trk1 is required for</w:t>
      </w:r>
      <w:r>
        <w:t xml:space="preserve"> </w:t>
      </w:r>
      <w:r>
        <w:t>C. auris</w:t>
      </w:r>
      <w:r>
        <w:t xml:space="preserve"> </w:t>
      </w:r>
      <w:r>
        <w:t>growth on human skin ex vivo. Disruption of</w:t>
      </w:r>
      <w:r>
        <w:t xml:space="preserve"> </w:t>
      </w:r>
      <w:r>
        <w:t>TRK1</w:t>
      </w:r>
      <w:r>
        <w:t xml:space="preserve"> </w:t>
      </w:r>
      <w:r>
        <w:t>significantly impairs K</w:t>
      </w:r>
      <w:r>
        <w:t xml:space="preserve"> </w:t>
      </w:r>
      <w:r>
        <w:t>+</w:t>
      </w:r>
      <w:r>
        <w:t xml:space="preserve"> </w:t>
      </w:r>
      <w:r>
        <w:t>uptake and leads to plasma membrane hyperpolarization, a lower intracellular pH, and sensitivity to cationic stress. These findings demonstrate that</w:t>
      </w:r>
      <w:r>
        <w:t xml:space="preserve"> </w:t>
      </w:r>
      <w:r>
        <w:t>TRK1</w:t>
      </w:r>
      <w:r>
        <w:t xml:space="preserve"> </w:t>
      </w:r>
      <w:r>
        <w:t>is necessary for maintaining K</w:t>
      </w:r>
      <w:r>
        <w:t xml:space="preserve"> </w:t>
      </w:r>
      <w:r>
        <w:t>+</w:t>
      </w:r>
      <w:r>
        <w:t xml:space="preserve"> </w:t>
      </w:r>
      <w:r>
        <w:t>homeostasis during</w:t>
      </w:r>
      <w:r>
        <w:t xml:space="preserve"> </w:t>
      </w:r>
      <w:r>
        <w:t>C. auris</w:t>
      </w:r>
      <w:r>
        <w:t xml:space="preserve"> </w:t>
      </w:r>
      <w:r>
        <w:t>colonization of human skin, shedding light on pathogenesis for this emerging threat. Given that</w:t>
      </w:r>
      <w:r>
        <w:t xml:space="preserve"> </w:t>
      </w:r>
      <w:r>
        <w:t>TRK1</w:t>
      </w:r>
      <w:r>
        <w:t xml:space="preserve"> </w:t>
      </w:r>
      <w:r>
        <w:t>has no known human homologs, the gene product may serve as a promising therapeutic target for development of novel strategies directed at</w:t>
      </w:r>
      <w:r>
        <w:t xml:space="preserve"> </w:t>
      </w:r>
      <w:r>
        <w:t>C. auris</w:t>
      </w:r>
      <w:r>
        <w:t xml:space="preserve"> </w:t>
      </w:r>
      <w:r>
        <w:t>propagating on skin.</w:t>
      </w:r>
    </w:p>
    <w:p>
      <w:pPr>
        <w:spacing w:before="120" w:after="120"/>
      </w:pPr>
      <w:r>
        <w:rPr>
          <w:sz w:val="18"/>
        </w:rPr>
        <w:t>——————————————————————————————————————————————————————————————————————</w:t>
      </w:r>
    </w:p>
    <w:p>
      <w:pPr>
        <w:spacing w:before="160" w:after="40" w:line="240" w:lineRule="auto"/>
      </w:pPr>
      <w:r>
        <w:rPr>
          <w:b/>
        </w:rPr>
        <w:t xml:space="preserve">[197] </w:t>
      </w:r>
      <w:hyperlink r:id="rId585">
        <w:r>
          <w:rPr>
            <w:color w:val="1155CC"/>
            <w:u w:val="single"/>
          </w:rPr>
          <w:t>计算琼斯多项式的并行算法</w:t>
        </w:r>
      </w:hyperlink>
    </w:p>
    <w:p>
      <w:pPr>
        <w:spacing w:before="0" w:after="80"/>
      </w:pPr>
      <w:r>
        <w:rPr>
          <w:i/>
          <w:sz w:val="20"/>
        </w:rPr>
        <w:t>EN: A parallel algorithm for the computation of the Jones polynomial</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86">
        <w:r>
          <w:rPr>
            <w:color w:val="1155CC"/>
            <w:u w:val="single"/>
          </w:rPr>
          <w:t>10.1073/pnas.2520332123</w:t>
        </w:r>
      </w:hyperlink>
    </w:p>
    <w:p>
      <w:pPr>
        <w:spacing w:before="0" w:after="120"/>
      </w:pPr>
      <w:r>
        <w:rPr>
          <w:b/>
        </w:rPr>
        <w:t xml:space="preserve">Notes: </w:t>
      </w:r>
      <w:r>
        <w:t>abstract_source=crossref</w:t>
      </w:r>
    </w:p>
    <w:p>
      <w:pPr>
        <w:spacing w:before="0" w:after="80" w:lineRule="auto" w:line="276"/>
      </w:pPr>
      <w:r>
        <w:rPr>
          <w:b/>
        </w:rPr>
        <w:t xml:space="preserve">摘要（ZH）: </w:t>
      </w:r>
      <w:r>
        <w:t>结、链和缠绕的细丝出现在生物学和工程学的许多物理系统中，其结构复杂性与其功能相关。在预测新物理结构以及辅助数学证明的新兴AI能力的背景下，拓扑不变量和其他缠绕度量的高效计算成为科学进步的重大障碍。常见拓扑复杂性度量的计算，如琼斯多项式，是#P难题，并且在结（oid）（链（oid））图中的交叉数上呈指数时间。在本文中，我们介绍了一种用于精确计算三维空间中（集合的）开放和封闭简单曲线的琼斯多项式的并行算法。我们证明了</w:t>
      </w:r>
    </w:p>
    <w:p>
      <w:pPr>
        <w:spacing w:before="0" w:after="200" w:lineRule="auto" w:line="276"/>
      </w:pPr>
      <w:r>
        <w:rPr>
          <w:b/>
        </w:rPr>
        <w:t xml:space="preserve">Abstract (EN): </w:t>
      </w:r>
      <w:r>
        <w:t>Knots, links, and entangled filaments appear in many physical systems in biology and engineering and their structural complexity is related to their function. In the context of emerging AI capabilities in predicting new physical structures, as well as in assisting mathematical proofs, the efficient computation of topological invariants and other metrics of entanglement becomes a considerable barrier to scientific advances. The computation of common measures of topological complexity, such as the Jones polynomial, is #P-hard and of exponential time on the number of crossings in a knot(oid) (link(oid)) diagram. In this paper, we introduce a parallel algorithm for the exact computation of the Jones polynomial for (collections of) both open and closed simple curves in 3-space. We prove that this algorithm enables the exponential reduction of the computational time depending on the number of processors. We demonstrate the advantage of this algorithm by applying it to knots, as well as to systems of linear polymers in a melt obtained from molecular dynamics simulations. The method is general and might be applicable to other invariants and measures of complexity.</w:t>
      </w:r>
    </w:p>
    <w:p>
      <w:pPr>
        <w:spacing w:before="120" w:after="120"/>
      </w:pPr>
      <w:r>
        <w:rPr>
          <w:sz w:val="18"/>
        </w:rPr>
        <w:t>——————————————————————————————————————————————————————————————————————</w:t>
      </w:r>
    </w:p>
    <w:p>
      <w:pPr>
        <w:spacing w:before="160" w:after="40" w:line="240" w:lineRule="auto"/>
      </w:pPr>
      <w:r>
        <w:rPr>
          <w:b/>
        </w:rPr>
        <w:t xml:space="preserve">[198] </w:t>
      </w:r>
      <w:hyperlink r:id="rId587">
        <w:r>
          <w:rPr>
            <w:color w:val="1155CC"/>
            <w:u w:val="single"/>
          </w:rPr>
          <w:t>通过板块构造将古代长英质沉积物回收至深部地幔</w:t>
        </w:r>
      </w:hyperlink>
    </w:p>
    <w:p>
      <w:pPr>
        <w:spacing w:before="0" w:after="80"/>
      </w:pPr>
      <w:r>
        <w:rPr>
          <w:i/>
          <w:sz w:val="20"/>
        </w:rPr>
        <w:t>EN: Ancient felsic sediments recycled through the deep mantle by plate tectonics</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88">
        <w:r>
          <w:rPr>
            <w:color w:val="1155CC"/>
            <w:u w:val="single"/>
          </w:rPr>
          <w:t>10.1073/pnas.2500506123</w:t>
        </w:r>
      </w:hyperlink>
    </w:p>
    <w:p>
      <w:pPr>
        <w:spacing w:before="0" w:after="120"/>
      </w:pPr>
      <w:r>
        <w:rPr>
          <w:b/>
        </w:rPr>
        <w:t xml:space="preserve">Notes: </w:t>
      </w:r>
      <w:r>
        <w:t>abstract_source=crossref</w:t>
      </w:r>
    </w:p>
    <w:p>
      <w:pPr>
        <w:spacing w:before="0" w:after="80" w:lineRule="auto" w:line="276"/>
      </w:pPr>
      <w:r>
        <w:rPr>
          <w:b/>
        </w:rPr>
        <w:t xml:space="preserve">摘要（ZH）: </w:t>
      </w:r>
      <w:r>
        <w:t>许多岩石学、地球动力学和地球化学的观点提供了间接证据，支持地球历史前10%期间板块构造的早期开始，或在大氧化事件（25亿年前）之后的晚期开始。这引发了关于板块构造在多长时间尺度上影响地球地质和地球化学过程的质疑。我们展示了来自古代地壳俯冲产物的地球化学数据，这些产物被回收至深部地幔，然后被现代马克萨斯火山热点所利用。我们证明这些材料具有独特的短寿命放射性（146Sm-142Nd, t1/2 = 103 Ma）同位素组成（aver</w:t>
      </w:r>
    </w:p>
    <w:p>
      <w:pPr>
        <w:spacing w:before="0" w:after="200" w:lineRule="auto" w:line="276"/>
      </w:pPr>
      <w:r>
        <w:rPr>
          <w:b/>
        </w:rPr>
        <w:t xml:space="preserve">Abstract (EN): </w:t>
      </w:r>
      <w:r>
        <w:t>Many petrological, geodynamical, and geochemical perspectives have offered circumstantial evidence for either an early onset of plate tectonics in the first 10% of Earth’s history or a late onset after the great oxidation event (2.5 Ga ago). This calls into question over what timescales plate tectonics have influenced terrestrial geological and geochemical processes. We present geochemical data from the products of ancient crustal subduction, which were recycled into the deep mantle and then tapped by the modern Marquesas volcanic hotspot. We demonstrate that these materials have distinct short-lived radiogenic (</w:t>
      </w:r>
      <w:r>
        <w:rPr>
          <w:vertAlign w:val="subscript"/>
        </w:rPr>
        <w:t>146</w:t>
      </w:r>
      <w:r>
        <w:t>Sm-</w:t>
      </w:r>
      <w:r>
        <w:rPr>
          <w:vertAlign w:val="subscript"/>
        </w:rPr>
        <w:t>142</w:t>
      </w:r>
      <w:r>
        <w:t>Nd, t</w:t>
      </w:r>
      <w:r>
        <w:t xml:space="preserve"> </w:t>
      </w:r>
      <w:r>
        <w:t>1/2</w:t>
      </w:r>
      <w:r>
        <w:t xml:space="preserve"> </w:t>
      </w:r>
      <w:r>
        <w:t>= 103 Ma) isotopic compositions (average μ</w:t>
      </w:r>
      <w:r>
        <w:rPr>
          <w:vertAlign w:val="subscript"/>
        </w:rPr>
        <w:t>142</w:t>
      </w:r>
      <w:r>
        <w:t>Nd = +2.3 ±1.3,</w:t>
      </w:r>
      <w:r>
        <w:t xml:space="preserve"> </w:t>
      </w:r>
      <w:r>
        <w:t>n</w:t>
      </w:r>
      <w:r>
        <w:t xml:space="preserve"> </w:t>
      </w:r>
      <w:r>
        <w:t>= 3) compared to other Marquesas lavas (average μ</w:t>
      </w:r>
      <w:r>
        <w:rPr>
          <w:vertAlign w:val="subscript"/>
        </w:rPr>
        <w:t>142</w:t>
      </w:r>
      <w:r>
        <w:t>Nd = −0.8 ±1.2,</w:t>
      </w:r>
      <w:r>
        <w:t xml:space="preserve"> </w:t>
      </w:r>
      <w:r>
        <w:t>n</w:t>
      </w:r>
      <w:r>
        <w:t xml:space="preserve"> </w:t>
      </w:r>
      <w:r>
        <w:t>= 7). These results require that the history of these subduction products diverged from those of other Marquesas magmas more than four billion years ago. Quantitative modeling suggests that the most geochemically enriched Marquesas samples represent up to ~0.6% recycled crustal sediments, which may have been subducted at any time in Earth’s history but were most likely subducted in the late Hadean Eon to early Eoarchean Era. The inferred felsic composition of such materials further requires that both crustal melting and sedimentation processes were active in some form on the early Earth. Further, the preservation of evidence for foundational planetary events in geologically young rocks reveals that Earth’s volcanic hotspots could provide a defining perspective on the early planetary-scale processes that build Earth-like planets.</w:t>
      </w:r>
    </w:p>
    <w:p>
      <w:pPr>
        <w:spacing w:before="120" w:after="120"/>
      </w:pPr>
      <w:r>
        <w:rPr>
          <w:sz w:val="18"/>
        </w:rPr>
        <w:t>——————————————————————————————————————————————————————————————————————</w:t>
      </w:r>
    </w:p>
    <w:p>
      <w:pPr>
        <w:spacing w:before="160" w:after="40" w:line="240" w:lineRule="auto"/>
      </w:pPr>
      <w:r>
        <w:rPr>
          <w:b/>
        </w:rPr>
        <w:t xml:space="preserve">[199] </w:t>
      </w:r>
      <w:hyperlink r:id="rId589">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90">
        <w:r>
          <w:rPr>
            <w:color w:val="1155CC"/>
            <w:u w:val="single"/>
          </w:rPr>
          <w:t>10.1073/iti1626123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[200] </w:t>
      </w:r>
      <w:hyperlink r:id="rId591">
        <w:r>
          <w:rPr>
            <w:color w:val="1155CC"/>
            <w:u w:val="single"/>
          </w:rPr>
          <w:t>不同的系统级计算支持视觉场中的感知变化</w:t>
        </w:r>
      </w:hyperlink>
    </w:p>
    <w:p>
      <w:pPr>
        <w:spacing w:before="0" w:after="80"/>
      </w:pPr>
      <w:r>
        <w:rPr>
          <w:i/>
          <w:sz w:val="20"/>
        </w:rPr>
        <w:t>EN: Distinct system-level computations underlie perceptual variation across the visual field</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92">
        <w:r>
          <w:rPr>
            <w:color w:val="1155CC"/>
            <w:u w:val="single"/>
          </w:rPr>
          <w:t>10.1073/pnas.2533752123</w:t>
        </w:r>
      </w:hyperlink>
    </w:p>
    <w:p>
      <w:pPr>
        <w:spacing w:before="0" w:after="120"/>
      </w:pPr>
      <w:r>
        <w:rPr>
          <w:b/>
        </w:rPr>
        <w:t xml:space="preserve">Notes: </w:t>
      </w:r>
      <w:r>
        <w:t>abstract_source=crossref</w:t>
      </w:r>
    </w:p>
    <w:p>
      <w:pPr>
        <w:spacing w:before="0" w:after="80" w:lineRule="auto" w:line="276"/>
      </w:pPr>
      <w:r>
        <w:rPr>
          <w:b/>
        </w:rPr>
        <w:t xml:space="preserve">摘要（ZH）: </w:t>
      </w:r>
      <w:r>
        <w:t>人类对基本维度的视觉感知随偏心度和极角而变化，影响日常活动如阅读、搜索和场景感知。我们研究了系统级计算如何将视觉输入转化为感知，从而导致这些异质性。使用等效噪声方法和感知模板模型，我们估计了偏心度（中央凹、旁中央凹和周中央凹）和极角周围的方向辨别的增益、内部噪声和非线性。参与者辨别嵌入动态白噪声中的Gabor的方向，并显示出预期的偏心度和极角周围的变化。重要的是，由于增益和非线性的减少以及增加的偏心度，视觉表现下降</w:t>
      </w:r>
    </w:p>
    <w:p>
      <w:pPr>
        <w:spacing w:before="0" w:after="200" w:lineRule="auto" w:line="276"/>
      </w:pPr>
      <w:r>
        <w:rPr>
          <w:b/>
        </w:rPr>
        <w:t xml:space="preserve">Abstract (EN): </w:t>
      </w:r>
      <w:r>
        <w:t>Human visual perception for basic dimensions varies with eccentricity and polar angle, influencing daily activities such as reading, searching, and scene perception. We investigated whether and how system-level computations that transform visual input into perception underlie these heterogeneities. Using the equivalent noise method and perceptual template model, we estimated gain, internal noise, and nonlinearity for orientation discrimination across eccentricity (fovea, parafovea, and perifovea) and around polar angle. Participants discriminated the orientation of Gabors embedded in dynamic white noise and showed the expected variations across eccentricity and around polar angle. Importantly, visual performance declined with eccentricity due to decreased gain and nonlinearity and increased internal noise. Observers with stronger eccentricity effects showed greater gain decrease. Only gain varied with polar angle—higher along the horizontal than vertical meridian, and higher at the lower than the upper vertical meridian—paralleling performance asymmetries. This dissociation aligns with known variations in neuronal count and tuning. By revealing distinct system-level computations underlying the eccentricity effect and polar angle asymmetries, our findings link perceptual heterogeneity across the visual field and neural architecture and provide insights into how the human brain encodes information under neural constraints.</w:t>
      </w:r>
    </w:p>
    <w:p>
      <w:pPr>
        <w:spacing w:before="120" w:after="120"/>
      </w:pPr>
      <w:r>
        <w:rPr>
          <w:sz w:val="18"/>
        </w:rPr>
        <w:t>——————————————————————————————————————————————————————————————————————</w:t>
      </w:r>
    </w:p>
    <w:p>
      <w:pPr>
        <w:spacing w:before="160" w:after="40" w:line="240" w:lineRule="auto"/>
      </w:pPr>
      <w:r>
        <w:rPr>
          <w:b/>
        </w:rPr>
        <w:t xml:space="preserve">[201] </w:t>
      </w:r>
      <w:hyperlink r:id="rId593">
        <w:r>
          <w:rPr>
            <w:color w:val="1155CC"/>
            <w:u w:val="single"/>
          </w:rPr>
          <w:t>人类局灶性皮质发育不良的细胞类型解析转录组景观</w:t>
        </w:r>
      </w:hyperlink>
    </w:p>
    <w:p>
      <w:pPr>
        <w:spacing w:before="0" w:after="80"/>
      </w:pPr>
      <w:r>
        <w:rPr>
          <w:i/>
          <w:sz w:val="20"/>
        </w:rPr>
        <w:t>EN: Cell-type-resolved transcriptomic landscape of human focal cortical dysplasia</w:t>
      </w:r>
    </w:p>
    <w:p>
      <w:pPr>
        <w:spacing w:before="0" w:after="120"/>
      </w:pPr>
      <w:r>
        <w:rPr>
          <w:b/>
        </w:rPr>
        <w:t xml:space="preserve">Source: </w:t>
      </w:r>
      <w:r>
        <w:t>Proceedings of the National Academy of Sciences: Keyword search for query</w:t>
      </w:r>
      <w:r>
        <w:t xml:space="preserve">    </w:t>
      </w:r>
      <w:r>
        <w:rPr>
          <w:b/>
        </w:rPr>
        <w:t xml:space="preserve">Pub date: </w:t>
      </w:r>
      <w:r>
        <w:t>2026-04-21 07:00:00+00:00</w:t>
      </w:r>
      <w:r>
        <w:t xml:space="preserve">    </w:t>
      </w:r>
      <w:r>
        <w:rPr>
          <w:b/>
        </w:rPr>
        <w:t xml:space="preserve">DOI: </w:t>
      </w:r>
      <w:hyperlink r:id="rId594">
        <w:r>
          <w:rPr>
            <w:color w:val="1155CC"/>
            <w:u w:val="single"/>
          </w:rPr>
          <w:t>10.1073/pnas.2513674123</w:t>
        </w:r>
      </w:hyperlink>
    </w:p>
    <w:p>
      <w:pPr>
        <w:spacing w:before="0" w:after="120"/>
      </w:pPr>
      <w:r>
        <w:rPr>
          <w:b/>
        </w:rPr>
        <w:t xml:space="preserve">Notes: </w:t>
      </w:r>
      <w:r>
        <w:t>abstract_source=crossref</w:t>
      </w:r>
    </w:p>
    <w:p>
      <w:pPr>
        <w:spacing w:before="0" w:after="80" w:lineRule="auto" w:line="276"/>
      </w:pPr>
      <w:r>
        <w:rPr>
          <w:b/>
        </w:rPr>
        <w:t xml:space="preserve">摘要（ZH）: </w:t>
      </w:r>
      <w:r>
        <w:t>局灶性皮质发育不良（FCD）是耐药性癫痫的主要原因，表现出显著的临床和组织病理学异质性，但这种多样性的细胞和分子基础仍然定义不清。在此，我们对来自FCD I-III的34对病灶核心和病灶周围皮质的487,286个细胞核进行了单核RNA测序，生成了人类FCD的细胞类型解析转录组图谱。比较分析识别出神经元、胶质细胞和血管隔室中共享和亚型特异的转录改变。抑制性中间神经元和深层投射神经元表现出显著的失调，而星形胶质细胞和血管细胞显示出炎症、代谢和缺氧反应通路的协调激活</w:t>
      </w:r>
    </w:p>
    <w:p>
      <w:pPr>
        <w:spacing w:before="0" w:after="200" w:lineRule="auto" w:line="276"/>
      </w:pPr>
      <w:r>
        <w:rPr>
          <w:b/>
        </w:rPr>
        <w:t xml:space="preserve">Abstract (EN): </w:t>
      </w:r>
      <w:r>
        <w:t>Focal cortical dysplasia (FCD) is a major cause of drug-resistant epilepsy and displays substantial clinical and histopathological heterogeneity, yet the cellular and molecular bases underlying this diversity remain poorly defined. Here, we performed single-nucleus RNA sequencing of 487,286 nuclei from 34 paired lesional cores and perilesional cortices across FCD I-III, generating a cell-type-resolved transcriptomic atlas of human FCD. Comparative analyses identified both shared and subtype-specific transcriptional alterations across neuronal, glial, and vascular compartments. Inhibitory interneurons and deep-layer projection neurons exhibited prominent dysregulation, whereas astrocytes and vascular cells showed coordinated activation of inflammatory, metabolic, and hypoxia-responsive pathways. Several genes displayed consistent subtype-associated expression patterns, including</w:t>
      </w:r>
      <w:r>
        <w:t xml:space="preserve"> </w:t>
      </w:r>
      <w:r>
        <w:t>ZNF254</w:t>
      </w:r>
      <w:r>
        <w:t xml:space="preserve"> </w:t>
      </w:r>
      <w:r>
        <w:t>,</w:t>
      </w:r>
      <w:r>
        <w:t xml:space="preserve"> </w:t>
      </w:r>
      <w:r>
        <w:t>DRG1</w:t>
      </w:r>
      <w:r>
        <w:t xml:space="preserve"> </w:t>
      </w:r>
      <w:r>
        <w:t>, and</w:t>
      </w:r>
      <w:r>
        <w:t xml:space="preserve"> </w:t>
      </w:r>
      <w:r>
        <w:t>ABHD17A</w:t>
      </w:r>
      <w:r>
        <w:t xml:space="preserve"> </w:t>
      </w:r>
      <w:r>
        <w:t>in astrocytes, and</w:t>
      </w:r>
      <w:r>
        <w:t xml:space="preserve"> </w:t>
      </w:r>
      <w:r>
        <w:t>ATF4</w:t>
      </w:r>
      <w:r>
        <w:t xml:space="preserve"> </w:t>
      </w:r>
      <w:r>
        <w:t>in endothelial cells. These results link cell-type-specific transcriptional programs to histopathological heterogeneity across FCD subtypes, identify candidate tissue-detectable markers, and provide insight into nonneuronal contributions to epileptogenic cortical malformations.</w:t>
      </w:r>
    </w:p>
    <w:p>
      <w:pPr>
        <w:spacing w:before="120" w:after="120"/>
      </w:pPr>
      <w:r>
        <w:rPr>
          <w:sz w:val="18"/>
        </w:rPr>
        <w:t>——————————————————————————————————————————————————————————————————————</w:t>
      </w:r>
    </w:p>
    <w:p>
      <w:pPr>
        <w:spacing w:before="160" w:after="40" w:line="240" w:lineRule="auto"/>
      </w:pPr>
      <w:r>
        <w:rPr>
          <w:b/>
        </w:rPr>
        <w:t xml:space="preserve">[202] </w:t>
      </w:r>
      <w:hyperlink r:id="rId595">
        <w:r>
          <w:rPr>
            <w:color w:val="1155CC"/>
            <w:u w:val="single"/>
          </w:rPr>
          <w:t>[ASAP] 具有非共价构象锁的非对称二苯并呋喃以实现&gt;1500 nm的高荧光</w:t>
        </w:r>
      </w:hyperlink>
    </w:p>
    <w:p>
      <w:pPr>
        <w:spacing w:before="0" w:after="80"/>
      </w:pPr>
      <w:r>
        <w:rPr>
          <w:i/>
          <w:sz w:val="20"/>
        </w:rPr>
        <w:t>EN: [ASAP] Asymmetric Xanthene with Noncovalent Conformation Locks to Attain High Fluorescence &gt;1500 nm</w:t>
      </w:r>
    </w:p>
    <w:p>
      <w:pPr>
        <w:spacing w:before="0" w:after="120"/>
      </w:pPr>
      <w:r>
        <w:rPr>
          <w:b/>
        </w:rPr>
        <w:t xml:space="preserve">Source: </w:t>
      </w:r>
      <w:r>
        <w:t>Journal of the American Chemical Society: Latest Articles (ACS Publications)</w:t>
      </w:r>
      <w:r>
        <w:t xml:space="preserve">    </w:t>
      </w:r>
      <w:r>
        <w:rPr>
          <w:b/>
        </w:rPr>
        <w:t xml:space="preserve">Pub date: </w:t>
      </w:r>
      <w:r>
        <w:t>2026-04-21 08:02:40+00:00</w:t>
      </w:r>
      <w:r>
        <w:t xml:space="preserve">    </w:t>
      </w:r>
      <w:r>
        <w:rPr>
          <w:b/>
        </w:rPr>
        <w:t xml:space="preserve">DOI: </w:t>
      </w:r>
      <w:hyperlink r:id="rId596">
        <w:r>
          <w:rPr>
            <w:color w:val="1155CC"/>
            <w:u w:val="single"/>
          </w:rPr>
          <w:t>10.1021/jacs.5c23313</w:t>
        </w:r>
      </w:hyperlink>
    </w:p>
    <w:p>
      <w:pPr>
        <w:spacing w:before="0" w:after="120"/>
      </w:pPr>
      <w:r>
        <w:rPr>
          <w:b/>
        </w:rPr>
        <w:t xml:space="preserve">Notes: </w:t>
      </w:r>
      <w:r>
        <w:t>abstract_source=pubmed</w:t>
      </w:r>
    </w:p>
    <w:p>
      <w:pPr>
        <w:spacing w:before="0" w:after="80" w:lineRule="auto" w:line="276"/>
      </w:pPr>
      <w:r>
        <w:rPr>
          <w:b/>
        </w:rPr>
        <w:t xml:space="preserve">摘要（ZH）: </w:t>
      </w:r>
      <w:r>
        <w:t>在NIR-IIb窗口（1500-1700 nm）中的荧光成像能够实现无与伦比的组织穿透和对比度，但由于对称分子设计中发射波长和亮度之间的内在权衡，&gt;1500 nm的高效有机荧光团仍然极为稀缺。迄今为止，分子骨架主要采用对称平面或扭曲框架，这可以分别优化长发射波长（λem）或高量子产率（ϕ），但无法同时克服这一基本的光学权衡。在本研究中，我们提出了一种合理的非对称设计，将平面ACQ单元与扭曲AIE转子整合在单一分子骨架中，结合了长λem、高摩尔消光系数（ε）和高ϕ的互补优势。</w:t>
      </w:r>
    </w:p>
    <w:p>
      <w:pPr>
        <w:spacing w:before="0" w:after="200" w:lineRule="auto" w:line="276"/>
      </w:pPr>
      <w:r>
        <w:rPr>
          <w:b/>
        </w:rPr>
        <w:t xml:space="preserve">Abstract (EN): </w:t>
      </w:r>
      <w:r>
        <w:t>Fluorescence imaging in the NIR-IIb window (1500-1700 nm) enables unparalleled tissue penetration and contrast, yet efficient organic fluorophores &gt;1500 nm remain extremely scarce due to intrinsic trade-offs between emission wavelength and brightness in symmetric molecular designs. To date, molecular scaffolds predominantly adopt either symmetric planar or twisted frameworks, which can individually optimize the long emission wavelength (λem) or high quantum yield (ϕ) but fail to overcome this fundamental optical trade-off simultaneously. In this study, we propose a rational asymmetric design that integrates planar ACQ units with twisted AIE rotors within a single molecular scaffold, uniting the complementary advantages of long λem, a high molar extinction coefficient (ε), and elevated ϕ. We further introduce the concept of intermolecular noncovalent conformational locks (NoCLs) that can precisely tune the photophysical properties within nanoparticles. To validate this concept, we design and synthesize a systematic library of asymmetric dyes (T-X-J, T-X-BJ, J-X-BJ, and T-Si-BJ) by combining heteroatom-substituted xanthene cores (O, Si) with structurally diverse electron-donating groups (T, J, BJ), alongside symmetric analogues (T-X-T, J-X-J, BJ-X-BJ, T-Si-T, and BJ-Si-BJ) as controls. Embedding these dyes into a heteroatom-rich polymer matrix (Pttc-TTQ) establishes intermolecular noncovalent conformational locks (C-H···π and C-H···O) for enabling precise regulation of dihedral angles and significantly enhancing ϕ in nanoparticles. Notably, T-Si-BJ exhibits emission &gt;1500 nm in CH2Cl2, representing the first asymmetric organic dye with emission maxima in the NIR-IIb window, and demonstrates the brightest (14.1 M-1 cm-1) nanoparticles with emission maxima at 1320 nm and tail signal extending into the NIR-IIb region among the reported optical trade-off fluorophores in H2O (Scheme 1). T-Si-BJ was further prepared as polymer dots (Pdots) for high-contrast, deep-tissue vascular imaging and AI-assisted resolution of hindlimb vasculature. This study provides a synthetically versatile and structurally diverse platform for NIR-IIb fluorophores, demonstrating that asymmetric donor-acceptor-donor scaffolds coupled with polymer-mediated geometry control can simultaneously optimize the emission wavelength and brightness.</w:t>
      </w:r>
    </w:p>
    <w:p>
      <w:pPr>
        <w:spacing w:before="120" w:after="120"/>
      </w:pPr>
      <w:r>
        <w:rPr>
          <w:sz w:val="18"/>
        </w:rPr>
        <w:t>——————————————————————————————————————————————————————————————————————</w:t>
      </w:r>
    </w:p>
    <w:p>
      <w:pPr>
        <w:spacing w:before="160" w:after="40" w:line="240" w:lineRule="auto"/>
      </w:pPr>
      <w:r>
        <w:rPr>
          <w:b/>
        </w:rPr>
        <w:t xml:space="preserve">[203] </w:t>
      </w:r>
      <w:hyperlink r:id="rId597">
        <w:r>
          <w:rPr>
            <w:color w:val="1155CC"/>
            <w:u w:val="single"/>
          </w:rPr>
          <w:t>[ASAP] 共价铍有机框架中的超宽带隙和创纪录的高双折射</w:t>
        </w:r>
      </w:hyperlink>
    </w:p>
    <w:p>
      <w:pPr>
        <w:spacing w:before="0" w:after="80"/>
      </w:pPr>
      <w:r>
        <w:rPr>
          <w:i/>
          <w:sz w:val="20"/>
        </w:rPr>
        <w:t>EN: [ASAP] Ultrawide Bandgap and Record-High Birefringence in a Covalent Beryllium-Organic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2026-04-21 08:41:56+00:00</w:t>
      </w:r>
      <w:r>
        <w:t xml:space="preserve">    </w:t>
      </w:r>
      <w:r>
        <w:rPr>
          <w:b/>
        </w:rPr>
        <w:t xml:space="preserve">DOI: </w:t>
      </w:r>
      <w:hyperlink r:id="rId598">
        <w:r>
          <w:rPr>
            <w:color w:val="1155CC"/>
            <w:u w:val="single"/>
          </w:rPr>
          <w:t>10.1021/jacs.6c01919</w:t>
        </w:r>
      </w:hyperlink>
    </w:p>
    <w:p>
      <w:pPr>
        <w:spacing w:before="0" w:after="120"/>
      </w:pPr>
      <w:r>
        <w:rPr>
          <w:b/>
        </w:rPr>
        <w:t xml:space="preserve">Notes: </w:t>
      </w:r>
      <w:r>
        <w:t>abstract_source=pubmed</w:t>
      </w:r>
    </w:p>
    <w:p>
      <w:pPr>
        <w:spacing w:before="0" w:after="80" w:lineRule="auto" w:line="276"/>
      </w:pPr>
      <w:r>
        <w:rPr>
          <w:b/>
        </w:rPr>
        <w:t xml:space="preserve">摘要（ZH）: </w:t>
      </w:r>
      <w:r>
        <w:t>先进光学晶体的合理设计受到宽带隙和大双折射之间内在权衡的根本限制：提供所需电子各向异性的结构模式通常导致低能电子跃迁和窄能隙。克服这种权衡需要将各向异性极化率与带边态解耦。为了解决这个问题，我们开发了一种用于短波紫外（UV）透明晶体（λ &lt; 300 nm）中功能基团的定量筛选策略。验证的1,3,5-苯三甲酸盐（C9H3O6）3-八极子结构和四面体Be2+阳离子被整合以产生均匀方向堆叠的共价铍-有机框架[Be3(μ-OH)4.5(C9H3O6)0.5]·0.5H2O（I），其中所有羧基</w:t>
      </w:r>
    </w:p>
    <w:p>
      <w:pPr>
        <w:spacing w:before="0" w:after="200" w:lineRule="auto" w:line="276"/>
      </w:pPr>
      <w:r>
        <w:rPr>
          <w:b/>
        </w:rPr>
        <w:t xml:space="preserve">Abstract (EN): </w:t>
      </w:r>
      <w:r>
        <w:t>The rational design of advanced optical crystals is fundamentally constrained by the intrinsic trade-off between a wide bandgap and large birefringence: structural motifs that provide the requisite electronic anisotropy usually lead to low-energy electronic transitions and a narrow energy gap. Overcoming the trade-off demands decoupling the anisotropic polarizability from band-edge states. To address this, we developed a quantitative screening strategy for functional groups in short-wave ultraviolet (UV)-transparent crystals (λ &lt; 300 nm). The validated 1,3,5-benzenetricarboxylate (C9H3O6)3- octupolar motifs and tetrahedral Be2+ cations were integrated to produce uniformly directionally stacked covalent beryllium-organic framework [Be3(μ-OH)4.5(C9H3O6)0.5]·0.5H2O (I), in which all carboxylate oxygen sites are coordinated by highly UV-transparent Be2+ ions to form a novel fully coupled [Be6(μ-OH)15(C9H3O6)]6- octupolar supermotif. Strong Be-O covalent interactions result in two critical electronic optimizations: elimination of nonbonding electrons and enhancement of π-conjugation delocalization, which significantly improves both the energy gap and polarization anisotropy. Accordingly, crystal I shows an ultrawide bandgap of 5.00 eV, a short-wave UV cutoff at 248 nm, and a record-high birefringence of 0.60 in the short-wave UV region. Moreover, crystal I exhibits outstanding overall optical performance, including an exceptional quality factor Q of 3.00─the highest value reported among all short-wave UV materials. This work breaks the intrinsic performance bottleneck for birefringent crystals and establishes a viable ultrawide bandgap birefringent platform for next-generation photonic applications.</w:t>
      </w:r>
    </w:p>
    <w:p>
      <w:pPr>
        <w:spacing w:before="120" w:after="120"/>
      </w:pPr>
      <w:r>
        <w:rPr>
          <w:sz w:val="18"/>
        </w:rPr>
        <w:t>——————————————————————————————————————————————————————————————————————</w:t>
      </w:r>
    </w:p>
    <w:p>
      <w:pPr>
        <w:spacing w:before="160" w:after="40" w:line="240" w:lineRule="auto"/>
      </w:pPr>
      <w:r>
        <w:rPr>
          <w:b/>
        </w:rPr>
        <w:t xml:space="preserve">[204] </w:t>
      </w:r>
      <w:hyperlink r:id="rId599">
        <w:r>
          <w:rPr>
            <w:color w:val="1155CC"/>
            <w:u w:val="single"/>
          </w:rPr>
          <w:t>[ASAP] 化学到电化学信号转导的串联客体-主体切换</w:t>
        </w:r>
      </w:hyperlink>
    </w:p>
    <w:p>
      <w:pPr>
        <w:spacing w:before="0" w:after="80"/>
      </w:pPr>
      <w:r>
        <w:rPr>
          <w:i/>
          <w:sz w:val="20"/>
        </w:rPr>
        <w:t>EN: [ASAP] Tandem Guest–Host Switching for Chemical-to-Electrochemical Signal Transduction</w:t>
      </w:r>
    </w:p>
    <w:p>
      <w:pPr>
        <w:spacing w:before="0" w:after="120"/>
      </w:pPr>
      <w:r>
        <w:rPr>
          <w:b/>
        </w:rPr>
        <w:t xml:space="preserve">Source: </w:t>
      </w:r>
      <w:r>
        <w:t>Journal of the American Chemical Society: Latest Articles (ACS Publications)</w:t>
      </w:r>
      <w:r>
        <w:t xml:space="preserve">    </w:t>
      </w:r>
      <w:r>
        <w:rPr>
          <w:b/>
        </w:rPr>
        <w:t xml:space="preserve">Pub date: </w:t>
      </w:r>
      <w:r>
        <w:t>2026-04-21 09:25:48+00:00</w:t>
      </w:r>
      <w:r>
        <w:t xml:space="preserve">    </w:t>
      </w:r>
      <w:r>
        <w:rPr>
          <w:b/>
        </w:rPr>
        <w:t xml:space="preserve">DOI: </w:t>
      </w:r>
      <w:hyperlink r:id="rId600">
        <w:r>
          <w:rPr>
            <w:color w:val="1155CC"/>
            <w:u w:val="single"/>
          </w:rPr>
          <w:t>10.1021/jacs.6c04229</w:t>
        </w:r>
      </w:hyperlink>
    </w:p>
    <w:p>
      <w:pPr>
        <w:spacing w:before="0" w:after="120"/>
      </w:pPr>
      <w:r>
        <w:rPr>
          <w:b/>
        </w:rPr>
        <w:t xml:space="preserve">Notes: </w:t>
      </w:r>
      <w:r>
        <w:t>abstract_source=pubmed</w:t>
      </w:r>
    </w:p>
    <w:p>
      <w:pPr>
        <w:spacing w:before="0" w:after="80" w:lineRule="auto" w:line="276"/>
      </w:pPr>
      <w:r>
        <w:rPr>
          <w:b/>
        </w:rPr>
        <w:t xml:space="preserve">摘要（ZH）: </w:t>
      </w:r>
      <w:r>
        <w:t>基于双丙烯酰胺大环和普罗氟维衍生物的串联开关，报道了一种化学到电化学信号转导。分子识别触发了同时的客体-主体转化，将丙烯酰胺单元转化为其氧化还原不活跃的丙烯烷对应物。这种不寻常的开关机制源于丙烯酰胺受体的多响应特性、主体和客体的互补酸碱性质，以及在大环腔内水辅助过渡态的稳定。被称为串联客体主体开关（TANGHOS），这种机制通过1H NMR、UV/vis光谱、计算分析（DFT、分子动力学模拟）和微观动力学模型的结合得以阐明。当嫁接到金表面上时</w:t>
      </w:r>
    </w:p>
    <w:p>
      <w:pPr>
        <w:spacing w:before="0" w:after="200" w:lineRule="auto" w:line="276"/>
      </w:pPr>
      <w:r>
        <w:rPr>
          <w:b/>
        </w:rPr>
        <w:t xml:space="preserve">Abstract (EN): </w:t>
      </w:r>
      <w:r>
        <w:t>A chemical-to-electrochemical signal transduction is reported based on the tandem switching of a bis-acridinium macrocycle and a proflavine derivative. Molecular recognition triggers a simultaneous guest-host transformation converting the acridinium units into their redox-inactive acridane counterparts. This unusual switching mechanism arises from the multiresponsive nature of the acridinium receptor, complementary acid-base properties of the host and guest, and stabilization of a water-assisted transition state within the macrocyclic cavity. Coined as tandem guest host switching (TANGHOS), this mechanism was elucidated through a combination of 1H NMR, UV/vis spectroscopic, computational analyses (DFT, molecular dynamics simulations), and a microkinetic model. When grafted onto a gold surface, the bis-acridinium macrocycle enables the selective electrochemical detection of proflavine from a complex mixture with ten polycyclic aromatic hydrocarbons. Finally, a low coverage ratio still led to amplified electrochemical responses by surface confinement and reaction-coupled recognition.</w:t>
      </w:r>
    </w:p>
    <w:p>
      <w:pPr>
        <w:spacing w:before="120" w:after="120"/>
      </w:pPr>
      <w:r>
        <w:rPr>
          <w:sz w:val="18"/>
        </w:rPr>
        <w:t>——————————————————————————————————————————————————————————————————————</w:t>
      </w:r>
    </w:p>
    <w:p>
      <w:pPr>
        <w:spacing w:before="160" w:after="40" w:line="240" w:lineRule="auto"/>
      </w:pPr>
      <w:r>
        <w:rPr>
          <w:b/>
        </w:rPr>
        <w:t xml:space="preserve">[205] </w:t>
      </w:r>
      <w:hyperlink r:id="rId601">
        <w:r>
          <w:rPr>
            <w:color w:val="1155CC"/>
            <w:u w:val="single"/>
          </w:rPr>
          <w:t>利用多重唐南效应实现同时抗盐太阳能海水淡化和双模式发电</w:t>
        </w:r>
      </w:hyperlink>
    </w:p>
    <w:p>
      <w:pPr>
        <w:spacing w:before="0" w:after="80"/>
      </w:pPr>
      <w:r>
        <w:rPr>
          <w:i/>
          <w:sz w:val="20"/>
        </w:rPr>
        <w:t>EN: Harnessing Multiple Donnan Effects for Simultaneous Salt‐Resistant Solar Desalination and Dual‐Mode Power Generation</w:t>
      </w:r>
    </w:p>
    <w:p>
      <w:pPr>
        <w:spacing w:before="0" w:after="120"/>
      </w:pPr>
      <w:r>
        <w:rPr>
          <w:b/>
        </w:rPr>
        <w:t xml:space="preserve">Source: </w:t>
      </w:r>
      <w:r>
        <w:t>Wiley: Advanced Materials: Table of Contents</w:t>
      </w:r>
      <w:r>
        <w:t xml:space="preserve">    </w:t>
      </w:r>
      <w:r>
        <w:rPr>
          <w:b/>
        </w:rPr>
        <w:t xml:space="preserve">Pub date: </w:t>
      </w:r>
      <w:r>
        <w:t>2026-04-21 10:19:07+00:00</w:t>
      </w:r>
      <w:r>
        <w:t xml:space="preserve">    </w:t>
      </w:r>
      <w:r>
        <w:rPr>
          <w:b/>
        </w:rPr>
        <w:t xml:space="preserve">DOI: </w:t>
      </w:r>
      <w:hyperlink r:id="rId602">
        <w:r>
          <w:rPr>
            <w:color w:val="1155CC"/>
            <w:u w:val="single"/>
          </w:rPr>
          <w:t>10.1002/adma.73163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太阳能海水淡化与多机制发电相结合，提供了水和能源危机的双重解决方案，但盐结晶是一个主要障碍。在此，我们提出了一个集成系统，具有多重Donnan效应，用于抗盐太阳能海水淡化和双模式发电。利用氢键差异和Fe</w:t>
      </w:r>
      <w:r>
        <w:t xml:space="preserve"> </w:t>
      </w:r>
      <w:r>
        <w:t>3+</w:t>
      </w:r>
      <w:r>
        <w:t xml:space="preserve"> </w:t>
      </w:r>
      <w:r>
        <w:t>-单宁酸交联的机制，制备了一种─SO</w:t>
      </w:r>
      <w:r>
        <w:rPr>
          <w:vertAlign w:val="subscript"/>
        </w:rPr>
        <w:t>3</w:t>
      </w:r>
      <w:r>
        <w:t>−</w:t>
      </w:r>
      <w:r>
        <w:t>-功能化多孔海绵蒸发器（PSE‐SO</w:t>
      </w:r>
      <w:r>
        <w:rPr>
          <w:vertAlign w:val="subscript"/>
        </w:rPr>
        <w:t>3</w:t>
      </w:r>
      <w:r>
        <w:t>−</w:t>
      </w:r>
      <w:r>
        <w:t>）。通过─SO</w:t>
      </w:r>
      <w:r>
        <w:rPr>
          <w:vertAlign w:val="subscript"/>
        </w:rPr>
        <w:t>3</w:t>
      </w:r>
      <w:r>
        <w:t>−</w:t>
      </w:r>
      <w:r>
        <w:t>的Donnan效应实现</w:t>
      </w:r>
    </w:p>
    <w:p>
      <w:pPr>
        <w:spacing w:before="0" w:after="200" w:lineRule="auto" w:line="276"/>
      </w:pPr>
      <w:r>
        <w:rPr>
          <w:b/>
        </w:rPr>
        <w:t xml:space="preserve">Abstract (EN): </w:t>
      </w:r>
      <w:r>
        <w:t>Coupling solar desalination with multi‐mechanism power generation offers a promising dual solution to water and energy crises, yet salt crystallization poses a major obstacle. Here, we present an integrated system featuring as multiple Donnan effects for salt‐resistant solar desalination and dual‐mode power generation. Leveraging the mechanisms of hydrogen bond differentials and Fe</w:t>
      </w:r>
      <w:r>
        <w:t xml:space="preserve"> </w:t>
      </w:r>
      <w:r>
        <w:t>3+</w:t>
      </w:r>
      <w:r>
        <w:t xml:space="preserve"> </w:t>
      </w:r>
      <w:r>
        <w:t>‐tannic acid crosslinking, a ─SO</w:t>
      </w:r>
      <w:r>
        <w:rPr>
          <w:vertAlign w:val="subscript"/>
        </w:rPr>
        <w:t>3</w:t>
      </w:r>
      <w:r>
        <w:t>−</w:t>
      </w:r>
      <w:r>
        <w:t>‐functionalized porous sponge evaporator (PSE‐SO</w:t>
      </w:r>
      <w:r>
        <w:rPr>
          <w:vertAlign w:val="subscript"/>
        </w:rPr>
        <w:t>3</w:t>
      </w:r>
      <w:r>
        <w:t>−</w:t>
      </w:r>
      <w:r>
        <w:t>) was fabricated. Enabled by the Donnan effect of ─SO</w:t>
      </w:r>
      <w:r>
        <w:rPr>
          <w:vertAlign w:val="subscript"/>
        </w:rPr>
        <w:t>3</w:t>
      </w:r>
      <w:r>
        <w:t>−</w:t>
      </w:r>
      <w:r>
        <w:t>groups, the evaporator simultaneously resists salt accumulation and boosts hydrovoltaic power generation, thereby achieving a peak seawater evaporation rate of 4.19 kg m</w:t>
      </w:r>
      <w:r>
        <w:t xml:space="preserve"> </w:t>
      </w:r>
      <w:r>
        <w:t>−2</w:t>
      </w:r>
      <w:r>
        <w:t xml:space="preserve"> </w:t>
      </w:r>
      <w:r>
        <w:t>h</w:t>
      </w:r>
      <w:r>
        <w:t xml:space="preserve"> </w:t>
      </w:r>
      <w:r>
        <w:t>−1</w:t>
      </w:r>
      <w:r>
        <w:t xml:space="preserve"> </w:t>
      </w:r>
      <w:r>
        <w:t>under one‐sun irradiation while maintaining a salt‐free surface. Simultaneously, PSE2‐SO</w:t>
      </w:r>
      <w:r>
        <w:rPr>
          <w:vertAlign w:val="subscript"/>
        </w:rPr>
        <w:t>3</w:t>
      </w:r>
      <w:r>
        <w:t>−</w:t>
      </w:r>
      <w:r>
        <w:t>generated electricity via the hydrovoltaic effect, delivering outstanding power densities of 5.76/4.34 mW m</w:t>
      </w:r>
      <w:r>
        <w:t xml:space="preserve"> </w:t>
      </w:r>
      <w:r>
        <w:t>−2</w:t>
      </w:r>
      <w:r>
        <w:t xml:space="preserve"> </w:t>
      </w:r>
      <w:r>
        <w:t>under one sun/dark conditions. Molecular dynamics simulations and in situ Raman spectroscopy confirmed Cl</w:t>
      </w:r>
      <w:r>
        <w:t xml:space="preserve"> </w:t>
      </w:r>
      <w:r>
        <w:t>−</w:t>
      </w:r>
      <w:r>
        <w:t>interception and elucidated the H</w:t>
      </w:r>
      <w:r>
        <w:t xml:space="preserve"> </w:t>
      </w:r>
      <w:r>
        <w:t>+</w:t>
      </w:r>
      <w:r>
        <w:t xml:space="preserve"> </w:t>
      </w:r>
      <w:r>
        <w:t>‐water interaction mechanism for power generation. Furthermore, integrating reverse electrodialysis based on the Donnan effect as an auxiliary strategy enhanced salt resistance of PSE2‐SO</w:t>
      </w:r>
      <w:r>
        <w:rPr>
          <w:vertAlign w:val="subscript"/>
        </w:rPr>
        <w:t>3</w:t>
      </w:r>
      <w:r>
        <w:t>−</w:t>
      </w:r>
      <w:r>
        <w:t>and delivered an osmotic power output of 0.804 W m</w:t>
      </w:r>
      <w:r>
        <w:t xml:space="preserve"> </w:t>
      </w:r>
      <w:r>
        <w:t>−2</w:t>
      </w:r>
      <w:r>
        <w:t xml:space="preserve"> </w:t>
      </w:r>
      <w:r>
        <w:t>. Scale‐up of the self‐designed integrated system to an outdoor environment revealed synergistic performance outcomes, thereby establishing a pioneering demonstration platform for the efficient cogeneration of clean water and energy from seawater.</w:t>
      </w:r>
    </w:p>
    <w:p>
      <w:pPr>
        <w:spacing w:before="120" w:after="120"/>
      </w:pPr>
      <w:r>
        <w:rPr>
          <w:sz w:val="18"/>
        </w:rPr>
        <w:t>——————————————————————————————————————————————————————————————————————</w:t>
      </w:r>
    </w:p>
    <w:p>
      <w:pPr>
        <w:spacing w:before="160" w:after="40" w:line="240" w:lineRule="auto"/>
      </w:pPr>
      <w:r>
        <w:rPr>
          <w:b/>
        </w:rPr>
        <w:t xml:space="preserve">[206] </w:t>
      </w:r>
      <w:hyperlink r:id="rId603">
        <w:r>
          <w:rPr>
            <w:color w:val="1155CC"/>
            <w:u w:val="single"/>
          </w:rPr>
          <w:t>用于远程控制脑血流和实时体内成像啮齿动物脑对低灌注反应的弹性微气球</w:t>
        </w:r>
      </w:hyperlink>
    </w:p>
    <w:p>
      <w:pPr>
        <w:spacing w:before="0" w:after="80"/>
      </w:pPr>
      <w:r>
        <w:rPr>
          <w:i/>
          <w:sz w:val="20"/>
        </w:rPr>
        <w:t>EN: Elastomeric Micro‐Balloons for Remote Control of Cerebral Blood Flow and Real‐Time In vivo Imaging of Rodent Brain Response to Hypoperfusion</w:t>
      </w:r>
    </w:p>
    <w:p>
      <w:pPr>
        <w:spacing w:before="0" w:after="120"/>
      </w:pPr>
      <w:r>
        <w:rPr>
          <w:b/>
        </w:rPr>
        <w:t xml:space="preserve">Source: </w:t>
      </w:r>
      <w:r>
        <w:t>Wiley: Advanced Materials: Table of Contents</w:t>
      </w:r>
      <w:r>
        <w:t xml:space="preserve">    </w:t>
      </w:r>
      <w:r>
        <w:rPr>
          <w:b/>
        </w:rPr>
        <w:t xml:space="preserve">Pub date: </w:t>
      </w:r>
      <w:r>
        <w:t>2026-04-21 10:21:26+00:00</w:t>
      </w:r>
      <w:r>
        <w:t xml:space="preserve">    </w:t>
      </w:r>
      <w:r>
        <w:rPr>
          <w:b/>
        </w:rPr>
        <w:t xml:space="preserve">DOI: </w:t>
      </w:r>
      <w:hyperlink r:id="rId604">
        <w:r>
          <w:rPr>
            <w:color w:val="1155CC"/>
            <w:u w:val="single"/>
          </w:rPr>
          <w:t>10.1002/adma.202518525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小鼠缺血性中风的临床前模型不允许在中风期同时进行连续的体内脑成像，因此错过了可能对早期中风管理至关重要的关键病理生理事件。在此，我们报告了使用屈服应力流体制造微气球，其中单片弹性体壁具有选择性硬化区域，以根据目标血管进行控制膨胀和弹性。多步骤气泡铸造过程成功地在直径小于300 µm的通道中创建了内层，尽管屈服应力抵抗表面张力引起的不稳定性。微气球可以膨胀到其初始直径的四倍，从而实现</w:t>
      </w:r>
    </w:p>
    <w:p>
      <w:pPr>
        <w:spacing w:before="0" w:after="200" w:lineRule="auto" w:line="276"/>
      </w:pPr>
      <w:r>
        <w:rPr>
          <w:b/>
        </w:rPr>
        <w:t xml:space="preserve">Abstract (EN): </w:t>
      </w:r>
      <w:r>
        <w:t>Current preclinical models of ischemic stroke in mice do not permit simultaneous and continuous in vivo brain imaging during the peri‐stroke period, therefore missing critical pathophysiological events that could be pivotal for stroke management at early stages. Here, we report the fabrication of micro‐balloons using yield‐stress fluids, in which the monolithic elastomeric wall has selectively stiffened regions for controlled inflation and elasticity, depending on the target vessels. A multi‐step bubble‐casting process successfully creates an inner layer in a channel with a diameter of &amp;lt;300 µm, despite the yield stress defying surface‐tension‐induced instability. The micro‐balloon can expand up to four times its initial diameter, enabling remote control of the blood flow in cerebral arteries in live mice. By allowing continuous control of the common carotid artery diameter across different states to induce stroke in a precise, reliable, and reversible manner, the micro‐balloon recapitulates clinically relevant hemodynamics in a mouse model of global brain ischemia, as evidenced by real‐time intravital microscopy and magnetic resonance imaging. The presented micro‐balloons hold significant potential to improve the treatment of stroke patients through minimally invasive interventions and in vivo imaging of pathophysiological events during the peri‐stroke phase.</w:t>
      </w:r>
    </w:p>
    <w:p>
      <w:pPr>
        <w:spacing w:before="120" w:after="120"/>
      </w:pPr>
      <w:r>
        <w:rPr>
          <w:sz w:val="18"/>
        </w:rPr>
        <w:t>——————————————————————————————————————————————————————————————————————</w:t>
      </w:r>
    </w:p>
    <w:p>
      <w:pPr>
        <w:spacing w:before="160" w:after="40" w:line="240" w:lineRule="auto"/>
      </w:pPr>
      <w:r>
        <w:rPr>
          <w:b/>
        </w:rPr>
        <w:t xml:space="preserve">[207] </w:t>
      </w:r>
      <w:hyperlink r:id="rId605">
        <w:r>
          <w:rPr>
            <w:color w:val="1155CC"/>
            <w:u w:val="single"/>
          </w:rPr>
          <w:t>[ASAP] 利用糖苷-糖苷相互作用调节糖苷发夹的构象并构建刚性3D结构</w:t>
        </w:r>
      </w:hyperlink>
    </w:p>
    <w:p>
      <w:pPr>
        <w:spacing w:before="0" w:after="80"/>
      </w:pPr>
      <w:r>
        <w:rPr>
          <w:i/>
          <w:sz w:val="20"/>
        </w:rPr>
        <w:t>EN: [ASAP] Leveraging Glycan–Glycan Interactions to Tune the Conformation of Glycan Hairpins and Build Rigid 3D Architectures</w:t>
      </w:r>
    </w:p>
    <w:p>
      <w:pPr>
        <w:spacing w:before="0" w:after="120"/>
      </w:pPr>
      <w:r>
        <w:rPr>
          <w:b/>
        </w:rPr>
        <w:t xml:space="preserve">Source: </w:t>
      </w:r>
      <w:r>
        <w:t>Journal of the American Chemical Society: Latest Articles (ACS Publications)</w:t>
      </w:r>
      <w:r>
        <w:t xml:space="preserve">    </w:t>
      </w:r>
      <w:r>
        <w:rPr>
          <w:b/>
        </w:rPr>
        <w:t xml:space="preserve">Pub date: </w:t>
      </w:r>
      <w:r>
        <w:t>2026-04-21 10:25:58+00:00</w:t>
      </w:r>
      <w:r>
        <w:t xml:space="preserve">    </w:t>
      </w:r>
      <w:r>
        <w:rPr>
          <w:b/>
        </w:rPr>
        <w:t xml:space="preserve">DOI: </w:t>
      </w:r>
      <w:hyperlink r:id="rId606">
        <w:r>
          <w:rPr>
            <w:color w:val="1155CC"/>
            <w:u w:val="single"/>
          </w:rPr>
          <w:t>10.1021/jacs.6c04539</w:t>
        </w:r>
      </w:hyperlink>
    </w:p>
    <w:p>
      <w:pPr>
        <w:spacing w:before="0" w:after="120"/>
      </w:pPr>
      <w:r>
        <w:rPr>
          <w:b/>
        </w:rPr>
        <w:t xml:space="preserve">Notes: </w:t>
      </w:r>
      <w:r>
        <w:t>abstract_source=pubmed</w:t>
      </w:r>
    </w:p>
    <w:p>
      <w:pPr>
        <w:spacing w:before="0" w:after="80" w:lineRule="auto" w:line="276"/>
      </w:pPr>
      <w:r>
        <w:rPr>
          <w:b/>
        </w:rPr>
        <w:t xml:space="preserve">摘要（ZH）: </w:t>
      </w:r>
      <w:r>
        <w:t>尽管糖链在结构和生物功能中起着至关重要的作用，但其折叠和聚集仍然知之甚少。我们提出了一种简化的方法，利用一种自发折叠成发夹构象的糖链序列，从而能够系统地分析糖链的分子内和分子间相互作用。我们的模块化糖链发夹设计促进了各种寡聚物的结合，这些寡聚物代表了天然存在的线性多糖作为发夹链，使我们能够研究糖链-糖链相互作用（即链-链相互作用）的影响。基于分子动力学模拟的初步筛选显示，链的组成对构象稳定性有很大影响，发夹从高度灵活到异常刚性不等。</w:t>
      </w:r>
    </w:p>
    <w:p>
      <w:pPr>
        <w:spacing w:before="0" w:after="200" w:lineRule="auto" w:line="276"/>
      </w:pPr>
      <w:r>
        <w:rPr>
          <w:b/>
        </w:rPr>
        <w:t xml:space="preserve">Abstract (EN): </w:t>
      </w:r>
      <w:r>
        <w:t>Glycan folding and aggregation remain poorly understood despite their essential roles in structural and biological functions. We present a reductionist approach leveraging a glycan sequence that spontaneously folds into a hairpin conformation, enabling the systematic analysis of glycan intra- and intermolecular interactions. Our modular glycan hairpin design facilitated the incorporation of various oligomers representative of naturally occurring linear polysaccharides as hairpin strands, allowing us to investigate the effects of glycan-glycan interactions (i.e., strand-strand interactions). An initial screening based on molecular dynamics simulations revealed that strand composition strongly influences conformational stability, with hairpins ranging from highly flexible to exceptionally rigid structures. Selected rigid hairpin models, based on chitin strands, were synthesized and characterized in aqueous solution by using nuclear magnetic resonance spectroscopy and small-angle X-ray scattering, providing direct experimental validation of intramolecular interactions that stabilize folding. These highly rigid secondary structures assembled into micrometer-long platelet-like architectures that were characterized with transmission electron microscopy and electron diffraction to reveal details of intermolecular interactions driving supramolecular aggregation. These findings demonstrate that hairpins are modular systems to explore molecular details of glycan-glycan interactions as well as useful building blocks to craft glycan-based architectures.</w:t>
      </w:r>
    </w:p>
    <w:p>
      <w:pPr>
        <w:spacing w:before="120" w:after="120"/>
      </w:pPr>
      <w:r>
        <w:rPr>
          <w:sz w:val="18"/>
        </w:rPr>
        <w:t>——————————————————————————————————————————————————————————————————————</w:t>
      </w:r>
    </w:p>
    <w:p>
      <w:pPr>
        <w:spacing w:before="160" w:after="40" w:line="240" w:lineRule="auto"/>
      </w:pPr>
      <w:r>
        <w:rPr>
          <w:b/>
        </w:rPr>
        <w:t xml:space="preserve">[208] </w:t>
      </w:r>
      <w:hyperlink r:id="rId607">
        <w:r>
          <w:rPr>
            <w:color w:val="1155CC"/>
            <w:u w:val="single"/>
          </w:rPr>
          <w:t>通过溶液燃烧-氨气煅烧法制备的分级多孔高熵金属氮化物用于高效己二酸电合成</w:t>
        </w:r>
      </w:hyperlink>
    </w:p>
    <w:p>
      <w:pPr>
        <w:spacing w:before="0" w:after="80"/>
      </w:pPr>
      <w:r>
        <w:rPr>
          <w:i/>
          <w:sz w:val="20"/>
        </w:rPr>
        <w:t>EN: Hierarchically Porous High‐Entropy Metal Nitrides by a Solution Combustion‐Ammonia Calcination Route for Efficient Electrosynthesis of Adipic Acid</w:t>
      </w:r>
    </w:p>
    <w:p>
      <w:pPr>
        <w:spacing w:before="0" w:after="120"/>
      </w:pPr>
      <w:r>
        <w:rPr>
          <w:b/>
        </w:rPr>
        <w:t xml:space="preserve">Source: </w:t>
      </w:r>
      <w:r>
        <w:t>Wiley: Advanced Materials: Table of Contents</w:t>
      </w:r>
      <w:r>
        <w:t xml:space="preserve">    </w:t>
      </w:r>
      <w:r>
        <w:rPr>
          <w:b/>
        </w:rPr>
        <w:t xml:space="preserve">Pub date: </w:t>
      </w:r>
      <w:r>
        <w:t>2026-04-21 10:26:15+00:00</w:t>
      </w:r>
      <w:r>
        <w:t xml:space="preserve">    </w:t>
      </w:r>
      <w:r>
        <w:rPr>
          <w:b/>
        </w:rPr>
        <w:t xml:space="preserve">DOI: </w:t>
      </w:r>
      <w:hyperlink r:id="rId608">
        <w:r>
          <w:rPr>
            <w:color w:val="1155CC"/>
            <w:u w:val="single"/>
          </w:rPr>
          <w:t>10.1002/adma.73167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高熵金属氮化物（HENs）在催化和电催化中具有巨大潜力，但由于精确合成和层次结构工程的严峻挑战而未被探索。在此，我们首次报道了一种简单而通用的方法，通过利用溶液燃烧和氨气煅烧（SCAC），制备了一系列具有层次孔和可调组成的 HENs（HPHENs）。SCAC 路径不仅通过溶剂蒸发和有机燃烧产生原位层次多孔结构，还在不破坏层次孔的情况下驱动氧化物到氮化物的转化。与其他电催化剂相比，具有多重结构和组成协同作用的 HPHEN 显著提高了性能。</w:t>
      </w:r>
    </w:p>
    <w:p>
      <w:pPr>
        <w:spacing w:before="0" w:after="200" w:lineRule="auto" w:line="276"/>
      </w:pPr>
      <w:r>
        <w:rPr>
          <w:b/>
        </w:rPr>
        <w:t xml:space="preserve">Abstract (EN): </w:t>
      </w:r>
      <w:r>
        <w:t>Porous high‐entropy metal nitrides (HENs) have great potential in catalysis and electrocatalysis, but remain unexplored due to severe challenge in precise synthesis and engineering of hierarchical structures. Herein, we report, for the first time, a facile yet general route, by taking advantage of solution combustion and ammonia calcination (SCAC), to prepare a series of HENs (HPHENs) with hierarchical pores and adjustable compositions. SCAC route not only produces in situ hierarchically porous structure by solvent evaporation and organic combustion but also drives the oxide‐to‐nitride conversion without destroying hierarchical pores. Compared with other electrocatalysts, HPHEN with multiple structural and compositional synergies remarkably decreases reaction energy barrier of the key intermediate and accelerates reactants transport for adipic acid electrosynthesis from cyclohexanone. The best (NiCuCoZnFe)</w:t>
      </w:r>
      <w:r>
        <w:rPr>
          <w:vertAlign w:val="subscript"/>
        </w:rPr>
        <w:t>4</w:t>
      </w:r>
      <w:r>
        <w:t>N HPHEN holds recordable electrocatalytic performance, including 93.1% of Faradaic efficiency and 369.6 mmol h</w:t>
      </w:r>
      <w:r>
        <w:t xml:space="preserve"> </w:t>
      </w:r>
      <w:r>
        <w:t>−1</w:t>
      </w:r>
      <w:r>
        <w:t xml:space="preserve"> </w:t>
      </w:r>
      <w:r>
        <w:t>g</w:t>
      </w:r>
      <w:r>
        <w:t xml:space="preserve"> </w:t>
      </w:r>
      <w:r>
        <w:t>−1</w:t>
      </w:r>
      <w:r>
        <w:t xml:space="preserve"> </w:t>
      </w:r>
      <w:r>
        <w:t>of yield rate, all of which are superior than previously reported electrocatalysts. Meanwhile, high performance is also achieved in a flow reactor even with the long cycling time of 100 h, demonstrating its promise for practical applications. This work provides new insights into producing hierarchically porous high‐entropy materials for selective electrosynthesis of high‐value chemicals from various biomass sources.</w:t>
      </w:r>
    </w:p>
    <w:p>
      <w:pPr>
        <w:spacing w:before="120" w:after="120"/>
      </w:pPr>
      <w:r>
        <w:rPr>
          <w:sz w:val="18"/>
        </w:rPr>
        <w:t>——————————————————————————————————————————————————————————————————————</w:t>
      </w:r>
    </w:p>
    <w:p>
      <w:pPr>
        <w:spacing w:before="160" w:after="40" w:line="240" w:lineRule="auto"/>
      </w:pPr>
      <w:r>
        <w:rPr>
          <w:b/>
        </w:rPr>
        <w:t xml:space="preserve">[209] </w:t>
      </w:r>
      <w:hyperlink r:id="rId609">
        <w:r>
          <w:rPr>
            <w:color w:val="1155CC"/>
            <w:u w:val="single"/>
          </w:rPr>
          <w:t>在多重共振TADF发射体中利用反芳香性扰动实现同时红移和光谱变窄</w:t>
        </w:r>
      </w:hyperlink>
    </w:p>
    <w:p>
      <w:pPr>
        <w:spacing w:before="0" w:after="80"/>
      </w:pPr>
      <w:r>
        <w:rPr>
          <w:i/>
          <w:sz w:val="20"/>
        </w:rPr>
        <w:t>EN: Harnessing Antiaromatic Perturbation in Multiple‑Resonance TADF Emitter for Simultaneous Bathochromic Shift and Spectral Narrowing</w:t>
      </w:r>
    </w:p>
    <w:p>
      <w:pPr>
        <w:spacing w:before="0" w:after="120"/>
      </w:pPr>
      <w:r>
        <w:rPr>
          <w:b/>
        </w:rPr>
        <w:t xml:space="preserve">Source: </w:t>
      </w:r>
      <w:r>
        <w:t>Wiley: Angewandte Chemie International Edition: Table of Contents</w:t>
      </w:r>
      <w:r>
        <w:t xml:space="preserve">    </w:t>
      </w:r>
      <w:r>
        <w:rPr>
          <w:b/>
        </w:rPr>
        <w:t xml:space="preserve">Pub date: </w:t>
      </w:r>
      <w:r>
        <w:t>2026-04-21 10:29:16+00:00</w:t>
      </w:r>
      <w:r>
        <w:t xml:space="preserve">    </w:t>
      </w:r>
      <w:r>
        <w:rPr>
          <w:b/>
        </w:rPr>
        <w:t xml:space="preserve">DOI: </w:t>
      </w:r>
      <w:hyperlink r:id="rId610">
        <w:r>
          <w:rPr>
            <w:color w:val="1155CC"/>
            <w:u w:val="single"/>
          </w:rPr>
          <w:t>10.1002/anie.3901040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窄带多重共振热激活延迟荧光（MR-TADF）发射体对于宽色域显示至关重要，但它们通常在发射红移和光谱展宽之间存在固有的权衡。在本研究中，我们提出了一种分子设计策略，将反芳香性四元环引入硼和氮嵌入的MR框架中，以实现芳香性局部化。该方法增强了MR骨架内的芳香性局部化，有效抑制振动耦合并缩窄发射光谱，同时扩展π-共轭以引发浴色移，从而抵消伴随红移的典型展宽。相对于DABN</w:t>
      </w:r>
    </w:p>
    <w:p>
      <w:pPr>
        <w:spacing w:before="0" w:after="200" w:lineRule="auto" w:line="276"/>
      </w:pPr>
      <w:r>
        <w:rPr>
          <w:b/>
        </w:rPr>
        <w:t xml:space="preserve">Abstract (EN): </w:t>
      </w:r>
      <w:r>
        <w:t>Narrowband multiple‐resonance thermally activated delayed fluorescence (MR‐TADF) emitters are pivotal for wide‐color‐gamut displays, yet they often encounter an inherent trade‐off between emission redshift and spectral broadening. In this study, we present a molecular design strategy that incorporates antiaromatic four‐membered rings into a boron‐ and nitrogen‐embedded MR framework to achieve aromaticity localization. This approach enhances the aromaticity localization within the MR skeleton, effectively suppressing vibrational coupling and narrowing the emission spectrum, while simultaneously extending the π‐conjugation to induce a bathochromic shift—thereby counteracting the typical broadening that accompanies redshift. Relative to the DABNA‐1 parent molecule, the designed emitter exhibits a substantially redshifted emission maximum from 460 to 523 nm, along with a narrowed full‐width at half‐maximum (FWHM) from 27 to 16 nm. The corresponding organic light‐emitting diode (OLED) achieves a narrow FWHM of 21.5 nm with CIE coordinates of (0.26, 0.70), a maximum external quantum efficiency (EQE</w:t>
      </w:r>
      <w:r>
        <w:t xml:space="preserve"> </w:t>
      </w:r>
      <w:r>
        <w:t>max</w:t>
      </w:r>
      <w:r>
        <w:t xml:space="preserve"> </w:t>
      </w:r>
      <w:r>
        <w:t>) of 36.1%, and a significantly low efficiency roll‐off. Remarkably, the device demonstrates superior operational stability with an LT90 lifetime of 1469 h at an initial luminance of 1000 cd m</w:t>
      </w:r>
      <w:r>
        <w:t xml:space="preserve"> </w:t>
      </w:r>
      <w:r>
        <w:t>−2</w:t>
      </w:r>
      <w:r>
        <w:t xml:space="preserve"> </w:t>
      </w:r>
      <w:r>
        <w:t>. This work establishes a novel paradigm in molecular design for realizing long‐wavelength MR‐TADF emitters that concurrently achieve high color purity and excellent electroluminescence performance.</w:t>
      </w:r>
    </w:p>
    <w:p>
      <w:pPr>
        <w:spacing w:before="120" w:after="120"/>
      </w:pPr>
      <w:r>
        <w:rPr>
          <w:sz w:val="18"/>
        </w:rPr>
        <w:t>——————————————————————————————————————————————————————————————————————</w:t>
      </w:r>
    </w:p>
    <w:p>
      <w:pPr>
        <w:spacing w:before="160" w:after="40" w:line="240" w:lineRule="auto"/>
      </w:pPr>
      <w:r>
        <w:rPr>
          <w:b/>
        </w:rPr>
        <w:t xml:space="preserve">[210] </w:t>
      </w:r>
      <w:hyperlink r:id="rId611">
        <w:r>
          <w:rPr>
            <w:color w:val="1155CC"/>
            <w:u w:val="single"/>
          </w:rPr>
          <w:t>自我进化水凝胶敷料加速感染性糖尿病伤口愈合</w:t>
        </w:r>
      </w:hyperlink>
    </w:p>
    <w:p>
      <w:pPr>
        <w:spacing w:before="0" w:after="80"/>
      </w:pPr>
      <w:r>
        <w:rPr>
          <w:i/>
          <w:sz w:val="20"/>
        </w:rPr>
        <w:t>EN: Self‐Evolving Hydrogel Dressing Temporally Accelerates Infected Diabetic Wound Healing</w:t>
      </w:r>
    </w:p>
    <w:p>
      <w:pPr>
        <w:spacing w:before="0" w:after="120"/>
      </w:pPr>
      <w:r>
        <w:rPr>
          <w:b/>
        </w:rPr>
        <w:t xml:space="preserve">Source: </w:t>
      </w:r>
      <w:r>
        <w:t>Wiley: Advanced Materials: Table of Contents</w:t>
      </w:r>
      <w:r>
        <w:t xml:space="preserve">    </w:t>
      </w:r>
      <w:r>
        <w:rPr>
          <w:b/>
        </w:rPr>
        <w:t xml:space="preserve">Pub date: </w:t>
      </w:r>
      <w:r>
        <w:t>2026-04-21 10:32:08+00:00</w:t>
      </w:r>
      <w:r>
        <w:t xml:space="preserve">    </w:t>
      </w:r>
      <w:r>
        <w:rPr>
          <w:b/>
        </w:rPr>
        <w:t xml:space="preserve">DOI: </w:t>
      </w:r>
      <w:hyperlink r:id="rId612">
        <w:r>
          <w:rPr>
            <w:color w:val="1155CC"/>
            <w:u w:val="single"/>
          </w:rPr>
          <w:t>10.1002/adma.202523302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糖尿病伤口通常涉及紊乱的氧化还原和免疫稳态，易受细菌感染，常导致愈合延迟和更差的结果。然而，现有的治疗策略无法同时实现强效抗菌作用和时间微环境调节。在此，提出了一种自我进化的透明质酸/聚（天冬氨酸）水凝胶敷料，集成了原位Ag</w:t>
      </w:r>
      <w:r>
        <w:t xml:space="preserve"> </w:t>
      </w:r>
      <w:r>
        <w:t>+</w:t>
      </w:r>
      <w:r>
        <w:t xml:space="preserve"> </w:t>
      </w:r>
      <w:r>
        <w:t>转Ag纳米酶转化功能和可水解的Fe</w:t>
      </w:r>
      <w:r>
        <w:rPr>
          <w:vertAlign w:val="subscript"/>
        </w:rPr>
        <w:t>3</w:t>
      </w:r>
      <w:r>
        <w:t>N/Fe</w:t>
      </w:r>
      <w:r>
        <w:rPr>
          <w:vertAlign w:val="subscript"/>
        </w:rPr>
        <w:t>3</w:t>
      </w:r>
      <w:r>
        <w:t>O</w:t>
      </w:r>
      <w:r>
        <w:rPr>
          <w:vertAlign w:val="subscript"/>
        </w:rPr>
        <w:t>4</w:t>
      </w:r>
      <w:r>
        <w:t>纳米异质结（nHJ），以满足连续愈合阶段的复杂要求。在感染阶段</w:t>
      </w:r>
    </w:p>
    <w:p>
      <w:pPr>
        <w:spacing w:before="0" w:after="200" w:lineRule="auto" w:line="276"/>
      </w:pPr>
      <w:r>
        <w:rPr>
          <w:b/>
        </w:rPr>
        <w:t xml:space="preserve">Abstract (EN): </w:t>
      </w:r>
      <w:r>
        <w:t>Diabetic wounds usually involve disorganized redox and immune homeostasis and are prone to bacterial infection, often leading to delayed healing and worse outcomes. However, existing therapeutic strategies cannot simultaneously achieve potent antibacterial action and temporal microenvironment modulation. Herein, a self‐evolving hyaluronan/poly(aspartic acid) hydrogel dressing integrating in situ Ag</w:t>
      </w:r>
      <w:r>
        <w:t xml:space="preserve"> </w:t>
      </w:r>
      <w:r>
        <w:t>+</w:t>
      </w:r>
      <w:r>
        <w:t xml:space="preserve"> </w:t>
      </w:r>
      <w:r>
        <w:t>‐to‐Ag nanozyme conversion function and hydrolyzable Fe</w:t>
      </w:r>
      <w:r>
        <w:rPr>
          <w:vertAlign w:val="subscript"/>
        </w:rPr>
        <w:t>3</w:t>
      </w:r>
      <w:r>
        <w:t>N/Fe</w:t>
      </w:r>
      <w:r>
        <w:rPr>
          <w:vertAlign w:val="subscript"/>
        </w:rPr>
        <w:t>3</w:t>
      </w:r>
      <w:r>
        <w:t>O</w:t>
      </w:r>
      <w:r>
        <w:rPr>
          <w:vertAlign w:val="subscript"/>
        </w:rPr>
        <w:t>4</w:t>
      </w:r>
      <w:r>
        <w:t>nanoheterojunction (nHJ) is presented to meet the intricate requirements of consecutive healing stages. At infectious inflammatory stage, nHJ‐based self‐oxygenated photodynamic and photothermal effects synergize with Ag</w:t>
      </w:r>
      <w:r>
        <w:t xml:space="preserve"> </w:t>
      </w:r>
      <w:r>
        <w:t>+</w:t>
      </w:r>
      <w:r>
        <w:t xml:space="preserve"> </w:t>
      </w:r>
      <w:r>
        <w:t>to combat multidrug‐resistant biofilm‐forming bacteria. Subsequently, Ag nanozymes with superoxide dismutase/catalase‐like activities continuously scavenge reactive oxygen species while generating oxygen, facilitating macrophage M1‐to‐M2 repolarization and ensuing inflammatory‐to‐proliferative phase transition. Accumulated ammonia enhances cell proliferation, migration and angiogenesis. The dressing demonstrates exceptional biocompatibility and bioactivity in accelerating</w:t>
      </w:r>
      <w:r>
        <w:t xml:space="preserve"> </w:t>
      </w:r>
      <w:r>
        <w:t>Staphylococcus aureus</w:t>
      </w:r>
      <w:r>
        <w:t xml:space="preserve"> </w:t>
      </w:r>
      <w:r>
        <w:t>‐infected full‐thickness cutaneous wound healing in a diabetic rat model, as validated by hemostatic, broad‐spectrum antibacterial, antioxidative and immunomodulatory abilities, enhanced oxygenation and cell proliferation, and extensive collagen deposition, vascularization and re‐epithelialization. RNA‐seq results further reveal the activation of multiple pro‐healing signaling axes. Consequently, this platform offers a powerful dynamic strategy of realizing robust antibacterial activity and active temporal niche modulation to guide the healing of infected diabetic wounds.</w:t>
      </w:r>
    </w:p>
    <w:p>
      <w:pPr>
        <w:spacing w:before="120" w:after="120"/>
      </w:pPr>
      <w:r>
        <w:rPr>
          <w:sz w:val="18"/>
        </w:rPr>
        <w:t>——————————————————————————————————————————————————————————————————————</w:t>
      </w:r>
    </w:p>
    <w:p>
      <w:pPr>
        <w:spacing w:before="160" w:after="40" w:line="240" w:lineRule="auto"/>
      </w:pPr>
      <w:r>
        <w:rPr>
          <w:b/>
        </w:rPr>
        <w:t xml:space="preserve">[211] </w:t>
      </w:r>
      <w:hyperlink r:id="rId613">
        <w:r>
          <w:rPr>
            <w:color w:val="1155CC"/>
            <w:u w:val="single"/>
          </w:rPr>
          <w:t>仿生共生工程：菌丝生物陶瓷激活能量代谢以增强成骨作用</w:t>
        </w:r>
      </w:hyperlink>
    </w:p>
    <w:p>
      <w:pPr>
        <w:spacing w:before="0" w:after="80"/>
      </w:pPr>
      <w:r>
        <w:rPr>
          <w:i/>
          <w:sz w:val="20"/>
        </w:rPr>
        <w:t>EN: Biomimetic Symbiotic Engineering: Mycelial Bioceramics to Activate Energy Metabolism for Enhanced Osteogenesis</w:t>
      </w:r>
    </w:p>
    <w:p>
      <w:pPr>
        <w:spacing w:before="0" w:after="120"/>
      </w:pPr>
      <w:r>
        <w:rPr>
          <w:b/>
        </w:rPr>
        <w:t xml:space="preserve">Source: </w:t>
      </w:r>
      <w:r>
        <w:t>Wiley: Advanced Materials: Table of Contents</w:t>
      </w:r>
      <w:r>
        <w:t xml:space="preserve">    </w:t>
      </w:r>
      <w:r>
        <w:rPr>
          <w:b/>
        </w:rPr>
        <w:t xml:space="preserve">Pub date: </w:t>
      </w:r>
      <w:r>
        <w:t>2026-04-21 10:32:52+00:00</w:t>
      </w:r>
      <w:r>
        <w:t xml:space="preserve">    </w:t>
      </w:r>
      <w:r>
        <w:rPr>
          <w:b/>
        </w:rPr>
        <w:t xml:space="preserve">DOI: </w:t>
      </w:r>
      <w:hyperlink r:id="rId614">
        <w:r>
          <w:rPr>
            <w:color w:val="1155CC"/>
            <w:u w:val="single"/>
          </w:rPr>
          <w:t>10.1002/adma.202516328</w:t>
        </w:r>
      </w:hyperlink>
    </w:p>
    <w:p>
      <w:pPr>
        <w:spacing w:before="0" w:after="120"/>
      </w:pPr>
      <w:r>
        <w:rPr>
          <w:b/>
        </w:rPr>
        <w:t xml:space="preserve">Notes: </w:t>
      </w:r>
      <w:r>
        <w:t>abstract_source=crossref</w:t>
      </w:r>
    </w:p>
    <w:p>
      <w:pPr>
        <w:spacing w:before="0" w:after="80" w:lineRule="auto" w:line="276"/>
      </w:pPr>
      <w:r>
        <w:rPr>
          <w:b/>
        </w:rPr>
        <w:t xml:space="preserve">摘要（ZH）: </w:t>
      </w:r>
      <w:r>
        <w:t>摘要 骨缺损的修复仍然是一个相当大的挑战，主要是由于缺乏仿生分层结构和植入物中生物能量供应不足。受菌丝体与植物之间共生结构关系的启发，我们开发了一种仿生工程策略来构建菌丝体生物陶瓷。这一策略使得菌丝体在生物陶瓷支架内的生长得以引导，从而自发生成分层结构。这种分层结构归因于菌丝体自发形成的微尺度多孔网络和三维（3D）打印生物陶瓷支架的通道结构。此外，菌丝体生物陶瓷可以释放多种生物活性成分，包括</w:t>
      </w:r>
    </w:p>
    <w:p>
      <w:pPr>
        <w:spacing w:before="0" w:after="200" w:lineRule="auto" w:line="276"/>
      </w:pPr>
      <w:r>
        <w:rPr>
          <w:b/>
        </w:rPr>
        <w:t xml:space="preserve">Abstract (EN): </w:t>
      </w:r>
      <w:r>
        <w:t>The repair of bone defects remains a considerable challenge, primarily due to the lack of biomimetic hierarchical structures and the insufficient supply of bioenergy in implants. Inspired by the symbiotic structural relationship between mycelium and plants, we developed a biomimetic engineering strategy to construct mycelial bioceramics. This strategy enabled directing the growth of mycelium within bioceramic scaffolds, resulting in the spontaneous generation of a hierarchical structure. Such a hierarchical structure was attributed to the spontaneously microscale porous network of mycelium and the channel structure of the three‐dimensional (3D) printed bioceramic scaffold. In addition, the mycelial bioceramics could release a variety of bioactive components, including glucose, calcium ions, and other ions. Hierarchical structure and bioactive components synergistically promoted cellular energy metabolism and osteogenic differentiation by enhancing glycolysis and the oxidative phosphorylation (OXPHOS) process. Furthermore, the mycelial bioceramics effectively activated the YAP/Piezo pathway, driving key mitochondrial biogenesis processes. The siYAP experiment combined with mRNA sequencing demonstrated that the elevated energy metabolism subsequently regulated osteogenic differentiation via PI3K‐AKT signaling. In vivo studies using a rabbit femoral defect model demonstrated that mycelial bioceramics could improve cellular energy metabolism and ultimately enhance osteogenesis. In conclusion, the mycelial symbiotic strategy presents a novel approach in designing functional bioceramics for accelerating bone regeneration. Moreover, it may shed light on harnessing microorganisms for tissue engineering and regenerative medicine.</w:t>
      </w:r>
    </w:p>
    <w:p>
      <w:pPr>
        <w:spacing w:before="120" w:after="120"/>
      </w:pPr>
      <w:r>
        <w:rPr>
          <w:sz w:val="18"/>
        </w:rPr>
        <w:t>——————————————————————————————————————————————————————————————————————</w:t>
      </w:r>
    </w:p>
    <w:p>
      <w:pPr>
        <w:spacing w:before="160" w:after="40" w:line="240" w:lineRule="auto"/>
      </w:pPr>
      <w:r>
        <w:rPr>
          <w:b/>
        </w:rPr>
        <w:t xml:space="preserve">[212] </w:t>
      </w:r>
      <w:hyperlink r:id="rId615">
        <w:r>
          <w:rPr>
            <w:color w:val="1155CC"/>
            <w:u w:val="single"/>
          </w:rPr>
          <w:t>双单原子工程化NADH氧化酶模拟物促进原位NAD+生物转化以实现靶向心肌缺血/再灌注保护</w:t>
        </w:r>
      </w:hyperlink>
    </w:p>
    <w:p>
      <w:pPr>
        <w:spacing w:before="0" w:after="80"/>
      </w:pPr>
      <w:r>
        <w:rPr>
          <w:i/>
          <w:sz w:val="20"/>
        </w:rPr>
        <w:t>EN: Dual Single‐Atom Engineered NADH Oxidase‐Mimic Boosts In Situ NAD+ Biotransformation for Targeted Myocardial Ischemia/Reperfusion Protection</w:t>
      </w:r>
    </w:p>
    <w:p>
      <w:pPr>
        <w:spacing w:before="0" w:after="120"/>
      </w:pPr>
      <w:r>
        <w:rPr>
          <w:b/>
        </w:rPr>
        <w:t xml:space="preserve">Source: </w:t>
      </w:r>
      <w:r>
        <w:t>Wiley: Advanced Materials: Table of Contents</w:t>
      </w:r>
      <w:r>
        <w:t xml:space="preserve">    </w:t>
      </w:r>
      <w:r>
        <w:rPr>
          <w:b/>
        </w:rPr>
        <w:t xml:space="preserve">Pub date: </w:t>
      </w:r>
      <w:r>
        <w:t>2026-04-21 10:35:05+00:00</w:t>
      </w:r>
      <w:r>
        <w:t xml:space="preserve">    </w:t>
      </w:r>
      <w:r>
        <w:rPr>
          <w:b/>
        </w:rPr>
        <w:t xml:space="preserve">DOI: </w:t>
      </w:r>
      <w:hyperlink r:id="rId616">
        <w:r>
          <w:rPr>
            <w:color w:val="1155CC"/>
            <w:u w:val="single"/>
          </w:rPr>
          <w:t>10.1002/adma.202519122</w:t>
        </w:r>
      </w:hyperlink>
    </w:p>
    <w:p>
      <w:pPr>
        <w:spacing w:before="0" w:after="120"/>
      </w:pPr>
      <w:r>
        <w:rPr>
          <w:b/>
        </w:rPr>
        <w:t xml:space="preserve">Notes: </w:t>
      </w:r>
      <w:r>
        <w:t>abstract_source=crossref</w:t>
      </w:r>
    </w:p>
    <w:p>
      <w:pPr>
        <w:spacing w:before="0" w:after="80" w:lineRule="auto" w:line="276"/>
      </w:pPr>
      <w:r>
        <w:rPr>
          <w:b/>
        </w:rPr>
        <w:t xml:space="preserve">摘要（ZH）: </w:t>
      </w:r>
      <w:r>
        <w:t>摘要 心肌缺血/再灌注（I/R）损伤是一种全球公认的病理状况，导致危及生命的器官功能障碍。补充烟酰胺腺嘌呤二核苷酸（NAD + ）可以改善心肌能量代谢，缓解炎症，并减轻I/R损伤。然而，其临床适用性受到当前NAD + 补充策略的低效性和传递限制的制约。在此，我们设计了一种具有烟酰胺腺嘌呤二核苷酸（NADH）氧化酶模拟活性的双单原子纳米酶，用于原位NAD + 生物转化和I/R损伤治疗。在M2 mac</w:t>
      </w:r>
    </w:p>
    <w:p>
      <w:pPr>
        <w:spacing w:before="0" w:after="200" w:lineRule="auto" w:line="276"/>
      </w:pPr>
      <w:r>
        <w:rPr>
          <w:b/>
        </w:rPr>
        <w:t xml:space="preserve">Abstract (EN): </w:t>
      </w:r>
      <w:r>
        <w:t>Myocardial ischemia/reperfusion (I/R) injury is a globally recognized pathological condition that results in life‐threatening organ dysfunction. Supplementation with nicotinamide adenine dinucleotide (NAD</w:t>
      </w:r>
      <w:r>
        <w:t xml:space="preserve"> </w:t>
      </w:r>
      <w:r>
        <w:t>+</w:t>
      </w:r>
      <w:r>
        <w:t xml:space="preserve"> </w:t>
      </w:r>
      <w:r>
        <w:t>) can improve myocardial energy metabolism, alleviate inflammation, and mitigate I/R injury. However, its clinical applicability is constrained by the poor efficacy and delivery limitations of current NAD</w:t>
      </w:r>
      <w:r>
        <w:t xml:space="preserve"> </w:t>
      </w:r>
      <w:r>
        <w:t>+</w:t>
      </w:r>
      <w:r>
        <w:t xml:space="preserve"> </w:t>
      </w:r>
      <w:r>
        <w:t>supplementation strategies. Here, we design a dual single‐atom nanozyme with nicotinamide adenine dinucleotide (NADH) oxidase‐mimicking activity for in situ NAD</w:t>
      </w:r>
      <w:r>
        <w:t xml:space="preserve"> </w:t>
      </w:r>
      <w:r>
        <w:t>+</w:t>
      </w:r>
      <w:r>
        <w:t xml:space="preserve"> </w:t>
      </w:r>
      <w:r>
        <w:t>biotransformation and I/R injury treatment. Upon M2 macrophage membrane coating, the nanozyme selectively targets ischemic myocardium, facilitating in situ NAD</w:t>
      </w:r>
      <w:r>
        <w:t xml:space="preserve"> </w:t>
      </w:r>
      <w:r>
        <w:t>+</w:t>
      </w:r>
      <w:r>
        <w:t xml:space="preserve"> </w:t>
      </w:r>
      <w:r>
        <w:t>biotransformation by eliminating excess NADH, while concurrently scavenging reactive oxygen species, restoring mitochondrial bioenergetics, attenuating inflammation, and inhibiting apoptosis. Mechanistic investigations demonstrate that the nanozyme activates the NAD</w:t>
      </w:r>
      <w:r>
        <w:t xml:space="preserve"> </w:t>
      </w:r>
      <w:r>
        <w:t>+</w:t>
      </w:r>
      <w:r>
        <w:t xml:space="preserve"> </w:t>
      </w:r>
      <w:r>
        <w:t>‐SIRT1 axis, enhancing ATP biosynthesis and oxidative phosphorylation, while suppressing TNF signaling and NF‐κB pathways. Collectively, the engineered NOX‐like nanozyme offers a novel therapeutic strategy for myocardial I/R injury by modulating both mitochondrial bioenergetics and oxidative stress defense pathways through restoring NAD</w:t>
      </w:r>
      <w:r>
        <w:t xml:space="preserve"> </w:t>
      </w:r>
      <w:r>
        <w:t>+</w:t>
      </w:r>
      <w:r>
        <w:t xml:space="preserve"> </w:t>
      </w:r>
      <w:r>
        <w:t>/NADH homeostasis.</w:t>
      </w:r>
    </w:p>
    <w:p>
      <w:pPr>
        <w:spacing w:before="120" w:after="120"/>
      </w:pPr>
      <w:r>
        <w:rPr>
          <w:sz w:val="18"/>
        </w:rPr>
        <w:t>——————————————————————————————————————————————————————————————————————</w:t>
      </w:r>
    </w:p>
    <w:p>
      <w:pPr>
        <w:spacing w:before="160" w:after="40" w:line="240" w:lineRule="auto"/>
      </w:pPr>
      <w:r>
        <w:rPr>
          <w:b/>
        </w:rPr>
        <w:t xml:space="preserve">[213] </w:t>
      </w:r>
      <w:hyperlink r:id="rId617">
        <w:r>
          <w:rPr>
            <w:color w:val="1155CC"/>
            <w:u w:val="single"/>
          </w:rPr>
          <w:t>工程化超高对比度光激活室温磷光与稳健且通用的脲基功能化硅氧烷网络</w:t>
        </w:r>
      </w:hyperlink>
    </w:p>
    <w:p>
      <w:pPr>
        <w:spacing w:before="0" w:after="80"/>
      </w:pPr>
      <w:r>
        <w:rPr>
          <w:i/>
          <w:sz w:val="20"/>
        </w:rPr>
        <w:t>EN: Engineering Ultrahigh‐Contrast Photoactivated Room‐Temperature Phosphorescence With a Robust and Universal Ureido‐Functionalized Siloxane Network</w:t>
      </w:r>
    </w:p>
    <w:p>
      <w:pPr>
        <w:spacing w:before="0" w:after="120"/>
      </w:pPr>
      <w:r>
        <w:rPr>
          <w:b/>
        </w:rPr>
        <w:t xml:space="preserve">Source: </w:t>
      </w:r>
      <w:r>
        <w:t>Wiley: Angewandte Chemie International Edition: Table of Contents</w:t>
      </w:r>
      <w:r>
        <w:t xml:space="preserve">    </w:t>
      </w:r>
      <w:r>
        <w:rPr>
          <w:b/>
        </w:rPr>
        <w:t xml:space="preserve">Pub date: </w:t>
      </w:r>
      <w:r>
        <w:t>2026-04-21 10:37:08+00:00</w:t>
      </w:r>
      <w:r>
        <w:t xml:space="preserve">    </w:t>
      </w:r>
      <w:r>
        <w:rPr>
          <w:b/>
        </w:rPr>
        <w:t xml:space="preserve">DOI: </w:t>
      </w:r>
      <w:hyperlink r:id="rId618">
        <w:r>
          <w:rPr>
            <w:color w:val="1155CC"/>
            <w:u w:val="single"/>
          </w:rPr>
          <w:t>10.1002/anie.7684555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激活室温磷光（pRTP）主客体系统因其非侵入性光响应、高可逆性和颜色可调性而受到广泛关注。然而，传统聚合物主材料由于被动氧渗透，往往缺乏有效的光激活和足够的稳定性。在此，我们报告了一种由γ-脲基丙基三乙氧基硅烷（UPTES）水解衍生的脲基功能化硅氧烷网络，它作为构建pRTP系统的通用光激活平台，通过掺杂各种磷光客体分子。基于UPTES的系统可以通过紫外线诱导的氧消耗实现优越的光激活效率，将磷光强度提高至约21</w:t>
      </w:r>
    </w:p>
    <w:p>
      <w:pPr>
        <w:spacing w:before="0" w:after="200" w:lineRule="auto" w:line="276"/>
      </w:pPr>
      <w:r>
        <w:rPr>
          <w:b/>
        </w:rPr>
        <w:t xml:space="preserve">Abstract (EN): </w:t>
      </w:r>
      <w:r>
        <w:t>Photoactivated room‐temperature phosphorescence (pRTP) host‐guest systems have received widespread attention due to their non‐invasive photoresponsiveness, high reversibility, and color tunability. However, traditional polymer hosts often lack efficient photoactivation and sufficient stability due to passive oxygen penetration. Herein, we report a ureido‐functionalized siloxane network derived from the hydrolysis of γ‐ureidopropyltriethoxysilane (UPTES), which serves as a universal photoactivation platform for constructing pRTP systems via doping with various phosphorescent guest molecules. The UPTES‐based systems can achieve superior photoactivation efficiency through the UV‐induced oxygen consumption, boosting phosphorescence intensity by up to approximately 2100‐fold and extending lifetime by approximately 65‐fold. This ultrahigh contrast originates from the strongly active oxygen‐trapping capability of the ureido groups within the siloxane network, which is crucial for establishing the initial ‘off’ state of guest phosphorescence via efficient oxygen‐mediated quenching of triplet excitons. Notably, owing to the dense and robust siloxane network, these systems show excellent stability, maintaining efficient pRTP performance for at least 90 days even in aqueous solutions, organic reagents, or concentrated acid. This work not only presents an ultrastable host matrix for designing ultrahigh‐contrast pRTP materials, but also enables the on‐demand customization of pRTP systems for advanced multi‐level information encryption.</w:t>
      </w:r>
    </w:p>
    <w:p>
      <w:pPr>
        <w:spacing w:before="120" w:after="120"/>
      </w:pPr>
      <w:r>
        <w:rPr>
          <w:sz w:val="18"/>
        </w:rPr>
        <w:t>——————————————————————————————————————————————————————————————————————</w:t>
      </w:r>
    </w:p>
    <w:p>
      <w:pPr>
        <w:spacing w:before="160" w:after="40" w:line="240" w:lineRule="auto"/>
      </w:pPr>
      <w:r>
        <w:rPr>
          <w:b/>
        </w:rPr>
        <w:t xml:space="preserve">[214] </w:t>
      </w:r>
      <w:hyperlink r:id="rId619">
        <w:r>
          <w:rPr>
            <w:color w:val="1155CC"/>
            <w:u w:val="single"/>
          </w:rPr>
          <w:t>用于智能窗太阳能调节的热响应折射率匹配膜</w:t>
        </w:r>
      </w:hyperlink>
    </w:p>
    <w:p>
      <w:pPr>
        <w:spacing w:before="0" w:after="80"/>
      </w:pPr>
      <w:r>
        <w:rPr>
          <w:i/>
          <w:sz w:val="20"/>
        </w:rPr>
        <w:t>EN: A Thermo‐Responsive Refractive Index‐Matching Film for Solar Modulation of Smart Windows</w:t>
      </w:r>
    </w:p>
    <w:p>
      <w:pPr>
        <w:spacing w:before="0" w:after="120"/>
      </w:pPr>
      <w:r>
        <w:rPr>
          <w:b/>
        </w:rPr>
        <w:t xml:space="preserve">Source: </w:t>
      </w:r>
      <w:r>
        <w:t>Wiley: Advanced Energy Materials: Table of Contents</w:t>
      </w:r>
      <w:r>
        <w:t xml:space="preserve">    </w:t>
      </w:r>
      <w:r>
        <w:rPr>
          <w:b/>
        </w:rPr>
        <w:t xml:space="preserve">Pub date: </w:t>
      </w:r>
      <w:r>
        <w:t>2026-04-21 10:41:12+00:00</w:t>
      </w:r>
      <w:r>
        <w:t xml:space="preserve">    </w:t>
      </w:r>
      <w:r>
        <w:rPr>
          <w:b/>
        </w:rPr>
        <w:t xml:space="preserve">DOI: </w:t>
      </w:r>
      <w:hyperlink r:id="rId620">
        <w:r>
          <w:rPr>
            <w:color w:val="1155CC"/>
            <w:u w:val="single"/>
          </w:rPr>
          <w:t>10.1002/aenm.70975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面积玻璃的建筑趋势在增强自然采光和美学的同时，由于其较差的热性能，显著增加了建筑能耗。这促使了对光热调节智能窗的研究。然而，被动热响应方法缺乏精确的、温度依赖的太阳能控制，且通常需要在牺牲必要的采光和更大调节之间进行设计权衡。本文介绍了一种新型聚合物复合膜，用于通过动态折射率匹配的热响应智能窗。该膜通过利用聚二甲基硅氧烷（PDMS）基体与嵌入的钙f之间的温度依赖折射对比来调节米氏散射。</w:t>
      </w:r>
    </w:p>
    <w:p>
      <w:pPr>
        <w:spacing w:before="0" w:after="200" w:lineRule="auto" w:line="276"/>
      </w:pPr>
      <w:r>
        <w:rPr>
          <w:b/>
        </w:rPr>
        <w:t xml:space="preserve">Abstract (EN): </w:t>
      </w:r>
      <w:r>
        <w:t>The architectural trend of incorporating large‐area glazing, while enhancing natural lighting and aesthetics, significantly increases building energy consumption due to its poor thermal performance. This motivates research on smart windows for photothermal modulation. However, passive thermo‐responsive methods lack precise, temperature‐dependent solar control and often require a design trade‐off that sacrifices essential daylighting for greater modulation. This paper introduces a novel polymer composite film for thermo‐responsive smart windows using dynamic refractive index‐matching. The film modulates Mie scattering by exploiting the temperature‐dependent refractive contrast between a polydimethylsiloxane (PDMS) matrix and embedded calcium fluoride (CaF</w:t>
      </w:r>
      <w:r>
        <w:rPr>
          <w:vertAlign w:val="subscript"/>
        </w:rPr>
        <w:t>2</w:t>
      </w:r>
      <w:r>
        <w:t>) particles, enabling a monotonic variation in solar transmittance with ambient temperature. The composite structure was optimized through systematic optical simulations. The resulting simple blade‐coated film achieves a substantial solar‐band transmittance modulation (Δ</w:t>
      </w:r>
      <w:r>
        <w:t xml:space="preserve"> </w:t>
      </w:r>
      <w:r>
        <w:t>T</w:t>
      </w:r>
      <w:r>
        <w:t xml:space="preserve"> </w:t>
      </w:r>
      <w:r>
        <w:t>sol</w:t>
      </w:r>
      <w:r>
        <w:t xml:space="preserve"> </w:t>
      </w:r>
      <w:r>
        <w:t>∼ 18%) while maintaining high luminous transmittance (</w:t>
      </w:r>
      <w:r>
        <w:t xml:space="preserve"> </w:t>
      </w:r>
      <w:r>
        <w:t>T</w:t>
      </w:r>
      <w:r>
        <w:t xml:space="preserve"> </w:t>
      </w:r>
      <w:r>
        <w:t>lum</w:t>
      </w:r>
      <w:r>
        <w:t xml:space="preserve"> </w:t>
      </w:r>
      <w:r>
        <w:t>&amp;gt; 65%) for natural daylighting. Both indoor and outdoor temperature tests have demonstrated the film's effective solar modulation and radiative sky cooling capabilities. Furthermore, the film's simple fabrication method shows potential for large‐scale industrial application in building energy conservation.</w:t>
      </w:r>
    </w:p>
    <w:p>
      <w:pPr>
        <w:spacing w:before="120" w:after="120"/>
      </w:pPr>
      <w:r>
        <w:rPr>
          <w:sz w:val="18"/>
        </w:rPr>
        <w:t>——————————————————————————————————————————————————————————————————————</w:t>
      </w:r>
    </w:p>
    <w:p>
      <w:pPr>
        <w:spacing w:before="160" w:after="40" w:line="240" w:lineRule="auto"/>
      </w:pPr>
      <w:r>
        <w:rPr>
          <w:b/>
        </w:rPr>
        <w:t xml:space="preserve">[215] </w:t>
      </w:r>
      <w:hyperlink r:id="rId621">
        <w:r>
          <w:rPr>
            <w:color w:val="1155CC"/>
            <w:u w:val="single"/>
          </w:rPr>
          <w:t>Ag纳米簇触发非晶硫化物基质中的晶格氧活化以实现优越的氧气演化</w:t>
        </w:r>
      </w:hyperlink>
    </w:p>
    <w:p>
      <w:pPr>
        <w:spacing w:before="0" w:after="80"/>
      </w:pPr>
      <w:r>
        <w:rPr>
          <w:i/>
          <w:sz w:val="20"/>
        </w:rPr>
        <w:t>EN: Ag Nanocluster‐Triggered Lattice Oxygen Activation in Amorphous Sulfide Matrices for Superior Oxygen Evolution</w:t>
      </w:r>
    </w:p>
    <w:p>
      <w:pPr>
        <w:spacing w:before="0" w:after="120"/>
      </w:pPr>
      <w:r>
        <w:rPr>
          <w:b/>
        </w:rPr>
        <w:t xml:space="preserve">Source: </w:t>
      </w:r>
      <w:r>
        <w:t>Wiley: Advanced Materials: Table of Contents</w:t>
      </w:r>
      <w:r>
        <w:t xml:space="preserve">    </w:t>
      </w:r>
      <w:r>
        <w:rPr>
          <w:b/>
        </w:rPr>
        <w:t xml:space="preserve">Pub date: </w:t>
      </w:r>
      <w:r>
        <w:t>2026-04-21 10:45:11+00:00</w:t>
      </w:r>
      <w:r>
        <w:t xml:space="preserve">    </w:t>
      </w:r>
      <w:r>
        <w:rPr>
          <w:b/>
        </w:rPr>
        <w:t xml:space="preserve">DOI: </w:t>
      </w:r>
      <w:hyperlink r:id="rId622">
        <w:r>
          <w:rPr>
            <w:color w:val="1155CC"/>
            <w:u w:val="single"/>
          </w:rPr>
          <w:t>10.1002/adma.73128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金属硫化物因其优异的成分可调性和出色的催化活性而成为氧析出反应（OER）的有前途的电催化剂。然而，对于大规模碱性水电解来说，稳定性是一个巨大的挑战。在这项工作中，我们引入了高电负性的Ag物种以及无定形CoWFeNiAgS</w:t>
      </w:r>
      <w:r>
        <w:t xml:space="preserve"> </w:t>
      </w:r>
      <w:r>
        <w:t>x</w:t>
      </w:r>
      <w:r>
        <w:t xml:space="preserve"> </w:t>
      </w:r>
      <w:r>
        <w:t>（Ag/CWFNAS</w:t>
      </w:r>
      <w:r>
        <w:t xml:space="preserve"> </w:t>
      </w:r>
      <w:r>
        <w:t>x</w:t>
      </w:r>
      <w:r>
        <w:t xml:space="preserve"> </w:t>
      </w:r>
      <w:r>
        <w:t>），以显著增强基于硫化物的催化剂的活性和耐久性。Ag的整合在相邻的Co、Fe和Ni中心之间诱导了有利的电子重新分布，下移了d带中心并削弱了M─O键，从而触发了机制转变。</w:t>
      </w:r>
    </w:p>
    <w:p>
      <w:pPr>
        <w:spacing w:before="0" w:after="200" w:lineRule="auto" w:line="276"/>
      </w:pPr>
      <w:r>
        <w:rPr>
          <w:b/>
        </w:rPr>
        <w:t xml:space="preserve">Abstract (EN): </w:t>
      </w:r>
      <w:r>
        <w:t>Polymetallic sulfides have emerged as promising electrocatalysts for the oxygen evolution reaction (OER) due to their exceptional compositional tunability and excellent catalytic activity. However, stability is a huge challenge for large‐scale alkaline water electrolysis. In this work, we introduce highly electronegative Ag species together with an amorphous CoWFeNiAgS</w:t>
      </w:r>
      <w:r>
        <w:t xml:space="preserve"> </w:t>
      </w:r>
      <w:r>
        <w:t>x</w:t>
      </w:r>
      <w:r>
        <w:t xml:space="preserve"> </w:t>
      </w:r>
      <w:r>
        <w:t>(Ag/CWFNAS</w:t>
      </w:r>
      <w:r>
        <w:t xml:space="preserve"> </w:t>
      </w:r>
      <w:r>
        <w:t>x</w:t>
      </w:r>
      <w:r>
        <w:t xml:space="preserve"> </w:t>
      </w:r>
      <w:r>
        <w:t>) to substantially enhance both the activity and durability of sulfide‐based catalysts. The integration of Ag induces favorable electron redistribution among adjacent Co, Fe, and Ni centers, downshifting the d‐band center and weakening M─O bonds to trigger a mechanistic transition from AEM to the LOM, thereby lowering the OER barriers. When implemented as the anode in an anion exchange membrane water electrolyzer (AEMWE) device, the catalyst delivers an ultralow cell voltage of 1.87 V at 1 A/cm</w:t>
      </w:r>
      <w:r>
        <w:rPr>
          <w:vertAlign w:val="subscript"/>
        </w:rPr>
        <w:t>2</w:t>
      </w:r>
      <w:r>
        <w:t>and exhibits exceptional operational stability with a voltage decay of 0.21 mV/h over 600 h at 60°C. The stability arises from the synergy between the amorphous framework and Ag doping. The framework buffers strain via bond reconfiguration, and Ag doping prevents over‐oxidation and dissolution of the active site. This study highlights a synergistic electronic and structural engineering strategy for achieving highly active and durable sulfide‐based anodes for practical alkaline electrolysis.</w:t>
      </w:r>
    </w:p>
    <w:p>
      <w:pPr>
        <w:spacing w:before="120" w:after="120"/>
      </w:pPr>
      <w:r>
        <w:rPr>
          <w:sz w:val="18"/>
        </w:rPr>
        <w:t>——————————————————————————————————————————————————————————————————————</w:t>
      </w:r>
    </w:p>
    <w:p>
      <w:pPr>
        <w:spacing w:before="160" w:after="40" w:line="240" w:lineRule="auto"/>
      </w:pPr>
      <w:r>
        <w:rPr>
          <w:b/>
        </w:rPr>
        <w:t xml:space="preserve">[216] </w:t>
      </w:r>
      <w:hyperlink r:id="rId623">
        <w:r>
          <w:rPr>
            <w:color w:val="1155CC"/>
            <w:u w:val="single"/>
          </w:rPr>
          <w:t>高性能合金激光增材制造的设计策略，具有均匀的机械性能</w:t>
        </w:r>
      </w:hyperlink>
    </w:p>
    <w:p>
      <w:pPr>
        <w:spacing w:before="0" w:after="80"/>
      </w:pPr>
      <w:r>
        <w:rPr>
          <w:i/>
          <w:sz w:val="20"/>
        </w:rPr>
        <w:t>EN: Design Strategies for Laser Additive Manufacturing of High‐Performance Alloys With Uniform Mechanical Properties</w:t>
      </w:r>
    </w:p>
    <w:p>
      <w:pPr>
        <w:spacing w:before="0" w:after="120"/>
      </w:pPr>
      <w:r>
        <w:rPr>
          <w:b/>
        </w:rPr>
        <w:t xml:space="preserve">Source: </w:t>
      </w:r>
      <w:r>
        <w:t>Wiley: Advanced Materials: Table of Contents</w:t>
      </w:r>
      <w:r>
        <w:t xml:space="preserve">    </w:t>
      </w:r>
      <w:r>
        <w:rPr>
          <w:b/>
        </w:rPr>
        <w:t xml:space="preserve">Pub date: </w:t>
      </w:r>
      <w:r>
        <w:t>2026-04-21 10:46:59+00:00</w:t>
      </w:r>
      <w:r>
        <w:t xml:space="preserve">    </w:t>
      </w:r>
      <w:r>
        <w:rPr>
          <w:b/>
        </w:rPr>
        <w:t xml:space="preserve">DOI: </w:t>
      </w:r>
      <w:hyperlink r:id="rId624">
        <w:r>
          <w:rPr>
            <w:color w:val="1155CC"/>
            <w:u w:val="single"/>
          </w:rPr>
          <w:t>10.1002/adma.202600018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材制造（AM），或称3D打印，使得金属部件可以逐层制造，具有更高的设计灵活性和效率。然而，AM的逐层构建方式以及相关的高冷却速率、陡峭的热梯度和反复的热循环，往往导致微观结构的不均匀性。虽然这种不均匀性在某些应用中可能是有益的，但通常是不利的，因为它们不仅降低了机械性能，还导致高度不均匀的机械性能，从而影响AM部件的可靠性。在这篇综述中，我们概述了开发具有均匀机械性能的高性能合金的最先进的工艺和合金设计策略。</w:t>
      </w:r>
    </w:p>
    <w:p>
      <w:pPr>
        <w:spacing w:before="0" w:after="200" w:lineRule="auto" w:line="276"/>
      </w:pPr>
      <w:r>
        <w:rPr>
          <w:b/>
        </w:rPr>
        <w:t xml:space="preserve">Abstract (EN): </w:t>
      </w:r>
      <w:r>
        <w:t>Additive manufacturing (AM), or 3D printing, enables the fabrication of metallic components layer by layer with enhanced design flexibility and efficiency. However, the layer‐wise build fashion of AM, along with the associated high cooling rates, steep thermal gradients, and repeated thermal cycling, often results in microstructural heterogeneities. While such heterogeneities may be beneficial for certain applications, they are often unfavorable because they not only degrade mechanical performance but also lead to highly non‐uniform mechanical properties that compromise the reliability of AM components. In this review, we provide an overview of state‐of‐the‐art process and alloy design strategies for developing high‐performance alloys with uniform mechanical properties by laser AM. We focus on two typical laser AM processes, that is, laser powder bed fusion and laser directed energy deposition. We discuss the principles and fundamentals of the AM process that can produce microstructural heterogeneities through laser–powder interactions, solidification, and solid‐state phase transformations. We survey and analyze the merits of different process and material design strategies aimed at mitigating microstructural heterogeneities. Finally, we articulate the unmet needs and current challenges in the development of metallic alloys for AM with exceptionally uniform mechanical properties.</w:t>
      </w:r>
    </w:p>
    <w:p>
      <w:pPr>
        <w:spacing w:before="120" w:after="120"/>
      </w:pPr>
      <w:r>
        <w:rPr>
          <w:sz w:val="18"/>
        </w:rPr>
        <w:t>——————————————————————————————————————————————————————————————————————</w:t>
      </w:r>
    </w:p>
    <w:p>
      <w:pPr>
        <w:spacing w:before="160" w:after="40" w:line="240" w:lineRule="auto"/>
      </w:pPr>
      <w:r>
        <w:rPr>
          <w:b/>
        </w:rPr>
        <w:t xml:space="preserve">[217] </w:t>
      </w:r>
      <w:hyperlink r:id="rId625">
        <w:r>
          <w:rPr>
            <w:color w:val="1155CC"/>
            <w:u w:val="single"/>
          </w:rPr>
          <w:t>通过分子间碳金属化反应获取非对映富集的（杂）苯并融合的5-和6-元环的策略</w:t>
        </w:r>
      </w:hyperlink>
    </w:p>
    <w:p>
      <w:pPr>
        <w:spacing w:before="0" w:after="80"/>
      </w:pPr>
      <w:r>
        <w:rPr>
          <w:i/>
          <w:sz w:val="20"/>
        </w:rPr>
        <w:t>EN: Strategies Toward Accessing Enantioenriched (Hetero)Benzo‐Fused 5‐ and 6‐ Membered Rings via Intermolecular Carbometalation</w:t>
      </w:r>
    </w:p>
    <w:p>
      <w:pPr>
        <w:spacing w:before="0" w:after="120"/>
      </w:pPr>
      <w:r>
        <w:rPr>
          <w:b/>
        </w:rPr>
        <w:t xml:space="preserve">Source: </w:t>
      </w:r>
      <w:r>
        <w:t>Wiley: Angewandte Chemie International Edition: Table of Contents</w:t>
      </w:r>
      <w:r>
        <w:t xml:space="preserve">    </w:t>
      </w:r>
      <w:r>
        <w:rPr>
          <w:b/>
        </w:rPr>
        <w:t xml:space="preserve">Pub date: </w:t>
      </w:r>
      <w:r>
        <w:t>2026-04-21 11:14:11+00:00</w:t>
      </w:r>
      <w:r>
        <w:t xml:space="preserve">    </w:t>
      </w:r>
      <w:r>
        <w:rPr>
          <w:b/>
        </w:rPr>
        <w:t xml:space="preserve">DOI: </w:t>
      </w:r>
      <w:hyperlink r:id="rId626">
        <w:r>
          <w:rPr>
            <w:color w:val="1155CC"/>
            <w:u w:val="single"/>
          </w:rPr>
          <w:t>10.1002/anie.6839352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含对映异构的苯并融合的5和6元环继续被发现是重要分子中的显著结构，如药物和天然产物。获取这些结构的关键合成策略是通过金属催化的跨取代烯烃或炔烃的分子间碳金属化步骤。本综述强调了通过分子间碳金属化策略获取富含对映异构的苯并融合的5和6元环的最新进展，由晚期和早期过渡金属催化。通过涵盖关键的机制研究和计算的构象分析，本综述希望能够更统一地理解如何在整个过程中实现不对称控制。</w:t>
      </w:r>
    </w:p>
    <w:p>
      <w:pPr>
        <w:spacing w:before="0" w:after="200" w:lineRule="auto" w:line="276"/>
      </w:pPr>
      <w:r>
        <w:rPr>
          <w:b/>
        </w:rPr>
        <w:t xml:space="preserve">Abstract (EN): </w:t>
      </w:r>
      <w:r>
        <w:t>Enantioenriched benzofused 5‐ and 6‐ membered rings continue to be found as notable motifs in important molecules such as pharmaceuticals and natural products. A key synthetic strategy towards accessing these structures is via a metal‐catalyzed intermolecular carbometalation step across a substituted olefin or alkyne. This review emphasizes recent advances towards accessing enantioenriched benzofused 5‐ and 6‐ membered rings</w:t>
      </w:r>
      <w:r>
        <w:t xml:space="preserve"> </w:t>
      </w:r>
      <w:r>
        <w:t>via</w:t>
      </w:r>
      <w:r>
        <w:t xml:space="preserve"> </w:t>
      </w:r>
      <w:r>
        <w:t>intermolecular carbometalation strategy, catalyzed by late and early transition metals. Through covering the key mechanistic investigations and computed conformational analyses, this review hopes to allow for a more unified understanding of how asymmetric control is attained across a diverse array of metals and ligands, and to highlight significant advances made in the past decade.</w:t>
      </w:r>
    </w:p>
    <w:p>
      <w:pPr>
        <w:spacing w:before="120" w:after="120"/>
      </w:pPr>
      <w:r>
        <w:rPr>
          <w:sz w:val="18"/>
        </w:rPr>
        <w:t>——————————————————————————————————————————————————————————————————————</w:t>
      </w:r>
    </w:p>
    <w:p>
      <w:pPr>
        <w:spacing w:before="160" w:after="40" w:line="240" w:lineRule="auto"/>
      </w:pPr>
      <w:r>
        <w:rPr>
          <w:b/>
        </w:rPr>
        <w:t xml:space="preserve">[218] </w:t>
      </w:r>
      <w:hyperlink r:id="rId627">
        <w:r>
          <w:rPr>
            <w:color w:val="1155CC"/>
            <w:u w:val="single"/>
          </w:rPr>
          <w:t>[ASAP] 空气/水界面自由OH伸缩振动的不均匀性和振动耦合</w:t>
        </w:r>
      </w:hyperlink>
    </w:p>
    <w:p>
      <w:pPr>
        <w:spacing w:before="0" w:after="80"/>
      </w:pPr>
      <w:r>
        <w:rPr>
          <w:i/>
          <w:sz w:val="20"/>
        </w:rPr>
        <w:t>EN: [ASAP] Inhomogeneity and Vibrational Coupling of Free OH Stretch at the Air/Water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2026-04-21 11:39:58+00:00</w:t>
      </w:r>
      <w:r>
        <w:t xml:space="preserve">    </w:t>
      </w:r>
      <w:r>
        <w:rPr>
          <w:b/>
        </w:rPr>
        <w:t xml:space="preserve">DOI: </w:t>
      </w:r>
      <w:hyperlink r:id="rId628">
        <w:r>
          <w:rPr>
            <w:color w:val="1155CC"/>
            <w:u w:val="single"/>
          </w:rPr>
          <w:t>10.1021/jacs.6c02191</w:t>
        </w:r>
      </w:hyperlink>
    </w:p>
    <w:p>
      <w:pPr>
        <w:spacing w:before="0" w:after="120"/>
      </w:pPr>
      <w:r>
        <w:rPr>
          <w:b/>
        </w:rPr>
        <w:t xml:space="preserve">Notes: </w:t>
      </w:r>
      <w:r>
        <w:t>abstract_source=pubmed</w:t>
      </w:r>
    </w:p>
    <w:p>
      <w:pPr>
        <w:spacing w:before="0" w:after="80" w:lineRule="auto" w:line="276"/>
      </w:pPr>
      <w:r>
        <w:rPr>
          <w:b/>
        </w:rPr>
        <w:t xml:space="preserve">摘要（ZH）: </w:t>
      </w:r>
      <w:r>
        <w:t>通过干涉二维外差检测振动和频生成（2D HD-VSFG）光谱研究空气/水界面独特的自由OH基团。振动激发后立即出现的二维光谱显示自由OH主峰（∼3700 cm-1）与其肩带（∼3650 cm-1）之间的交叉峰，揭示肩带是由于与单个界面水分子顶层内的自由OH伸缩振动耦合而出现的。交叉峰的相对幅度随着泵浦频率的降低而增加，并伴随着自由OH主峰漂白的红移。这表明自由OH伸缩带是非均匀展宽的，并且振动耦合的幅度显著变化。</w:t>
      </w:r>
    </w:p>
    <w:p>
      <w:pPr>
        <w:spacing w:before="0" w:after="200" w:lineRule="auto" w:line="276"/>
      </w:pPr>
      <w:r>
        <w:rPr>
          <w:b/>
        </w:rPr>
        <w:t xml:space="preserve">Abstract (EN): </w:t>
      </w:r>
      <w:r>
        <w:t>The free OH moiety unique to the air/water interface is studied by interferometric two-dimensional heterodyne-detected vibrational sum-frequency generation (2D HD-VSFG) spectroscopy. The 2D spectrum immediately after vibrational excitation exhibits cross-peaks between the free OH main peak (∼3700 cm-1) and its shoulder band (∼3650 cm-1), revealing that the shoulder band appears due to vibrational coupling with the free OH stretch within a single interfacial water molecule at the topmost water layer. The relative amplitude of the cross-peak increases with decreasing pump frequency, accompanied by the redshift of the bleach of the free OH main peak. This indicates that the free OH stretch band is inhomogeneously broadened and that the magnitude of the vibrational coupling significantly varies among the subensembles of the free OH.</w:t>
      </w:r>
    </w:p>
    <w:p>
      <w:pPr>
        <w:spacing w:before="120" w:after="120"/>
      </w:pPr>
      <w:r>
        <w:rPr>
          <w:sz w:val="18"/>
        </w:rPr>
        <w:t>——————————————————————————————————————————————————————————————————————</w:t>
      </w:r>
    </w:p>
    <w:p>
      <w:pPr>
        <w:spacing w:before="160" w:after="40" w:line="240" w:lineRule="auto"/>
      </w:pPr>
      <w:r>
        <w:rPr>
          <w:b/>
        </w:rPr>
        <w:t xml:space="preserve">[219] </w:t>
      </w:r>
      <w:hyperlink r:id="rId629">
        <w:r>
          <w:rPr>
            <w:color w:val="1155CC"/>
            <w:u w:val="single"/>
          </w:rPr>
          <w:t>[ASAP] 吡啶基烯基阴离子：进入多样的N-杂环</w:t>
        </w:r>
      </w:hyperlink>
    </w:p>
    <w:p>
      <w:pPr>
        <w:spacing w:before="0" w:after="80"/>
      </w:pPr>
      <w:r>
        <w:rPr>
          <w:i/>
          <w:sz w:val="20"/>
        </w:rPr>
        <w:t>EN: [ASAP] The Pyridylketenyl Anion: Entry to Diverse N-Heterocycles</w:t>
      </w:r>
    </w:p>
    <w:p>
      <w:pPr>
        <w:spacing w:before="0" w:after="120"/>
      </w:pPr>
      <w:r>
        <w:rPr>
          <w:b/>
        </w:rPr>
        <w:t xml:space="preserve">Source: </w:t>
      </w:r>
      <w:r>
        <w:t>Journal of the American Chemical Society: Latest Articles (ACS Publications)</w:t>
      </w:r>
      <w:r>
        <w:t xml:space="preserve">    </w:t>
      </w:r>
      <w:r>
        <w:rPr>
          <w:b/>
        </w:rPr>
        <w:t xml:space="preserve">Pub date: </w:t>
      </w:r>
      <w:r>
        <w:t>2026-04-21 11:41:00+00:00</w:t>
      </w:r>
      <w:r>
        <w:t xml:space="preserve">    </w:t>
      </w:r>
      <w:r>
        <w:rPr>
          <w:b/>
        </w:rPr>
        <w:t xml:space="preserve">DOI: </w:t>
      </w:r>
      <w:hyperlink r:id="rId630">
        <w:r>
          <w:rPr>
            <w:color w:val="1155CC"/>
            <w:u w:val="single"/>
          </w:rPr>
          <w:t>10.1021/jacs.6c03327</w:t>
        </w:r>
      </w:hyperlink>
    </w:p>
    <w:p>
      <w:pPr>
        <w:spacing w:before="0" w:after="120"/>
      </w:pPr>
      <w:r>
        <w:rPr>
          <w:b/>
        </w:rPr>
        <w:t xml:space="preserve">Notes: </w:t>
      </w:r>
      <w:r>
        <w:t>abstract_source=pubmed</w:t>
      </w:r>
    </w:p>
    <w:p>
      <w:pPr>
        <w:spacing w:before="0" w:after="80" w:lineRule="auto" w:line="276"/>
      </w:pPr>
      <w:r>
        <w:rPr>
          <w:b/>
        </w:rPr>
        <w:t xml:space="preserve">摘要（ZH）: </w:t>
      </w:r>
      <w:r>
        <w:t>吡啶基烯酮先前已通过基质隔离法分离，并在N-杂环合成中展示了潜力。在此，我们通过常规合成方法报告了吡啶基烯酰基阴离子的合成和分离，涉及金属化和随后对易得的2-吡啶基叶立德的羰基化。量子化学计算揭示了整个分子框架上负电荷的广泛离域，导致多个亲核位点，这些位点最好用一系列共振结构来描述。红外光谱和X射线衍射数据证实了这种电子结构，表明C-C-C-O基团显著压缩。显著的电荷离域使多样的反应性成为可能，并促进了涉及环化的途径。</w:t>
      </w:r>
    </w:p>
    <w:p>
      <w:pPr>
        <w:spacing w:before="0" w:after="200" w:lineRule="auto" w:line="276"/>
      </w:pPr>
      <w:r>
        <w:rPr>
          <w:b/>
        </w:rPr>
        <w:t xml:space="preserve">Abstract (EN): </w:t>
      </w:r>
      <w:r>
        <w:t>The pyridylketene has previously been isolated via matrix isolation and demonstrated potential in the synthesis of N-heterocycles. Herein, we report the synthesis and isolation of the pyridylketenyl anion through conventional synthetic methods, involving metalation and subsequent carbonylation of the readily available 2-pyridyl ylide. Quantum chemical calculations reveal extensive delocalization of the negative charge across the entire molecular framework, resulting in multiple nucleophilic sites that are best described by a series of resonance structures. IR spectroscopic and X-ray diffraction data corroborate this electronic structure, indicating a markedly compressed C-C-C-O moiety. The pronounced charge delocalization enables diverse reactivities and promotes cyclization pathways involving the pyridine nitrogen. Accordingly, the pyridylketenyl anion serves as a versatile precursor for the construction of heterocycles featuring triazolone, quinolizine, and indolizine motifs, underscoring its broad applicability as a building block in heterocycle synthesis.</w:t>
      </w:r>
    </w:p>
    <w:p>
      <w:pPr>
        <w:spacing w:before="120" w:after="120"/>
      </w:pPr>
      <w:r>
        <w:rPr>
          <w:sz w:val="18"/>
        </w:rPr>
        <w:t>——————————————————————————————————————————————————————————————————————</w:t>
      </w:r>
    </w:p>
    <w:p>
      <w:pPr>
        <w:spacing w:before="160" w:after="40" w:line="240" w:lineRule="auto"/>
      </w:pPr>
      <w:r>
        <w:rPr>
          <w:b/>
        </w:rPr>
        <w:t xml:space="preserve">[220] </w:t>
      </w:r>
      <w:hyperlink r:id="rId631">
        <w:r>
          <w:rPr>
            <w:color w:val="1155CC"/>
            <w:u w:val="single"/>
          </w:rPr>
          <w:t>[ASAP] 排斥性气体-电极范德华力在化学修饰气泡下促进电荷转移反应</w:t>
        </w:r>
      </w:hyperlink>
    </w:p>
    <w:p>
      <w:pPr>
        <w:spacing w:before="0" w:after="80"/>
      </w:pPr>
      <w:r>
        <w:rPr>
          <w:i/>
          <w:sz w:val="20"/>
        </w:rPr>
        <w:t>EN: [ASAP] Repulsive Gas–Electrode van der Waals Forces Enable Charge Transfer Reactions under Chemically Modified Bubbles</w:t>
      </w:r>
    </w:p>
    <w:p>
      <w:pPr>
        <w:spacing w:before="0" w:after="120"/>
      </w:pPr>
      <w:r>
        <w:rPr>
          <w:b/>
        </w:rPr>
        <w:t xml:space="preserve">Source: </w:t>
      </w:r>
      <w:r>
        <w:t>Journal of the American Chemical Society: Latest Articles (ACS Publications)</w:t>
      </w:r>
      <w:r>
        <w:t xml:space="preserve">    </w:t>
      </w:r>
      <w:r>
        <w:rPr>
          <w:b/>
        </w:rPr>
        <w:t xml:space="preserve">Pub date: </w:t>
      </w:r>
      <w:r>
        <w:t>2026-04-21 15:11:22+00:00</w:t>
      </w:r>
      <w:r>
        <w:t xml:space="preserve">    </w:t>
      </w:r>
      <w:r>
        <w:rPr>
          <w:b/>
        </w:rPr>
        <w:t xml:space="preserve">DOI: </w:t>
      </w:r>
      <w:hyperlink r:id="rId632">
        <w:r>
          <w:rPr>
            <w:color w:val="1155CC"/>
            <w:u w:val="single"/>
          </w:rPr>
          <w:t>10.1021/jacs.6c04062</w:t>
        </w:r>
      </w:hyperlink>
    </w:p>
    <w:p>
      <w:pPr>
        <w:spacing w:before="0" w:after="120"/>
      </w:pPr>
      <w:r>
        <w:rPr>
          <w:b/>
        </w:rPr>
        <w:t xml:space="preserve">Notes: </w:t>
      </w:r>
      <w:r>
        <w:t>abstract_source=pubmed</w:t>
      </w:r>
    </w:p>
    <w:p>
      <w:pPr>
        <w:spacing w:before="0" w:after="80" w:lineRule="auto" w:line="276"/>
      </w:pPr>
      <w:r>
        <w:rPr>
          <w:b/>
        </w:rPr>
        <w:t xml:space="preserve">摘要（ZH）: </w:t>
      </w:r>
      <w:r>
        <w:t>气泡是理想的疏水结构，支撑从矿物加工到化学分析的技术。气泡的技术价值在于它们能够简单高效地创造疏水-亲水相界。然而，气泡在很大程度上与电化学过程不兼容：它们通过中断溶液-电极接触来阻碍电荷转移反应。我们展示了一种将气泡与电极反应结合的方法。对于微米级电极和表面活性反应物（&lt;60 mN/m），气泡下方形成纳米级分离液膜，视觉上表现为表面附着。由排斥范德华（vdW）力维持的气-溶液-电极连接使得气泡的油状特性得以利用在a</w:t>
      </w:r>
    </w:p>
    <w:p>
      <w:pPr>
        <w:spacing w:before="0" w:after="200" w:lineRule="auto" w:line="276"/>
      </w:pPr>
      <w:r>
        <w:rPr>
          <w:b/>
        </w:rPr>
        <w:t xml:space="preserve">Abstract (EN): </w:t>
      </w:r>
      <w:r>
        <w:t>Gas bubbles are ideal hydrophobic structures that underpin technologies ranging from mineral processing to chemical analysis. The technological value of bubbles lies in their ability to create hydrophobic-hydrophilic phase boundaries, simply and efficiently. However, bubbles remain largely incompatible with electrochemical processes: they block charge transfer reactions by interrupting solution-electrode contact. We demonstrate a path to integrate bubbles with electrode reactions. For micrometer-sized electrodes and surface-active reactants (&lt;60 mN/m), a nanoscale disjoining liquid film forms under bubbles that visually appear as surface-adherent. Gas-solution-electrode junctions sustained by repulsive van der Waals (vdW) forces allow the oil-like properties of bubbles to be harnessed in aqueous electrolytes. Through vdW-stabilized junctions, bubbles are redefined from detrimental dielectric blocks to facilitators of electrode processes. This is demonstrated by 10-fold rate enhancements, improved reaction reversibility and ionic conductivity, and the redox cycling of enzymes stabilized by confinement between bubbles and electrodes.</w:t>
      </w:r>
    </w:p>
    <w:p>
      <w:pPr>
        <w:spacing w:before="120" w:after="120"/>
      </w:pPr>
      <w:r>
        <w:rPr>
          <w:sz w:val="18"/>
        </w:rPr>
        <w:t>——————————————————————————————————————————————————————————————————————</w:t>
      </w:r>
    </w:p>
    <w:p>
      <w:pPr>
        <w:spacing w:before="160" w:after="40" w:line="240" w:lineRule="auto"/>
      </w:pPr>
      <w:r>
        <w:rPr>
          <w:b/>
        </w:rPr>
        <w:t xml:space="preserve">[221] </w:t>
      </w:r>
      <w:hyperlink r:id="rId633">
        <w:r>
          <w:rPr>
            <w:color w:val="1155CC"/>
            <w:u w:val="single"/>
          </w:rPr>
          <w:t>[ASAP] 通过氟钯化和二向重排实现烯烃的氟-Wacker 双氟化反应</w:t>
        </w:r>
      </w:hyperlink>
    </w:p>
    <w:p>
      <w:pPr>
        <w:spacing w:before="0" w:after="80"/>
      </w:pPr>
      <w:r>
        <w:rPr>
          <w:i/>
          <w:sz w:val="20"/>
        </w:rPr>
        <w:t>EN: [ASAP] Fluoro-Wacker Gem-Difluorination of Alkene via Fluoropalladation and Dyotropic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2026-04-21 15:15:48+00:00</w:t>
      </w:r>
      <w:r>
        <w:t xml:space="preserve">    </w:t>
      </w:r>
      <w:r>
        <w:rPr>
          <w:b/>
        </w:rPr>
        <w:t xml:space="preserve">DOI: </w:t>
      </w:r>
      <w:hyperlink r:id="rId634">
        <w:r>
          <w:rPr>
            <w:color w:val="1155CC"/>
            <w:u w:val="single"/>
          </w:rPr>
          <w:t>10.1021/jacs.6c02970</w:t>
        </w:r>
      </w:hyperlink>
    </w:p>
    <w:p>
      <w:pPr>
        <w:spacing w:before="0" w:after="120"/>
      </w:pPr>
      <w:r>
        <w:rPr>
          <w:b/>
        </w:rPr>
        <w:t xml:space="preserve">Notes: </w:t>
      </w:r>
      <w:r>
        <w:t>abstract_source=openalex</w:t>
      </w:r>
    </w:p>
    <w:p>
      <w:pPr>
        <w:spacing w:before="0" w:after="80" w:lineRule="auto" w:line="276"/>
      </w:pPr>
      <w:r>
        <w:rPr>
          <w:b/>
        </w:rPr>
        <w:t xml:space="preserve">摘要（ZH）: </w:t>
      </w:r>
      <w:r>
        <w:t>烯烃的核钯化是钯催化中的一个基本步骤，支撑着广泛的烯烃功能化反应。然而，使用易得且合成实用的氟化物源进行氟钯化仍然明显欠发展。我们在此报告一种钯催化的迁移性1,1-二氟化1,1-二取代烯烃的方法，该方法通过亲核氟钯化、将生成的烷基-Pd(II)中间体氧化为Pd(IV)，以及随后的1,2-Csp3/Pd(IV)二向重排进行。三乙胺三氢氟化物复合物（Et3N·3HF）作为一种高效的亲核氟化物源，与氧化Pd(II)为Pd(IV)并触发迁移重排的Selectfluor完全兼容。这项工作建立了</w:t>
      </w:r>
    </w:p>
    <w:p>
      <w:pPr>
        <w:spacing w:before="0" w:after="200" w:lineRule="auto" w:line="276"/>
      </w:pPr>
      <w:r>
        <w:rPr>
          <w:b/>
        </w:rPr>
        <w:t xml:space="preserve">Abstract (EN): </w:t>
      </w:r>
      <w:r>
        <w:t>Nucleopalladation of alkenes is a fundamental elementary step in palladium catalysis and underpins a wide range of alkene functionalization reactions. However, fluoropalladation using readily accessible and synthetically practical fluoride sources remains markedly underdeveloped. We report herein a palladium-catalyzed migrative 1,1-difluorination of 1,1-disubstituted alkenes that proceeds through nucleophilic fluoropalladation, oxidation of the resulting alkyl-Pd(II) intermediate to Pd(IV), and a subsequent 1,2-Csp3/Pd(IV) dyotropic rearrangement. The triethylamine tris(hydrogen fluoride) complex (Et3N·3HF) serves as an efficient nucleophilic fluoride source and is fully compatible with Selectfluor, which oxidizes Pd(II) to Pd(IV) and triggers migratory rearrangement. This work establishes fluoropalladation-initiated Pd(IV) dyotropic rearrangement as a viable mechanistic platform for migrative alkene difunctionalization and enables efficient conversion of 1,1-disubstituted alkenes into ring-expanded or chain-extended products bearing a gem-difluoromethylene unit.</w:t>
      </w:r>
    </w:p>
    <w:p>
      <w:pPr>
        <w:spacing w:before="120" w:after="120"/>
      </w:pPr>
      <w:r>
        <w:rPr>
          <w:sz w:val="18"/>
        </w:rPr>
        <w:t>——————————————————————————————————————————————————————————————————————</w:t>
      </w:r>
    </w:p>
    <w:p>
      <w:pPr>
        <w:spacing w:before="160" w:after="40" w:line="240" w:lineRule="auto"/>
      </w:pPr>
      <w:r>
        <w:rPr>
          <w:b/>
        </w:rPr>
        <w:t xml:space="preserve">[222] </w:t>
      </w:r>
      <w:hyperlink r:id="rId635">
        <w:r>
          <w:rPr>
            <w:color w:val="1155CC"/>
            <w:u w:val="single"/>
          </w:rPr>
          <w:t>[ASAP] 用于快中子和X射线成像的热激活延迟荧光混合铜(I)碘化物闪烁体</w:t>
        </w:r>
      </w:hyperlink>
    </w:p>
    <w:p>
      <w:pPr>
        <w:spacing w:before="0" w:after="80"/>
      </w:pPr>
      <w:r>
        <w:rPr>
          <w:i/>
          <w:sz w:val="20"/>
        </w:rPr>
        <w:t>EN: [ASAP] Thermally Activated Delayed Fluorescence Hybrid Copper(I) Iodide Scintillator for Fast Neutron and X-ray Imaging</w:t>
      </w:r>
    </w:p>
    <w:p>
      <w:pPr>
        <w:spacing w:before="0" w:after="120"/>
      </w:pPr>
      <w:r>
        <w:rPr>
          <w:b/>
        </w:rPr>
        <w:t xml:space="preserve">Source: </w:t>
      </w:r>
      <w:r>
        <w:t>Journal of the American Chemical Society: Latest Articles (ACS Publications)</w:t>
      </w:r>
      <w:r>
        <w:t xml:space="preserve">    </w:t>
      </w:r>
      <w:r>
        <w:rPr>
          <w:b/>
        </w:rPr>
        <w:t xml:space="preserve">Pub date: </w:t>
      </w:r>
      <w:r>
        <w:t>2026-04-21 15:16:29+00:00</w:t>
      </w:r>
      <w:r>
        <w:t xml:space="preserve">    </w:t>
      </w:r>
      <w:r>
        <w:rPr>
          <w:b/>
        </w:rPr>
        <w:t xml:space="preserve">DOI: </w:t>
      </w:r>
      <w:hyperlink r:id="rId636">
        <w:r>
          <w:rPr>
            <w:color w:val="1155CC"/>
            <w:u w:val="single"/>
          </w:rPr>
          <w:t>10.1021/jacs.6c03617</w:t>
        </w:r>
      </w:hyperlink>
    </w:p>
    <w:p>
      <w:pPr>
        <w:spacing w:before="0" w:after="120"/>
      </w:pPr>
      <w:r>
        <w:rPr>
          <w:b/>
        </w:rPr>
        <w:t xml:space="preserve">Notes: </w:t>
      </w:r>
      <w:r>
        <w:t>abstract_source=pubmed</w:t>
      </w:r>
    </w:p>
    <w:p>
      <w:pPr>
        <w:spacing w:before="0" w:after="80" w:lineRule="auto" w:line="276"/>
      </w:pPr>
      <w:r>
        <w:rPr>
          <w:b/>
        </w:rPr>
        <w:t xml:space="preserve">摘要（ZH）: </w:t>
      </w:r>
      <w:r>
        <w:t>开发高性能双成像应用（如快中子和X射线应用）使用单一材料在化学、材料科学、物理和工程领域构成了非常显著的挑战。将两种成像能力集成到单一材料中用于专门的检测应用将简化设备设计并显著降低整体检测成本。这项工作代表了首个为高性能双成像应用设计的无铅系统的演示。它具有多功能的混合铜(I)碘化物闪烁体，其中富氢和发光单元在分子水平上协同耦合，使得快中子和X射线的同时成像成为可能。激子限制的完美协同作用和</w:t>
      </w:r>
    </w:p>
    <w:p>
      <w:pPr>
        <w:spacing w:before="0" w:after="200" w:lineRule="auto" w:line="276"/>
      </w:pPr>
      <w:r>
        <w:rPr>
          <w:b/>
        </w:rPr>
        <w:t xml:space="preserve">Abstract (EN): </w:t>
      </w:r>
      <w:r>
        <w:t>Developing high-performance dual imaging applications, such as fast neutron and X-ray applications, using a single material presents a very significant challenge across chemistry, material science, physics, and engineering. Integrating both imaging capabilities into a single material for specialized detection applications will simplify device design and significantly reduce overall detection costs. This work represents the first demonstration of a lead-free system designed for high-performance dual imaging applications. It features a multifunctional hybrid copper(I) iodide scintillator, in which hydrogen-rich and luminescent units are synergistically coupled at the molecular level, enabling the simultaneous imaging of fast neutrons and X-rays. The perfect synergy of exciton confinement and thermally activated delayed fluorescence (TADF) effects empowers this material with exceptional dual imaging capabilities. The confined structure formed by heavy-atom modules at the core imparts a high exciton binding energy, suppressing the nonradiative recombination of excitons. The TADF mechanism channels phonons generated by high-energy radiation into the radiative recombination process. Additionally, the lack of self-absorption guarantees efficient photon utilization. Leveraging these properties, the material achieves an impressive X-ray light yield of approximately 42,000 photons/MeV and an exceptional spatial resolution of 25.8 lp/mm for X-ray imaging, surpassing most commercial scintillators available in the X-ray market. Furthermore, the material demonstrates an outstanding spatial resolution of 1.47 lp/mm in fast neutron imaging, representing the best level reported to date for a Pb-free scintillator. This environmentally friendly and high-performance multifunctional scintillator significantly advances next-generation scintillation materials, presenting exciting opportunities for high-precision and dual imaging applications at a low cost.</w:t>
      </w:r>
    </w:p>
    <w:p>
      <w:pPr>
        <w:spacing w:before="120" w:after="120"/>
      </w:pPr>
      <w:r>
        <w:rPr>
          <w:sz w:val="18"/>
        </w:rPr>
        <w:t>——————————————————————————————————————————————————————————————————————</w:t>
      </w:r>
    </w:p>
    <w:p>
      <w:pPr>
        <w:spacing w:before="160" w:after="40" w:line="240" w:lineRule="auto"/>
      </w:pPr>
      <w:r>
        <w:rPr>
          <w:b/>
        </w:rPr>
        <w:t xml:space="preserve">[223] </w:t>
      </w:r>
      <w:hyperlink r:id="rId637">
        <w:r>
          <w:rPr>
            <w:color w:val="1155CC"/>
            <w:u w:val="single"/>
          </w:rPr>
          <w:t>[ASAP] 金属-有机框架中的离子-电子耦合驱动的氧化还原行为</w:t>
        </w:r>
      </w:hyperlink>
    </w:p>
    <w:p>
      <w:pPr>
        <w:spacing w:before="0" w:after="80"/>
      </w:pPr>
      <w:r>
        <w:rPr>
          <w:i/>
          <w:sz w:val="20"/>
        </w:rPr>
        <w:t>EN: [ASAP] Ion-Electron Coupling-Driven Redox Behavior in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2026-04-21 15:51:57+00:00</w:t>
      </w:r>
      <w:r>
        <w:t xml:space="preserve">    </w:t>
      </w:r>
      <w:r>
        <w:rPr>
          <w:b/>
        </w:rPr>
        <w:t xml:space="preserve">DOI: </w:t>
      </w:r>
      <w:hyperlink r:id="rId638">
        <w:r>
          <w:rPr>
            <w:color w:val="1155CC"/>
            <w:u w:val="single"/>
          </w:rPr>
          <w:t>10.1021/jacs.6c03704</w:t>
        </w:r>
      </w:hyperlink>
    </w:p>
    <w:p>
      <w:pPr>
        <w:spacing w:before="0" w:after="120"/>
      </w:pPr>
      <w:r>
        <w:rPr>
          <w:b/>
        </w:rPr>
        <w:t xml:space="preserve">Notes: </w:t>
      </w:r>
      <w:r>
        <w:t>abstract_source=pubmed</w:t>
      </w:r>
    </w:p>
    <w:p>
      <w:pPr>
        <w:spacing w:before="0" w:after="80" w:lineRule="auto" w:line="276"/>
      </w:pPr>
      <w:r>
        <w:rPr>
          <w:b/>
        </w:rPr>
        <w:t xml:space="preserve">摘要（ZH）: </w:t>
      </w:r>
      <w:r>
        <w:t>氧化还原活性金属有机框架（MOFs）长期以来被提议作为电子传输平台，但其导电性的微观起源仍存在争议。一项理论演示揭示了在Zn(吡唑-萘二酰亚胺(NDI)) MOF中的电荷传输不是来自于离域的类带态，而是来自于离散连接位点之间的氧化还原跳跃。通过结合电子结构分析的从头算分子动力学模拟，我们建立了电子注入、结构重组和传输之间的直接联系。电子积累按顺序并选择性地从NDI核心的酰亚胺和羰基逐步涉及到较高还原态的吡唑氮原子，通过一系列氧化还原活性位点。相比之下，Zn</w:t>
      </w:r>
    </w:p>
    <w:p>
      <w:pPr>
        <w:spacing w:before="0" w:after="200" w:lineRule="auto" w:line="276"/>
      </w:pPr>
      <w:r>
        <w:rPr>
          <w:b/>
        </w:rPr>
        <w:t xml:space="preserve">Abstract (EN): </w:t>
      </w:r>
      <w:r>
        <w:t>Redox-active metal-organic frameworks (MOFs) have long been proposed as electronic transport platforms, yet the microscopic origin of their conductivity remains debated. A theoretical demonstration reveals charge transport in a Zn(pyrazole-naphthalene diimide (NDI)) MOF arising not from delocalized band-like states but from redox hopping between discrete linker sites. Using ab initio molecular dynamics simulations combined with electronic structure analysis, we established a direct link among electron injection, structural reorganization, and transport. Electron accumulation proceeds sequentially and site-selectively from imide and carbonyl groups of the NDI core progressively involving pyrazole N atoms at higher reduction states, through a hierarchy of redox-active sites. In contrast, Zn nodes remain essentially redox-inactive, which confirms their structural role. Density-of-states analysis corroborates a transport regime dominated by linker-centered states with evolving p-character upon reduction, resulting in dynamically reconfigured conduction networks. Real-time trajectories reveal anisotropic linker-to-linker electron transfer modulated by counterion coordination. This cooperative ion-electron regime emerges from potential energy surface collapse into a single low-barrier transition (ΔG‡ ≈ 45 meV), where ionic and electronic motions evolve adiabatically on the same free-energy landscape. Elucidating redox conductivity in Zn(pyrazole-NDI) MOFs provides a theoretical framework for use in neuromorphic computing and related technologies.</w:t>
      </w:r>
    </w:p>
    <w:p>
      <w:pPr>
        <w:spacing w:before="120" w:after="120"/>
      </w:pPr>
      <w:r>
        <w:rPr>
          <w:sz w:val="18"/>
        </w:rPr>
        <w:t>——————————————————————————————————————————————————————————————————————</w:t>
      </w:r>
    </w:p>
    <w:p>
      <w:pPr>
        <w:spacing w:before="160" w:after="40" w:line="240" w:lineRule="auto"/>
      </w:pPr>
      <w:r>
        <w:rPr>
          <w:b/>
        </w:rPr>
        <w:t xml:space="preserve">[224] </w:t>
      </w:r>
      <w:hyperlink r:id="rId639">
        <w:r>
          <w:rPr>
            <w:color w:val="1155CC"/>
            <w:u w:val="single"/>
          </w:rPr>
          <w:t>[ASAP] 在十钨酸盐介导的立体编辑反应中，距离依赖的、速率加速的和非对映选择性的定向效应</w:t>
        </w:r>
      </w:hyperlink>
    </w:p>
    <w:p>
      <w:pPr>
        <w:spacing w:before="0" w:after="80"/>
      </w:pPr>
      <w:r>
        <w:rPr>
          <w:i/>
          <w:sz w:val="20"/>
        </w:rPr>
        <w:t>EN: [ASAP] Distance-Dependent, Rate-Accelerating and Diastereoselective Directing Effects in Decatungstate-Mediated Stereoediting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2026-04-21 16:33:32+00:00</w:t>
      </w:r>
      <w:r>
        <w:t xml:space="preserve">    </w:t>
      </w:r>
      <w:r>
        <w:rPr>
          <w:b/>
        </w:rPr>
        <w:t xml:space="preserve">DOI: </w:t>
      </w:r>
      <w:hyperlink r:id="rId640">
        <w:r>
          <w:rPr>
            <w:color w:val="1155CC"/>
            <w:u w:val="single"/>
          </w:rPr>
          <w:t>10.1021/jacs.5c22842</w:t>
        </w:r>
      </w:hyperlink>
    </w:p>
    <w:p>
      <w:pPr>
        <w:spacing w:before="0" w:after="120"/>
      </w:pPr>
      <w:r>
        <w:rPr>
          <w:b/>
        </w:rPr>
        <w:t xml:space="preserve">Notes: </w:t>
      </w:r>
      <w:r>
        <w:t>abstract_source=openalex</w:t>
      </w:r>
    </w:p>
    <w:p>
      <w:pPr>
        <w:spacing w:before="0" w:after="80" w:lineRule="auto" w:line="276"/>
      </w:pPr>
      <w:r>
        <w:rPr>
          <w:b/>
        </w:rPr>
        <w:t xml:space="preserve">摘要（ZH）: </w:t>
      </w:r>
      <w:r>
        <w:t>激发态的十钨酸盐（DT）多阴离子是有机合成中一种重要且常用的氢原子转移（HAT）试剂。DT介导的HAT步骤的固有位点和对映选择性被广泛接受为由空间位阻和键极性（不）匹配效应决定的，而DT的刚性多金属氧酸盐结构提供了有限的机会来改变这种反应性特征。在此，我们揭示了固有的功能基团，如仲酰胺，可以以依赖于接近性和对映选择性的方式加速DT的HAT速率。我们利用这种定向效应通过&lt;em&gt;反&lt;/em&gt;热力学C-H表异构化从易得的&lt;em&gt;反&lt;/em&gt;构型起始材料获得&lt;em&gt;顺&lt;/em&gt;-1,2-二取代酰胺。发现非共价</w:t>
      </w:r>
    </w:p>
    <w:p>
      <w:pPr>
        <w:spacing w:before="0" w:after="200" w:lineRule="auto" w:line="276"/>
      </w:pPr>
      <w:r>
        <w:rPr>
          <w:b/>
        </w:rPr>
        <w:t xml:space="preserve">Abstract (EN): </w:t>
      </w:r>
      <w:r>
        <w:t>The excited-state decatungstate (DT) polyanion is an important and commonly used hydrogen atom transfer (HAT) reagent in organic synthesis. The intrinsic site- and diastereoselectivity of DT-mediated HAT steps is broadly accepted as being dictated by steric and bond polarity (mis)matching effects, and DT's rigid polyoxometalate structure presents limited opportunities for altering this reactivity profile. Here, we reveal that innate functional groups, such as secondary amides, can accelerate the rate of HAT by DT in a proximity-dependent and diastereoselective manner. We leverage this directing effect to access &lt;i&gt;cis&lt;/i&gt;-1,2-disubstituted amides via the &lt;i&gt;contra&lt;/i&gt;-thermodynamic C-H epimerization of readily obtained &lt;i&gt;trans&lt;/i&gt;-configured starting materials. The discovery that noncovalent interactions can be used to guide the reactivity of excited-state DT fundamentally transforms our understanding of this reagent's control paradigms, opening the door to the design of new strategies to tune the selectivity of DT-mediated HAT steps.</w:t>
      </w:r>
    </w:p>
    <w:p>
      <w:pPr>
        <w:spacing w:before="120" w:after="120"/>
      </w:pPr>
      <w:r>
        <w:rPr>
          <w:sz w:val="18"/>
        </w:rPr>
        <w:t>——————————————————————————————————————————————————————————————————————</w:t>
      </w:r>
    </w:p>
    <w:p>
      <w:pPr>
        <w:spacing w:before="160" w:after="40" w:line="240" w:lineRule="auto"/>
      </w:pPr>
      <w:r>
        <w:rPr>
          <w:b/>
        </w:rPr>
        <w:t xml:space="preserve">[225] </w:t>
      </w:r>
      <w:hyperlink r:id="rId641">
        <w:r>
          <w:rPr>
            <w:color w:val="1155CC"/>
            <w:u w:val="single"/>
          </w:rPr>
          <w:t>[ASAP] 纳米流体辅助合成高熵合金纳米颗粒</w:t>
        </w:r>
      </w:hyperlink>
    </w:p>
    <w:p>
      <w:pPr>
        <w:spacing w:before="0" w:after="80"/>
      </w:pPr>
      <w:r>
        <w:rPr>
          <w:i/>
          <w:sz w:val="20"/>
        </w:rPr>
        <w:t>EN: [ASAP] Nanofluid-Assisted Synthesis of High-Entropy Alloy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2026-04-21 16:39:29+00:00</w:t>
      </w:r>
      <w:r>
        <w:t xml:space="preserve">    </w:t>
      </w:r>
      <w:r>
        <w:rPr>
          <w:b/>
        </w:rPr>
        <w:t xml:space="preserve">DOI: </w:t>
      </w:r>
      <w:hyperlink r:id="rId642">
        <w:r>
          <w:rPr>
            <w:color w:val="1155CC"/>
            <w:u w:val="single"/>
          </w:rPr>
          <w:t>10.1021/jacs.5c22716</w:t>
        </w:r>
      </w:hyperlink>
    </w:p>
    <w:p>
      <w:pPr>
        <w:spacing w:before="0" w:after="120"/>
      </w:pPr>
      <w:r>
        <w:rPr>
          <w:b/>
        </w:rPr>
        <w:t xml:space="preserve">Notes: </w:t>
      </w:r>
      <w:r>
        <w:t>abstract_source=openalex</w:t>
      </w:r>
    </w:p>
    <w:p>
      <w:pPr>
        <w:spacing w:before="0" w:after="80" w:lineRule="auto" w:line="276"/>
      </w:pPr>
      <w:r>
        <w:rPr>
          <w:b/>
        </w:rPr>
        <w:t xml:space="preserve">摘要（ZH）: </w:t>
      </w:r>
      <w:r>
        <w:t>高熵合金纳米颗粒（HEA-NPs）的合成传统上是由热力学考虑指导的，依赖于静态参数优化。在此，我们引入了一种动力学控制的范式，通过引导纳米流体传输来制造由十种不同元素组成的应变HEA-NPs。这一策略采用Zn作为活性推进剂，构建互联的纳米通道，引导多金属纳米流体流动并触发合金化。利用原位透射电子显微镜，我们直接观察到纳米限域下的长程定向迁移动态，这诱发了强制融合和裂变事件，这对于实现均匀混合和尺寸控制至关重要。这些独特的限域动态进一步赋予了生成的纳米颗粒表面张应变。</w:t>
      </w:r>
    </w:p>
    <w:p>
      <w:pPr>
        <w:spacing w:before="0" w:after="200" w:lineRule="auto" w:line="276"/>
      </w:pPr>
      <w:r>
        <w:rPr>
          <w:b/>
        </w:rPr>
        <w:t xml:space="preserve">Abstract (EN): </w:t>
      </w:r>
      <w:r>
        <w:t>The synthesis of high-entropy alloy nanoparticles (HEA-NPs) has traditionally been guided by thermodynamic considerations, relying on static parameter optimization. Here, we introduce a kinetically controlled paradigm for directing nanofluid transport to craft strained HEA-NPs from ten dissimilar elements. This strategy employs Zn as an active propellant, constructing interconnected nanochannels that steer multimetal nanofluid flow and trigger alloying. Using in situ transmission electron microscopy, we directly observe the dynamics of long-range directional migration under nanoconfinement, which induces forced fusion and fission events pivotal for achieving homogeneous mixing and size control. These unique confinement dynamics further impart surface tensile strain to the resulting nanoparticles. When applied to electrocatalytic nitrate-to-ammonia conversion, the strained HEA-NPs achieve an exceptional Faradaic efficiency of 94.8 ± 4.34% and sustain stable operation for over 720 h. Mechanistic studies attribute this performance to the synergy between multielement active sites and the tailored surface strain, which collectively optimize intermediate adsorption. This work establishes a new design principle for complex nanomaterials by shifting the perspective from static thermodynamics to dynamic kinetic control, providing a scalable pathway for the development of advanced electrocatalysts.</w:t>
      </w:r>
    </w:p>
    <w:p>
      <w:pPr>
        <w:spacing w:before="120" w:after="120"/>
      </w:pPr>
      <w:r>
        <w:rPr>
          <w:sz w:val="18"/>
        </w:rPr>
        <w:t>——————————————————————————————————————————————————————————————————————</w:t>
      </w:r>
    </w:p>
    <w:p>
      <w:pPr>
        <w:spacing w:before="160" w:after="40" w:line="240" w:lineRule="auto"/>
      </w:pPr>
      <w:r>
        <w:rPr>
          <w:b/>
        </w:rPr>
        <w:t xml:space="preserve">[226] </w:t>
      </w:r>
      <w:hyperlink r:id="rId643">
        <w:r>
          <w:rPr>
            <w:color w:val="1155CC"/>
            <w:u w:val="single"/>
          </w:rPr>
          <w:t>[ASAP] 溴改性铜上的脉冲驱动活性位点切换实现2e– + 6e– 硝酸盐到氨的顺序转化</w:t>
        </w:r>
      </w:hyperlink>
    </w:p>
    <w:p>
      <w:pPr>
        <w:spacing w:before="0" w:after="80"/>
      </w:pPr>
      <w:r>
        <w:rPr>
          <w:i/>
          <w:sz w:val="20"/>
        </w:rPr>
        <w:t>EN: [ASAP] Pulse-Driven Active-Site Switching on Bromine-Modified Cu Enables Sequential 2e– + 6e– Nitrate-to-Ammonia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2026-04-21 16:40:29+00:00</w:t>
      </w:r>
      <w:r>
        <w:t xml:space="preserve">    </w:t>
      </w:r>
      <w:r>
        <w:rPr>
          <w:b/>
        </w:rPr>
        <w:t xml:space="preserve">DOI: </w:t>
      </w:r>
      <w:hyperlink r:id="rId644">
        <w:r>
          <w:rPr>
            <w:color w:val="1155CC"/>
            <w:u w:val="single"/>
          </w:rPr>
          <w:t>10.1021/jacs.6c00778</w:t>
        </w:r>
      </w:hyperlink>
    </w:p>
    <w:p>
      <w:pPr>
        <w:spacing w:before="0" w:after="120"/>
      </w:pPr>
      <w:r>
        <w:rPr>
          <w:b/>
        </w:rPr>
        <w:t xml:space="preserve">Notes: </w:t>
      </w:r>
      <w:r>
        <w:t>abstract_source=pubmed</w:t>
      </w:r>
    </w:p>
    <w:p>
      <w:pPr>
        <w:spacing w:before="0" w:after="80" w:lineRule="auto" w:line="276"/>
      </w:pPr>
      <w:r>
        <w:rPr>
          <w:b/>
        </w:rPr>
        <w:t xml:space="preserve">摘要（ZH）: </w:t>
      </w:r>
      <w:r>
        <w:t>稳定的活性位点电子态通常会导致产品分散化和能耗增加，以克服电催化硝酸盐还原反应（NO3RR）至NH3过程中固有的8电子转移的动力学不匹配。在此，我们首次报告了通过Br修饰在脉冲电还原电解（PE）中对Cu活性位点进行可逆和自适应调节，以匹配NO3RR在微量Br修饰的Cu/Cu2O催化剂（Br-Cu）上的（2 + 6）电子路径的不同反应动力学步骤。结合原位光谱和DFT计算的机制研究揭示，Br介导的电子调制和d带中心下移增强了Cu活性位点，使其在PE下具有可逆可调的Cuδ+（0 &lt; δ &lt; 1）状态，从而选择性地</w:t>
      </w:r>
    </w:p>
    <w:p>
      <w:pPr>
        <w:spacing w:before="0" w:after="200" w:lineRule="auto" w:line="276"/>
      </w:pPr>
      <w:r>
        <w:rPr>
          <w:b/>
        </w:rPr>
        <w:t xml:space="preserve">Abstract (EN): </w:t>
      </w:r>
      <w:r>
        <w:t>Steady active-site electronic states commonly lead to product decentralization and energy consumption increase when overcoming the kinetic mismatch within 8-electron transfer inherent in the electrocatalytic nitrate reduction reaction (NO3RR) to NH3. Here, we first report a reversible and self-adaptive regulation of Cu active sites by Br modification in pulsed electroreduction electrolysis (PE) to match distinct reaction kinetics steps of the (2 + 6)-electron pathway for the NO3RR on trace-Br-modified Cu/Cu2O catalysts (Br-Cu). Mechanistic investigations integrating in situ spectroscopy and DFT calculations reveal that Br-mediated electronic modulation and d-band center downshift strengthen Cu active sites to possess a reversibly tunable Cuδ+ (0 &lt; δ &lt; 1) state under PE, which selectively favor the first 2-electron (*NO3 → *NO2, δ close to 1) and the latter 6-electron (*NO2 → *NH3, δ close to 0) steps, delivering 94% Faradaic efficiency. The continuous-flow electrochemical cell employing Br-Cu maintains high NO3- conversion, NH3 Faradaic efficiency, and NH3 selectivity in approximately 700-h electrolysis while enabling efficient NH3 recovery from real aquaculture tailwater. This work presents a robust strategy for programmable self-adaptive electronic modulation toward sustainable NH3 electrosynthesis.</w:t>
      </w:r>
    </w:p>
    <w:p>
      <w:pPr>
        <w:spacing w:before="120" w:after="120"/>
      </w:pPr>
      <w:r>
        <w:rPr>
          <w:sz w:val="18"/>
        </w:rPr>
        <w:t>——————————————————————————————————————————————————————————————————————</w:t>
      </w:r>
    </w:p>
    <w:p>
      <w:pPr>
        <w:spacing w:before="160" w:after="40" w:line="240" w:lineRule="auto"/>
      </w:pPr>
      <w:r>
        <w:rPr>
          <w:b/>
        </w:rPr>
        <w:t xml:space="preserve">[227] </w:t>
      </w:r>
      <w:hyperlink r:id="rId645">
        <w:r>
          <w:rPr>
            <w:color w:val="1155CC"/>
            <w:u w:val="single"/>
          </w:rPr>
          <w:t>[ASAP] 伪榫卯型分子的选择性构建</w:t>
        </w:r>
      </w:hyperlink>
    </w:p>
    <w:p>
      <w:pPr>
        <w:spacing w:before="0" w:after="80"/>
      </w:pPr>
      <w:r>
        <w:rPr>
          <w:i/>
          <w:sz w:val="20"/>
        </w:rPr>
        <w:t>EN: [ASAP] Selective Construction of Pseudo-Mortise-and-Tenon-Type Molecules</w:t>
      </w:r>
    </w:p>
    <w:p>
      <w:pPr>
        <w:spacing w:before="0" w:after="120"/>
      </w:pPr>
      <w:r>
        <w:rPr>
          <w:b/>
        </w:rPr>
        <w:t xml:space="preserve">Source: </w:t>
      </w:r>
      <w:r>
        <w:t>Journal of the American Chemical Society: Latest Articles (ACS Publications)</w:t>
      </w:r>
      <w:r>
        <w:t xml:space="preserve">    </w:t>
      </w:r>
      <w:r>
        <w:rPr>
          <w:b/>
        </w:rPr>
        <w:t xml:space="preserve">Pub date: </w:t>
      </w:r>
      <w:r>
        <w:t>2026-04-21 17:08:55+00:00</w:t>
      </w:r>
      <w:r>
        <w:t xml:space="preserve">    </w:t>
      </w:r>
      <w:r>
        <w:rPr>
          <w:b/>
        </w:rPr>
        <w:t xml:space="preserve">DOI: </w:t>
      </w:r>
      <w:hyperlink r:id="rId646">
        <w:r>
          <w:rPr>
            <w:color w:val="1155CC"/>
            <w:u w:val="single"/>
          </w:rPr>
          <w:t>10.1021/jacs.6c06545</w:t>
        </w:r>
      </w:hyperlink>
    </w:p>
    <w:p>
      <w:pPr>
        <w:spacing w:before="0" w:after="120"/>
      </w:pPr>
      <w:r>
        <w:rPr>
          <w:b/>
        </w:rPr>
        <w:t xml:space="preserve">Notes: </w:t>
      </w:r>
      <w:r>
        <w:t>abstract_source=pubmed</w:t>
      </w:r>
    </w:p>
    <w:p>
      <w:pPr>
        <w:spacing w:before="0" w:after="80" w:lineRule="auto" w:line="276"/>
      </w:pPr>
      <w:r>
        <w:rPr>
          <w:b/>
        </w:rPr>
        <w:t xml:space="preserve">摘要（ZH）: </w:t>
      </w:r>
      <w:r>
        <w:t>环中环复合物通常因内外大环之间的相互作用主要依赖于非定向的范德华力或单一的定向氢键而导致稳定性有限。为了解决这一限制，我们从组装体Rh-1的晶体结构中识别出一种基于榫卯原理的新型稳定策略。在这种结构中，经典环中环框架固有的三个特征空腔被定义为“榫眼”，而一个一维分子链被合理设计为补充的“榫头”。通过将榫头精确插入榫眼，成功建立了密集且连续的π-π堆积相互作用以及广泛的范德华接触表面。</w:t>
      </w:r>
    </w:p>
    <w:p>
      <w:pPr>
        <w:spacing w:before="0" w:after="200" w:lineRule="auto" w:line="276"/>
      </w:pPr>
      <w:r>
        <w:rPr>
          <w:b/>
        </w:rPr>
        <w:t xml:space="preserve">Abstract (EN): </w:t>
      </w:r>
      <w:r>
        <w:t>Ring-in-ring complexes typically suffer from limited stability, as the interactions between the inner and outer macrocycles rely predominantly on nondirectional van der Waals forces or directional hydrogen bonding alone. To address this limitation, we identified a novel stabilization strategy based on the mortise-and-tenon principle from the crystal structure of assembly Rh-1. In this architecture, the three characteristic cavities inherent in the classic ring-in-ring framework are defined as the "mortise", while a one-dimensional molecular chain is rationally designed to act as the complementary "tenon". Through precise insertion of the tenon into the mortise, dense and continuous π-π stacking interactions as well as extensive van der Waals contact surfaces are successfully established within the ring-in-ring skeleton. Such directional and efficient molecular packing significantly strengthens the overall intermolecular forces, thereby substantially increasing the dissociation energy barrier. Furthermore, structurally analogous complex Ir-1 can be readily synthesized using the same assembly protocol. Guided by the pseudo-mortise-and-tenon platform, we further constructed molecular figure-eight knots, Rh-2 and Ir-2, and metalla[2]catenanes, Rh-3 and Ir-3, by judiciously tuning the folding angle and length of the organic bridging ligands.</w:t>
      </w:r>
    </w:p>
    <w:p>
      <w:pPr>
        <w:spacing w:before="120" w:after="120"/>
      </w:pPr>
      <w:r>
        <w:rPr>
          <w:sz w:val="18"/>
        </w:rPr>
        <w:t>——————————————————————————————————————————————————————————————————————</w:t>
      </w:r>
    </w:p>
    <w:p>
      <w:pPr>
        <w:spacing w:before="160" w:after="40" w:line="240" w:lineRule="auto"/>
      </w:pPr>
      <w:r>
        <w:rPr>
          <w:b/>
        </w:rPr>
        <w:t xml:space="preserve">[228] </w:t>
      </w:r>
      <w:hyperlink r:id="rId647">
        <w:r>
          <w:rPr>
            <w:color w:val="1155CC"/>
            <w:u w:val="single"/>
          </w:rPr>
          <w:t>[ASAP] 用于光伏的气相沉积金属卤化物钙钛矿：方法、挑战和前景</w:t>
        </w:r>
      </w:hyperlink>
    </w:p>
    <w:p>
      <w:pPr>
        <w:spacing w:before="0" w:after="80"/>
      </w:pPr>
      <w:r>
        <w:rPr>
          <w:i/>
          <w:sz w:val="20"/>
        </w:rPr>
        <w:t>EN: [ASAP] Vapor Deposited Metal Halide Perovskites for Photovoltaics: Methods, Challenges and Prospects</w:t>
      </w:r>
    </w:p>
    <w:p>
      <w:pPr>
        <w:spacing w:before="0" w:after="120"/>
      </w:pPr>
      <w:r>
        <w:rPr>
          <w:b/>
        </w:rPr>
        <w:t xml:space="preserve">Source: </w:t>
      </w:r>
      <w:r>
        <w:t>Chemical Reviews: Latest Articles (ACS Publications)</w:t>
      </w:r>
      <w:r>
        <w:t xml:space="preserve">    </w:t>
      </w:r>
      <w:r>
        <w:rPr>
          <w:b/>
        </w:rPr>
        <w:t xml:space="preserve">Pub date: </w:t>
      </w:r>
      <w:r>
        <w:t>2026-04-21 18:05:46+00:00</w:t>
      </w:r>
      <w:r>
        <w:t xml:space="preserve">    </w:t>
      </w:r>
      <w:r>
        <w:rPr>
          <w:b/>
        </w:rPr>
        <w:t xml:space="preserve">DOI: </w:t>
      </w:r>
      <w:hyperlink r:id="rId648">
        <w:r>
          <w:rPr>
            <w:color w:val="1155CC"/>
            <w:u w:val="single"/>
          </w:rPr>
          <w:t>10.1021/acs.chemrev.5c00897</w:t>
        </w:r>
      </w:hyperlink>
    </w:p>
    <w:p>
      <w:pPr>
        <w:spacing w:before="0" w:after="120"/>
      </w:pPr>
      <w:r>
        <w:rPr>
          <w:b/>
        </w:rPr>
        <w:t xml:space="preserve">Notes: </w:t>
      </w:r>
      <w:r>
        <w:t>abstract_source=pubmed</w:t>
      </w:r>
    </w:p>
    <w:p>
      <w:pPr>
        <w:spacing w:before="0" w:after="80" w:lineRule="auto" w:line="276"/>
      </w:pPr>
      <w:r>
        <w:rPr>
          <w:b/>
        </w:rPr>
        <w:t xml:space="preserve">摘要（ZH）: </w:t>
      </w:r>
      <w:r>
        <w:t>基于蒸汽的沉积方法在金属卤化物钙钛矿（MHP）薄膜的开发和制造中通过干燥、无溶剂的工艺中起着重要作用。最近的进展展示了对薄膜成分、结晶度和光电性能的控制，导致通过共蒸发、顺序沉积、近距离升华和激光沉积方法生产的高性能器件。尽管取得了这些成就，但挑战仍然存在，特别是在材料利用率、沉积速率和可扩展性方面。本综述提供了MHP薄膜生长的蒸汽相策略的全面概述，涵盖共蒸发、顺序和单源蒸发、近距离升华、化学气相沉积、溅射和</w:t>
      </w:r>
    </w:p>
    <w:p>
      <w:pPr>
        <w:spacing w:before="0" w:after="200" w:lineRule="auto" w:line="276"/>
      </w:pPr>
      <w:r>
        <w:rPr>
          <w:b/>
        </w:rPr>
        <w:t xml:space="preserve">Abstract (EN): </w:t>
      </w:r>
      <w:r>
        <w:t>Vapor-based deposition methods play an important role in the development and fabrication of metal halide perovskite (MHP) thin films through dry, solvent-free processes. Recent advances have demonstrated control over film composition, crystallinity, and optoelectronic properties, leading to high-performance devices produced by techniques such as coevaporation, sequential deposition, close-space sublimation, and laser-deposition methods. Despite these achievements, challenges persist, particularly regarding material utilization, deposition rate, and scalability. This review provides a comprehensive overview of vapor-phase strategies for MHP thin-film growth, covering coevaporation, sequential and single-source evaporation, close-space sublimation, chemical vapor deposition, sputtering, and laser-based deposition. We analyze and compare how deposition parameters govern film nucleation and growth, and how these, in turn, influence optoelectronic performance. Key milestones that have enabled state-of-the-art perovskite solar cells are highlighted. Finally, we identify research opportunities and knowledge gaps across synthesis-structure-property relationships in vapor-deposited MHP and discuss major barriers to scalable implementation. By providing a unified perspective on vapor-phase perovskite processing, this review aims to guide and motivate the development of reliable, reproducible, and scalable relevant deposition methods for next-generation optoelectronic devices.</w:t>
      </w:r>
    </w:p>
    <w:p>
      <w:pPr>
        <w:spacing w:before="120" w:after="120"/>
      </w:pPr>
      <w:r>
        <w:rPr>
          <w:sz w:val="18"/>
        </w:rPr>
        <w:t>——————————————————————————————————————————————————————————————————————</w:t>
      </w:r>
    </w:p>
    <w:p>
      <w:pPr>
        <w:spacing w:before="160" w:after="40" w:line="240" w:lineRule="auto"/>
      </w:pPr>
      <w:r>
        <w:rPr>
          <w:b/>
        </w:rPr>
        <w:t xml:space="preserve">[229] </w:t>
      </w:r>
      <w:hyperlink r:id="rId649">
        <w:r>
          <w:rPr>
            <w:color w:val="1155CC"/>
            <w:u w:val="single"/>
          </w:rPr>
          <w:t>[ASAP] 硅和低铂负载改善PtGa丙烷脱氢催化剂的氧化还原动力学和再生能力</w:t>
        </w:r>
      </w:hyperlink>
    </w:p>
    <w:p>
      <w:pPr>
        <w:spacing w:before="0" w:after="80"/>
      </w:pPr>
      <w:r>
        <w:rPr>
          <w:i/>
          <w:sz w:val="20"/>
        </w:rPr>
        <w:t>EN: [ASAP] Silicon and Low Pt Loading Improves Redox Dynamics and Regenerability in PtGa Propane Dehydrogenation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2026-04-21 19:35:39+00:00</w:t>
      </w:r>
      <w:r>
        <w:t xml:space="preserve">    </w:t>
      </w:r>
      <w:r>
        <w:rPr>
          <w:b/>
        </w:rPr>
        <w:t xml:space="preserve">DOI: </w:t>
      </w:r>
      <w:hyperlink r:id="rId650">
        <w:r>
          <w:rPr>
            <w:color w:val="1155CC"/>
            <w:u w:val="single"/>
          </w:rPr>
          <w:t>10.1021/jacs.6c02694</w:t>
        </w:r>
      </w:hyperlink>
    </w:p>
    <w:p>
      <w:pPr>
        <w:spacing w:before="0" w:after="120"/>
      </w:pPr>
      <w:r>
        <w:rPr>
          <w:b/>
        </w:rPr>
        <w:t xml:space="preserve">Notes: </w:t>
      </w:r>
      <w:r>
        <w:t>abstract_source=pubmed</w:t>
      </w:r>
    </w:p>
    <w:p>
      <w:pPr>
        <w:spacing w:before="0" w:after="80" w:lineRule="auto" w:line="276"/>
      </w:pPr>
      <w:r>
        <w:rPr>
          <w:b/>
        </w:rPr>
        <w:t xml:space="preserve">摘要（ZH）: </w:t>
      </w:r>
      <w:r>
        <w:t>丙烯需求的增加加速了专用丙烷脱氢（PDH）技术的发展。由于高操作温度导致催化剂快速失活，工业过程中需要频繁的催化剂再生周期。虽然已经开发出高效的PtGa基PDH催化剂，但Si的促进作用来源以及仅需少量Pt即可改善催化剂再生能力的原因尚未完全理解。在此，我们发现通过表面有机金属化学方法制备的Si含量PtGa催化剂中引入Si并降低Pt负载量，可以改善催化剂的稳定性和再生能力。详细的原位/操作X射线吸收光谱分析</w:t>
      </w:r>
    </w:p>
    <w:p>
      <w:pPr>
        <w:spacing w:before="0" w:after="200" w:lineRule="auto" w:line="276"/>
      </w:pPr>
      <w:r>
        <w:rPr>
          <w:b/>
        </w:rPr>
        <w:t xml:space="preserve">Abstract (EN): </w:t>
      </w:r>
      <w:r>
        <w:t>The increasing propene demand has accelerated the development of on-purpose propane dehydrogenation (PDH) technologies. Because of rapid catalyst deactivation caused by the high operating temperature, frequent catalyst regeneration cycles are required in industrial processes. While efficient PtGa-based PDH catalysts have been developed, the origin of the promotional effect of Si and the need for only small amounts of Pt to improve the catalyst regenerability are not fully understood. Herein, we find that incorporating Si and decreasing the Pt loading in Si-containing PtGa catalyst supported on alumina, that is prepared via a surface organometallic chemistry approach, improves both stability and regenerability of catalysts. Detailed analyses of in situ/operando X-ray absorption spectroscopy confirm that the increased PDH performances correlate with a regeneration of the Pt-Ga interaction due to enhanced Pt-Ga redox dynamics.</w:t>
      </w:r>
    </w:p>
    <w:p>
      <w:pPr>
        <w:spacing w:before="120" w:after="120"/>
      </w:pPr>
      <w:r>
        <w:rPr>
          <w:sz w:val="18"/>
        </w:rPr>
        <w:t>——————————————————————————————————————————————————————————————————————</w:t>
      </w:r>
    </w:p>
    <w:p>
      <w:pPr>
        <w:spacing w:before="160" w:after="40" w:line="240" w:lineRule="auto"/>
      </w:pPr>
      <w:r>
        <w:rPr>
          <w:b/>
        </w:rPr>
        <w:t xml:space="preserve">[230] </w:t>
      </w:r>
      <w:hyperlink r:id="rId651">
        <w:r>
          <w:rPr>
            <w:color w:val="1155CC"/>
            <w:u w:val="single"/>
          </w:rPr>
          <w:t>[ASAP] 深红吸收的锇(II)基光敏剂通过靶向谷氨酰胺代谢和损害细胞氧化还原稳态引发细胞焦亡</w:t>
        </w:r>
      </w:hyperlink>
    </w:p>
    <w:p>
      <w:pPr>
        <w:spacing w:before="0" w:after="80"/>
      </w:pPr>
      <w:r>
        <w:rPr>
          <w:i/>
          <w:sz w:val="20"/>
        </w:rPr>
        <w:t>EN: [ASAP] A Deep-Red-Absorbing Osmium(II)-Based Photosensitizer Evokes Pyroptosis by Targeting Glutamine Metabolism and Impairing Cell Redox Homeostasis</w:t>
      </w:r>
    </w:p>
    <w:p>
      <w:pPr>
        <w:spacing w:before="0" w:after="120"/>
      </w:pPr>
      <w:r>
        <w:rPr>
          <w:b/>
        </w:rPr>
        <w:t xml:space="preserve">Source: </w:t>
      </w:r>
      <w:r>
        <w:t>Journal of the American Chemical Society: Latest Articles (ACS Publications)</w:t>
      </w:r>
      <w:r>
        <w:t xml:space="preserve">    </w:t>
      </w:r>
      <w:r>
        <w:rPr>
          <w:b/>
        </w:rPr>
        <w:t xml:space="preserve">Pub date: </w:t>
      </w:r>
      <w:r>
        <w:t>2026-04-21 19:36:18+00:00</w:t>
      </w:r>
      <w:r>
        <w:t xml:space="preserve">    </w:t>
      </w:r>
      <w:r>
        <w:rPr>
          <w:b/>
        </w:rPr>
        <w:t xml:space="preserve">DOI: </w:t>
      </w:r>
      <w:hyperlink r:id="rId652">
        <w:r>
          <w:rPr>
            <w:color w:val="1155CC"/>
            <w:u w:val="single"/>
          </w:rPr>
          <w:t>10.1021/jacs.6c04446</w:t>
        </w:r>
      </w:hyperlink>
    </w:p>
    <w:p>
      <w:pPr>
        <w:spacing w:before="0" w:after="120"/>
      </w:pPr>
      <w:r>
        <w:rPr>
          <w:b/>
        </w:rPr>
        <w:t xml:space="preserve">Notes: </w:t>
      </w:r>
      <w:r>
        <w:t>abstract_source=pubmed</w:t>
      </w:r>
    </w:p>
    <w:p>
      <w:pPr>
        <w:spacing w:before="0" w:after="80" w:lineRule="auto" w:line="276"/>
      </w:pPr>
      <w:r>
        <w:rPr>
          <w:b/>
        </w:rPr>
        <w:t xml:space="preserve">摘要（ZH）: </w:t>
      </w:r>
      <w:r>
        <w:t>焦亡在癌症免疫治疗中发挥着新兴作用，然而，目前已知的大多数激活这种细胞死亡机制的化合物都是偶然发现的。在此，我们报告了一种通过代谢重编程癌细胞以增强抗肿瘤免疫的焦亡诱导策略。具体而言，将一种基于锇的光敏剂（Os）共价连接到小分子谷氨酰胺载体蛋白抑制剂（IMD-0354）上，构建了共轭物Os-IMD。该共轭物通过谷氨酰胺代谢途径显著增强了光敏剂在癌细胞中的摄取，抑制了谷氨酰胺的摄取，并促进了线粒体靶向。因此，在光照射下，Os-IMD诱导线粒体损伤并损害电子传递链功能</w:t>
      </w:r>
    </w:p>
    <w:p>
      <w:pPr>
        <w:spacing w:before="0" w:after="200" w:lineRule="auto" w:line="276"/>
      </w:pPr>
      <w:r>
        <w:rPr>
          <w:b/>
        </w:rPr>
        <w:t xml:space="preserve">Abstract (EN): </w:t>
      </w:r>
      <w:r>
        <w:t>Pyroptosis plays an emerging role in cancer immunotherapy, however, most currently known compounds that activate this cell death mechanism were discovered serendipitously. Here, we report a pyroptosis-inducing strategy that works through metabolic reprogramming of cancer cells to enhance antitumor immunity. Specifically, an osmium-based photosensitizer (Os) was covalently attached to a small-molecule glutamine carrier protein inhibitor (IMD-0354), to construct the conjugate Os-IMD. This conjugate significantly enhanced the photosensitizer's uptake into cancer cells via the glutamine metabolic pathway, inhibited glutamine uptake, and promoted mitochondrial targeting. As a result, upon light irradiation, Os-IMD induced mitochondrial damage and impaired electron transport chain function as well as intracellular redox homeostasis, leading to a switch in the mode of cell death from the apoptosis typically observed with Os to gasdermin D (GSDMD)-mediated pyroptosis. Our study offers a new avenue for the development of scalable pyroptosis-inducing agents.</w:t>
      </w:r>
    </w:p>
    <w:p>
      <w:pPr>
        <w:spacing w:before="120" w:after="120"/>
      </w:pPr>
      <w:r>
        <w:rPr>
          <w:sz w:val="18"/>
        </w:rPr>
        <w:t>——————————————————————————————————————————————————————————————————————</w:t>
      </w:r>
    </w:p>
    <w:p>
      <w:pPr>
        <w:spacing w:before="160" w:after="40" w:line="240" w:lineRule="auto"/>
      </w:pPr>
      <w:r>
        <w:rPr>
          <w:b/>
        </w:rPr>
        <w:t xml:space="preserve">[231] </w:t>
      </w:r>
      <w:hyperlink r:id="rId653">
        <w:r>
          <w:rPr>
            <w:color w:val="1155CC"/>
            <w:u w:val="single"/>
          </w:rPr>
          <w:t>[ASAP] 相选择性预结晶实现均匀介孔氮化钛的拓扑转化</w:t>
        </w:r>
      </w:hyperlink>
    </w:p>
    <w:p>
      <w:pPr>
        <w:spacing w:before="0" w:after="80"/>
      </w:pPr>
      <w:r>
        <w:rPr>
          <w:i/>
          <w:sz w:val="20"/>
        </w:rPr>
        <w:t>EN: [ASAP] Phase-Selective Precrystallization Enables the Topological Conversion of Uniform Mesoporous Titanium Nitride</w:t>
      </w:r>
    </w:p>
    <w:p>
      <w:pPr>
        <w:spacing w:before="0" w:after="120"/>
      </w:pPr>
      <w:r>
        <w:rPr>
          <w:b/>
        </w:rPr>
        <w:t xml:space="preserve">Source: </w:t>
      </w:r>
      <w:r>
        <w:t>Journal of the American Chemical Society: Latest Articles (ACS Publications)</w:t>
      </w:r>
      <w:r>
        <w:t xml:space="preserve">    </w:t>
      </w:r>
      <w:r>
        <w:rPr>
          <w:b/>
        </w:rPr>
        <w:t xml:space="preserve">Pub date: </w:t>
      </w:r>
      <w:r>
        <w:t>2026-04-21 19:42:36+00:00</w:t>
      </w:r>
      <w:r>
        <w:t xml:space="preserve">    </w:t>
      </w:r>
      <w:r>
        <w:rPr>
          <w:b/>
        </w:rPr>
        <w:t xml:space="preserve">DOI: </w:t>
      </w:r>
      <w:hyperlink r:id="rId654">
        <w:r>
          <w:rPr>
            <w:color w:val="1155CC"/>
            <w:u w:val="single"/>
          </w:rPr>
          <w:t>10.1021/jacs.6c02857</w:t>
        </w:r>
      </w:hyperlink>
    </w:p>
    <w:p>
      <w:pPr>
        <w:spacing w:before="0" w:after="120"/>
      </w:pPr>
      <w:r>
        <w:rPr>
          <w:b/>
        </w:rPr>
        <w:t xml:space="preserve">Notes: </w:t>
      </w:r>
      <w:r>
        <w:t>abstract_source=pubmed</w:t>
      </w:r>
    </w:p>
    <w:p>
      <w:pPr>
        <w:spacing w:before="0" w:after="80" w:lineRule="auto" w:line="276"/>
      </w:pPr>
      <w:r>
        <w:rPr>
          <w:b/>
        </w:rPr>
        <w:t xml:space="preserve">摘要（ZH）: </w:t>
      </w:r>
      <w:r>
        <w:t>非氧化物陶瓷材料提供了优异的热、电和机械性能；然而，其与介孔性的结合在根本上受到高温转化反应的限制，这些反应固有地通过晶格重构和晶粒粗化破坏了介观秩序。在此，我们报告了一种相选择性预晶化转化策略，其中直接构建了介孔金红石TiO2中间体，实现了介观拓扑保持的氧化物到氮化物的转化，形成介孔氮化钛（TiN）微球，温度低至700°C，远低于传统的氮化条件（约1100°C）。动力学和热力学分析表明，金红石预晶化同时降低了活化能</w:t>
      </w:r>
    </w:p>
    <w:p>
      <w:pPr>
        <w:spacing w:before="0" w:after="200" w:lineRule="auto" w:line="276"/>
      </w:pPr>
      <w:r>
        <w:rPr>
          <w:b/>
        </w:rPr>
        <w:t xml:space="preserve">Abstract (EN): </w:t>
      </w:r>
      <w:r>
        <w:t>Nonoxide ceramic materials offer excellent thermal, electrical, and mechanical properties; however, their integration with mesoporosity remains fundamentally constrained by high-temperature conversion reactions, which inherently disrupt the mesoscopic order through lattice reconstruction and grain coarsening. Herein, we report a phase-selective precrystallization conversion strategy in which mesostructured rutile TiO2 intermediates are directly constructed, enabling a mesoscale topology-preserving oxide-to-nitride conversion to mesoporous titanium nitride (TiN) microspheres at temperatures as low as 700 °C, substantially below the conventional nitridation conditions (∼1100 °C). Kinetic and thermodynamic analyses reveal that rutile precrystallization simultaneously lowers the activation barrier and shifts the driving force for nitridation, thereby bypassing the conventional anatase-rutile-TiN pathway that disrupts the mesoscopic order. Assisted by a transient carbon scaffold that kinetically suppresses grain coarsening, the conversion proceeds with an exceptionally small volume contraction (∼7.3%), yielding mesoporous TiN frameworks with a high surface area (82 m2 g-1), continuous crystalline pore walls (mean pore size of 17.5 nm), and radial mass-transport pathways. When employed as conductive supports for Ir catalysts, the resulting mesoporous TiN enables strong electronic coupling and structural stabilization under acidic oxygen evolution conditions, delivering high activity (1.64 V at 1.0 A cm-2) and long-term durability over 500 h in proton-exchange membrane water electrolysis at ultralow Ir loadings (∼0.15 mgIr cm-2). This work establishes a phase-selective pathway via precrystallization as a promising strategy for reconciling mesoporosity and crystallinity in nonoxide ceramics.</w:t>
      </w:r>
    </w:p>
    <w:p>
      <w:pPr>
        <w:spacing w:before="120" w:after="120"/>
      </w:pPr>
      <w:r>
        <w:rPr>
          <w:sz w:val="18"/>
        </w:rPr>
        <w:t>——————————————————————————————————————————————————————————————————————</w:t>
      </w:r>
    </w:p>
    <w:p>
      <w:pPr>
        <w:spacing w:before="160" w:after="40" w:line="240" w:lineRule="auto"/>
      </w:pPr>
      <w:r>
        <w:rPr>
          <w:b/>
        </w:rPr>
        <w:t xml:space="preserve">[232] </w:t>
      </w:r>
      <w:hyperlink r:id="rId655">
        <w:r>
          <w:rPr>
            <w:color w:val="1155CC"/>
            <w:u w:val="single"/>
          </w:rPr>
          <w:t>利用生物合成逻辑开发下一代ADC有效载荷</w:t>
        </w:r>
      </w:hyperlink>
    </w:p>
    <w:p>
      <w:pPr>
        <w:spacing w:before="0" w:after="80"/>
      </w:pPr>
      <w:r>
        <w:rPr>
          <w:i/>
          <w:sz w:val="20"/>
        </w:rPr>
        <w:t>EN: Harnessing biosynthetic logic for next-generation ADC payloads</w:t>
      </w:r>
    </w:p>
    <w:p>
      <w:pPr>
        <w:spacing w:before="0" w:after="120"/>
      </w:pPr>
      <w:r>
        <w:rPr>
          <w:b/>
        </w:rPr>
        <w:t xml:space="preserve">Source: </w:t>
      </w:r>
      <w:r>
        <w:t>RSC - Chem. Soc. Rev.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抗体-药物偶联物（ADCs）通过将单克隆抗体的精确靶向与小分子有效载荷的超强活性结合起来，彻底改变了肿瘤学。尽管抗体和连接子工程取得了快速进展，该领域仍依赖于一组狭窄的天然产物衍生的有效载荷，这限制了机制多样性，并可能导致交叉耐药性和肿瘤覆盖范围受限。基因组挖掘和合成生物学的最新突破正在通过揭示临床使用的有效载荷的生物合成基因簇和酶逻辑来重塑这一领域，从而为创新提供了新的途径。本综述总结了临床有效载荷的发现、生物合成和制造的最新进展，重点关注其生物生成</w:t>
      </w:r>
    </w:p>
    <w:p>
      <w:pPr>
        <w:spacing w:before="0" w:after="200" w:lineRule="auto" w:line="276"/>
      </w:pPr>
      <w:r>
        <w:rPr>
          <w:b/>
        </w:rPr>
        <w:t xml:space="preserve">Abstract (EN): </w:t>
      </w:r>
      <w:r>
        <w:t>Antibody–drug conjugates (ADCs) have revolutionized oncology by linking the precise targeting of monoclonal antibodies with the ultrapotent activity of small-molecule payloads. Despite rapid advances in antibody and linker engineering, the field continues to rely on a narrow set of natural product-derived payloads, which limits mechanistic diversity and may contribute to cross-resistance and restricted tumor coverage. Recent breakthroughs in genome mining and synthetic biology are now reshaping this landscape by revealing the biosynthetic gene clusters and enzymatic logic underlying clinically used payloads, thereby offering new avenues for innovation. This review summarizes recent advances in the discovery, biosynthesis, and manufacturing of clinical payloads, with a focus on their biogenetic origins, enzymatic assembly, and strategies for scalable production. We further consider harnessing biosynthetic knowledge to expand the accessible chemical space of payloads and discuss emerging non-toxin modalities that may complement conventional cytotoxins. These insights provide a roadmap for diversifying and optimizing ADC payloads toward safer, more effective, and mechanistically sophisticated therapies.</w:t>
      </w:r>
    </w:p>
    <w:p>
      <w:pPr>
        <w:spacing w:before="120" w:after="120"/>
      </w:pPr>
      <w:r>
        <w:rPr>
          <w:sz w:val="18"/>
        </w:rPr>
        <w:t>——————————————————————————————————————————————————————————————————————</w:t>
      </w:r>
    </w:p>
    <w:p>
      <w:pPr>
        <w:spacing w:before="160" w:after="40" w:line="240" w:lineRule="auto"/>
      </w:pPr>
      <w:r>
        <w:rPr>
          <w:b/>
        </w:rPr>
        <w:t xml:space="preserve">[233] </w:t>
      </w:r>
      <w:hyperlink r:id="rId656">
        <w:r>
          <w:rPr>
            <w:color w:val="1155CC"/>
            <w:u w:val="single"/>
          </w:rPr>
          <w:t>基于静电纺丝技术的智能光电子和电子器件</w:t>
        </w:r>
      </w:hyperlink>
    </w:p>
    <w:p>
      <w:pPr>
        <w:spacing w:before="0" w:after="80"/>
      </w:pPr>
      <w:r>
        <w:rPr>
          <w:i/>
          <w:sz w:val="20"/>
        </w:rPr>
        <w:t>EN: Intelligent optoelectronics and electronics based on electrospinning technology</w:t>
      </w:r>
    </w:p>
    <w:p>
      <w:pPr>
        <w:spacing w:before="0" w:after="120"/>
      </w:pPr>
      <w:r>
        <w:rPr>
          <w:b/>
        </w:rPr>
        <w:t xml:space="preserve">Source: </w:t>
      </w:r>
      <w:r>
        <w:t>RSC - Chem. Soc. Rev.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静电纺丝（ES）作为开发下一代智能光电子和柔性电子技术的前沿技术，因其高通量生产能力、结构多样性和多功能潜力而受到关注。静电纺纳米纤维（NFs）以其高比表面积、结构适应性和可定制特性为特征，成为传统材料和制造策略的有力替代品。尽管研究取得了显著进展，但对基于ES的智能（光）电子设备的结构-性能关系优化和可扩展集成技术的系统理解仍然不足。在本综述中，我们全面总结了ES NFs在智能光电子领域的最新进展</w:t>
      </w:r>
    </w:p>
    <w:p>
      <w:pPr>
        <w:spacing w:before="0" w:after="200" w:lineRule="auto" w:line="276"/>
      </w:pPr>
      <w:r>
        <w:rPr>
          <w:b/>
        </w:rPr>
        <w:t xml:space="preserve">Abstract (EN): </w:t>
      </w:r>
      <w:r>
        <w:t>Electrospinning (ES) has emerged as a cutting-edge technology for the development of next-generation intelligent optoelectronics and flexible electronics, thanks to its high-throughput production capabilities, structural versatility, and multifunctional potential. Electrospun nanofibers (NFs), characterized by their high specific surface area, structural adaptability, and customizable properties, present a compelling alternative to conventional materials and fabrication strategies. Despite notable research advancements, a systematic understanding of the optimization of structure–property relationships and scalable integration techniques for ES-based intelligent (opto)electronic devices remains lacking. In this review, we provide a comprehensive summary of recent advances in ES NFs for intelligent electronic and optoelectronic systems, including photodetectors, synaptic devices, transistors, and gas sensors. Next, we critically analyze mechanisms for property modulation via control of crystallinity, defect engineering, and heterostructure design, demonstrating how these microscale strategies enhance device performance and multifunctionality. Furthermore, we discuss broader implications and persistent technological bottlenecks in ES technology, identifying key opportunities for future research. Finally, we emphasize the need for precise multi-scale engineering and innovative designs to advance ES NFs toward intelligent, multifunctional, and commercially viable applications.</w:t>
      </w:r>
    </w:p>
    <w:p>
      <w:pPr>
        <w:spacing w:before="120" w:after="120"/>
      </w:pPr>
      <w:r>
        <w:rPr>
          <w:sz w:val="18"/>
        </w:rPr>
        <w:t>——————————————————————————————————————————————————————————————————————</w:t>
      </w:r>
    </w:p>
    <w:p>
      <w:pPr>
        <w:spacing w:before="160" w:after="40" w:line="240" w:lineRule="auto"/>
      </w:pPr>
      <w:r>
        <w:rPr>
          <w:b/>
        </w:rPr>
        <w:t xml:space="preserve">[234] </w:t>
      </w:r>
      <w:hyperlink r:id="rId657">
        <w:r>
          <w:rPr>
            <w:color w:val="1155CC"/>
            <w:u w:val="single"/>
          </w:rPr>
          <w:t>用于离子分离和离子驱动能量转换的共价有机框架膜</w:t>
        </w:r>
      </w:hyperlink>
    </w:p>
    <w:p>
      <w:pPr>
        <w:spacing w:before="0" w:after="80"/>
      </w:pPr>
      <w:r>
        <w:rPr>
          <w:i/>
          <w:sz w:val="20"/>
        </w:rPr>
        <w:t>EN: Covalent organic framework membranes for ion separation and ion-driven energy conversion</w:t>
      </w:r>
    </w:p>
    <w:p>
      <w:pPr>
        <w:spacing w:before="0" w:after="120"/>
      </w:pPr>
      <w:r>
        <w:rPr>
          <w:b/>
        </w:rPr>
        <w:t xml:space="preserve">Source: </w:t>
      </w:r>
      <w:r>
        <w:t>RSC - Chem. Soc. Rev. latest articles</w:t>
      </w:r>
      <w:r>
        <w:t xml:space="preserve">    </w:t>
      </w:r>
      <w:r>
        <w:rPr>
          <w:b/>
        </w:rPr>
        <w:t xml:space="preserve">Pub date: </w:t>
      </w:r>
      <w:r>
        <w:t>2026-04-21 23:00:00+00:00</w:t>
      </w:r>
    </w:p>
    <w:p>
      <w:pPr>
        <w:spacing w:before="0" w:after="120"/>
      </w:pPr>
      <w:r>
        <w:rPr>
          <w:b/>
        </w:rPr>
        <w:t xml:space="preserve">Notes: </w:t>
      </w:r>
      <w:r>
        <w:t>abstract_source=rsc_html</w:t>
      </w:r>
    </w:p>
    <w:p>
      <w:pPr>
        <w:spacing w:before="0" w:after="80" w:lineRule="auto" w:line="276"/>
      </w:pPr>
      <w:r>
        <w:rPr>
          <w:b/>
        </w:rPr>
        <w:t xml:space="preserve">摘要（ZH）: </w:t>
      </w:r>
      <w:r>
        <w:t>共价有机框架（COF）膜已从结晶多孔固体发展为可加工的平台，用于离子分离和基于离子传输的能量转换。其有序的纳米通道和化学可调的孔壁使得对有效孔径和拓扑、通道对齐以及嵌入的电荷或亲和位点的精确控制成为可能，这些参数在传统聚合物膜中往往难以独立调节。本综述总结了主要的制造路线及其塑造的膜特性，包括界面生长、基于铸造的方法、层组装和复合结构，这些方法调节结晶度、对齐、厚度和界面质量。然后，我们围绕反复出现的设计逻辑组织了水相离子分离的进展</w:t>
      </w:r>
    </w:p>
    <w:p>
      <w:pPr>
        <w:spacing w:before="0" w:after="200" w:lineRule="auto" w:line="276"/>
      </w:pPr>
      <w:r>
        <w:rPr>
          <w:b/>
        </w:rPr>
        <w:t xml:space="preserve">Abstract (EN): </w:t>
      </w:r>
      <w:r>
        <w:t>Covalent organic framework (COF) membranes have moved from crystalline porous solids to processable platforms for ion separation and ion-transport-based energy conversion. Their ordered nanochannels and chemically addressable pore walls enable precise control over effective pore size and topology, channel alignment, and embedded charge or affinity sites, parameters that are often difficult to tune independently in conventional polymer membranes. This review summarizes major fabrication routes and the membrane attributes they shape, including interfacial growth, casting-based methods, layer assembly, and composite architectures that tune crystallinity, alignment, thickness, and interface quality. We then organize advances in aqueous ion separation around recurring design logics that transfer across targets. For monovalent to multivalent discrimination, case studies show how pathway continuity and alignment, intrapore charge localization, Mg2+ trapping, and Li+-favored coordination environments can sustain selectivity in mixed electrolytes and concentrated feeds. For monovalent cation separation, functional-group grafting, pore narrowing, orientation control, and host–guest motifs amplify subtle differences in hydration and binding and can enable pH-regulated selectivity switching. For proton and metal-ion separation and acid recovery, sub-nanometre sieving coupled with hydrogen-bond-assisted proton conduction enables high H+/Mn+ selectivities under strongly acidic conditions. For Cl−/SO42− separation, COF selective layers and COF-enabled polyamide architectures illustrate how charge density, pore uniformity, and interfacial control can raise monovalent to divalent anion selectivity while maintaining practical flux. We further connect these transport principles to salinity-gradient energy conversion and coupled thermal or photo fields, where permselectivity and internal resistance jointly set power output under polarization and stability constraints. Looking forward, translation will depend on scalable fabrication with reproducible defect control and orientation, mechanistic validation in complex electrolytes under operando conditions, and process-relevant benchmarking that links membrane descriptors to module-level performance and durability.</w:t>
      </w:r>
    </w:p>
    <w:p>
      <w:pPr>
        <w:spacing w:before="120" w:after="120"/>
      </w:pPr>
      <w:r>
        <w:rPr>
          <w:sz w:val="18"/>
        </w:rPr>
        <w:t>——————————————————————————————————————————————————————————————————————</w:t>
      </w:r>
    </w:p>
    <w:p>
      <w:pPr>
        <w:spacing w:before="160" w:after="40" w:line="240" w:lineRule="auto"/>
      </w:pPr>
      <w:r>
        <w:rPr>
          <w:b/>
        </w:rPr>
        <w:t xml:space="preserve">[235] </w:t>
      </w:r>
      <w:hyperlink r:id="rId658">
        <w:r>
          <w:rPr>
            <w:color w:val="1155CC"/>
            <w:u w:val="single"/>
          </w:rPr>
          <w:t>等待他们</w:t>
        </w:r>
      </w:hyperlink>
    </w:p>
    <w:p>
      <w:pPr>
        <w:spacing w:before="0" w:after="80"/>
      </w:pPr>
      <w:r>
        <w:rPr>
          <w:i/>
          <w:sz w:val="20"/>
        </w:rPr>
        <w:t>EN: Waiting for them</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59">
        <w:r>
          <w:rPr>
            <w:color w:val="1155CC"/>
            <w:u w:val="single"/>
          </w:rPr>
          <w:t>10.1038/d41586-026-01069-8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[236] </w:t>
      </w:r>
      <w:hyperlink r:id="rId660">
        <w:r>
          <w:rPr>
            <w:color w:val="1155CC"/>
            <w:u w:val="single"/>
          </w:rPr>
          <w:t>一种蝙蝠冠状病毒可以通过一个以前未知的途径进入人体细胞</w:t>
        </w:r>
      </w:hyperlink>
    </w:p>
    <w:p>
      <w:pPr>
        <w:spacing w:before="0" w:after="80"/>
      </w:pPr>
      <w:r>
        <w:rPr>
          <w:i/>
          <w:sz w:val="20"/>
        </w:rPr>
        <w:t>EN: A bat coronavirus can enter human cells through a previously unknown gateway</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61">
        <w:r>
          <w:rPr>
            <w:color w:val="1155CC"/>
            <w:u w:val="single"/>
          </w:rPr>
          <w:t>10.1038/d41586-026-00908-y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662">
        <w:r>
          <w:rPr>
            <w:color w:val="1155CC"/>
            <w:u w:val="single"/>
          </w:rPr>
          <w:t>机器人可以在乒乓球比赛中击败精英选手</w:t>
        </w:r>
      </w:hyperlink>
    </w:p>
    <w:p>
      <w:pPr>
        <w:spacing w:before="0" w:after="80"/>
      </w:pPr>
      <w:r>
        <w:rPr>
          <w:i/>
          <w:sz w:val="20"/>
        </w:rPr>
        <w:t>EN: Robot can beat elite players at table tennis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63">
        <w:r>
          <w:rPr>
            <w:color w:val="1155CC"/>
            <w:u w:val="single"/>
          </w:rPr>
          <w:t>10.1038/d41586-026-01045-2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[238] </w:t>
      </w:r>
      <w:hyperlink r:id="rId664">
        <w:r>
          <w:rPr>
            <w:color w:val="1155CC"/>
            <w:u w:val="single"/>
          </w:rPr>
          <w:t>如何打动《自然》奖项的评委</w:t>
        </w:r>
      </w:hyperlink>
    </w:p>
    <w:p>
      <w:pPr>
        <w:spacing w:before="0" w:after="80"/>
      </w:pPr>
      <w:r>
        <w:rPr>
          <w:i/>
          <w:sz w:val="20"/>
        </w:rPr>
        <w:t>EN: How to impress the Nature Awards judges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65">
        <w:r>
          <w:rPr>
            <w:color w:val="1155CC"/>
            <w:u w:val="single"/>
          </w:rPr>
          <w:t>10.1038/d41586-026-01049-y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666">
        <w:r>
          <w:rPr>
            <w:color w:val="1155CC"/>
            <w:u w:val="single"/>
          </w:rPr>
          <w:t>“惊人”的人数相信关于疫苗、生奶等未经证实的说法</w:t>
        </w:r>
      </w:hyperlink>
    </w:p>
    <w:p>
      <w:pPr>
        <w:spacing w:before="0" w:after="80"/>
      </w:pPr>
      <w:r>
        <w:rPr>
          <w:i/>
          <w:sz w:val="20"/>
        </w:rPr>
        <w:t>EN: ‘Staggering’ number of people believe unproven claims about vaccines, raw milk and more</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67">
        <w:r>
          <w:rPr>
            <w:color w:val="1155CC"/>
            <w:u w:val="single"/>
          </w:rPr>
          <w:t>10.1038/d41586-026-01285-2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68">
        <w:r>
          <w:rPr>
            <w:color w:val="1155CC"/>
            <w:u w:val="single"/>
          </w:rPr>
          <w:t>如何在竞争激烈的环境中获得慈善资金</w:t>
        </w:r>
      </w:hyperlink>
    </w:p>
    <w:p>
      <w:pPr>
        <w:spacing w:before="0" w:after="80"/>
      </w:pPr>
      <w:r>
        <w:rPr>
          <w:i/>
          <w:sz w:val="20"/>
        </w:rPr>
        <w:t>EN: How to secure philanthropic funding in a competitive climate</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69">
        <w:r>
          <w:rPr>
            <w:color w:val="1155CC"/>
            <w:u w:val="single"/>
          </w:rPr>
          <w:t>10.1038/d41586-026-01198-0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670">
        <w:r>
          <w:rPr>
            <w:color w:val="1155CC"/>
            <w:u w:val="single"/>
          </w:rPr>
          <w:t>保持海洋生物实验室的“童话”活力</w:t>
        </w:r>
      </w:hyperlink>
    </w:p>
    <w:p>
      <w:pPr>
        <w:spacing w:before="0" w:after="80"/>
      </w:pPr>
      <w:r>
        <w:rPr>
          <w:i/>
          <w:sz w:val="20"/>
        </w:rPr>
        <w:t>EN: Keeping the ‘fairy tale’ of the Marine Biological Laboratory alive</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71">
        <w:r>
          <w:rPr>
            <w:color w:val="1155CC"/>
            <w:u w:val="single"/>
          </w:rPr>
          <w:t>10.1038/d41586-026-01104-8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672">
        <w:r>
          <w:rPr>
            <w:color w:val="1155CC"/>
            <w:u w:val="single"/>
          </w:rPr>
          <w:t>不要让你的学生使用AI作为代笔</w:t>
        </w:r>
      </w:hyperlink>
    </w:p>
    <w:p>
      <w:pPr>
        <w:spacing w:before="0" w:after="80"/>
      </w:pPr>
      <w:r>
        <w:rPr>
          <w:i/>
          <w:sz w:val="20"/>
        </w:rPr>
        <w:t>EN: Don’t let your students use AI as a ghostwriter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73">
        <w:r>
          <w:rPr>
            <w:color w:val="1155CC"/>
            <w:u w:val="single"/>
          </w:rPr>
          <w:t>10.1038/d41586-026-00627-4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674">
        <w:r>
          <w:rPr>
            <w:color w:val="1155CC"/>
            <w:u w:val="single"/>
          </w:rPr>
          <w:t>把握时机：科学慈善机构如何扩大影响力</w:t>
        </w:r>
      </w:hyperlink>
    </w:p>
    <w:p>
      <w:pPr>
        <w:spacing w:before="0" w:after="80"/>
      </w:pPr>
      <w:r>
        <w:rPr>
          <w:i/>
          <w:sz w:val="20"/>
        </w:rPr>
        <w:t>EN: Meeting the moment: how scientific philanthropies are expanding their reach</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75">
        <w:r>
          <w:rPr>
            <w:color w:val="1155CC"/>
            <w:u w:val="single"/>
          </w:rPr>
          <w:t>10.1038/d41586-026-01043-4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676">
        <w:r>
          <w:rPr>
            <w:color w:val="1155CC"/>
            <w:u w:val="single"/>
          </w:rPr>
          <w:t>四苯乙烯-卟啉异面分子笼的设计与合成用于光动力疗法</w:t>
        </w:r>
      </w:hyperlink>
    </w:p>
    <w:p>
      <w:pPr>
        <w:spacing w:before="0" w:after="80"/>
      </w:pPr>
      <w:r>
        <w:rPr>
          <w:i/>
          <w:sz w:val="20"/>
        </w:rPr>
        <w:t>EN: Design and synthesis of a tetraphenylethene-porphyrin hetero-faced molecular cage for photodynamic therapy</w:t>
      </w:r>
    </w:p>
    <w:p>
      <w:pPr>
        <w:spacing w:before="0" w:after="120"/>
      </w:pPr>
      <w:r>
        <w:rPr>
          <w:b/>
        </w:rPr>
        <w:t xml:space="preserve">Source: </w:t>
      </w:r>
      <w:r>
        <w:t>National Science Review Advance Access</w:t>
      </w:r>
      <w:r>
        <w:t xml:space="preserve">    </w:t>
      </w:r>
      <w:r>
        <w:rPr>
          <w:b/>
        </w:rPr>
        <w:t xml:space="preserve">Pub date: </w:t>
      </w:r>
      <w:r>
        <w:t>2026-04-22 00:00:00+00:00</w:t>
      </w:r>
      <w:r>
        <w:t xml:space="preserve">    </w:t>
      </w:r>
      <w:r>
        <w:rPr>
          <w:b/>
        </w:rPr>
        <w:t xml:space="preserve">DOI: </w:t>
      </w:r>
      <w:hyperlink r:id="rId677">
        <w:r>
          <w:rPr>
            <w:color w:val="1155CC"/>
            <w:u w:val="single"/>
          </w:rPr>
          <w:t>10.1093/nsr/nwag241</w:t>
        </w:r>
      </w:hyperlink>
    </w:p>
    <w:p>
      <w:pPr>
        <w:spacing w:before="0" w:after="120"/>
      </w:pPr>
      <w:r>
        <w:rPr>
          <w:b/>
        </w:rPr>
        <w:t xml:space="preserve">Notes: </w:t>
      </w:r>
      <w:r>
        <w:t>abstract_source=rss_oup</w:t>
      </w:r>
    </w:p>
    <w:p>
      <w:pPr>
        <w:spacing w:before="0" w:after="80" w:lineRule="auto" w:line="276"/>
      </w:pPr>
      <w:r>
        <w:rPr>
          <w:b/>
        </w:rPr>
        <w:t xml:space="preserve">摘要（ZH）: </w:t>
      </w:r>
      <w:r>
        <w:t>由于常用染料的聚集引起的猝灭（ACQ）限制，开发用于光动力疗法（PDT）的高效光敏剂仍然是一个重大挑战。在此，我们提出了一种四苯乙烯-卟啉异面分子笼（1•8Clˉ）的设计和合成，其中具有聚集诱导发光（AIE）特性的四苯乙烯（TPE）与表现出良好光敏性的卟啉共价连接，但卟啉受到ACQ效应的影响。异面分子笼设计为面对面配置，由四个p-</w:t>
      </w:r>
    </w:p>
    <w:p>
      <w:pPr>
        <w:spacing w:before="0" w:after="200" w:lineRule="auto" w:line="276"/>
      </w:pPr>
      <w:r>
        <w:rPr>
          <w:b/>
        </w:rPr>
        <w:t xml:space="preserve">Abstract (EN): </w:t>
      </w:r>
      <w:r>
        <w:t>The development of efficient photosensitizers for photodynamic therapy (PDT) remains a significant challenge due to the limitations of aggregation-caused quenching (ACQ) in commonly used chromophores. Here, we present the design and synthesis of a tetraphenylethene-porphyrin hetero-faced molecular cage (1•8Clˉ), where tetraphenylethene (TPE) with aggregation-induced emission (AIE) properties is covalently linked to porphyrin, which exhibits good photosensitivity but suffers from ACQ effects. The hetero-faced molecular cage is designed with a face-to-face configuration, facilitated by four p-</w:t>
      </w:r>
    </w:p>
    <w:p>
      <w:pPr>
        <w:spacing w:before="120" w:after="120"/>
      </w:pPr>
      <w:r>
        <w:rPr>
          <w:sz w:val="18"/>
        </w:rPr>
        <w:t>——————————————————————————————————————————————————————————————————————</w:t>
      </w:r>
    </w:p>
    <w:p>
      <w:pPr>
        <w:spacing w:before="160" w:after="40" w:line="240" w:lineRule="auto"/>
      </w:pPr>
      <w:r>
        <w:rPr>
          <w:b/>
        </w:rPr>
        <w:t xml:space="preserve">[245] </w:t>
      </w:r>
      <w:hyperlink r:id="rId678">
        <w:r>
          <w:rPr>
            <w:color w:val="1155CC"/>
            <w:u w:val="single"/>
          </w:rPr>
          <w:t>人类合作经历不断的崩溃和修复</w:t>
        </w:r>
      </w:hyperlink>
    </w:p>
    <w:p>
      <w:pPr>
        <w:spacing w:before="0" w:after="80"/>
      </w:pPr>
      <w:r>
        <w:rPr>
          <w:i/>
          <w:sz w:val="20"/>
        </w:rPr>
        <w:t>EN: Human cooperation undergoes constant breakdown and repair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79">
        <w:r>
          <w:rPr>
            <w:color w:val="1155CC"/>
            <w:u w:val="single"/>
          </w:rPr>
          <w:t>10.1038/d41586-026-01048-z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80">
        <w:r>
          <w:rPr>
            <w:color w:val="1155CC"/>
            <w:u w:val="single"/>
          </w:rPr>
          <w:t>快速冷却塑造了太阳系中第一批陨石的形成</w:t>
        </w:r>
      </w:hyperlink>
    </w:p>
    <w:p>
      <w:pPr>
        <w:spacing w:before="0" w:after="80"/>
      </w:pPr>
      <w:r>
        <w:rPr>
          <w:i/>
          <w:sz w:val="20"/>
        </w:rPr>
        <w:t>EN: Rapid cooling shaped the formation of the first meteorites in the Solar System</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81">
        <w:r>
          <w:rPr>
            <w:color w:val="1155CC"/>
            <w:u w:val="single"/>
          </w:rPr>
          <w:t>10.1038/d41586-026-01046-1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682">
        <w:r>
          <w:rPr>
            <w:color w:val="1155CC"/>
            <w:u w:val="single"/>
          </w:rPr>
          <w:t>界面水控制催化剂之外的氧气演化</w:t>
        </w:r>
      </w:hyperlink>
    </w:p>
    <w:p>
      <w:pPr>
        <w:spacing w:before="0" w:after="80"/>
      </w:pPr>
      <w:r>
        <w:rPr>
          <w:i/>
          <w:sz w:val="20"/>
        </w:rPr>
        <w:t>EN: Interfacial water controls oxygen evolution beyond the catalyst</w:t>
      </w:r>
    </w:p>
    <w:p>
      <w:pPr>
        <w:spacing w:before="0" w:after="120"/>
      </w:pPr>
      <w:r>
        <w:rPr>
          <w:b/>
        </w:rPr>
        <w:t xml:space="preserve">Source: </w:t>
      </w:r>
      <w:r>
        <w:t>Nature Chemistry</w:t>
      </w:r>
      <w:r>
        <w:t xml:space="preserve">    </w:t>
      </w:r>
      <w:r>
        <w:rPr>
          <w:b/>
        </w:rPr>
        <w:t xml:space="preserve">Pub date: </w:t>
      </w:r>
      <w:r>
        <w:t>2026-04-22 00:00:00+00:00</w:t>
      </w:r>
      <w:r>
        <w:t xml:space="preserve">    </w:t>
      </w:r>
      <w:r>
        <w:rPr>
          <w:b/>
        </w:rPr>
        <w:t xml:space="preserve">DOI: </w:t>
      </w:r>
      <w:hyperlink r:id="rId683">
        <w:r>
          <w:rPr>
            <w:color w:val="1155CC"/>
            <w:u w:val="single"/>
          </w:rPr>
          <w:t>10.1038/s41557-026-02130-9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84">
        <w:r>
          <w:rPr>
            <w:color w:val="1155CC"/>
            <w:u w:val="single"/>
          </w:rPr>
          <w:t>被误解的性染色体：X染色体如何影响你的健康</w:t>
        </w:r>
      </w:hyperlink>
    </w:p>
    <w:p>
      <w:pPr>
        <w:spacing w:before="0" w:after="80"/>
      </w:pPr>
      <w:r>
        <w:rPr>
          <w:i/>
          <w:sz w:val="20"/>
        </w:rPr>
        <w:t>EN: The misunderstood sex chromosome: how X affects your health</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85">
        <w:r>
          <w:rPr>
            <w:color w:val="1155CC"/>
            <w:u w:val="single"/>
          </w:rPr>
          <w:t>10.1038/d41586-026-01256-7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686">
        <w:r>
          <w:rPr>
            <w:color w:val="1155CC"/>
            <w:u w:val="single"/>
          </w:rPr>
          <w:t>极化子在双曲介质中的传输</w:t>
        </w:r>
      </w:hyperlink>
    </w:p>
    <w:p>
      <w:pPr>
        <w:spacing w:before="0" w:after="80"/>
      </w:pPr>
      <w:r>
        <w:rPr>
          <w:i/>
          <w:sz w:val="20"/>
        </w:rPr>
        <w:t>EN: Transport of polaritons in hyperbolic media</w:t>
      </w:r>
    </w:p>
    <w:p>
      <w:pPr>
        <w:spacing w:before="0" w:after="120"/>
      </w:pPr>
      <w:r>
        <w:rPr>
          <w:b/>
        </w:rPr>
        <w:t xml:space="preserve">Source: </w:t>
      </w:r>
      <w:r>
        <w:t>Nature Reviews Materials</w:t>
      </w:r>
      <w:r>
        <w:t xml:space="preserve">    </w:t>
      </w:r>
      <w:r>
        <w:rPr>
          <w:b/>
        </w:rPr>
        <w:t xml:space="preserve">Pub date: </w:t>
      </w:r>
      <w:r>
        <w:t>2026-04-22 00:00:00+00:00</w:t>
      </w:r>
      <w:r>
        <w:t xml:space="preserve">    </w:t>
      </w:r>
      <w:r>
        <w:rPr>
          <w:b/>
        </w:rPr>
        <w:t xml:space="preserve">DOI: </w:t>
      </w:r>
      <w:hyperlink r:id="rId687">
        <w:r>
          <w:rPr>
            <w:color w:val="1155CC"/>
            <w:u w:val="single"/>
          </w:rPr>
          <w:t>10.1038/s41578-026-00907-5</w:t>
        </w:r>
      </w:hyperlink>
    </w:p>
    <w:p>
      <w:pPr>
        <w:spacing w:before="0" w:after="120"/>
      </w:pPr>
      <w:r>
        <w:rPr>
          <w:b/>
        </w:rPr>
        <w:t xml:space="preserve">Notes: </w:t>
      </w:r>
      <w:r>
        <w:t>abstract_source=nature_html</w:t>
      </w:r>
    </w:p>
    <w:p>
      <w:pPr>
        <w:spacing w:before="0" w:after="80" w:lineRule="auto" w:line="276"/>
      </w:pPr>
      <w:r>
        <w:rPr>
          <w:b/>
        </w:rPr>
        <w:t xml:space="preserve">摘要（ZH）: </w:t>
      </w:r>
      <w:r>
        <w:t>双曲极化激元——在极端各向异性介质中出现的混合光-物质准粒子——重新定义了纳米尺度光操控的极限。它们的开放等频面支持高动量态和定向能量流动，使得亚衍射控制达到单原子极限。尽管最初的进展是由人工超材料推动的，但自然双曲材料的发现跨越了维度层次，将重点转向内在的、低损耗和高度可调的平台。本综述建立了一个跨维框架，将0D到3D系统中的双曲极化激元统一起来，涵盖剪切、幽灵和拓扑边缘模式。我们分析了从描述性探索到设计导向范式的过渡，重点</w:t>
      </w:r>
    </w:p>
    <w:p>
      <w:pPr>
        <w:spacing w:before="0" w:after="200" w:lineRule="auto" w:line="276"/>
      </w:pPr>
      <w:r>
        <w:rPr>
          <w:b/>
        </w:rPr>
        <w:t xml:space="preserve">Abstract (EN): </w:t>
      </w:r>
      <w:r>
        <w:t>Hyperbolic polaritons — hybrid light–matter quasiparticles emerging in extremely anisotropic media — have redefined the limits of nanoscale light manipulation. Their open isofrequency surfaces support high-momentum states and directional energy flow, enabling subdiffractional control that reaches the single-atom limit. Although initial progress was driven by artificial metamaterials, the discovery of natural hyperbolic materials spanning a dimensional hierarchy has shifted focus towards intrinsic, low-loss and highly tunable platforms. This Review establishes a transdimensional framework that unifies hyperbolic polaritons across 0D to 3D systems, encompassing shear, ghost and topological edge modes. We analyse the transition from descriptive exploration to a design-oriented paradigm, focusing on topological transitions and anomalous transport at interfaces for sophisticated wavefront engineering. Finally, we present an interdisciplinary framework for hyperbolic polaritons at the intersection of materials science, physics, chemistry and information technology, outlining the strategic path towards integrated polaritonic circuits and quantum-chemical control.</w:t>
      </w:r>
    </w:p>
    <w:p>
      <w:pPr>
        <w:spacing w:before="120" w:after="120"/>
      </w:pPr>
      <w:r>
        <w:rPr>
          <w:sz w:val="18"/>
        </w:rPr>
        <w:t>——————————————————————————————————————————————————————————————————————</w:t>
      </w:r>
    </w:p>
    <w:p>
      <w:pPr>
        <w:spacing w:before="160" w:after="40" w:line="240" w:lineRule="auto"/>
      </w:pPr>
      <w:r>
        <w:rPr>
          <w:b/>
        </w:rPr>
        <w:t xml:space="preserve">[250] </w:t>
      </w:r>
      <w:hyperlink r:id="rId688">
        <w:r>
          <w:rPr>
            <w:color w:val="1155CC"/>
            <w:u w:val="single"/>
          </w:rPr>
          <w:t>新发现的大脑网络是由辅助细胞组成的‘秘密系统’</w:t>
        </w:r>
      </w:hyperlink>
    </w:p>
    <w:p>
      <w:pPr>
        <w:spacing w:before="0" w:after="80"/>
      </w:pPr>
      <w:r>
        <w:rPr>
          <w:i/>
          <w:sz w:val="20"/>
        </w:rPr>
        <w:t>EN: Newfound brain network is a ‘secret system’ made of helper cells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89">
        <w:r>
          <w:rPr>
            <w:color w:val="1155CC"/>
            <w:u w:val="single"/>
          </w:rPr>
          <w:t>10.1038/d41586-026-01338-6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690">
        <w:r>
          <w:rPr>
            <w:color w:val="1155CC"/>
            <w:u w:val="single"/>
          </w:rPr>
          <w:t>‘跳跃基因’帮助引起医院感染的细菌快速适应</w:t>
        </w:r>
      </w:hyperlink>
    </w:p>
    <w:p>
      <w:pPr>
        <w:spacing w:before="0" w:after="80"/>
      </w:pPr>
      <w:r>
        <w:rPr>
          <w:i/>
          <w:sz w:val="20"/>
        </w:rPr>
        <w:t>EN: ‘Jumping genes’ help a bacterium that causes hospital infections to adapt quickly</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91">
        <w:r>
          <w:rPr>
            <w:color w:val="1155CC"/>
            <w:u w:val="single"/>
          </w:rPr>
          <w:t>10.1038/d41586-026-01274-5</w:t>
        </w:r>
      </w:hyperlink>
    </w:p>
    <w:p>
      <w:pPr>
        <w:spacing w:before="0" w:after="120"/>
      </w:pPr>
      <w:r>
        <w:rPr>
          <w:b/>
        </w:rPr>
        <w:t xml:space="preserve">Notes: </w:t>
      </w:r>
      <w:r>
        <w:t>abstract_source=openalex</w:t>
      </w:r>
    </w:p>
    <w:p>
      <w:pPr>
        <w:spacing w:before="0" w:after="80" w:lineRule="auto" w:line="276"/>
      </w:pPr>
      <w:r>
        <w:rPr>
          <w:b/>
        </w:rPr>
        <w:t xml:space="preserve">摘要（ZH）: </w:t>
      </w:r>
      <w:r>
        <w:t>在过去的三十年中，被称为转座元件的移动DNA序列在肠球菌（Enterococcus faecium）的基因组中大量增殖，这是一种在住院患者中引发感染的重要细菌。这些“跳跃基因”可以快速复制，改变基因活性，并似乎帮助E. faecium在临床时间尺度上改变其代谢。转座元件在肠球菌中大量增殖，改变了其代谢和基因组结构。</w:t>
      </w:r>
    </w:p>
    <w:p>
      <w:pPr>
        <w:spacing w:before="0" w:after="200" w:lineRule="auto" w:line="276"/>
      </w:pPr>
      <w:r>
        <w:rPr>
          <w:b/>
        </w:rPr>
        <w:t xml:space="preserve">Abstract (EN): </w:t>
      </w:r>
      <w:r>
        <w:t>Over the past three decades, mobile DNA sequences called transposable elements have proliferated throughout the genome of Enterococcus faecium, an important bacterium behind infections in hospitalized individuals. These ‘jumping genes’ can replicate rapidly, alter gene activity and seem to help E. faecium to alter its metabolism on clinical timescales. Transposable elements have proliferated in the bacterium Enterococcus faecium, altering its metabolism and genome structure.</w:t>
      </w:r>
    </w:p>
    <w:p>
      <w:pPr>
        <w:spacing w:before="120" w:after="120"/>
      </w:pPr>
      <w:r>
        <w:rPr>
          <w:sz w:val="18"/>
        </w:rPr>
        <w:t>——————————————————————————————————————————————————————————————————————</w:t>
      </w:r>
    </w:p>
    <w:p>
      <w:pPr>
        <w:spacing w:before="160" w:after="40" w:line="240" w:lineRule="auto"/>
      </w:pPr>
      <w:r>
        <w:rPr>
          <w:b/>
        </w:rPr>
        <w:t xml:space="preserve">[252] </w:t>
      </w:r>
      <w:hyperlink r:id="rId692">
        <w:r>
          <w:rPr>
            <w:color w:val="1155CC"/>
            <w:u w:val="single"/>
          </w:rPr>
          <w:t>甘油驱动的TNAP在产热和矿化中的激活</w:t>
        </w:r>
      </w:hyperlink>
    </w:p>
    <w:p>
      <w:pPr>
        <w:spacing w:before="0" w:after="80"/>
      </w:pPr>
      <w:r>
        <w:rPr>
          <w:i/>
          <w:sz w:val="20"/>
        </w:rPr>
        <w:t>EN: Glycerol-driven TNAP activation in thermogenesis and mineralization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93">
        <w:r>
          <w:rPr>
            <w:color w:val="1155CC"/>
            <w:u w:val="single"/>
          </w:rPr>
          <w:t>10.1038/s41586-026-10396-9</w:t>
        </w:r>
      </w:hyperlink>
    </w:p>
    <w:p>
      <w:pPr>
        <w:spacing w:before="0" w:after="120"/>
      </w:pPr>
      <w:r>
        <w:rPr>
          <w:b/>
        </w:rPr>
        <w:t xml:space="preserve">Notes: </w:t>
      </w:r>
      <w:r>
        <w:t>abstract_source=nature_html</w:t>
      </w:r>
    </w:p>
    <w:p>
      <w:pPr>
        <w:spacing w:before="0" w:after="80" w:lineRule="auto" w:line="276"/>
      </w:pPr>
      <w:r>
        <w:rPr>
          <w:b/>
        </w:rPr>
        <w:t xml:space="preserve">摘要（ZH）: </w:t>
      </w:r>
      <w:r>
        <w:t>组织非特异性碱性磷酸酶（TNAP）通过水解焦磷酸盐1促进骨骼矿化，并通过磷酸肌酸水解2,3与解偶联蛋白1（UCP1）非依赖性脂肪细胞产热的无效肌酸循环有关。尽管TNAP具有广泛的生理作用，但其活性的内源性调节因子尚未被定义。此外，UCP1非依赖性产热的激活机制仍未解决。在此，我们确定甘油是TNAP的变构激活剂。甘油结合到活性位点远端的表面口袋，我们称之为甘油口袋，以增强TNAP活性。通过生物物理、结构、生物能量和生理学方法，我们表明甘油口袋是TNAP驱动产热所必需的。</w:t>
      </w:r>
    </w:p>
    <w:p>
      <w:pPr>
        <w:spacing w:before="0" w:after="200" w:lineRule="auto" w:line="276"/>
      </w:pPr>
      <w:r>
        <w:rPr>
          <w:b/>
        </w:rPr>
        <w:t xml:space="preserve">Abstract (EN): </w:t>
      </w:r>
      <w:r>
        <w:t>Tissue-nonspecific alkaline phosphatase (TNAP) promotes skeletal mineralization by hydrolysing pyrophosphate1 and has been linked to uncoupling protein 1 (UCP1)-independent adipocyte thermogenesis through the futile creatine cycle through phosphocreatine hydrolysis2,3. Despite TNAP’s broad physiological roles, endogenous regulators of its activity have not been defined. Furthermore, the activation mechanism of UCP1-independent thermogenesis has remained unresolved. Here we identify glycerol as an allosteric activator of TNAP. Glycerol binds to a surface pocket distal to the active site, which we term the glycerol pocket, to enhance TNAP activity. Using biophysical, structural, bioenergetic and physiological approaches, we show that the glycerol pocket is required for TNAP-driven thermogenesis. Through this mechanism, TNAP activates the futile creatine cycle, acting as a physiological complement to UCP1. The glycerol pocket is likewise required for optimal osteoblast-regulated mineralization. Human missense variants in this site reduce TNAP-dependent mineralization in vitro and are associated with lower alkaline phosphatase activity and bone mineral density, providing genetic evidence that its disruption impairs skeletal physiology.</w:t>
      </w:r>
    </w:p>
    <w:p>
      <w:pPr>
        <w:spacing w:before="120" w:after="120"/>
      </w:pPr>
      <w:r>
        <w:rPr>
          <w:sz w:val="18"/>
        </w:rPr>
        <w:t>——————————————————————————————————————————————————————————————————————</w:t>
      </w:r>
    </w:p>
    <w:p>
      <w:pPr>
        <w:spacing w:before="160" w:after="40" w:line="240" w:lineRule="auto"/>
      </w:pPr>
      <w:r>
        <w:rPr>
          <w:b/>
        </w:rPr>
        <w:t xml:space="preserve">[253] </w:t>
      </w:r>
      <w:hyperlink r:id="rId694">
        <w:r>
          <w:rPr>
            <w:color w:val="1155CC"/>
            <w:u w:val="single"/>
          </w:rPr>
          <w:t>真菌β-1,3-葡聚糖合酶被卡泊芬净抑制的结构基础</w:t>
        </w:r>
      </w:hyperlink>
    </w:p>
    <w:p>
      <w:pPr>
        <w:spacing w:before="0" w:after="80"/>
      </w:pPr>
      <w:r>
        <w:rPr>
          <w:i/>
          <w:sz w:val="20"/>
        </w:rPr>
        <w:t>EN: Structural basis of fungal β-1,3-glucan synthase inhibition by caspofungin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95">
        <w:r>
          <w:rPr>
            <w:color w:val="1155CC"/>
            <w:u w:val="single"/>
          </w:rPr>
          <w:t>10.1038/s41586-026-10409-7</w:t>
        </w:r>
      </w:hyperlink>
    </w:p>
    <w:p>
      <w:pPr>
        <w:spacing w:before="0" w:after="120"/>
      </w:pPr>
      <w:r>
        <w:rPr>
          <w:b/>
        </w:rPr>
        <w:t xml:space="preserve">Notes: </w:t>
      </w:r>
      <w:r>
        <w:t>abstract_source=nature_html</w:t>
      </w:r>
    </w:p>
    <w:p>
      <w:pPr>
        <w:spacing w:before="0" w:after="80" w:lineRule="auto" w:line="276"/>
      </w:pPr>
      <w:r>
        <w:rPr>
          <w:b/>
        </w:rPr>
        <w:t xml:space="preserve">摘要（ZH）: </w:t>
      </w:r>
      <w:r>
        <w:t>侵袭性真菌感染对日益增多的免疫受损患者群体构成生命威胁1,2。由于抗真菌药物有限和抗药性增加，治疗仍然具有挑战性。β-1,3-d-葡聚糖合酶（GS），由催化Fks1和调节小GTP酶Rho1（参考文献3,4）组成，是临床重要的棘白菌素类抗真菌药物的靶点。尽管最近的研究5,6,7，GS催化、Rho1调节以及棘白菌素抑制和抗药性的机制仍然难以捉摸。在此，我们展示了在催化相关条件下解析的天然酿酒酵母Fks1（ScFks1）的冷冻电子显微镜结构，揭示了其与抗真菌药物卡泊芬净（CFN）、从转运通道的葡聚糖产物和Rho1的相互作用。CFN形成一个</w:t>
      </w:r>
    </w:p>
    <w:p>
      <w:pPr>
        <w:spacing w:before="0" w:after="200" w:lineRule="auto" w:line="276"/>
      </w:pPr>
      <w:r>
        <w:rPr>
          <w:b/>
        </w:rPr>
        <w:t xml:space="preserve">Abstract (EN): </w:t>
      </w:r>
      <w:r>
        <w:t>Invasive fungal infections pose life-threatening risks to the increasing population of immunocompromised patients1,2. Treatment remains challenging due to limited antifungal drugs and increasing resistance. β-1,3-d-glucan synthase (GS), comprising the catalytic Fks1 and the regulatory small GTPase, Rho1 (refs. 3,4), is the target of clinically important echinocandin antifungals. Despite recent studies5,6,7, the mechanisms of GS catalysis, Rho1 regulation and echinocandin inhibition and resistance remain elusive. Here we present cryo-electron microscopy structures of native Saccharomyces cerevisiae Fks1 (ScFks1) solved under catalytically relevant conditions, revealing its interactions with the antifungal caspofungin (CFN), glucan product from the translocation channel and Rho1. CFN forms a ternary complex with nascent glucan and Fks1 at the membrane–protein interface, suggesting an unexpected role of CFN in stalling polymer translocation. Our echinocandin-resistant S643P structure suggests a resistance mechanism: the substitution destabilizes CFN and glucan binding through both allosteric structural perturbation and direct steric clash. Rho1 binding induces active site rearrangements essential for catalysis, including that of the ‘latch loop’ for donor substrate coordination. Furthermore, we identify YMR295C as an auxiliary subunit. These findings elucidate the mechanisms of GS-mediated glucan synthesis and its inhibition and resistance by echinocandins, laying the groundwork for rational antifungal design.</w:t>
      </w:r>
    </w:p>
    <w:p>
      <w:pPr>
        <w:spacing w:before="120" w:after="120"/>
      </w:pPr>
      <w:r>
        <w:rPr>
          <w:sz w:val="18"/>
        </w:rPr>
        <w:t>——————————————————————————————————————————————————————————————————————</w:t>
      </w:r>
    </w:p>
    <w:p>
      <w:pPr>
        <w:spacing w:before="160" w:after="40" w:line="240" w:lineRule="auto"/>
      </w:pPr>
      <w:r>
        <w:rPr>
          <w:b/>
        </w:rPr>
        <w:t xml:space="preserve">[254] </w:t>
      </w:r>
      <w:hyperlink r:id="rId696">
        <w:r>
          <w:rPr>
            <w:color w:val="1155CC"/>
            <w:u w:val="single"/>
          </w:rPr>
          <w:t>每日简报：大G比以往更加神秘</w:t>
        </w:r>
      </w:hyperlink>
    </w:p>
    <w:p>
      <w:pPr>
        <w:spacing w:before="0" w:after="80"/>
      </w:pPr>
      <w:r>
        <w:rPr>
          <w:i/>
          <w:sz w:val="20"/>
        </w:rPr>
        <w:t>EN: Daily briefing: Big G is more mysterious than ever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97">
        <w:r>
          <w:rPr>
            <w:color w:val="1155CC"/>
            <w:u w:val="single"/>
          </w:rPr>
          <w:t>10.1038/d41586-026-01347-5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698">
        <w:r>
          <w:rPr>
            <w:color w:val="1155CC"/>
            <w:u w:val="single"/>
          </w:rPr>
          <w:t>细胞和组织中糖原和代谢物的泛素化</w:t>
        </w:r>
      </w:hyperlink>
    </w:p>
    <w:p>
      <w:pPr>
        <w:spacing w:before="0" w:after="80"/>
      </w:pPr>
      <w:r>
        <w:rPr>
          <w:i/>
          <w:sz w:val="20"/>
        </w:rPr>
        <w:t>EN: Ubiquitination of glycogen and metabolites in cells and tissues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699">
        <w:r>
          <w:rPr>
            <w:color w:val="1155CC"/>
            <w:u w:val="single"/>
          </w:rPr>
          <w:t>10.1038/s41586-026-10548-x</w:t>
        </w:r>
      </w:hyperlink>
    </w:p>
    <w:p>
      <w:pPr>
        <w:spacing w:before="0" w:after="120"/>
      </w:pPr>
      <w:r>
        <w:rPr>
          <w:b/>
        </w:rPr>
        <w:t xml:space="preserve">Notes: </w:t>
      </w:r>
      <w:r>
        <w:t>abstract_source=nature_html</w:t>
      </w:r>
    </w:p>
    <w:p>
      <w:pPr>
        <w:spacing w:before="0" w:after="80" w:lineRule="auto" w:line="276"/>
      </w:pPr>
      <w:r>
        <w:rPr>
          <w:b/>
        </w:rPr>
        <w:t xml:space="preserve">摘要（ZH）: </w:t>
      </w:r>
      <w:r>
        <w:t>泛素信号传导涵盖了广泛的蛋白质修饰领域，但由于非蛋白质底物（如糖类、脂类和核苷酸）的存在，可能仍被低估。目前，泛素化的非蛋白质底物的广度、丰度及其在细胞中的作用尚不清楚，因为现有的泛素组学和蛋白质组学技术对非蛋白质修饰视而不见。我们报告了一种基于质谱的技术，称为非蛋白质泛素剪切（NoPro-clipping），该技术结合了泛素剪切酶和转肽酶标记。目标和非目标工作流程揭示了哺乳动物细胞以及小鼠和人类组织中泛素修饰的广阔新画布。我们发现小鼠中任何含糖原的组织中都有泛素化糖原，其中在肝脏和骨骼肌中的丰度最高</w:t>
      </w:r>
    </w:p>
    <w:p>
      <w:pPr>
        <w:spacing w:before="0" w:after="200" w:lineRule="auto" w:line="276"/>
      </w:pPr>
      <w:r>
        <w:rPr>
          <w:b/>
        </w:rPr>
        <w:t xml:space="preserve">Abstract (EN): </w:t>
      </w:r>
      <w:r>
        <w:t>Ubiquitin signalling covers a vast realm of protein modifications, yet may still be underestimated due to non-proteinaceous substrates, such as sugars, lipids, and nucleotides1 . The breadth of ubiquitinated non-protein substrates, their abundance, and cellular roles are currently unclear, since current ubiquitinomic and proteomic techniques are blind to non-proteinaceous modifications. We report Non-Protein Ub-clipping (NoPro-clipping) as a mass-spectrometry-based technique that combines ubiquitin clippases with sortase labelling. Targeted and untargeted workflows unveil a vast new canvas of ubiquitin modifications in mammalian cells, and in mouse and human tissues. We find ubiquitinated glycogen in any glycogen-containing tissue in mice, with highest abundance in liver and skeletal muscle. Ubiquitination can deliver glycogen to lysosomes, and leads to reduced glycogen levels. Glycogen ubiquitination is modulated in glycogen storage diseases and regulated by the Met1-polyubiquitin machinery. Strikingly, glycogen depletion in the liver during fasting coincides with elevated glycogen ubiquitination, suggesting that ubiquitin is a previously unknown component of physiological glycogen catabolism. We also reveal ubiquitination of endogenous glycerol and spermine in cells and tissues. NoPro-clipping hence unveils unexpected endogenous non-proteinaceous targets of ubiquitination, broadening the role of ubiquitin from a protein modifier to a general modifier of biomolecules.</w:t>
      </w:r>
    </w:p>
    <w:p>
      <w:pPr>
        <w:spacing w:before="120" w:after="120"/>
      </w:pPr>
      <w:r>
        <w:rPr>
          <w:sz w:val="18"/>
        </w:rPr>
        <w:t>——————————————————————————————————————————————————————————————————————</w:t>
      </w:r>
    </w:p>
    <w:p>
      <w:pPr>
        <w:spacing w:before="160" w:after="40" w:line="240" w:lineRule="auto"/>
      </w:pPr>
      <w:r>
        <w:rPr>
          <w:b/>
        </w:rPr>
        <w:t xml:space="preserve">[256] </w:t>
      </w:r>
      <w:hyperlink r:id="rId700">
        <w:r>
          <w:rPr>
            <w:color w:val="1155CC"/>
            <w:u w:val="single"/>
          </w:rPr>
          <w:t>α-RuCl3的声子霍尔粘度和内在热霍尔效应</w:t>
        </w:r>
      </w:hyperlink>
    </w:p>
    <w:p>
      <w:pPr>
        <w:spacing w:before="0" w:after="80"/>
      </w:pPr>
      <w:r>
        <w:rPr>
          <w:i/>
          <w:sz w:val="20"/>
        </w:rPr>
        <w:t>EN: Phonon Hall viscosity and the intrinsic thermal Hall effect of α-RuCl3</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01">
        <w:r>
          <w:rPr>
            <w:color w:val="1155CC"/>
            <w:u w:val="single"/>
          </w:rPr>
          <w:t>10.1038/s41586-026-10420-y</w:t>
        </w:r>
      </w:hyperlink>
    </w:p>
    <w:p>
      <w:pPr>
        <w:spacing w:before="0" w:after="120"/>
      </w:pPr>
      <w:r>
        <w:rPr>
          <w:b/>
        </w:rPr>
        <w:t xml:space="preserve">Notes: </w:t>
      </w:r>
      <w:r>
        <w:t>abstract_source=nature_html</w:t>
      </w:r>
    </w:p>
    <w:p>
      <w:pPr>
        <w:spacing w:before="0" w:after="80" w:lineRule="auto" w:line="276"/>
      </w:pPr>
      <w:r>
        <w:rPr>
          <w:b/>
        </w:rPr>
        <w:t xml:space="preserve">摘要（ZH）: </w:t>
      </w:r>
      <w:r>
        <w:t>热霍尔效应已在各种磁性绝缘体中观察到，但其起源仍存在争议。尽管一些研究将该效应归因于内在机制，如具有Berry曲率的热载体，另一些则提出外在机制，如热载体在晶体缺陷上散射。甚至热载体的性质也未知：磁振子、声子和分数化自旋激发都被提出过。解决这些问题对于量子自旋液体的研究至关重要，特别是对于α-RuCl3，其中量子化的热霍尔效应被归因于马约拉纳边缘模。在此，我们使用声学法拉第效应的超声测量来证明α-RuCl3中的声子具有</w:t>
      </w:r>
    </w:p>
    <w:p>
      <w:pPr>
        <w:spacing w:before="0" w:after="200" w:lineRule="auto" w:line="276"/>
      </w:pPr>
      <w:r>
        <w:rPr>
          <w:b/>
        </w:rPr>
        <w:t xml:space="preserve">Abstract (EN): </w:t>
      </w:r>
      <w:r>
        <w:t>The thermal Hall effect has been observed in a wide variety of magnetic insulators1,2,3,4,5,6,7,8,9, yet its origins remain controversial. Although some studies attribute the effect to intrinsic mechanisms10,11,12,13,14, such as heat carriers with Berry curvature, others propose extrinsic mechanisms15,16,17, such as heat carriers scattering off crystal defects. Even the nature of the heat carriers is unknown: magnons, phonons and fractionalized spin excitations have all been proposed. Resolving these issues is essential for the study of quantum spin liquids, and particularly for α-RuCl3, in which a quantized thermal Hall effect has been attributed to Majorana edge modes18,19. Here we use ultrasonic measurements of the acoustic Faraday effect to demonstrate that the phonons in α-RuCl3 have Hall viscosity—a non-dissipative viscosity that rotates phonon polarizations and deflects phonon heat currents. We show that phonon Hall viscosity produces an intrinsic thermal Hall effect that quantitatively accounts for a substantial fraction of the measured thermal Hall effect in α-RuCl3: the thermal Hall effect in α-RuCl3 is due to phonons, and it is intrinsic. More broadly, we demonstrate that the acoustic Faraday effect is a powerful tool for detecting phonon Hall viscosity and the associated phonon Berry curvature, offering a new way to uncover and study exotic states of matter that elude conventional experiments.</w:t>
      </w:r>
    </w:p>
    <w:p>
      <w:pPr>
        <w:spacing w:before="120" w:after="120"/>
      </w:pPr>
      <w:r>
        <w:rPr>
          <w:sz w:val="18"/>
        </w:rPr>
        <w:t>——————————————————————————————————————————————————————————————————————</w:t>
      </w:r>
    </w:p>
    <w:p>
      <w:pPr>
        <w:spacing w:before="160" w:after="40" w:line="240" w:lineRule="auto"/>
      </w:pPr>
      <w:r>
        <w:rPr>
          <w:b/>
        </w:rPr>
        <w:t xml:space="preserve">[257] </w:t>
      </w:r>
      <w:hyperlink r:id="rId702">
        <w:r>
          <w:rPr>
            <w:color w:val="1155CC"/>
            <w:u w:val="single"/>
          </w:rPr>
          <w:t>μ子g − 2中强子真空极化的混合计算至0.48%</w:t>
        </w:r>
      </w:hyperlink>
    </w:p>
    <w:p>
      <w:pPr>
        <w:spacing w:before="0" w:after="80"/>
      </w:pPr>
      <w:r>
        <w:rPr>
          <w:i/>
          <w:sz w:val="20"/>
        </w:rPr>
        <w:t>EN: Hybrid calculation of hadronic vacuum polarization in muon g − 2 to 0.48%</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03">
        <w:r>
          <w:rPr>
            <w:color w:val="1155CC"/>
            <w:u w:val="single"/>
          </w:rPr>
          <w:t>10.1038/s41586-026-10449-z</w:t>
        </w:r>
      </w:hyperlink>
    </w:p>
    <w:p>
      <w:pPr>
        <w:spacing w:before="0" w:after="120"/>
      </w:pPr>
      <w:r>
        <w:rPr>
          <w:b/>
        </w:rPr>
        <w:t xml:space="preserve">Notes: </w:t>
      </w:r>
      <w:r>
        <w:t>abstract_source=nature_html</w:t>
      </w:r>
    </w:p>
    <w:p>
      <w:pPr>
        <w:spacing w:before="0" w:after="80" w:lineRule="auto" w:line="276"/>
      </w:pPr>
      <w:r>
        <w:rPr>
          <w:b/>
        </w:rPr>
        <w:t xml:space="preserve">摘要（ZH）: </w:t>
      </w:r>
      <w:r>
        <w:t>50年来，粒子物理的标准模型在描述亚原子现象方面非常成功。在过去的四分之一世纪中，由于其预测与μ子异常磁矩aμ的精密测量之间的不匹配，这一模型受到了挑战。这一分歧最终得到了解决，首先通过从头算格点计算确定了最不确定的理论贡献，即领先阶强子真空极化（LO-HVP），{a}_{\mu }^{\text{LO-HVP}}，随后通过实验结果和使用格点结果更新的参考标准模型预测（参考文献3）。在此，我们为这一关键量提供了新的计算，得到{a}_{\mu }^{\text{LO-HVP}}=715.1(2.5)(2.3</w:t>
      </w:r>
    </w:p>
    <w:p>
      <w:pPr>
        <w:spacing w:before="0" w:after="200" w:lineRule="auto" w:line="276"/>
      </w:pPr>
      <w:r>
        <w:rPr>
          <w:b/>
        </w:rPr>
        <w:t xml:space="preserve">Abstract (EN): </w:t>
      </w:r>
      <w:r>
        <w:t>For 50 years, the standard model of particle physics has been very successful in describing subatomic phenomena. In the past quarter of a century, this was challenged by a mismatch between its predictions and precision measurements of the anomalous magnetic moment of the muon, aμ. This disagreement was eventually reconciled, first through a determination in an ab initio lattice calculation1 of the most uncertain theoretical contribution, the leading-order hadronic vacuum polarization (LO-HVP), {a}_{\mu }^{\text{LO-HVP}}, and subsequently by experimental results2 and updates of the reference standard-model predictions using lattice results for {a}_{\mu }^{\text{LO-HVP}} (ref. 3). Here we present a new calculation for this crucial quantity, obtaining {a}_{\mu }^{\text{LO-HVP}}=715.1(2.5)(2.3)[3.4]\times 1{0}^{-10}. This reduces the uncertainty by a factor of 1.6 compared with our earlier computation1. We use a hybrid approach that includes a small, long-distance contribution from experiments in a low-energy regime in which they all agree. Our approach combines the strengths of experimental and lattice data in different energy ranges, achieving better precision than with either alone. Our lattice quantum chromodynamics (QCD) simulations are performed on finer lattices than in ref. 1, allowing for an even more accurate continuum extrapolation. Combined with the calculations of the other standard-model contributions summarized in ref. 3, our result leads to a prediction that differs from the recent measurement of aμ (ref. 4) by only 0.5 standard deviations. This provides a notable validation of the standard model to 11 digits.</w:t>
      </w:r>
    </w:p>
    <w:p>
      <w:pPr>
        <w:spacing w:before="120" w:after="120"/>
      </w:pPr>
      <w:r>
        <w:rPr>
          <w:sz w:val="18"/>
        </w:rPr>
        <w:t>——————————————————————————————————————————————————————————————————————</w:t>
      </w:r>
    </w:p>
    <w:p>
      <w:pPr>
        <w:spacing w:before="160" w:after="40" w:line="240" w:lineRule="auto"/>
      </w:pPr>
      <w:r>
        <w:rPr>
          <w:b/>
        </w:rPr>
        <w:t xml:space="preserve">[258] </w:t>
      </w:r>
      <w:hyperlink r:id="rId704">
        <w:r>
          <w:rPr>
            <w:color w:val="1155CC"/>
            <w:u w:val="single"/>
          </w:rPr>
          <w:t>用自主机器人击败精英乒乓球运动员</w:t>
        </w:r>
      </w:hyperlink>
    </w:p>
    <w:p>
      <w:pPr>
        <w:spacing w:before="0" w:after="80"/>
      </w:pPr>
      <w:r>
        <w:rPr>
          <w:i/>
          <w:sz w:val="20"/>
        </w:rPr>
        <w:t>EN: Outplaying elite table tennis players with an autonomous robot</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05">
        <w:r>
          <w:rPr>
            <w:color w:val="1155CC"/>
            <w:u w:val="single"/>
          </w:rPr>
          <w:t>10.1038/s41586-026-10338-5</w:t>
        </w:r>
      </w:hyperlink>
    </w:p>
    <w:p>
      <w:pPr>
        <w:spacing w:before="0" w:after="120"/>
      </w:pPr>
      <w:r>
        <w:rPr>
          <w:b/>
        </w:rPr>
        <w:t xml:space="preserve">Notes: </w:t>
      </w:r>
      <w:r>
        <w:t>abstract_source=nature_html</w:t>
      </w:r>
    </w:p>
    <w:p>
      <w:pPr>
        <w:spacing w:before="0" w:after="80" w:lineRule="auto" w:line="276"/>
      </w:pPr>
      <w:r>
        <w:rPr>
          <w:b/>
        </w:rPr>
        <w:t xml:space="preserve">摘要（ZH）: </w:t>
      </w:r>
      <w:r>
        <w:t>人工智能（AI）系统现在在许多电脑游戏中挑战或超越人类专家1,2。然而，诸如乒乓球等物理和实时运动仍然是一个主要的开放挑战，因为它们需要在障碍物附近和人类反应时间边缘进行快速、精确和对抗性的互动3。在此，我们介绍Ace，据我们所知，这是第一个与精英人类乒乓球运动员竞争的真实世界自主系统。Ace通过使用基于事件的视觉传感器4的新型高速感知系统，以及基于无模型强化学习的新控制系统，以及最先进的高速机器人硬件，解决了物理实时互动的挑战。在与精英和专业选手的正式比赛中进行评估</w:t>
      </w:r>
    </w:p>
    <w:p>
      <w:pPr>
        <w:spacing w:before="0" w:after="200" w:lineRule="auto" w:line="276"/>
      </w:pPr>
      <w:r>
        <w:rPr>
          <w:b/>
        </w:rPr>
        <w:t xml:space="preserve">Abstract (EN): </w:t>
      </w:r>
      <w:r>
        <w:t>Artificial intelligence (AI) systems now challenge or surpass human experts in many computer games1,2. Physical and real-time sports such as table tennis, however, remain a major open challenge because of their requirements for fast, precise and adversarial interactions near obstacles and at the edge of human reaction time3. Here we present Ace, to our knowledge the first real-world autonomous system competitive with elite human table tennis players. Ace addresses the challenges of physical real-time interaction through a new, high-speed perception system using event-based vision sensors4, and a new control system based on model-free reinforcement learning, as well as state-of-the-art high-speed robot hardware. Evaluated in matches against elite and professional players under official competition rules, Ace achieved several victories and demonstrated consistent returns of high-speed, high-spin shots. These results highlight the potential of physical AI agents to perform complex, real-time interactive tasks, suggesting broader applications in domains requiring fast, precise human–robot interaction.</w:t>
      </w:r>
    </w:p>
    <w:p>
      <w:pPr>
        <w:spacing w:before="120" w:after="120"/>
      </w:pPr>
      <w:r>
        <w:rPr>
          <w:sz w:val="18"/>
        </w:rPr>
        <w:t>——————————————————————————————————————————————————————————————————————</w:t>
      </w:r>
    </w:p>
    <w:p>
      <w:pPr>
        <w:spacing w:before="160" w:after="40" w:line="240" w:lineRule="auto"/>
      </w:pPr>
      <w:r>
        <w:rPr>
          <w:b/>
        </w:rPr>
        <w:t xml:space="preserve">[259] </w:t>
      </w:r>
      <w:hyperlink r:id="rId706">
        <w:r>
          <w:rPr>
            <w:color w:val="1155CC"/>
            <w:u w:val="single"/>
          </w:rPr>
          <w:t>四重pegRNA实现可编程且高效的大基因组插入</w:t>
        </w:r>
      </w:hyperlink>
    </w:p>
    <w:p>
      <w:pPr>
        <w:spacing w:before="0" w:after="80"/>
      </w:pPr>
      <w:r>
        <w:rPr>
          <w:i/>
          <w:sz w:val="20"/>
        </w:rPr>
        <w:t>EN: Quadruple pegRNA enables programmable and efficient large genomic insertion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07">
        <w:r>
          <w:rPr>
            <w:color w:val="1155CC"/>
            <w:u w:val="single"/>
          </w:rPr>
          <w:t>10.1038/s41586-026-10395-w</w:t>
        </w:r>
      </w:hyperlink>
    </w:p>
    <w:p>
      <w:pPr>
        <w:spacing w:before="0" w:after="120"/>
      </w:pPr>
      <w:r>
        <w:rPr>
          <w:b/>
        </w:rPr>
        <w:t xml:space="preserve">Notes: </w:t>
      </w:r>
      <w:r>
        <w:t>abstract_source=nature_html</w:t>
      </w:r>
    </w:p>
    <w:p>
      <w:pPr>
        <w:spacing w:before="0" w:after="80" w:lineRule="auto" w:line="276"/>
      </w:pPr>
      <w:r>
        <w:rPr>
          <w:b/>
        </w:rPr>
        <w:t xml:space="preserve">摘要（ZH）: </w:t>
      </w:r>
      <w:r>
        <w:t>精确、特定位置插入大型基因序列在治疗多种遗传疾病方面具有巨大潜力。尽管使用配对引导RNA（pegRNA）的原始编辑可以介导靶向整合，但对于超过300个碱基对的有效载荷，插入效率急剧下降1,2,3。在此，我们提出了一种合理设计的四重pegRNA策略（QuadPE），用于高效和可编程地插入大型DNA片段。通过筛选不同的设计，我们发现两种基因组靶向pegRNA在PAM-out或PAM-in方向上与两种供体靶向pegRNA以线性或环形形式配对时，能产生最佳效率。使用QuadPE，我们实现了1.6到26 kb范围内DNA片段的稳定整合效率，效率约为40%</w:t>
      </w:r>
    </w:p>
    <w:p>
      <w:pPr>
        <w:spacing w:before="0" w:after="200" w:lineRule="auto" w:line="276"/>
      </w:pPr>
      <w:r>
        <w:rPr>
          <w:b/>
        </w:rPr>
        <w:t xml:space="preserve">Abstract (EN): </w:t>
      </w:r>
      <w:r>
        <w:t>Precise, site-specific insertion of large gene sequences holds great promise for the treatment of diverse genetic disorders. Although prime editing using paired guide RNAs (pegRNAs) can mediate targeted integration, insertion efficiency drops sharply for payloads exceeding 300 base pairs1,2,3. Here we present a rationally designed quadruple pegRNA strategy (QuadPE) for efficient and programmable insertion of large DNA fragments. Through screening different designs, we identified that combinations of two genome-targeting pegRNAs in a PAM-out or PAM-in orientation, when paired with two donor-targeting pegRNAs in linear or circular form, yield optimal efficiency. Using QuadPE, we achieved stable integration efficiency of DNA fragments ranging from 1.6 to 26 kb, with efficiencies of around 40% at multiple loci with minimal off-target insertion activity. QuadPE substantially outperformed recombinase-mediated (PASSIGE and PASTE)4,5 and transposase-mediated (CAST)6 insertion systems, particularly for larger payloads, showing a 11-fold, 61-fold and 12-fold improvement for a 9.5 kb insertion, respectively. Notably, QuadPE was effective in both dividing and non-dividing primary cells such as human primary T cells and post-mitotic neurons, establishing QuadPE as a powerful and precise platform for large-fragment gene insertion without the need for double-stranded breaks or recombinases.</w:t>
      </w:r>
    </w:p>
    <w:p>
      <w:pPr>
        <w:spacing w:before="120" w:after="120"/>
      </w:pPr>
      <w:r>
        <w:rPr>
          <w:sz w:val="18"/>
        </w:rPr>
        <w:t>——————————————————————————————————————————————————————————————————————</w:t>
      </w:r>
    </w:p>
    <w:p>
      <w:pPr>
        <w:spacing w:before="160" w:after="40" w:line="240" w:lineRule="auto"/>
      </w:pPr>
      <w:r>
        <w:rPr>
          <w:b/>
        </w:rPr>
        <w:t xml:space="preserve">[260] </w:t>
      </w:r>
      <w:hyperlink r:id="rId708">
        <w:r>
          <w:rPr>
            <w:color w:val="1155CC"/>
            <w:u w:val="single"/>
          </w:rPr>
          <w:t>人类合作的间歇性衰退</w:t>
        </w:r>
      </w:hyperlink>
    </w:p>
    <w:p>
      <w:pPr>
        <w:spacing w:before="0" w:after="80"/>
      </w:pPr>
      <w:r>
        <w:rPr>
          <w:i/>
          <w:sz w:val="20"/>
        </w:rPr>
        <w:t>EN: Punctuated decline of human cooperation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09">
        <w:r>
          <w:rPr>
            <w:color w:val="1155CC"/>
            <w:u w:val="single"/>
          </w:rPr>
          <w:t>10.1038/s41586-026-10380-3</w:t>
        </w:r>
      </w:hyperlink>
    </w:p>
    <w:p>
      <w:pPr>
        <w:spacing w:before="0" w:after="120"/>
      </w:pPr>
      <w:r>
        <w:rPr>
          <w:b/>
        </w:rPr>
        <w:t xml:space="preserve">Notes: </w:t>
      </w:r>
      <w:r>
        <w:t>abstract_source=nature_html</w:t>
      </w:r>
    </w:p>
    <w:p>
      <w:pPr>
        <w:spacing w:before="0" w:after="80" w:lineRule="auto" w:line="276"/>
      </w:pPr>
      <w:r>
        <w:rPr>
          <w:b/>
        </w:rPr>
        <w:t xml:space="preserve">摘要（ZH）: </w:t>
      </w:r>
      <w:r>
        <w:t>人类合作是动态的，即使在有利条件下也常常下降1,2,3,4。许多流行的理论将合作减少解释为战略行为或学习的结果，被视为理性行为的证据或向理性发展的进程5,6,7,8,9。在此，我们展示了长期下降的一个关键来源来自于随时间系统性变化的偏离理性行为。我们分析了一个自然的社会困境——即塞拉利昂的团体贷款——跟踪了五年期间的合作动态。借款人签订了一个联合责任合同，结构上如果团体贷款未全额偿还，所有成员将失去未来的信贷机会10。这产生了一个具有搭便车激励的门槛社会困境11,12。数据集包括</w:t>
      </w:r>
    </w:p>
    <w:p>
      <w:pPr>
        <w:spacing w:before="0" w:after="200" w:lineRule="auto" w:line="276"/>
      </w:pPr>
      <w:r>
        <w:rPr>
          <w:b/>
        </w:rPr>
        <w:t xml:space="preserve">Abstract (EN): </w:t>
      </w:r>
      <w:r>
        <w:t>Human cooperation is dynamic and often declines even under favourable conditions1,2,3,4. Many prevailing theories explain the decrease of cooperation in terms of strategic behaviour or learning, framed as evidence of rational behaviour or progression towards rationality5,6,7,8,9. Here we show that a key source of long-term decline derives from deviations from rational behaviour that systematically vary over time. We analyse a natural social dilemma in the field—that is, group lending in Sierra Leone—tracking cooperative dynamics over a five-year period. Borrowers enter a joint-liability contract, structured so that if the group loan is not repaid in full, all members lose access to future credit10. This produces a threshold social dilemma with incentives to free-ride11,12. The dataset includes 47,931 group payments made by 7,108 borrowers, augmented with a two-stage cluster sample of semi-structured interviews. We find a statistically robust pattern of punctuated decline driven by behavioural mechanisms13. Cooperation rates start out high but gradually decline due to decreases in group members’ cooperative motivation and effort. Sharp rebounds occur when loans are restarted and clients resensitized to their cooperative responsibilities, even though the group membership and dilemma structure are largely unchanged. This pattern persists over the five-year observation window, but with each successive restart the subsequent decline is more rapid. The findings have direct implications for preventing behavioural decline in cooperative programmes and institutions.</w:t>
      </w:r>
    </w:p>
    <w:p>
      <w:pPr>
        <w:spacing w:before="120" w:after="120"/>
      </w:pPr>
      <w:r>
        <w:rPr>
          <w:sz w:val="18"/>
        </w:rPr>
        <w:t>——————————————————————————————————————————————————————————————————————</w:t>
      </w:r>
    </w:p>
    <w:p>
      <w:pPr>
        <w:spacing w:before="160" w:after="40" w:line="240" w:lineRule="auto"/>
      </w:pPr>
      <w:r>
        <w:rPr>
          <w:b/>
        </w:rPr>
        <w:t xml:space="preserve">[261] </w:t>
      </w:r>
      <w:hyperlink r:id="rId710">
        <w:r>
          <w:rPr>
            <w:color w:val="1155CC"/>
            <w:u w:val="single"/>
          </w:rPr>
          <w:t>长达十年的变暖加速了草地土壤中的抗生素抗性</w:t>
        </w:r>
      </w:hyperlink>
    </w:p>
    <w:p>
      <w:pPr>
        <w:spacing w:before="0" w:after="80"/>
      </w:pPr>
      <w:r>
        <w:rPr>
          <w:i/>
          <w:sz w:val="20"/>
        </w:rPr>
        <w:t>EN: Decade-long warming accelerates antibiotic resistance in grassland soils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11">
        <w:r>
          <w:rPr>
            <w:color w:val="1155CC"/>
            <w:u w:val="single"/>
          </w:rPr>
          <w:t>10.1038/s41586-026-10413-x</w:t>
        </w:r>
      </w:hyperlink>
    </w:p>
    <w:p>
      <w:pPr>
        <w:spacing w:before="0" w:after="120"/>
      </w:pPr>
      <w:r>
        <w:rPr>
          <w:b/>
        </w:rPr>
        <w:t xml:space="preserve">Notes: </w:t>
      </w:r>
      <w:r>
        <w:t>abstract_source=nature_html</w:t>
      </w:r>
    </w:p>
    <w:p>
      <w:pPr>
        <w:spacing w:before="0" w:after="80" w:lineRule="auto" w:line="276"/>
      </w:pPr>
      <w:r>
        <w:rPr>
          <w:b/>
        </w:rPr>
        <w:t xml:space="preserve">摘要（ZH）: </w:t>
      </w:r>
      <w:r>
        <w:t>土壤是抗生素抗性基因（ARGs）的关键储存库1,2，这些基因受到微生物相互作用和环境条件的强烈影响，因此对干扰非常敏感2,3,4,5,6。尽管气候变暖被认为是对微生物群落及其功能最显著的干扰之一7,8,9,10，但其对土壤抗性组的影响仍然知之甚少。在此，我们通过综合实验和计算方法研究了长达十年的实验性变暖对草地土壤中ARGs的影响。我们的结果显示，在变暖条件下，ARG丰度显著增加（23.9%），尤其是糖肽和利福霉素抗性基因。变暖特别丰富了放线菌门宿主，包括各种潜在的植物病原体。</w:t>
      </w:r>
    </w:p>
    <w:p>
      <w:pPr>
        <w:spacing w:before="0" w:after="200" w:lineRule="auto" w:line="276"/>
      </w:pPr>
      <w:r>
        <w:rPr>
          <w:b/>
        </w:rPr>
        <w:t xml:space="preserve">Abstract (EN): </w:t>
      </w:r>
      <w:r>
        <w:t>Soils are critical reservoirs of antibiotic-resistance genes (ARGs)1,2, which are strongly shaped by microbial interactions and environmental conditions and are therefore highly sensitive to disturbance2,3,4,5,6. Although climate warming is recognized as one of the most significant disturbances to microbial communities and their functions7,8,9,10, its impacts on soil resistomes remain poorly understood. Here we investigated the effects of decade-long experimental warming on ARGs in grassland soils using integrated experimental and computational approaches. Our results revealed that ARG abundance substantially increased (23.9%) under warming—particularly glycopeptide- and rifamycin-resistance genes. Warming specifically enriched Actinomycetota hosts, including various potential plant pathogens, and enhanced ARG mobility. Large-scale unprecedented isolates-based phenotypic analyses also validated that warming increased bacterial resistance to multiple antibiotics. Further mechanistic analyses revealed that warming increased ARG abundance primarily through co-selection of resistance genes physically linked to adaptive traits (for example, thermal tolerance and nitrogen assimilation) and positive selection for thermal tolerance genes, which could be further amplified via horizontal gene transfer. Together, these findings convincingly demonstrate that climate warming substantially accelerates soil antibiotic resistance at genomic, ecological and evolutionary levels, with broad implications for public health and environmental sustainability in a warming world.</w:t>
      </w:r>
    </w:p>
    <w:p>
      <w:pPr>
        <w:spacing w:before="120" w:after="120"/>
      </w:pPr>
      <w:r>
        <w:rPr>
          <w:sz w:val="18"/>
        </w:rPr>
        <w:t>——————————————————————————————————————————————————————————————————————</w:t>
      </w:r>
    </w:p>
    <w:p>
      <w:pPr>
        <w:spacing w:before="160" w:after="40" w:line="240" w:lineRule="auto"/>
      </w:pPr>
      <w:r>
        <w:rPr>
          <w:b/>
        </w:rPr>
        <w:t xml:space="preserve">[262] </w:t>
      </w:r>
      <w:hyperlink r:id="rId712">
        <w:r>
          <w:rPr>
            <w:color w:val="1155CC"/>
            <w:u w:val="single"/>
          </w:rPr>
          <w:t>转座子驱动了粪肠球菌的快速适应</w:t>
        </w:r>
      </w:hyperlink>
    </w:p>
    <w:p>
      <w:pPr>
        <w:spacing w:before="0" w:after="80"/>
      </w:pPr>
      <w:r>
        <w:rPr>
          <w:i/>
          <w:sz w:val="20"/>
        </w:rPr>
        <w:t>EN: Transposable elements are driving rapid adaptation of Enterococcus faecium</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13">
        <w:r>
          <w:rPr>
            <w:color w:val="1155CC"/>
            <w:u w:val="single"/>
          </w:rPr>
          <w:t>10.1038/s41586-026-10373-2</w:t>
        </w:r>
      </w:hyperlink>
    </w:p>
    <w:p>
      <w:pPr>
        <w:spacing w:before="0" w:after="120"/>
      </w:pPr>
      <w:r>
        <w:rPr>
          <w:b/>
        </w:rPr>
        <w:t xml:space="preserve">Notes: </w:t>
      </w:r>
      <w:r>
        <w:t>abstract_source=nature_html</w:t>
      </w:r>
    </w:p>
    <w:p>
      <w:pPr>
        <w:spacing w:before="0" w:after="80" w:lineRule="auto" w:line="276"/>
      </w:pPr>
      <w:r>
        <w:rPr>
          <w:b/>
        </w:rPr>
        <w:t xml:space="preserve">摘要（ZH）: </w:t>
      </w:r>
      <w:r>
        <w:t>细菌病原体能够迅速适应临床和宿主体内的选择压力1。插入序列（IS）是可以促进病原体适应的转座元件2，但其在当代临床人群中的活动和后果尚未得到充分表征。在此，我们结合大规模基因组调查与临床分离株的长读长测序以及纵向肠道宏基因组，量化了从全球模式到宿主体内进化的病原体IS动态。在19,485个公开可用的高连续性ESKAPEE病原体基因组中，粪肠球菌基因组的IS密度最高，主要由复制性ISL3家族元件主导，这些元件在过去30年中在临床谱系中大量增殖。我们发现了广泛的染色体结构变异，主要涉及</w:t>
      </w:r>
    </w:p>
    <w:p>
      <w:pPr>
        <w:spacing w:before="0" w:after="200" w:lineRule="auto" w:line="276"/>
      </w:pPr>
      <w:r>
        <w:rPr>
          <w:b/>
        </w:rPr>
        <w:t xml:space="preserve">Abstract (EN): </w:t>
      </w:r>
      <w:r>
        <w:t>Bacterial pathogens adapt rapidly to clinical and within-host selective pressures1. Insertion sequences (IS) are transposable elements that can contribute to pathogenic adaptation2, but their activity and consequences in contemporary clinical populations are not well characterized. Here, combining large-scale genomic surveys with long-read sequencing of clinical isolates and longitudinal gut metagenomes, we quantify pathogen IS dynamics from global patterns to within-host evolution. Across 19,485 publicly available high-contiguity ESKAPEE pathogen genomes, Enterococcus faecium genomes are the most IS dense, dominated by replicative ISL3 family elements, which have proliferated in clinical lineages over the past 30 years. We find extensive chromosomal structural variation, largely involving ISL3, within a new single-hospital collection of bloodstream isolates. Long-read metagenomic sequencing of 28 longitudinal stool samples from 12 haematopoietic cell transplantation (HCT) recipients demonstrates within-host IS dynamics and their regulatory consequences. In one patient, an ISL3 insertion upstream of a folate transporter formed a strong promoter, increasing transcription and improving relative fitness under folate limitation. Enhanced folate scavenging may enable E. faecium to thrive in the setting of microbiome collapse, which is common in HCT and other critically ill patients3. Together, these results show that a recent ISL3 expansion is driving rapid evolution in healthcare-associated E. faecium, with consequences for its metabolic fitness that may help explain its increasing clinical burden. Several other pathogens also show elevated IS loads in our survey, which suggests that IS expansion-mediated evolution might be more broadly relevant.</w:t>
      </w:r>
    </w:p>
    <w:p>
      <w:pPr>
        <w:spacing w:before="120" w:after="120"/>
      </w:pPr>
      <w:r>
        <w:rPr>
          <w:sz w:val="18"/>
        </w:rPr>
        <w:t>——————————————————————————————————————————————————————————————————————</w:t>
      </w:r>
    </w:p>
    <w:p>
      <w:pPr>
        <w:spacing w:before="160" w:after="40" w:line="240" w:lineRule="auto"/>
      </w:pPr>
      <w:r>
        <w:rPr>
          <w:b/>
        </w:rPr>
        <w:t xml:space="preserve">[263] </w:t>
      </w:r>
      <w:hyperlink r:id="rId714">
        <w:r>
          <w:rPr>
            <w:color w:val="1155CC"/>
            <w:u w:val="single"/>
          </w:rPr>
          <w:t>美洲原住民的进化历史和独特的遗传多样性</w:t>
        </w:r>
      </w:hyperlink>
    </w:p>
    <w:p>
      <w:pPr>
        <w:spacing w:before="0" w:after="80"/>
      </w:pPr>
      <w:r>
        <w:rPr>
          <w:i/>
          <w:sz w:val="20"/>
        </w:rPr>
        <w:t>EN: The evolutionary history and unique genetic diversity of Indigenous Americans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15">
        <w:r>
          <w:rPr>
            <w:color w:val="1155CC"/>
            <w:u w:val="single"/>
          </w:rPr>
          <w:t>10.1038/s41586-026-10406-w</w:t>
        </w:r>
      </w:hyperlink>
    </w:p>
    <w:p>
      <w:pPr>
        <w:spacing w:before="0" w:after="120"/>
      </w:pPr>
      <w:r>
        <w:rPr>
          <w:b/>
        </w:rPr>
        <w:t xml:space="preserve">Notes: </w:t>
      </w:r>
      <w:r>
        <w:t>abstract_source=nature_html</w:t>
      </w:r>
    </w:p>
    <w:p>
      <w:pPr>
        <w:spacing w:before="0" w:after="80" w:lineRule="auto" w:line="276"/>
      </w:pPr>
      <w:r>
        <w:rPr>
          <w:b/>
        </w:rPr>
        <w:t xml:space="preserve">摘要（ZH）: </w:t>
      </w:r>
      <w:r>
        <w:t>美洲土著人民代表了人类在全球范围内的最后一次主要扩张1，但他们的遗传历史仍然是最少被探索的领域之一2。尽管这些人群已经在这片大陆上居住了数千年3，但由于基因组数据的有限可用性，他们的进化历史仍然很大程度上未解4,5。在此，我们展示了128个高覆盖率的美洲土著基因组数据，显示它们蕴含着广泛且以前未被描述的遗传多样性，反映了至少三次进入南美洲的扩散，随后是区域分化和长期连续性。我们在与免疫、代谢、生殖和发育相关的基因中识别出广泛的自然选择信号，这些信号是由适应多样化环境所塑造的。</w:t>
      </w:r>
    </w:p>
    <w:p>
      <w:pPr>
        <w:spacing w:before="0" w:after="200" w:lineRule="auto" w:line="276"/>
      </w:pPr>
      <w:r>
        <w:rPr>
          <w:b/>
        </w:rPr>
        <w:t xml:space="preserve">Abstract (EN): </w:t>
      </w:r>
      <w:r>
        <w:t>Indigenous peoples of America represent the last principal expansion of humans across the globe1, yet their genetic history remains one of the least explored2. Although these populations have inhabited the continent for thousands of years3, their evolutionary history remains largely unresolved4,5, owing to the limited availability of genomic data. Here we present data on 128 high-coverage Indigenous American genomes and show they harbour extensive and previously uncharacterized genetic diversity, reflecting at least three dispersals into South America, followed by regional differentiation and long-term continuity. We identified widespread natural selection signals in genes associated with immunity, metabolism, reproduction and development, which were shaped by adaptation to diverse environmental conditions. Notably, several genomic regions exhibit a remarkable allele sharing with Australasian populations, probably originating from an ancient admixture event and partly maintained by selection for more than 10,000 years. We also detected distinct contributions from archaic humans with adaptive introgression affecting key biological functions. The limited overlap between the regions of Australasian affinity and archaic ancestry indicates independent evolutionary origins of these signals. These findings challenge simplified models of continental settlements and show a more dynamic and complex evolutionary history for the Indigenous peoples in America.</w:t>
      </w:r>
    </w:p>
    <w:p>
      <w:pPr>
        <w:spacing w:before="120" w:after="120"/>
      </w:pPr>
      <w:r>
        <w:rPr>
          <w:sz w:val="18"/>
        </w:rPr>
        <w:t>——————————————————————————————————————————————————————————————————————</w:t>
      </w:r>
    </w:p>
    <w:p>
      <w:pPr>
        <w:spacing w:before="160" w:after="40" w:line="240" w:lineRule="auto"/>
      </w:pPr>
      <w:r>
        <w:rPr>
          <w:b/>
        </w:rPr>
        <w:t xml:space="preserve">[264] </w:t>
      </w:r>
      <w:hyperlink r:id="rId716">
        <w:r>
          <w:rPr>
            <w:color w:val="1155CC"/>
            <w:u w:val="single"/>
          </w:rPr>
          <w:t>早期纤维化生态位建立肿瘤许可的微环境</w:t>
        </w:r>
      </w:hyperlink>
    </w:p>
    <w:p>
      <w:pPr>
        <w:spacing w:before="0" w:after="80"/>
      </w:pPr>
      <w:r>
        <w:rPr>
          <w:i/>
          <w:sz w:val="20"/>
        </w:rPr>
        <w:t>EN: Early fibrotic niches establish tumour-permissive microenvironments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17">
        <w:r>
          <w:rPr>
            <w:color w:val="1155CC"/>
            <w:u w:val="single"/>
          </w:rPr>
          <w:t>10.1038/s41586-026-10399-6</w:t>
        </w:r>
      </w:hyperlink>
    </w:p>
    <w:p>
      <w:pPr>
        <w:spacing w:before="0" w:after="120"/>
      </w:pPr>
      <w:r>
        <w:rPr>
          <w:b/>
        </w:rPr>
        <w:t xml:space="preserve">Notes: </w:t>
      </w:r>
      <w:r>
        <w:t>abstract_source=nature_html</w:t>
      </w:r>
    </w:p>
    <w:p>
      <w:pPr>
        <w:spacing w:before="0" w:after="80" w:lineRule="auto" w:line="276"/>
      </w:pPr>
      <w:r>
        <w:rPr>
          <w:b/>
        </w:rPr>
        <w:t xml:space="preserve">摘要（ZH）: </w:t>
      </w:r>
      <w:r>
        <w:t>病理转化代表了一个关键但定义不清的窗口，在此期间，突变的上皮干细胞积极构建微环境，从而启动肿瘤1,2。在这里，我们使用综合的单细胞、空间和功能分析，定义了在肺部致癌激活后允许这种转变的最早多细胞事件。KrasG12D突变的肺泡II型细胞迅速采用再生样状态，作为信号枢纽，协调基质和免疫重编程，同时增强上皮可塑性。通过分泌两性霉素，突变的上皮细胞激活邻近成纤维细胞中的EGFR信号，诱导纤维化、损伤样程序。重编程的成纤维细胞反过来扩展并重编程肺泡</w:t>
      </w:r>
    </w:p>
    <w:p>
      <w:pPr>
        <w:spacing w:before="0" w:after="200" w:lineRule="auto" w:line="276"/>
      </w:pPr>
      <w:r>
        <w:rPr>
          <w:b/>
        </w:rPr>
        <w:t xml:space="preserve">Abstract (EN): </w:t>
      </w:r>
      <w:r>
        <w:t>Pathologic transformation represents a critical yet poorly defined window during which mutant epithelial stem cells actively construct the microenvironment that enables tumour initiation1,2. Here using integrated single-cell, spatial and functional analyses, we define the earliest multicellular events that licence this transition following oncogenic activation in the lung. KrasG12D-mutant alveolar type II cells rapidly adopt regenerative-like states that act as signalling hubs, orchestrating coordinated stromal and immune reprogramming while enhancing epithelial plasticity. Through secretion of amphiregulin, mutant epithelial cells activate EGFR signalling in adjacent fibroblasts, inducing a fibrotic, injury-like programme. Reprogrammed fibroblasts, in turn, expand and reprogramme alveolar macrophages, amplifying inflammatory signalling and reinforcing epithelial plasticity. These reciprocal interactions establish a self-sustaining epithelial–stromal–immune circuit that generates a tumour-permissive niche before malignant outgrowth. Disruption of the amphiregulin–EGFR axis prevents early niche formation and abrogates tumour initiation. Conservation of this programme in KRASG12D-inducible human alveolar organoids and early-stage lung adenocarcinoma tissues identifies epithelial–microenvironment communication as a therapeutically actionable vulnerability and suggests that intercepting niche formation may prevent progression to treatment-resistant disease.</w:t>
      </w:r>
    </w:p>
    <w:p>
      <w:pPr>
        <w:spacing w:before="120" w:after="120"/>
      </w:pPr>
      <w:r>
        <w:rPr>
          <w:sz w:val="18"/>
        </w:rPr>
        <w:t>——————————————————————————————————————————————————————————————————————</w:t>
      </w:r>
    </w:p>
    <w:p>
      <w:pPr>
        <w:spacing w:before="160" w:after="40" w:line="240" w:lineRule="auto"/>
      </w:pPr>
      <w:r>
        <w:rPr>
          <w:b/>
        </w:rPr>
        <w:t xml:space="preserve">[265] </w:t>
      </w:r>
      <w:hyperlink r:id="rId718">
        <w:r>
          <w:rPr>
            <w:color w:val="1155CC"/>
            <w:u w:val="single"/>
          </w:rPr>
          <w:t>使用定向自旋空间群对磁性序进行对称分类</w:t>
        </w:r>
      </w:hyperlink>
    </w:p>
    <w:p>
      <w:pPr>
        <w:spacing w:before="0" w:after="80"/>
      </w:pPr>
      <w:r>
        <w:rPr>
          <w:i/>
          <w:sz w:val="20"/>
        </w:rPr>
        <w:t>EN: Symmetry classification of magnetic orders using oriented spin space groups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19">
        <w:r>
          <w:rPr>
            <w:color w:val="1155CC"/>
            <w:u w:val="single"/>
          </w:rPr>
          <w:t>10.1038/s41586-026-10401-1</w:t>
        </w:r>
      </w:hyperlink>
    </w:p>
    <w:p>
      <w:pPr>
        <w:spacing w:before="0" w:after="120"/>
      </w:pPr>
      <w:r>
        <w:rPr>
          <w:b/>
        </w:rPr>
        <w:t xml:space="preserve">Notes: </w:t>
      </w:r>
      <w:r>
        <w:t>abstract_source=nature_html</w:t>
      </w:r>
    </w:p>
    <w:p>
      <w:pPr>
        <w:spacing w:before="0" w:after="80" w:lineRule="auto" w:line="276"/>
      </w:pPr>
      <w:r>
        <w:rPr>
          <w:b/>
        </w:rPr>
        <w:t xml:space="preserve">摘要（ZH）: </w:t>
      </w:r>
      <w:r>
        <w:t>磁学在最近几十年取得了实质性进展，主要是由于其在下一代存储设备中的潜力。然而，磁性顺序的分类，即使是铁磁性（FM）和反铁磁性（AFM）等基本概念，仍然是一个活跃发展的主题，特别是随着非常规磁性材料的发现和反铁磁自旋电子学的进展1,2,3,4。在这里，我们使用最先进的自旋空间群（SSG）理论5,6,7,8,9,10,11提出了一种磁性顺序的分类。基于SSG框架是否将净自旋磁化限制为零，我们系统地将磁性顺序分类为FM（包括亚铁磁性）和AFM。我们进一步引入了“定向自旋空间群”（OSSG）描述</w:t>
      </w:r>
    </w:p>
    <w:p>
      <w:pPr>
        <w:spacing w:before="0" w:after="200" w:lineRule="auto" w:line="276"/>
      </w:pPr>
      <w:r>
        <w:rPr>
          <w:b/>
        </w:rPr>
        <w:t xml:space="preserve">Abstract (EN): </w:t>
      </w:r>
      <w:r>
        <w:t>Magnetism has seen substantial progress in recent decades, driven largely by its potential for next-generation storage devices. However, the classification of magnetic orders, even for fundamental concepts such as ferromagnetism (FM) and antiferromagnetism (AFM), remains a topic of active evolution, particularly with the discovery of unconventional magnetic materials and advances in antiferromagnetic spintronics1,2,3,4. Here we present a classification of magnetic order using the state-of-the-art spin space group (SSG) theory5,6,7,8,9,10,11. On the basis of whether the net spin magnetization is constrained to zero by the SSG framework, we systematically categorize magnetic orders into FM (including ferrimagnetism) and AFM. We further introduce an ‘oriented spin space group’ (OSSG) description, that is, a SSG with a fixed magnetic orientation, thereby unifying the SSG and magnetic space group (MSG)12,13,14 frameworks. This approach clearly reveals the symmetry-breaking pathway induced by spin–orbit coupling (SOC). On the basis of the proposed group framework, we identify a distinct magnetic phase, termed spin–orbit magnetism (SOM), in which the net spin magnetization is induced by SOC. Our work provides a comprehensive symmetry-based perspective for classifying magnetic order, offering fresh insights into unconventional magnets and broad applicability in spintronics and quantum materials design.</w:t>
      </w:r>
    </w:p>
    <w:p>
      <w:pPr>
        <w:spacing w:before="120" w:after="120"/>
      </w:pPr>
      <w:r>
        <w:rPr>
          <w:sz w:val="18"/>
        </w:rPr>
        <w:t>——————————————————————————————————————————————————————————————————————</w:t>
      </w:r>
    </w:p>
    <w:p>
      <w:pPr>
        <w:spacing w:before="160" w:after="40" w:line="240" w:lineRule="auto"/>
      </w:pPr>
      <w:r>
        <w:rPr>
          <w:b/>
        </w:rPr>
        <w:t xml:space="preserve">[266] </w:t>
      </w:r>
      <w:hyperlink r:id="rId720">
        <w:r>
          <w:rPr>
            <w:color w:val="1155CC"/>
            <w:u w:val="single"/>
          </w:rPr>
          <w:t>心鼻蝙蝠α冠状病毒使用人类CEACAM6进入细胞</w:t>
        </w:r>
      </w:hyperlink>
    </w:p>
    <w:p>
      <w:pPr>
        <w:spacing w:before="0" w:after="80"/>
      </w:pPr>
      <w:r>
        <w:rPr>
          <w:i/>
          <w:sz w:val="20"/>
        </w:rPr>
        <w:t>EN: Heart-nosed bat alphacoronaviruses use human CEACAM6 to enter cells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21">
        <w:r>
          <w:rPr>
            <w:color w:val="1155CC"/>
            <w:u w:val="single"/>
          </w:rPr>
          <w:t>10.1038/s41586-026-10394-x</w:t>
        </w:r>
      </w:hyperlink>
    </w:p>
    <w:p>
      <w:pPr>
        <w:spacing w:before="0" w:after="120"/>
      </w:pPr>
      <w:r>
        <w:rPr>
          <w:b/>
        </w:rPr>
        <w:t xml:space="preserve">Notes: </w:t>
      </w:r>
      <w:r>
        <w:t>abstract_source=nature_html</w:t>
      </w:r>
    </w:p>
    <w:p>
      <w:pPr>
        <w:spacing w:before="0" w:after="80" w:lineRule="auto" w:line="276"/>
      </w:pPr>
      <w:r>
        <w:rPr>
          <w:b/>
        </w:rPr>
        <w:t xml:space="preserve">摘要（ZH）: </w:t>
      </w:r>
      <w:r>
        <w:t>基于病毒进入人类细胞的能力识别具有人畜共患病潜力的病毒是流行病预测、预防和准备的关键组成部分。在这里，我们使用保留最大系统发育多样性的计算方法，选择了一组最佳的α冠状病毒刺突蛋白，以筛选广泛的冠状病毒受体库。大多数选择的刺突蛋白未使用任何已建立的冠状病毒受体。然而，心鼻蝙蝠冠状病毒KY43（CcCoV-KY43）的假型刺突蛋白可以进入人类细胞。使用重组CcCoV受体结合域（RBD）和人类受体筛选平台，我们识别出与人类CEACAM蛋白CEACAM3、CEACAM5和CEACAM6的直接相互作用。过表达</w:t>
      </w:r>
    </w:p>
    <w:p>
      <w:pPr>
        <w:spacing w:before="0" w:after="200" w:lineRule="auto" w:line="276"/>
      </w:pPr>
      <w:r>
        <w:rPr>
          <w:b/>
        </w:rPr>
        <w:t xml:space="preserve">Abstract (EN): </w:t>
      </w:r>
      <w:r>
        <w:t>Identifying viruses with zoonotic potential on the basis of their ability to enter human cells is a critical component of pandemic prediction, prevention and preparedness. Here using a computational approach that retains maximum phylogenetic diversity, we selected an optimal subset of alphacoronavirus spike proteins to screen against broad coronavirus receptor libraries. Most of the selected spike proteins did not use any of the established coronavirus receptors. However, the pseudotyped spike protein of Cardioderma cor (heart-nosed bat) coronavirus KY43 (CcCoV-KY43) could enter human cells. Using a recombinant CcCoV receptor-binding domain (RBD) and a human receptor screening platform, we identified direct interactions with the human CEACAM proteins CEACAM3, CEACAM5 and CEACAM6. Overexpression of human CEACAM6—a protein widely expressed in the human lung—conferred permissivity to otherwise refractory human cells. A crystal structure showed that the RBD binds the amino-terminal IgV-like domain of human CEACAM6. Immune surveillance studies using sera of individuals from the Taveta region of Kenya, where CcCoV-KY43 was identified, did not show significant evidence of recent spillover. Wider characterization of alphacoronaviruses related to CcCoV-KY43 showed that human CEACAM6 is used by two other CcCoVs collected in Kenya. Moreover, there was more restricted nonhuman CEACAM6 tropism for viruses isolated from Rhinolophus bats from Russia and China. Thus, alphacoronaviruses that use CEACAM6 are probably geographically widespread, and viruses from East Africa show potential for transmission to humans.</w:t>
      </w:r>
    </w:p>
    <w:p>
      <w:pPr>
        <w:spacing w:before="120" w:after="120"/>
      </w:pPr>
      <w:r>
        <w:rPr>
          <w:sz w:val="18"/>
        </w:rPr>
        <w:t>——————————————————————————————————————————————————————————————————————</w:t>
      </w:r>
    </w:p>
    <w:p>
      <w:pPr>
        <w:spacing w:before="160" w:after="40" w:line="240" w:lineRule="auto"/>
      </w:pPr>
      <w:r>
        <w:rPr>
          <w:b/>
        </w:rPr>
        <w:t xml:space="preserve">[267] </w:t>
      </w:r>
      <w:hyperlink r:id="rId722">
        <w:r>
          <w:rPr>
            <w:color w:val="1155CC"/>
            <w:u w:val="single"/>
          </w:rPr>
          <w:t>作者更正：通过解决细胞骨架不稳定性实现稳健的细胞质分区</w:t>
        </w:r>
      </w:hyperlink>
    </w:p>
    <w:p>
      <w:pPr>
        <w:spacing w:before="0" w:after="80"/>
      </w:pPr>
      <w:r>
        <w:rPr>
          <w:i/>
          <w:sz w:val="20"/>
        </w:rPr>
        <w:t>EN: Author Correction: Robust cytoplasmic partitioning by solving a cytoskeletal instability</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23">
        <w:r>
          <w:rPr>
            <w:color w:val="1155CC"/>
            <w:u w:val="single"/>
          </w:rPr>
          <w:t>10.1038/s41586-026-10390-1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724">
        <w:r>
          <w:rPr>
            <w:color w:val="1155CC"/>
            <w:u w:val="single"/>
          </w:rPr>
          <w:t>可打印的元组件实现协同着色</w:t>
        </w:r>
      </w:hyperlink>
    </w:p>
    <w:p>
      <w:pPr>
        <w:spacing w:before="0" w:after="80"/>
      </w:pPr>
      <w:r>
        <w:rPr>
          <w:i/>
          <w:sz w:val="20"/>
        </w:rPr>
        <w:t>EN: Printable meta-assemblies enable synergetic colouration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25">
        <w:r>
          <w:rPr>
            <w:color w:val="1155CC"/>
            <w:u w:val="single"/>
          </w:rPr>
          <w:t>10.1038/s41586-026-10408-8</w:t>
        </w:r>
      </w:hyperlink>
    </w:p>
    <w:p>
      <w:pPr>
        <w:spacing w:before="0" w:after="120"/>
      </w:pPr>
      <w:r>
        <w:rPr>
          <w:b/>
        </w:rPr>
        <w:t xml:space="preserve">Notes: </w:t>
      </w:r>
      <w:r>
        <w:t>abstract_source=nature_html</w:t>
      </w:r>
    </w:p>
    <w:p>
      <w:pPr>
        <w:spacing w:before="0" w:after="80" w:lineRule="auto" w:line="276"/>
      </w:pPr>
      <w:r>
        <w:rPr>
          <w:b/>
        </w:rPr>
        <w:t xml:space="preserve">摘要（ZH）: </w:t>
      </w:r>
      <w:r>
        <w:t>生物系统通过纳米级构建块和微观形态层次结构的协同作用实现多功能性，这种多尺度结构在超材料中实施将是有利的1,2,3,4,5。然而，大多数人工光学系统只能在单一尺度上制造，面临有限的可扩展性、不足的可调性和单调功能性的挑战6,7,8。在此，我们提出了一种可打印的元组装策略，通过连续卷对卷（R2R）制造实现多尺度分层光学结构的制造。该元组装由周期性嵌入在聚二甲基硅氧烷（PDMS）基质中的低成本聚苯乙烯（PS）纳米颗粒组成，形成一种基于纳米晶格的微凹光学界面，使得pr</w:t>
      </w:r>
    </w:p>
    <w:p>
      <w:pPr>
        <w:spacing w:before="0" w:after="200" w:lineRule="auto" w:line="276"/>
      </w:pPr>
      <w:r>
        <w:rPr>
          <w:b/>
        </w:rPr>
        <w:t xml:space="preserve">Abstract (EN): </w:t>
      </w:r>
      <w:r>
        <w:t>Biological systems achieve multifunctionality through the synergy of nanoscale building blocks and microscale morphological hierarchies, a multiscale structure that would be advantageous to implement in metamaterials1,2,3,4,5. However, most artificial optical systems can only be fabricated on a single scale, facing the challenges of limited scalability, inadequate tunability and monotonous functionality6,7,8. Here we present a printable meta-assembly strategy that enables the fabrication of multiscale hierarchical optical architectures through continuous roll-to-roll (R2R) manufacturing. The meta-assembly comprises low-cost polystyrene (PS) nanoparticles periodically embedded in a polydimethylsiloxane (PDMS) matrix, forming a nanolattice-based microconcave optical interface that enables precise integration of guided-wave and reflected-wave dispersion and interference9,10,11,12. By optical coupling, distinct synergetic colouration is explored and experimentally realized with high designability and tunability. Overcoming scalability constraints, metre-scale meta-assembly prints with single-pixel customization can be rapidly fabricated from the nanoscale building blocks, spanning seven orders of magnitude in length. The vibrant prints exhibit controlled colour separation and integration performances, along with environmental stability, showing potential for eco-friendly colouration, intelligent displays and information security. This work provides a versatile methodology for biologically inspired metamaterial construction by means of multiscale photonics research.</w:t>
      </w:r>
    </w:p>
    <w:p>
      <w:pPr>
        <w:spacing w:before="120" w:after="120"/>
      </w:pPr>
      <w:r>
        <w:rPr>
          <w:sz w:val="18"/>
        </w:rPr>
        <w:t>——————————————————————————————————————————————————————————————————————</w:t>
      </w:r>
    </w:p>
    <w:p>
      <w:pPr>
        <w:spacing w:before="160" w:after="40" w:line="240" w:lineRule="auto"/>
      </w:pPr>
      <w:r>
        <w:rPr>
          <w:b/>
        </w:rPr>
        <w:t xml:space="preserve">[269] </w:t>
      </w:r>
      <w:hyperlink r:id="rId726">
        <w:r>
          <w:rPr>
            <w:color w:val="1155CC"/>
            <w:u w:val="single"/>
          </w:rPr>
          <w:t>使用硼基自由基作为连接和释放介质的六氟到二氟芳烃的多样自由基C–F官能化</w:t>
        </w:r>
      </w:hyperlink>
    </w:p>
    <w:p>
      <w:pPr>
        <w:spacing w:before="0" w:after="80"/>
      </w:pPr>
      <w:r>
        <w:rPr>
          <w:i/>
          <w:sz w:val="20"/>
        </w:rPr>
        <w:t>EN: Diverse radical C–F functionalizations of hexa- to difluoroarenes using boryl radicals as link-and-lose mediators</w:t>
      </w:r>
    </w:p>
    <w:p>
      <w:pPr>
        <w:spacing w:before="0" w:after="120"/>
      </w:pPr>
      <w:r>
        <w:rPr>
          <w:b/>
        </w:rPr>
        <w:t xml:space="preserve">Source: </w:t>
      </w:r>
      <w:r>
        <w:t>Nature Chemistry</w:t>
      </w:r>
      <w:r>
        <w:t xml:space="preserve">    </w:t>
      </w:r>
      <w:r>
        <w:rPr>
          <w:b/>
        </w:rPr>
        <w:t xml:space="preserve">Pub date: </w:t>
      </w:r>
      <w:r>
        <w:t>2026-04-22 00:00:00+00:00</w:t>
      </w:r>
      <w:r>
        <w:t xml:space="preserve">    </w:t>
      </w:r>
      <w:r>
        <w:rPr>
          <w:b/>
        </w:rPr>
        <w:t xml:space="preserve">DOI: </w:t>
      </w:r>
      <w:hyperlink r:id="rId727">
        <w:r>
          <w:rPr>
            <w:color w:val="1155CC"/>
            <w:u w:val="single"/>
          </w:rPr>
          <w:t>10.1038/s41557-026-02137-2</w:t>
        </w:r>
      </w:hyperlink>
    </w:p>
    <w:p>
      <w:pPr>
        <w:spacing w:before="0" w:after="120"/>
      </w:pPr>
      <w:r>
        <w:rPr>
          <w:b/>
        </w:rPr>
        <w:t xml:space="preserve">Notes: </w:t>
      </w:r>
      <w:r>
        <w:t>abstract_source=nature_html</w:t>
      </w:r>
    </w:p>
    <w:p>
      <w:pPr>
        <w:spacing w:before="0" w:after="80" w:lineRule="auto" w:line="276"/>
      </w:pPr>
      <w:r>
        <w:rPr>
          <w:b/>
        </w:rPr>
        <w:t xml:space="preserve">摘要（ZH）: </w:t>
      </w:r>
      <w:r>
        <w:t>在多氟芳烃中选择性地用其他功能取代氟可以有效地调节其性质。然而，多氟芳烃的C–F功能化具有不同的氟数量和取代模式，仍然是一个艰巨的挑战。在此，我们描述了一种独特的自由基方法，采用反应性可调的吡啶-硼自由基作为C–F转化的连接和丢失介质。反应从吡啶-硼自由基攻击多氟芳烃（“连接”）开始，这促进了ipso C–F键的独特异裂，在非还原条件下生成独特的多氟芳基自由基阳离子中间体。通过多种偶联伙伴捕获该中间体，同时硼的离去</w:t>
      </w:r>
    </w:p>
    <w:p>
      <w:pPr>
        <w:spacing w:before="0" w:after="200" w:lineRule="auto" w:line="276"/>
      </w:pPr>
      <w:r>
        <w:rPr>
          <w:b/>
        </w:rPr>
        <w:t xml:space="preserve">Abstract (EN): </w:t>
      </w:r>
      <w:r>
        <w:t>Selective fluorine substitution(s) in polyfluoroarenes with other functionalities can effectively tune their properties. However, diverse C–F functionalizations of polyfluoroarenes with varying fluorine numbers and substitution patterns remain a formidable challenge. Here we describe a distinct radical approach employing reactivity-tunable pyridine-boryl radicals as link-and-lose mediators for C–F transformations of various hexa- to difluoroarenes. The reaction starts with pyridine-boryl radical attack to a polyfluoroarene (‘link’), which facilitates a distinct heterolytic cleavage of the ipso C–F bond to generate a unique polyfluoroaryl radical cation intermediate under non-reductive conditions. Capturing this intermediate by diverse coupling partners with concurrent departure of boron moiety (‘lose’) enables hydro- and deuterodefluorination, as well as defluorinative arylation with arenes and alkylation with alkenes/alkanes. This process is applicable to functionalize the second, third and even fourth C–F bond, enabling vast structural diversity. Time-resolved electron paramagnetic resonance spectroscopy provides direct evidence of key intermediates involved, validating the distinct radical cascade.The alternative text for this image may have been generated using AI.</w:t>
      </w:r>
    </w:p>
    <w:p>
      <w:pPr>
        <w:spacing w:before="120" w:after="120"/>
      </w:pPr>
      <w:r>
        <w:rPr>
          <w:sz w:val="18"/>
        </w:rPr>
        <w:t>——————————————————————————————————————————————————————————————————————</w:t>
      </w:r>
    </w:p>
    <w:p>
      <w:pPr>
        <w:spacing w:before="160" w:after="40" w:line="240" w:lineRule="auto"/>
      </w:pPr>
      <w:r>
        <w:rPr>
          <w:b/>
        </w:rPr>
        <w:t xml:space="preserve">[270] </w:t>
      </w:r>
      <w:hyperlink r:id="rId728">
        <w:r>
          <w:rPr>
            <w:color w:val="1155CC"/>
            <w:u w:val="single"/>
          </w:rPr>
          <w:t>陶瓷般的强度和金属韧性在块状金属玻璃中</w:t>
        </w:r>
      </w:hyperlink>
    </w:p>
    <w:p>
      <w:pPr>
        <w:spacing w:before="0" w:after="80"/>
      </w:pPr>
      <w:r>
        <w:rPr>
          <w:i/>
          <w:sz w:val="20"/>
        </w:rPr>
        <w:t>EN: Ceramic-like strength and metallic toughness in a bulk metallic glass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29">
        <w:r>
          <w:rPr>
            <w:color w:val="1155CC"/>
            <w:u w:val="single"/>
          </w:rPr>
          <w:t>10.1038/s41586-026-10430-w</w:t>
        </w:r>
      </w:hyperlink>
    </w:p>
    <w:p>
      <w:pPr>
        <w:spacing w:before="0" w:after="120"/>
      </w:pPr>
      <w:r>
        <w:rPr>
          <w:b/>
        </w:rPr>
        <w:t xml:space="preserve">Notes: </w:t>
      </w:r>
      <w:r>
        <w:t>abstract_source=nature_html</w:t>
      </w:r>
    </w:p>
    <w:p>
      <w:pPr>
        <w:spacing w:before="0" w:after="80" w:lineRule="auto" w:line="276"/>
      </w:pPr>
      <w:r>
        <w:rPr>
          <w:b/>
        </w:rPr>
        <w:t xml:space="preserve">摘要（ZH）: </w:t>
      </w:r>
      <w:r>
        <w:t>金属和陶瓷具有对比鲜明的局限性——金属表现出较低的强度和较差的高温稳定性，而陶瓷本质上是脆性的。结合高强度、断裂韧性和热稳定性的材料仍然是一个重要的科学目标。在此，我们报告了Re–Co–Ta–B块体金属玻璃（BMGs），它们克服了这一基本限制，实现了约6.43 GPa的显著断裂强度，同时保持约30 MPa m1/2的断裂韧性。这个强度值超过了先前报道的BMGs和晶体金属的值，并接近先进陶瓷的强度，同时在韧性上远远超过它们。这些合金表现出对热软化和恶劣环境的显著抵抗力，在900 K时保持4.4 GPa的强度。</w:t>
      </w:r>
    </w:p>
    <w:p>
      <w:pPr>
        <w:spacing w:before="0" w:after="200" w:lineRule="auto" w:line="276"/>
      </w:pPr>
      <w:r>
        <w:rPr>
          <w:b/>
        </w:rPr>
        <w:t xml:space="preserve">Abstract (EN): </w:t>
      </w:r>
      <w:r>
        <w:t>Metals and ceramics have contrasting limitations—metals exhibit lower strength and poor high-temperature stability, whereas ceramics are inherently brittle. Materials combining high strength, fracture toughness and thermal stability remain an important scientific objective. Here we report Re–Co–Ta–B bulk metallic glasses (BMGs) that overcome this fundamental limitation, achieving a remarkable fracture strength of about 6.43 GPa while maintaining around 30 MPa m1/2 fracture toughness. This strength value exceeds previously reported values for BMGs and crystalline metals and approaches the strength of advanced ceramics while far exceeding them in toughness. These alloys exhibit pronounced resistance to thermal softening and harsh environments, retaining a strength of 4.4 GPa at 900 K with negligible oxidation and corrosion. Synchrotron measurements and aberration-corrected microscopy reveal the origin of these properties: a unique amorphous structure that inherits a high degree of crystal-like short-range order from the Re7B3 intermetallic phase. First-principles calculations indicate that this atomic framework is strengthened by directional Re–B covalent bonds embedded in a metallic matrix, thereby bridging the ceramic and metallic bonding. This work suggests structural heredity as a guiding principle for engineering next-generation amorphous materials with previously unattainable property combinations.</w:t>
      </w:r>
    </w:p>
    <w:p>
      <w:pPr>
        <w:spacing w:before="120" w:after="120"/>
      </w:pPr>
      <w:r>
        <w:rPr>
          <w:sz w:val="18"/>
        </w:rPr>
        <w:t>——————————————————————————————————————————————————————————————————————</w:t>
      </w:r>
    </w:p>
    <w:p>
      <w:pPr>
        <w:spacing w:before="160" w:after="40" w:line="240" w:lineRule="auto"/>
      </w:pPr>
      <w:r>
        <w:rPr>
          <w:b/>
        </w:rPr>
        <w:t xml:space="preserve">[271] </w:t>
      </w:r>
      <w:hyperlink r:id="rId730">
        <w:r>
          <w:rPr>
            <w:color w:val="1155CC"/>
            <w:u w:val="single"/>
          </w:rPr>
          <w:t>细胞死亡蛋白在肠道修复中具有意想不到的作用</w:t>
        </w:r>
      </w:hyperlink>
    </w:p>
    <w:p>
      <w:pPr>
        <w:spacing w:before="0" w:after="80"/>
      </w:pPr>
      <w:r>
        <w:rPr>
          <w:i/>
          <w:sz w:val="20"/>
        </w:rPr>
        <w:t>EN: A cell-death protein has an unexpected role in intestinal repair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31">
        <w:r>
          <w:rPr>
            <w:color w:val="1155CC"/>
            <w:u w:val="single"/>
          </w:rPr>
          <w:t>10.1038/d41586-026-00810-7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32">
        <w:r>
          <w:rPr>
            <w:color w:val="1155CC"/>
            <w:u w:val="single"/>
          </w:rPr>
          <w:t>一种几何引导的遗传算法用于综合海上风电场布局和电缆路由优化</w:t>
        </w:r>
      </w:hyperlink>
    </w:p>
    <w:p>
      <w:pPr>
        <w:spacing w:before="0" w:after="80"/>
      </w:pPr>
      <w:r>
        <w:rPr>
          <w:i/>
          <w:sz w:val="20"/>
        </w:rPr>
        <w:t>EN: A geometry-guided genetic algorithm for integrated offshore wind farm layout and electrical cable routing optimization</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733">
        <w:r>
          <w:rPr>
            <w:color w:val="1155CC"/>
            <w:u w:val="single"/>
          </w:rPr>
          <w:t>AI推理的能耗、效率路径和测试时间缩放</w:t>
        </w:r>
      </w:hyperlink>
    </w:p>
    <w:p>
      <w:pPr>
        <w:spacing w:before="0" w:after="80"/>
      </w:pPr>
      <w:r>
        <w:rPr>
          <w:i/>
          <w:sz w:val="20"/>
        </w:rPr>
        <w:t>EN: Energy use of AI inference, efficiency pathways, and test-time scaling</w:t>
      </w:r>
    </w:p>
    <w:p>
      <w:pPr>
        <w:spacing w:before="0" w:after="120"/>
      </w:pPr>
      <w:r>
        <w:rPr>
          <w:b/>
        </w:rPr>
        <w:t xml:space="preserve">Source: </w:t>
      </w:r>
      <w:r>
        <w:t>Joule</w:t>
      </w:r>
      <w:r>
        <w:t xml:space="preserve">    </w:t>
      </w:r>
      <w:r>
        <w:rPr>
          <w:b/>
        </w:rPr>
        <w:t xml:space="preserve">Pub date: </w:t>
      </w:r>
      <w:r>
        <w:t>2026-04-22 00:00:00+00:00</w:t>
      </w:r>
      <w:r>
        <w:t xml:space="preserve">    </w:t>
      </w:r>
      <w:r>
        <w:rPr>
          <w:b/>
        </w:rPr>
        <w:t xml:space="preserve">DOI: </w:t>
      </w:r>
      <w:hyperlink r:id="rId734">
        <w:r>
          <w:rPr>
            <w:color w:val="1155CC"/>
            <w:u w:val="single"/>
          </w:rPr>
          <w:t>10.1016/j.joule.2026.102430</w:t>
        </w:r>
      </w:hyperlink>
    </w:p>
    <w:p>
      <w:pPr>
        <w:spacing w:before="0" w:after="120"/>
      </w:pPr>
      <w:r>
        <w:rPr>
          <w:b/>
        </w:rPr>
        <w:t xml:space="preserve">Notes: </w:t>
      </w:r>
      <w:r>
        <w:t>abstract_source=rss_cell</w:t>
      </w:r>
    </w:p>
    <w:p>
      <w:pPr>
        <w:spacing w:before="0" w:after="80" w:lineRule="auto" w:line="276"/>
      </w:pPr>
      <w:r>
        <w:rPr>
          <w:b/>
        </w:rPr>
        <w:t xml:space="preserve">摘要（ZH）: </w:t>
      </w:r>
      <w:r>
        <w:t>本研究估算了在现实部署条件下大型语言模型推理的能耗。研究发现，优化系统每次查询消耗的能量低于1瓦时，比广泛引用的估计低4–20倍，同时显示长时间推理查询显著增加能量需求，并且效率改进可以将每次查询的能量使用减少8–20倍。</w:t>
      </w:r>
    </w:p>
    <w:p>
      <w:pPr>
        <w:spacing w:before="0" w:after="200" w:lineRule="auto" w:line="276"/>
      </w:pPr>
      <w:r>
        <w:rPr>
          <w:b/>
        </w:rPr>
        <w:t xml:space="preserve">Abstract (EN): </w:t>
      </w:r>
      <w:r>
        <w:t>This study estimates the energy use of large language model inference under realistic deployment conditions. It finds that optimized systems consume sub-watt-hour energy per query, 4–20× lower than widely cited estimates, while showing that long reasoning queries substantially increase energy demand and that efficiency improvements could reduce per-query energy use by 8–20×.</w:t>
      </w:r>
    </w:p>
    <w:p>
      <w:pPr>
        <w:spacing w:before="120" w:after="120"/>
      </w:pPr>
      <w:r>
        <w:rPr>
          <w:sz w:val="18"/>
        </w:rPr>
        <w:t>——————————————————————————————————————————————————————————————————————</w:t>
      </w:r>
    </w:p>
    <w:p>
      <w:pPr>
        <w:spacing w:before="160" w:after="40" w:line="240" w:lineRule="auto"/>
      </w:pPr>
      <w:r>
        <w:rPr>
          <w:b/>
        </w:rPr>
        <w:t xml:space="preserve">[274] </w:t>
      </w:r>
      <w:hyperlink r:id="rId735">
        <w:r>
          <w:rPr>
            <w:color w:val="1155CC"/>
            <w:u w:val="single"/>
          </w:rPr>
          <w:t>第一批太阳系固体的非平衡凝结</w:t>
        </w:r>
      </w:hyperlink>
    </w:p>
    <w:p>
      <w:pPr>
        <w:spacing w:before="0" w:after="80"/>
      </w:pPr>
      <w:r>
        <w:rPr>
          <w:i/>
          <w:sz w:val="20"/>
        </w:rPr>
        <w:t>EN: Non-equilibrium condensation of the first Solar System solids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36">
        <w:r>
          <w:rPr>
            <w:color w:val="1155CC"/>
            <w:u w:val="single"/>
          </w:rPr>
          <w:t>10.1038/s41586-026-10257-5</w:t>
        </w:r>
      </w:hyperlink>
    </w:p>
    <w:p>
      <w:pPr>
        <w:spacing w:before="0" w:after="120"/>
      </w:pPr>
      <w:r>
        <w:rPr>
          <w:b/>
        </w:rPr>
        <w:t xml:space="preserve">Notes: </w:t>
      </w:r>
      <w:r>
        <w:t>abstract_source=nature_html</w:t>
      </w:r>
    </w:p>
    <w:p>
      <w:pPr>
        <w:spacing w:before="0" w:after="80" w:lineRule="auto" w:line="276"/>
      </w:pPr>
      <w:r>
        <w:rPr>
          <w:b/>
        </w:rPr>
        <w:t xml:space="preserve">摘要（ZH）: </w:t>
      </w:r>
      <w:r>
        <w:t>原始陨石（球粒陨石）由在太阳星云组装过程中形成的非平衡矿物组合物组成。由于在原行星盘或小行星母体中的后续再加工，其前体凝结的条件仍不清楚。球粒陨石分为三大类——顽火辉石、普通和碳质——它们通过不同的整体成分和氧化状态区分开来。尽管平衡凝结模型解释了其中一些耐火成分的组成，但它们并不能解释三种矿物学类别的出现。此外，形成原行星盘时的低压、陡峭的温度梯度和短暂的动态传输时间可能阻碍了平衡。</w:t>
      </w:r>
    </w:p>
    <w:p>
      <w:pPr>
        <w:spacing w:before="0" w:after="200" w:lineRule="auto" w:line="276"/>
      </w:pPr>
      <w:r>
        <w:rPr>
          <w:b/>
        </w:rPr>
        <w:t xml:space="preserve">Abstract (EN): </w:t>
      </w:r>
      <w:r>
        <w:t>Primitive meteorites (chondrites) consist of an out-of-equilibrium assemblage of minerals formed during the assembly of our solar nebula1. The conditions under which their precursors condensed remain unclear as a result of subsequent reprocessing in the protoplanetary disk or in asteroidal parent bodies. Chondrites are classified into three main classes—enstatite, ordinary and carbonaceous—and these are distinguished by different bulk composition and oxidation state2. Although equilibrium condensation models explain the composition of some of their refractory components3,4, they do not explain the emergence of three mineralogical classes. Moreover, the low pressures, steep temperature gradients and short dynamical transport timescales in forming protoplanetary discs probably hindered equilibrium. Here we test the hypothesis that chondrite precursors formed via kinetic non-equilibrium condensation. Using a new time-dependent condensation model, we show that varying the cooling rate and pressure produce only three types of mineralogies. Departure from equilibrium yields increasingly oxidized and hydrous mineralogies. When projected into a Urey–Craig diagram, the predicted mineralogical types fall close to the redox states of enstatite, ordinary and carbonaceous chondrites. These results suggest that the mineralogical diversity of chondrites may reflect, in part, local condensation kinetics, offering an alternative to large-scale variations of oxidation conditions.</w:t>
      </w:r>
    </w:p>
    <w:p>
      <w:pPr>
        <w:spacing w:before="120" w:after="120"/>
      </w:pPr>
      <w:r>
        <w:rPr>
          <w:sz w:val="18"/>
        </w:rPr>
        <w:t>——————————————————————————————————————————————————————————————————————</w:t>
      </w:r>
    </w:p>
    <w:p>
      <w:pPr>
        <w:spacing w:before="160" w:after="40" w:line="240" w:lineRule="auto"/>
      </w:pPr>
      <w:r>
        <w:rPr>
          <w:b/>
        </w:rPr>
        <w:t xml:space="preserve">[275] </w:t>
      </w:r>
      <w:hyperlink r:id="rId737">
        <w:r>
          <w:rPr>
            <w:color w:val="1155CC"/>
            <w:u w:val="single"/>
          </w:rPr>
          <w:t>Netrin1阻断缓解胰腺癌对化疗的耐药性</w:t>
        </w:r>
      </w:hyperlink>
    </w:p>
    <w:p>
      <w:pPr>
        <w:spacing w:before="0" w:after="80"/>
      </w:pPr>
      <w:r>
        <w:rPr>
          <w:i/>
          <w:sz w:val="20"/>
        </w:rPr>
        <w:t>EN: Netrin1 blockade alleviates resistance to chemotherapy in pancreatic cancer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38">
        <w:r>
          <w:rPr>
            <w:color w:val="1155CC"/>
            <w:u w:val="single"/>
          </w:rPr>
          <w:t>10.1038/s41586-026-10436-4</w:t>
        </w:r>
      </w:hyperlink>
    </w:p>
    <w:p>
      <w:pPr>
        <w:spacing w:before="0" w:after="120"/>
      </w:pPr>
      <w:r>
        <w:rPr>
          <w:b/>
        </w:rPr>
        <w:t xml:space="preserve">Notes: </w:t>
      </w:r>
      <w:r>
        <w:t>abstract_source=nature_html</w:t>
      </w:r>
    </w:p>
    <w:p>
      <w:pPr>
        <w:spacing w:before="0" w:after="80" w:lineRule="auto" w:line="276"/>
      </w:pPr>
      <w:r>
        <w:rPr>
          <w:b/>
        </w:rPr>
        <w:t xml:space="preserve">摘要（ZH）: </w:t>
      </w:r>
      <w:r>
        <w:t>Netrin1，作为一种发育信号，是肿瘤上皮-间质转化（EMT）1的主调节因子，这一机制已知会导致对化疗的抵抗2。一种netrin1抗体（NP137）3已被证明可以在临床前1和临床4环境中抑制肿瘤EMT。在胰腺癌的动物模型中，netrin1及其受体neogenin已被证明可以促进肿瘤进展5、EMT5和转移6。我们在此报告了一项1b期研究的结果，该研究评估了NP137与改良FOLFIRINOX（mFOLFIRINOX）联合用于局部晚期胰腺癌一线患者的效果（ClinicalTrials.gov: NCT05546853）。共招募了43名患者，每两周接受一次mFOLFIRINOX加NP137，最多12个周期。NP137耐受性良好。中位无进展</w:t>
      </w:r>
    </w:p>
    <w:p>
      <w:pPr>
        <w:spacing w:before="0" w:after="200" w:lineRule="auto" w:line="276"/>
      </w:pPr>
      <w:r>
        <w:rPr>
          <w:b/>
        </w:rPr>
        <w:t xml:space="preserve">Abstract (EN): </w:t>
      </w:r>
      <w:r>
        <w:t>Netrin1, a developmental cue, is a master regulator of tumour epithelial-to-mesenchymal transition (EMT)1, a mechanism that is known to drive resistance to chemotherapy2. A netrin1 antibody (NP137)3 has been shown to inhibit tumour EMT in preclinical1 and clinical4 settings. In animal models of pancreatic cancer, netrin1 and its receptor neogenin have been shown to promote tumour progression5, EMT5 and metastasis6. Here we report the results of a phase 1b study that assesses the combination of NP137 with modified FOLFIRINOX (mFOLFIRINOX) in first line patients with locally advanced pancreatic cancer (ClinicalTrials.gov: NCT05546853). Forty-three patients were enrolled and received mFOLFIRINOX plus NP137 every other week for up to 12 cycles. NP137 was well tolerated. Median progression-free survival (PFS) was 10.85 months (95% confidence interval, 10.03–15.61) and median overall survival was 16.43 months (95% confidence interval, 12.75–non-reached), with 21 patients remaining alive at the time of data cut-off. Post-therapy conversion surgery occurred in 23% of patients. Laser capture microdissection was performed on pre-therapeutic biopsies and surgical specimens. Microbulk RNA sequencing confirmed that the main pathway that was down-regulated with the combination of mFOLFIRINOX plus NP137 was EMT. Moreover, survival outcomes were extended for patients with tumour cells that expressed high levels of the netrin1 receptor neogenin—median PFS 15.65 months in neogenin-high versus 10.22 months in neogenin low. Our results support the idea that netrin1 blockade alleviates resistance to chemotherapy by inhibiting EMT, particularly in neogenin-high pancreatic cancer.</w:t>
      </w:r>
    </w:p>
    <w:p>
      <w:pPr>
        <w:spacing w:before="120" w:after="120"/>
      </w:pPr>
      <w:r>
        <w:rPr>
          <w:sz w:val="18"/>
        </w:rPr>
        <w:t>——————————————————————————————————————————————————————————————————————</w:t>
      </w:r>
    </w:p>
    <w:p>
      <w:pPr>
        <w:spacing w:before="160" w:after="40" w:line="240" w:lineRule="auto"/>
      </w:pPr>
      <w:r>
        <w:rPr>
          <w:b/>
        </w:rPr>
        <w:t xml:space="preserve">[276] </w:t>
      </w:r>
      <w:hyperlink r:id="rId739">
        <w:r>
          <w:rPr>
            <w:color w:val="1155CC"/>
            <w:u w:val="single"/>
          </w:rPr>
          <w:t>无眼镜显示器在2D和3D之间切换</w:t>
        </w:r>
      </w:hyperlink>
    </w:p>
    <w:p>
      <w:pPr>
        <w:spacing w:before="0" w:after="80"/>
      </w:pPr>
      <w:r>
        <w:rPr>
          <w:i/>
          <w:sz w:val="20"/>
        </w:rPr>
        <w:t>EN: Glasses-free display switches between 2D and 3D</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40">
        <w:r>
          <w:rPr>
            <w:color w:val="1155CC"/>
            <w:u w:val="single"/>
          </w:rPr>
          <w:t>10.1038/d41586-026-01148-w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741">
        <w:r>
          <w:rPr>
            <w:color w:val="1155CC"/>
            <w:u w:val="single"/>
          </w:rPr>
          <w:t>肌球蛋白力重塑F-肌动蛋白以识别机械敏感蛋白</w:t>
        </w:r>
      </w:hyperlink>
    </w:p>
    <w:p>
      <w:pPr>
        <w:spacing w:before="0" w:after="80"/>
      </w:pPr>
      <w:r>
        <w:rPr>
          <w:i/>
          <w:sz w:val="20"/>
        </w:rPr>
        <w:t>EN: Myosin forces remodel F-actin for mechanosensitive protein recognition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42">
        <w:r>
          <w:rPr>
            <w:color w:val="1155CC"/>
            <w:u w:val="single"/>
          </w:rPr>
          <w:t>10.1038/s41586-026-10398-7</w:t>
        </w:r>
      </w:hyperlink>
    </w:p>
    <w:p>
      <w:pPr>
        <w:spacing w:before="0" w:after="120"/>
      </w:pPr>
      <w:r>
        <w:rPr>
          <w:b/>
        </w:rPr>
        <w:t xml:space="preserve">Notes: </w:t>
      </w:r>
      <w:r>
        <w:t>abstract_source=nature_html</w:t>
      </w:r>
    </w:p>
    <w:p>
      <w:pPr>
        <w:spacing w:before="0" w:after="80" w:lineRule="auto" w:line="276"/>
      </w:pPr>
      <w:r>
        <w:rPr>
          <w:b/>
        </w:rPr>
        <w:t xml:space="preserve">摘要（ZH）: </w:t>
      </w:r>
      <w:r>
        <w:t>细胞通过与细胞骨架相连的粘附结构1,2在机械上与其周围环境进行交互，使其能够感知指导发育和驱动癌症等疾病的物理信号3,4,5。由肌球蛋白马达蛋白6,7产生的收缩力通过未知的蛋白质结构机制介导这些机械信号转导过程。我们在此展示了肌球蛋白产生的力引发了肌动蛋白丝（F-actin）的结构变化，从而调节了机械敏感粘附蛋白α-连环蛋白8的结合。使用相关冷冻荧光显微镜和冷冻电子断层扫描，我们识别出在细胞骨架-粘附界面处富含zyxin的F-actin，zyxin是肌动蛋白-肌球蛋白产生的牵引力的标志</w:t>
      </w:r>
    </w:p>
    <w:p>
      <w:pPr>
        <w:spacing w:before="0" w:after="200" w:lineRule="auto" w:line="276"/>
      </w:pPr>
      <w:r>
        <w:rPr>
          <w:b/>
        </w:rPr>
        <w:t xml:space="preserve">Abstract (EN): </w:t>
      </w:r>
      <w:r>
        <w:t>Cells interface mechanically with their surroundings through cytoskeleton-linked adhesions1,2, which enable them to sense physical cues that instruct development and drive diseases such as cancer3,4,5. Contractile forces generated by myosin motor proteins6,7 mediate these mechanical signal transduction processes through unknown protein structural mechanisms. Here we show that force generated by myosin elicits structural changes in actin filaments (F-actin) that modulate binding by the mechanosensitive adhesion protein α-catenin8. Using correlative cryo-fluorescence microscopy and cryo-electron tomography, we identify F-actin featuring sinusoidal regions of nanoscale oscillating curvature at cytoskeleton–adhesion interfaces enriched in zyxin, a marker of actin–myosin-generated traction forces9. We introduce a reconstitution system for visualizing F-actin in the presence of myosin forces using cryo-electron microscopy, which reveals morphologically similar F-actin supercoils. In simulations, compressive forces that mimic myosin activity produce supercoils, which can be generated by ensembles of asynchronous motors regardless of their directionality. Three-dimensional reconstruction of supercoils uncovers extensive asymmetric remodelling of the helical lattice of F-actin. This is recognized by α-catenin, which binds cooperatively along individual strands, preferentially engaging interfaces that feature extended inter-subunit distances while simultaneously suppressing rotational deviations to regularize the lattice. In sum, we find that myosin forces can deform F-actin, generating a conformational landscape that is detected and reciprocally modulated by a mechanosensitive protein, providing a direct structural glimpse at active force transduction through the cytoskeleton.</w:t>
      </w:r>
    </w:p>
    <w:p>
      <w:pPr>
        <w:spacing w:before="120" w:after="120"/>
      </w:pPr>
      <w:r>
        <w:rPr>
          <w:sz w:val="18"/>
        </w:rPr>
        <w:t>——————————————————————————————————————————————————————————————————————</w:t>
      </w:r>
    </w:p>
    <w:p>
      <w:pPr>
        <w:spacing w:before="160" w:after="40" w:line="240" w:lineRule="auto"/>
      </w:pPr>
      <w:r>
        <w:rPr>
          <w:b/>
        </w:rPr>
        <w:t xml:space="preserve">[278] </w:t>
      </w:r>
      <w:hyperlink r:id="rId743">
        <w:r>
          <w:rPr>
            <w:color w:val="1155CC"/>
            <w:u w:val="single"/>
          </w:rPr>
          <w:t>效率优化的相对论等离子体谐波用于极端场</w:t>
        </w:r>
      </w:hyperlink>
    </w:p>
    <w:p>
      <w:pPr>
        <w:spacing w:before="0" w:after="80"/>
      </w:pPr>
      <w:r>
        <w:rPr>
          <w:i/>
          <w:sz w:val="20"/>
        </w:rPr>
        <w:t>EN: Efficiency-optimized relativistic plasma harmonics for extreme fields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44">
        <w:r>
          <w:rPr>
            <w:color w:val="1155CC"/>
            <w:u w:val="single"/>
          </w:rPr>
          <w:t>10.1038/s41586-026-10400-2</w:t>
        </w:r>
      </w:hyperlink>
    </w:p>
    <w:p>
      <w:pPr>
        <w:spacing w:before="0" w:after="120"/>
      </w:pPr>
      <w:r>
        <w:rPr>
          <w:b/>
        </w:rPr>
        <w:t xml:space="preserve">Notes: </w:t>
      </w:r>
      <w:r>
        <w:t>abstract_source=nature_html</w:t>
      </w:r>
    </w:p>
    <w:p>
      <w:pPr>
        <w:spacing w:before="0" w:after="80" w:lineRule="auto" w:line="276"/>
      </w:pPr>
      <w:r>
        <w:rPr>
          <w:b/>
        </w:rPr>
        <w:t xml:space="preserve">摘要（ZH）: </w:t>
      </w:r>
      <w:r>
        <w:t>来自相对论振荡激光等离子体的明亮谐波辐射为产生极端电磁场提供了一条直接途径。理论预测，在优化条件下，等离子体介质可以在相干谐波焦点（CHF）中支持激光能量的强时空压缩，提供比入射驱动激光脉冲高出多个数量级的强度提升1,2,3,4。尽管衍射极限性能5（空间压缩）和阿秒相位锁定6,7,8（时间压缩）已在实验中得到验证，但相对论强激光脉冲能量与发射的谐波锥的高效耦合尚未实现。我们在此展示，这种高度非线性相互作用可以被调整以提供最大</w:t>
      </w:r>
    </w:p>
    <w:p>
      <w:pPr>
        <w:spacing w:before="0" w:after="200" w:lineRule="auto" w:line="276"/>
      </w:pPr>
      <w:r>
        <w:rPr>
          <w:b/>
        </w:rPr>
        <w:t xml:space="preserve">Abstract (EN): </w:t>
      </w:r>
      <w:r>
        <w:t>Bright harmonic radiation from relativistically oscillating laser plasmas offers a direct route for generating extreme electromagnetic fields. Theory predicts that under optimized conditions, the plasma medium can support strong spatiotemporal compression of laser energy in a coherent harmonic focus (CHF), delivering intensity boosts many orders of magnitude greater than the incident driving laser pulse1,2,3,4. Although diffraction-limited performance5 (spatial compression) and attosecond phase locking6,7,8 (temporal compression) have been demonstrated experimentally, efficient coupling of relativistically intense laser pulse energy into the emitted harmonic cone has not been realized so far. Here we demonstrate that this highly nonlinear interaction can be tailored to deliver the maximum conversion efficiencies predicted from simulations. By fine-tuning the temporal profile of the driving laser on sub-picosecond (−12 s) timescales, energies &gt;9 mJ between the 12th and 47th harmonics are observed. These results are in agreement with the theoretically expected efficiency dependence on harmonic order, verifying that optimal conditions have been achieved in the generation process. This is the important final element required to achieve the expected intensity boosts from a CHF in experiments. Although obtaining spatiotemporal compression and optimal efficiency simultaneously remains challenging, the path to realizing extreme optical field strengths approaching the critical field of quantum electrodynamics (the Schwinger limit at &gt;1016 V cm−1 or &gt;1029 W cm−2) is now open, permitting all-optical studies of the quantum vacuum and new frontiers for intense attosecond science.</w:t>
      </w:r>
    </w:p>
    <w:p>
      <w:pPr>
        <w:spacing w:before="120" w:after="120"/>
      </w:pPr>
      <w:r>
        <w:rPr>
          <w:sz w:val="18"/>
        </w:rPr>
        <w:t>——————————————————————————————————————————————————————————————————————</w:t>
      </w:r>
    </w:p>
    <w:p>
      <w:pPr>
        <w:spacing w:before="160" w:after="40" w:line="240" w:lineRule="auto"/>
      </w:pPr>
      <w:r>
        <w:rPr>
          <w:b/>
        </w:rPr>
        <w:t xml:space="preserve">[279] </w:t>
      </w:r>
      <w:hyperlink r:id="rId745">
        <w:r>
          <w:rPr>
            <w:color w:val="1155CC"/>
            <w:u w:val="single"/>
          </w:rPr>
          <w:t>多中心基因疗法治疗OTOF相关耳聋，随访至2.5年</w:t>
        </w:r>
      </w:hyperlink>
    </w:p>
    <w:p>
      <w:pPr>
        <w:spacing w:before="0" w:after="80"/>
      </w:pPr>
      <w:r>
        <w:rPr>
          <w:i/>
          <w:sz w:val="20"/>
        </w:rPr>
        <w:t>EN: Multicentre gene therapy for OTOF-related deafness followed up to 2.5 years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46">
        <w:r>
          <w:rPr>
            <w:color w:val="1155CC"/>
            <w:u w:val="single"/>
          </w:rPr>
          <w:t>10.1038/s41586-026-10393-y</w:t>
        </w:r>
      </w:hyperlink>
    </w:p>
    <w:p>
      <w:pPr>
        <w:spacing w:before="0" w:after="120"/>
      </w:pPr>
      <w:r>
        <w:rPr>
          <w:b/>
        </w:rPr>
        <w:t xml:space="preserve">Notes: </w:t>
      </w:r>
      <w:r>
        <w:t>abstract_source=nature_html</w:t>
      </w:r>
    </w:p>
    <w:p>
      <w:pPr>
        <w:spacing w:before="0" w:after="80" w:lineRule="auto" w:line="276"/>
      </w:pPr>
      <w:r>
        <w:rPr>
          <w:b/>
        </w:rPr>
        <w:t xml:space="preserve">摘要（ZH）: </w:t>
      </w:r>
      <w:r>
        <w:t>由OTOF基因突变引起的常染色体隐性耳聋9，其特征是严重至完全的先天性耳聋1。尽管基因治疗在少数患者中显示出益处2,3,4,5，但其在更广泛年龄范围和更长随访期内的安全性和有效性，以及治疗结果的预测因素仍不清楚。在这项在八个中心进行的单臂、多中心试验中，42名参与者（年龄0.8-32.3岁）接受了携带人OTOF编码转基因的腺相关病毒（AAV）1型（AAV1-hOTOF）在三个载体剂量组的治疗，随访时间最长达2.5年。主要终点是在6周内的剂量限制性毒性。次要终点评估了疗效和不良事件。未观察到剂量限制性毒性。3级不良事件</w:t>
      </w:r>
    </w:p>
    <w:p>
      <w:pPr>
        <w:spacing w:before="0" w:after="200" w:lineRule="auto" w:line="276"/>
      </w:pPr>
      <w:r>
        <w:rPr>
          <w:b/>
        </w:rPr>
        <w:t xml:space="preserve">Abstract (EN): </w:t>
      </w:r>
      <w:r>
        <w:t>Autosomal recessive deafness 9, caused by OTOF gene mutations, is characterized by severe-to-complete congenital deafness1. Although gene therapy has shown benefits in a small number of patients2,3,4,5, its safety and efficacy across broader age ranges and longer follow-up periods, as well as predictors of treatment outcomes, remain unclear. In this single-arm, multicentre trial conducted at eight centres, 42 participants (aged 0.8–32.3 years) received adeno-associated virus (AAV) serotype 1 carrying a human OTOF coding transgene (AAV1-hOTOF) at three vector dose groups, with up to 2.5-year follow-up. The primary end point was dose-limiting toxicity within 6 weeks. The secondary end point assessed efficacy and adverse events. No dose-limiting toxicities were observed. Grade 3 adverse events included decreased neutrophil count. Hearing was recovered in 90% of participants treated with AAV1-hOTOF, with gradual and stable improvement in auditory brainstem response threshold from greater than 97 ± 1 dB normalized hearing level at baseline to 54 ± 3, 51 ± 3, 50 ± 3 and 42 ± 5 dB normalized hearing level at 1, 1.5, 2 and 2.5 years, respectively, and behavioural audiometry improving from greater than 96 ± 3 dB hearing level at baseline to 37 ± 5 dB hearing level at 2.5 years. Participants aged 0.5–18 years showed greater hearing improvement than adults. A higher number of present distortion product otoacoustic emissions at baseline or biallelic non-truncated OTOF variants was associated with better hearing recovery. Participants with hearing recovery demonstrated gradual improvement in speech perception. AAV1-hOTOF is well-tolerated and efficacious across a broader patient population, with sustained therapeutic benefits for up to 2.5 years. Chinese Clinical Trial Registry registration: ChiCTR2200063181.</w:t>
      </w:r>
    </w:p>
    <w:p>
      <w:pPr>
        <w:spacing w:before="120" w:after="120"/>
      </w:pPr>
      <w:r>
        <w:rPr>
          <w:sz w:val="18"/>
        </w:rPr>
        <w:t>——————————————————————————————————————————————————————————————————————</w:t>
      </w:r>
    </w:p>
    <w:p>
      <w:pPr>
        <w:spacing w:before="160" w:after="40" w:line="240" w:lineRule="auto"/>
      </w:pPr>
      <w:r>
        <w:rPr>
          <w:b/>
        </w:rPr>
        <w:t xml:space="preserve">[280] </w:t>
      </w:r>
      <w:hyperlink r:id="rId747">
        <w:r>
          <w:rPr>
            <w:color w:val="1155CC"/>
            <w:u w:val="single"/>
          </w:rPr>
          <w:t>衰老和死亡率中的遗传和体细胞权衡动态</w:t>
        </w:r>
      </w:hyperlink>
    </w:p>
    <w:p>
      <w:pPr>
        <w:spacing w:before="0" w:after="80"/>
      </w:pPr>
      <w:r>
        <w:rPr>
          <w:i/>
          <w:sz w:val="20"/>
        </w:rPr>
        <w:t>EN: Dynamics of genetic and somatic trade-offs in ageing and mortality</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48">
        <w:r>
          <w:rPr>
            <w:color w:val="1155CC"/>
            <w:u w:val="single"/>
          </w:rPr>
          <w:t>10.1038/s41586-026-10407-9</w:t>
        </w:r>
      </w:hyperlink>
    </w:p>
    <w:p>
      <w:pPr>
        <w:spacing w:before="0" w:after="120"/>
      </w:pPr>
      <w:r>
        <w:rPr>
          <w:b/>
        </w:rPr>
        <w:t xml:space="preserve">Notes: </w:t>
      </w:r>
      <w:r>
        <w:t>abstract_source=nature_html</w:t>
      </w:r>
    </w:p>
    <w:p>
      <w:pPr>
        <w:spacing w:before="0" w:after="80" w:lineRule="auto" w:line="276"/>
      </w:pPr>
      <w:r>
        <w:rPr>
          <w:b/>
        </w:rPr>
        <w:t xml:space="preserve">摘要（ZH）: </w:t>
      </w:r>
      <w:r>
        <w:t>DNA变体在整个生命周期中调节死亡风险，但其动态的年龄依赖效应在任何物种中都未得到解决。我们采用精算方法绘制了影响死亡率的变体图谱，起始于6,438只青春期小鼠的基础种群，结束于559只活过1,100天的幸存者。二十九个Vita位点对寿命产生强烈的年龄和性别特异性影响。大多数在不同阶段起作用，其极性常随年龄反转，但少数在一个或两个性别中具有一致的年龄依赖效应。另一组30个Soma位点影响体重与预期寿命之间的相关性。十九个Soma位点在较大的年轻小鼠中介导更高的死亡率，而11个在较大的老年小鼠中介导更低的死亡率</w:t>
      </w:r>
    </w:p>
    <w:p>
      <w:pPr>
        <w:spacing w:before="0" w:after="200" w:lineRule="auto" w:line="276"/>
      </w:pPr>
      <w:r>
        <w:rPr>
          <w:b/>
        </w:rPr>
        <w:t xml:space="preserve">Abstract (EN): </w:t>
      </w:r>
      <w:r>
        <w:t>DNA variants modulate mortality risks across an entire lifespan but their dynamic age-dependent effects have not been resolved in any species for either sex. Here we mapped variants that shape mortality using an actuarial approach, starting with a base population of 6,438 pubescent mice and ending with 559 survivors that lived beyond 1,100 days of age. Twenty-nine Vita loci influence lifespan with strong age- and sex-specific effects. Most act during distinct stages with polarities that often invert with age, but a minority have consistent age-dependent effects in one or both sexes. A separate set of 30 Soma loci influence correlations between body mass and life expectancy. Nineteen Soma loci mediate higher mortality in larger young mice, whereas 11 mediate lower mortality in larger old mice. All effects are stronger in male mice than in female mice. Vita and Soma loci form epistatic networks split strictly by sex. These findings provide a genetic bridge between evolutionary theories of ageing and molecular mechanisms that can guide interventions to extend healthy lifespan.</w:t>
      </w:r>
    </w:p>
    <w:p>
      <w:pPr>
        <w:spacing w:before="120" w:after="120"/>
      </w:pPr>
      <w:r>
        <w:rPr>
          <w:sz w:val="18"/>
        </w:rPr>
        <w:t>——————————————————————————————————————————————————————————————————————</w:t>
      </w:r>
    </w:p>
    <w:p>
      <w:pPr>
        <w:spacing w:before="160" w:after="40" w:line="240" w:lineRule="auto"/>
      </w:pPr>
      <w:r>
        <w:rPr>
          <w:b/>
        </w:rPr>
        <w:t xml:space="preserve">[281] </w:t>
      </w:r>
      <w:hyperlink r:id="rId749">
        <w:r>
          <w:rPr>
            <w:color w:val="1155CC"/>
            <w:u w:val="single"/>
          </w:rPr>
          <w:t>胱天蛋白酶5c通过APC裂解放大Wnt以促进肠道稳态</w:t>
        </w:r>
      </w:hyperlink>
    </w:p>
    <w:p>
      <w:pPr>
        <w:spacing w:before="0" w:after="80"/>
      </w:pPr>
      <w:r>
        <w:rPr>
          <w:i/>
          <w:sz w:val="20"/>
        </w:rPr>
        <w:t>EN: Caspase 5c amplifies Wnt via APC cleavage to promote intestinal homeostasis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50">
        <w:r>
          <w:rPr>
            <w:color w:val="1155CC"/>
            <w:u w:val="single"/>
          </w:rPr>
          <w:t>10.1038/s41586-026-10343-8</w:t>
        </w:r>
      </w:hyperlink>
    </w:p>
    <w:p>
      <w:pPr>
        <w:spacing w:before="0" w:after="120"/>
      </w:pPr>
      <w:r>
        <w:rPr>
          <w:b/>
        </w:rPr>
        <w:t xml:space="preserve">Notes: </w:t>
      </w:r>
      <w:r>
        <w:t>abstract_source=nature_html</w:t>
      </w:r>
    </w:p>
    <w:p>
      <w:pPr>
        <w:spacing w:before="0" w:after="80" w:lineRule="auto" w:line="276"/>
      </w:pPr>
      <w:r>
        <w:rPr>
          <w:b/>
        </w:rPr>
        <w:t xml:space="preserve">摘要（ZH）: </w:t>
      </w:r>
      <w:r>
        <w:t>半胱氨酸蛋白酶5（CASP5）是炎症性半胱氨酸蛋白酶家族的成员，参与炎症和细胞死亡1,2,3。CASP5与炎症性CASP4具有最高的同源性，但CASP4对于非经典炎症小体激活是必需的，而CASP5则是可有可无的4,5,6，其功能仍然未知。我们在此展示CASP5限制于人类肠上皮，并表现为三种亚型——CASP5A、CASP5B和CASP5C，其中CASP5C独特地促进Wnt信号传导，这对于上皮发育和再生至关重要7。我们在结肠上皮细胞中鉴定了连接Wnt受体与β-连环蛋白破坏复合体8的显著CASP5结合伙伴——Dishevelled。Dishevelled通过CASP5催化域与其相互作用</w:t>
      </w:r>
    </w:p>
    <w:p>
      <w:pPr>
        <w:spacing w:before="0" w:after="200" w:lineRule="auto" w:line="276"/>
      </w:pPr>
      <w:r>
        <w:rPr>
          <w:b/>
        </w:rPr>
        <w:t xml:space="preserve">Abstract (EN): </w:t>
      </w:r>
      <w:r>
        <w:t>Caspase 5 (CASP5) is a member of the inflammatory caspase family of cysteine proteases that is involved in inflammation and cell death1,2,3. CASP5 shares the highest homology with inflammatory CASP4, but whereas CASP4 is essential for noncanonical inflammasome activation, CASP5 is dispensable4,5,6, and its function remains unknown. Here we show that CASP5 is restricted to the human intestinal epithelium and manifests as three isoforms—CASP5A, CASP5B and CASP5C—among which CASP5C uniquely promotes Wnt signalling, which is essential for epithelial development and regeneration7. We identified dishevelled, which bridges Wnt receptors to the β-catenin destruction complex8, as a prominent CASP5 binding partner in colonic epithelial cells. Dishevelled interacts with the CASP5 catalytic domain through its DEP (dishevelled, EGL-10 and pleckstrin) domain. Lacking the inhibitory caspase activation and recruitment domain (CARD) of CASP5A and CASP5B, CASP5C cleaves the central scaffold protein APC at Asp556 in the Armadillo repeat domain, destabilizing the β-catenin destruction complex and thereby enhancing Wnt signalling. CASP5C expression peaks in transit-amplifying cells, the Wnt-reliant progeny of intestinal stem cells7, whereas CASP5A and CASP5B predominate in mature enterocytes. Endogenous and ectopic CASP5C drive growth of colonic and small intestinal organoids, which is known to require proliferation of transit-amplifying cells9. Furthermore, CASP5C is selectively induced upon intestinal epithelial injury, and its expression is increased in inflammatory bowel disease. Thus, CASP5C is an enzymatic amplifier of Wnt signalling that cleaves APC to sustain proliferation of transit-amplifying cells amid a declining Wnt gradient, safeguarding epithelial renewal. These findings broaden the roles of inflammatory caspases beyond innate immunity, uncovering their contribution to tissue homeostasis.</w:t>
      </w:r>
    </w:p>
    <w:p>
      <w:pPr>
        <w:spacing w:before="120" w:after="120"/>
      </w:pPr>
      <w:r>
        <w:rPr>
          <w:sz w:val="18"/>
        </w:rPr>
        <w:t>——————————————————————————————————————————————————————————————————————</w:t>
      </w:r>
    </w:p>
    <w:p>
      <w:pPr>
        <w:spacing w:before="160" w:after="40" w:line="240" w:lineRule="auto"/>
      </w:pPr>
      <w:r>
        <w:rPr>
          <w:b/>
        </w:rPr>
        <w:t xml:space="preserve">[282] </w:t>
      </w:r>
      <w:hyperlink r:id="rId751">
        <w:r>
          <w:rPr>
            <w:color w:val="1155CC"/>
            <w:u w:val="single"/>
          </w:rPr>
          <w:t>局灶性白质病变驱动灰质炎症和突触丢失</w:t>
        </w:r>
      </w:hyperlink>
    </w:p>
    <w:p>
      <w:pPr>
        <w:spacing w:before="0" w:after="80"/>
      </w:pPr>
      <w:r>
        <w:rPr>
          <w:i/>
          <w:sz w:val="20"/>
        </w:rPr>
        <w:t>EN: Focal white matter lesions drive grey matter inflammation and synapse loss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52">
        <w:r>
          <w:rPr>
            <w:color w:val="1155CC"/>
            <w:u w:val="single"/>
          </w:rPr>
          <w:t>10.1038/s41586-026-10414-w</w:t>
        </w:r>
      </w:hyperlink>
    </w:p>
    <w:p>
      <w:pPr>
        <w:spacing w:before="0" w:after="120"/>
      </w:pPr>
      <w:r>
        <w:rPr>
          <w:b/>
        </w:rPr>
        <w:t xml:space="preserve">Notes: </w:t>
      </w:r>
      <w:r>
        <w:t>abstract_source=nature_html</w:t>
      </w:r>
    </w:p>
    <w:p>
      <w:pPr>
        <w:spacing w:before="0" w:after="80" w:lineRule="auto" w:line="276"/>
      </w:pPr>
      <w:r>
        <w:rPr>
          <w:b/>
        </w:rPr>
        <w:t xml:space="preserve">摘要（ZH）: </w:t>
      </w:r>
      <w:r>
        <w:t>大多数神经退行性疾病中都会出现局灶性白质病变1,2,3。尽管在疾病早期发生，白质病变被认为是独立于或继发于灰质神经炎症、突触丢失和神经元活动改变4,5,6,7。值得注意的是，它们对神经元回路的功能影响仍未得到充分研究。为了解决这一问题，我们在大鼠大脑中生成了一个局灶性白质病变，该病变位于一个临床相关的、解剖学上定义明确的回路中，这些病变在许多神经退行性疾病中发生8,9,10。我们在此展示，局灶性白质病变引发了短暂的神经元活动变化和小胶质细胞增生，随后在灰质中出现突触丢失和小胶质细胞吞噬增加，如果髓鞘再生完成，这些变化将被逆转。</w:t>
      </w:r>
    </w:p>
    <w:p>
      <w:pPr>
        <w:spacing w:before="0" w:after="200" w:lineRule="auto" w:line="276"/>
      </w:pPr>
      <w:r>
        <w:rPr>
          <w:b/>
        </w:rPr>
        <w:t xml:space="preserve">Abstract (EN): </w:t>
      </w:r>
      <w:r>
        <w:t>Focal white matter lesions occur in most neurodegenerative disorders1,2,3. Despite occurring early in disease, white matter lesions are considered to be independent of, or secondary to, grey matter neuroinflammation, synapse loss and altered neuronal activity4,5,6,7. Notably, their functional effect on neuronal circuits remains understudied. To address this, we generated a focal white matter lesion in the rat brain within a clinically relevant, anatomically well-defined circuit, in which these lesions occur in many neurodegenerative disorders8,9,10. Here we show that focal white matter lesions evoke transient neuronal activity changes and microgliosis, with subsequent synapse loss and increased microglial engulfment in the grey matter, which is reversed if myelin regeneration completes. Grey matter microgliosis is often considered to be detrimental; however, we show that it is an integral part of regeneration and is conserved across three distinct mouse circuits and lesioning methods. Preventing these transient changes in the grey matter blocks myelin regeneration in the white matter. Conversely, inducing myelin regeneration failure leads to chronic grey matter neuroinflammation. This recapitulates the low-grade inflammation considered to be a dominant mechanism underlying neurodegeneration7,11,12. Our findings reveal a form of regenerative plasticity coupling white matter integrity to grey matter function, which may underlie multiple neurodegenerative conditions, and highlight the potential of targeting myelin regeneration to prevent chronic neuroinflammation.</w:t>
      </w:r>
    </w:p>
    <w:p>
      <w:pPr>
        <w:spacing w:before="120" w:after="120"/>
      </w:pPr>
      <w:r>
        <w:rPr>
          <w:sz w:val="18"/>
        </w:rPr>
        <w:t>——————————————————————————————————————————————————————————————————————</w:t>
      </w:r>
    </w:p>
    <w:p>
      <w:pPr>
        <w:spacing w:before="160" w:after="40" w:line="240" w:lineRule="auto"/>
      </w:pPr>
      <w:r>
        <w:rPr>
          <w:b/>
        </w:rPr>
        <w:t xml:space="preserve">[283] </w:t>
      </w:r>
      <w:hyperlink r:id="rId753">
        <w:r>
          <w:rPr>
            <w:color w:val="1155CC"/>
            <w:u w:val="single"/>
          </w:rPr>
          <w:t>用于生成全球热带气候典型风年数据集的马尔可夫链-蒙特卡罗框架，具有混合阶跃转变</w:t>
        </w:r>
      </w:hyperlink>
    </w:p>
    <w:p>
      <w:pPr>
        <w:spacing w:before="0" w:after="80"/>
      </w:pPr>
      <w:r>
        <w:rPr>
          <w:i/>
          <w:sz w:val="20"/>
        </w:rPr>
        <w:t>EN: A Markov Chain-Monte Carlo framework with hybrid-order transitions for generating Typical Wind Year datasets across global tropical climates</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54">
        <w:r>
          <w:rPr>
            <w:color w:val="1155CC"/>
            <w:u w:val="single"/>
          </w:rPr>
          <w:t>特定的人类和病毒遗传变异组合解释了中国南方的癌症易感性</w:t>
        </w:r>
      </w:hyperlink>
    </w:p>
    <w:p>
      <w:pPr>
        <w:spacing w:before="0" w:after="80"/>
      </w:pPr>
      <w:r>
        <w:rPr>
          <w:i/>
          <w:sz w:val="20"/>
        </w:rPr>
        <w:t>EN: Specific combinations of human and viral genetic variants explain a cancer predisposition in southern China</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55">
        <w:r>
          <w:rPr>
            <w:color w:val="1155CC"/>
            <w:u w:val="single"/>
          </w:rPr>
          <w:t>10.1038/d41586-026-01047-0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756">
        <w:r>
          <w:rPr>
            <w:color w:val="1155CC"/>
            <w:u w:val="single"/>
          </w:rPr>
          <w:t>通过电化学阻抗谱对基于Ni-GDC的电解质支撑电池的参数研究</w:t>
        </w:r>
      </w:hyperlink>
    </w:p>
    <w:p>
      <w:pPr>
        <w:spacing w:before="0" w:after="80"/>
      </w:pPr>
      <w:r>
        <w:rPr>
          <w:i/>
          <w:sz w:val="20"/>
        </w:rPr>
        <w:t>EN: Parametric study of Ni-GDC based electrolyte-supported cell via electrochemical impedance spectroscopy</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757">
        <w:r>
          <w:rPr>
            <w:color w:val="1155CC"/>
            <w:u w:val="single"/>
          </w:rPr>
          <w:t>星形胶质细胞通过可塑性网络连接特定的大脑区域</w:t>
        </w:r>
      </w:hyperlink>
    </w:p>
    <w:p>
      <w:pPr>
        <w:spacing w:before="0" w:after="80"/>
      </w:pPr>
      <w:r>
        <w:rPr>
          <w:i/>
          <w:sz w:val="20"/>
        </w:rPr>
        <w:t>EN: Astrocytes connect specific brain regions through plastic networks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58">
        <w:r>
          <w:rPr>
            <w:color w:val="1155CC"/>
            <w:u w:val="single"/>
          </w:rPr>
          <w:t>10.1038/s41586-026-10426-6</w:t>
        </w:r>
      </w:hyperlink>
    </w:p>
    <w:p>
      <w:pPr>
        <w:spacing w:before="0" w:after="120"/>
      </w:pPr>
      <w:r>
        <w:rPr>
          <w:b/>
        </w:rPr>
        <w:t xml:space="preserve">Notes: </w:t>
      </w:r>
      <w:r>
        <w:t>abstract_source=nature_html</w:t>
      </w:r>
    </w:p>
    <w:p>
      <w:pPr>
        <w:spacing w:before="0" w:after="80" w:lineRule="auto" w:line="276"/>
      </w:pPr>
      <w:r>
        <w:rPr>
          <w:b/>
        </w:rPr>
        <w:t xml:space="preserve">摘要（ZH）: </w:t>
      </w:r>
      <w:r>
        <w:t>传统上，神经元轴突被认为是脑区之间功能连接的主要介导者。然而，星形胶质细胞介导的通信作用在很大程度上被低估了。星形胶质细胞通过缝隙连接相互通信，但这种通信的范围和特异性仍然知之甚少。星形胶质细胞缝隙连接对于记忆形成1,2、突触可塑性3,4,5、神经信号协调6以及关闭视觉和运动关键期7,8是必要的。这些发现表明，这种通信形式对于中枢神经系统的正常发育和功能至关重要。尽管星形胶质细胞缝隙连接网络的重要性，研究它们一直具有挑战性。目前的方法如切片电</w:t>
      </w:r>
    </w:p>
    <w:p>
      <w:pPr>
        <w:spacing w:before="0" w:after="200" w:lineRule="auto" w:line="276"/>
      </w:pPr>
      <w:r>
        <w:rPr>
          <w:b/>
        </w:rPr>
        <w:t xml:space="preserve">Abstract (EN): </w:t>
      </w:r>
      <w:r>
        <w:t>Neuronal axons have traditionally been considered to be the primary mediators of functional connectivity among brain regions. However, the role of astrocyte-mediated communication has been largely underappreciated. Astrocytes communicate with one another through gap junctions, but the extent and specificity of this communication remain poorly understood. Astrocyte gap junctions are necessary for memory formation1,2, synaptic plasticity3,4,5, coordination of neuronal signalling6, and closing the visual and motor critical periods7,8. These findings indicate that this form of communication is essential for proper central nervous system development and function. Despite the importance of astrocyte gap junctional networks, studying them has been challenging. Current methods such as slice electrophysiology disrupt network connectivity and introduce artefacts due to tissue damage. Here, we developed a vector-based approach that labels molecules as they are fluxed by astrocyte gap junctions in awake, behaving animals to overcome these limitations. We then used whole-brain tissue clearing9,10 to image these intact, three-dimensional astrocyte networks. We show that multiple astrocyte networks traverse the mouse brain. These networks selectively connect specific regions, rather than diffusing indiscriminately, and vary in size and organization. We observe local networks that are confined to single brain regions and long-range networks that robustly interconnect multiple regions across hemispheres, often exhibiting patterns distinct from known neuronal networks. We also demonstrate that astrocyte networks undergo structural reorganization in the adult brain after sensory deprivation. These findings reveal a mode of communication between distant brain regions that is mediated by plastic networks of gap junction-coupled astrocytes.</w:t>
      </w:r>
    </w:p>
    <w:p>
      <w:pPr>
        <w:spacing w:before="120" w:after="120"/>
      </w:pPr>
      <w:r>
        <w:rPr>
          <w:sz w:val="18"/>
        </w:rPr>
        <w:t>——————————————————————————————————————————————————————————————————————</w:t>
      </w:r>
    </w:p>
    <w:p>
      <w:pPr>
        <w:spacing w:before="160" w:after="40" w:line="240" w:lineRule="auto"/>
      </w:pPr>
      <w:r>
        <w:rPr>
          <w:b/>
        </w:rPr>
        <w:t xml:space="preserve">[287] </w:t>
      </w:r>
      <w:hyperlink r:id="rId759">
        <w:r>
          <w:rPr>
            <w:color w:val="1155CC"/>
            <w:u w:val="single"/>
          </w:rPr>
          <w:t>这个机器人可以在乒乓球比赛中打败你</w:t>
        </w:r>
      </w:hyperlink>
    </w:p>
    <w:p>
      <w:pPr>
        <w:spacing w:before="0" w:after="80"/>
      </w:pPr>
      <w:r>
        <w:rPr>
          <w:i/>
          <w:sz w:val="20"/>
        </w:rPr>
        <w:t>EN: This robot can beat you at table tennis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60">
        <w:r>
          <w:rPr>
            <w:color w:val="1155CC"/>
            <w:u w:val="single"/>
          </w:rPr>
          <w:t>10.1038/d41586-026-01343-9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761">
        <w:r>
          <w:rPr>
            <w:color w:val="1155CC"/>
            <w:u w:val="single"/>
          </w:rPr>
          <w:t>通过超表面柱镜实现可切换的2D–3D显示</w:t>
        </w:r>
      </w:hyperlink>
    </w:p>
    <w:p>
      <w:pPr>
        <w:spacing w:before="0" w:after="80"/>
      </w:pPr>
      <w:r>
        <w:rPr>
          <w:i/>
          <w:sz w:val="20"/>
        </w:rPr>
        <w:t>EN: Switchable 2D–3D display through a metasurface lenticular lens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62">
        <w:r>
          <w:rPr>
            <w:color w:val="1155CC"/>
            <w:u w:val="single"/>
          </w:rPr>
          <w:t>10.1038/s41586-026-10318-9</w:t>
        </w:r>
      </w:hyperlink>
    </w:p>
    <w:p>
      <w:pPr>
        <w:spacing w:before="0" w:after="120"/>
      </w:pPr>
      <w:r>
        <w:rPr>
          <w:b/>
        </w:rPr>
        <w:t xml:space="preserve">Notes: </w:t>
      </w:r>
      <w:r>
        <w:t>abstract_source=nature_html</w:t>
      </w:r>
    </w:p>
    <w:p>
      <w:pPr>
        <w:spacing w:before="0" w:after="80" w:lineRule="auto" w:line="276"/>
      </w:pPr>
      <w:r>
        <w:rPr>
          <w:b/>
        </w:rPr>
        <w:t xml:space="preserve">摘要（ZH）: </w:t>
      </w:r>
      <w:r>
        <w:t>三维（3D）显示通过提供深度线索来提供沉浸式视觉效果，使其在互动媒体等应用中具有价值1,2。为了增强实用性，2D-3D可切换显示器提供了在单一设备中在高分辨率2D和沉浸式3D模式之间切换的灵活性3,4。我们在此提出一种由超表面柱镜（MLL）驱动的全彩色2D-3D可切换光场显示器。MLL根据入射光的偏振切换其焦点行为，作为2D-3D模式转换的核心机制。MLL设计具有高数值孔径，使其在保持仅1.2 mm的超薄外形的同时，能够实现100°的显著更宽视场。一个具有25 cm2有效面积的大面积MLL被制造出来并无缝集成</w:t>
      </w:r>
    </w:p>
    <w:p>
      <w:pPr>
        <w:spacing w:before="0" w:after="200" w:lineRule="auto" w:line="276"/>
      </w:pPr>
      <w:r>
        <w:rPr>
          <w:b/>
        </w:rPr>
        <w:t xml:space="preserve">Abstract (EN): </w:t>
      </w:r>
      <w:r>
        <w:t>Three-dimensional (3D) displays provide immersive visuals by delivering depth cues, making them valuable for applications such as interactive media1,2. To enhance practicality, 2D–3D switchable displays offer the flexibility to toggle between high-resolution 2D and immersive 3D modes in a single device3,4. Here we propose a full-colour 2D–3D switchable light-field display powered by a metasurface lenticular lens (MLL). The MLL switches its focal behaviour on the basis of the polarization of incident light, serving as the core mechanism for 2D–3D mode transition. The MLL is designed with a high numerical aperture, enabling a notably wider field of view of 100° while maintaining an ultrathin profile of just 1.2 mm. A large-area MLL with an active area of 25 cm2 is fabricated and seamlessly integrated as a dual-dimension switchable optics device, demonstrating the scalability of the approach for wide-area display applications. The fabricated device, when simply mounted onto an organic light-emitting diode display panel, successfully demonstrates clear 2D and 3D images, along with the active switching functionality enabled by applied voltage. These results highlight a promising solution for next-generation display technologies in both consumer electronics and commercial applications.</w:t>
      </w:r>
    </w:p>
    <w:p>
      <w:pPr>
        <w:spacing w:before="120" w:after="120"/>
      </w:pPr>
      <w:r>
        <w:rPr>
          <w:sz w:val="18"/>
        </w:rPr>
        <w:t>——————————————————————————————————————————————————————————————————————</w:t>
      </w:r>
    </w:p>
    <w:p>
      <w:pPr>
        <w:spacing w:before="160" w:after="40" w:line="240" w:lineRule="auto"/>
      </w:pPr>
      <w:r>
        <w:rPr>
          <w:b/>
        </w:rPr>
        <w:t xml:space="preserve">[289] </w:t>
      </w:r>
      <w:hyperlink r:id="rId763">
        <w:r>
          <w:rPr>
            <w:color w:val="1155CC"/>
            <w:u w:val="single"/>
          </w:rPr>
          <w:t>小蚂蚁在沙漠水疗中心为大蚂蚁梳理</w:t>
        </w:r>
      </w:hyperlink>
    </w:p>
    <w:p>
      <w:pPr>
        <w:spacing w:before="0" w:after="80"/>
      </w:pPr>
      <w:r>
        <w:rPr>
          <w:i/>
          <w:sz w:val="20"/>
        </w:rPr>
        <w:t>EN: Little ants groom big ones in a desert spa</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64">
        <w:r>
          <w:rPr>
            <w:color w:val="1155CC"/>
            <w:u w:val="single"/>
          </w:rPr>
          <w:t>10.1038/d41586-026-01237-w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[290] </w:t>
      </w:r>
      <w:hyperlink r:id="rId765">
        <w:r>
          <w:rPr>
            <w:color w:val="1155CC"/>
            <w:u w:val="single"/>
          </w:rPr>
          <w:t>界面电子转移中重组能量的电子起源</w:t>
        </w:r>
      </w:hyperlink>
    </w:p>
    <w:p>
      <w:pPr>
        <w:spacing w:before="0" w:after="80"/>
      </w:pPr>
      <w:r>
        <w:rPr>
          <w:i/>
          <w:sz w:val="20"/>
        </w:rPr>
        <w:t>EN: Electronic origin of reorganization energy in interfacial electron transfer</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66">
        <w:r>
          <w:rPr>
            <w:color w:val="1155CC"/>
            <w:u w:val="single"/>
          </w:rPr>
          <w:t>10.1038/s41586-026-10311-2</w:t>
        </w:r>
      </w:hyperlink>
    </w:p>
    <w:p>
      <w:pPr>
        <w:spacing w:before="0" w:after="120"/>
      </w:pPr>
      <w:r>
        <w:rPr>
          <w:b/>
        </w:rPr>
        <w:t xml:space="preserve">Notes: </w:t>
      </w:r>
      <w:r>
        <w:t>abstract_source=nature_html</w:t>
      </w:r>
    </w:p>
    <w:p>
      <w:pPr>
        <w:spacing w:before="0" w:after="80" w:lineRule="auto" w:line="276"/>
      </w:pPr>
      <w:r>
        <w:rPr>
          <w:b/>
        </w:rPr>
        <w:t xml:space="preserve">摘要（ZH）: </w:t>
      </w:r>
      <w:r>
        <w:t>电子转移（ET）反应是生物1,2和非生物3,4,5系统中能量转换和化学转化的基础。任何ET过程的效率依赖于在最佳驱动力范围内实现所需的ET速率。Marcus理论6,7提供了一个微观框架，用于理解ET的活化自由能——因此也是速率——的关键参数：重组能量。对于电化固液界面，长期以来传统上认为只有电解质相中的因素决定重组能量，而电极的电子态密度（DOS）仅用于决定ET的热可及通道数量5,8,9,10,11,12。然而，我们在此展示</w:t>
      </w:r>
    </w:p>
    <w:p>
      <w:pPr>
        <w:spacing w:before="0" w:after="200" w:lineRule="auto" w:line="276"/>
      </w:pPr>
      <w:r>
        <w:rPr>
          <w:b/>
        </w:rPr>
        <w:t xml:space="preserve">Abstract (EN): </w:t>
      </w:r>
      <w:r>
        <w:t>Electron transfer (ET) reactions underpin energy conversion and chemical transformations in both biological1,2 and abiological3,4,5 systems. The efficiency of any ET process relies on achieving a desired ET rate within an optimal driving force range. Marcus theory6,7 provides a microscopic framework for understanding the activation free energy—and therefore the rate—of ET in terms of a key parameter: the reorganization energy. For electrified solid–liquid interfaces, it has long been conventionally understood that only factors in the electrolyte phase are responsible for determining the reorganization energy and that the electronic density of states (DOS) of the electrode only serves to dictate the number of thermally accessible channels for ET5,8,9,10,11,12. Here we show instead that the electrode DOS plays a central role in governing the reorganization energy, far outweighing its conventionally assumed role. Using atomically layered heterostructures, we tune the DOS of graphene and measure outer-sphere ET kinetics. We find the ensuing variation in ET rate arises from strong modulation in a reorganization energy associated with image potential localization in the electrode. Here we redefine the traditional paradigm of heterogeneous ET kinetics, revealing a deeper role of the electrode electronic structure in interfacial reactivity.</w:t>
      </w:r>
    </w:p>
    <w:p>
      <w:pPr>
        <w:spacing w:before="120" w:after="120"/>
      </w:pPr>
      <w:r>
        <w:rPr>
          <w:sz w:val="18"/>
        </w:rPr>
        <w:t>——————————————————————————————————————————————————————————————————————</w:t>
      </w:r>
    </w:p>
    <w:p>
      <w:pPr>
        <w:spacing w:before="160" w:after="40" w:line="240" w:lineRule="auto"/>
      </w:pPr>
      <w:r>
        <w:rPr>
          <w:b/>
        </w:rPr>
        <w:t xml:space="preserve">[291] </w:t>
      </w:r>
      <w:hyperlink r:id="rId767">
        <w:r>
          <w:rPr>
            <w:color w:val="1155CC"/>
            <w:u w:val="single"/>
          </w:rPr>
          <w:t>基于神经网络的模型预测控制用于高保真虚拟测试平台中的HVAC和冰储存</w:t>
        </w:r>
      </w:hyperlink>
    </w:p>
    <w:p>
      <w:pPr>
        <w:spacing w:before="0" w:after="80"/>
      </w:pPr>
      <w:r>
        <w:rPr>
          <w:i/>
          <w:sz w:val="20"/>
        </w:rPr>
        <w:t>EN: Neural network-based model predictive control for HVAC and ice storage in a high-fidelity virtual testbed</w:t>
      </w:r>
    </w:p>
    <w:p>
      <w:pPr>
        <w:spacing w:before="0" w:after="120"/>
      </w:pPr>
      <w:r>
        <w:rPr>
          <w:b/>
        </w:rPr>
        <w:t xml:space="preserve">Source: </w:t>
      </w:r>
      <w:r>
        <w:t>ScienceDirect Publication: Applied Energy</w:t>
      </w:r>
      <w:r>
        <w:t xml:space="preserve">    </w:t>
      </w:r>
      <w:r>
        <w:rPr>
          <w:b/>
        </w:rPr>
        <w:t xml:space="preserve">Pub date: </w:t>
      </w:r>
      <w:r>
        <w:t>2026-04-22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768">
        <w:r>
          <w:rPr>
            <w:color w:val="1155CC"/>
            <w:u w:val="single"/>
          </w:rPr>
          <w:t>染色体融合触发自倍体基因组的再二倍化</w:t>
        </w:r>
      </w:hyperlink>
    </w:p>
    <w:p>
      <w:pPr>
        <w:spacing w:before="0" w:after="80"/>
      </w:pPr>
      <w:r>
        <w:rPr>
          <w:i/>
          <w:sz w:val="20"/>
        </w:rPr>
        <w:t>EN: Chromosomal fusions trigger rediploidization of autopolyploid genomes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69">
        <w:r>
          <w:rPr>
            <w:color w:val="1155CC"/>
            <w:u w:val="single"/>
          </w:rPr>
          <w:t>10.1038/s41586-026-10439-1</w:t>
        </w:r>
      </w:hyperlink>
    </w:p>
    <w:p>
      <w:pPr>
        <w:spacing w:before="0" w:after="120"/>
      </w:pPr>
      <w:r>
        <w:rPr>
          <w:b/>
        </w:rPr>
        <w:t xml:space="preserve">Notes: </w:t>
      </w:r>
      <w:r>
        <w:t>abstract_source=nature_html</w:t>
      </w:r>
    </w:p>
    <w:p>
      <w:pPr>
        <w:spacing w:before="0" w:after="80" w:lineRule="auto" w:line="276"/>
      </w:pPr>
      <w:r>
        <w:rPr>
          <w:b/>
        </w:rPr>
        <w:t xml:space="preserve">摘要（ZH）: </w:t>
      </w:r>
      <w:r>
        <w:t>所有脊椎动物的祖先被认为经历了自倍体全基因组重复（WGD）1,2，基因原料翻倍以供进化多样化3,4,5。然而，我们仍然不理解随后的复二倍化的第一步，这是WGD创造的重复基因（同源基因）出现和分化所必需的。因此，如何在进化过程中实现自倍体创造的功能潜力仍不清楚。雪鲤（裂腹鱼）具有近期WGD的历史并进化出高海拔适应性8,9,10，使这些鱼成为研究复二倍化早期阶段及其后果的特别合适的系统。这里来自所有雪鲤属的基因组数据揭示了它们的自倍体起源，包括四倍体</w:t>
      </w:r>
    </w:p>
    <w:p>
      <w:pPr>
        <w:spacing w:before="0" w:after="200" w:lineRule="auto" w:line="276"/>
      </w:pPr>
      <w:r>
        <w:rPr>
          <w:b/>
        </w:rPr>
        <w:t xml:space="preserve">Abstract (EN): </w:t>
      </w:r>
      <w:r>
        <w:t>The ancestor of all vertebrates is thought to have undergone autopolyploid whole-genome duplication (WGD)1,2, doubling the genetic raw material for evolutionary diversification3,4,5. However, we still do not understand the first steps of rediploidization that followed, required for the emergence and divergence of duplicated genes (ohnologues) created by WGD6,7. Consequently, how the functional potential created by autopolyploidy becomes realized during evolution remains unclear. Snow carps (Schizothoracine) have a history of recent WGDs and evolved high-altitude adaptations8,9,10, making these fish a particularly suitable system to study the early stages and consequences of rediploidization. Here genomic data from all snow carp genera reveal their autopolyploid origin, including tetraploids, hexaploids and one icosaploid (20n). We present haplotype-resolved genomes for two snow carp species (Schizopygopsis younghusbandi and Schizothorax curvilabiatus) from divergent lineages, revealing a single ancestral autotetraploidy event. Comparative genomic, meiotic pairing and allele composition analyses indicate that unbalanced chromosome fusions were responsible for the transition from tetrasomic to disomic inheritance, creating genomic regions harbouring diploid ohnologue pairs, with non-rearranged chromosomes remaining tetraploid. This study suggests that this mechanism initiated rediploidization and documents its early chromosomal and genomic consequences. It starts at chromosome fusion sites and expands outwards towards chromosomal arms, a process that remained incomplete post-speciation, leading to a mixture of ancestral and lineage-specific ohnologue divergence on highly syntenic chromosomes.</w:t>
      </w:r>
    </w:p>
    <w:p>
      <w:pPr>
        <w:spacing w:before="120" w:after="120"/>
      </w:pPr>
      <w:r>
        <w:rPr>
          <w:sz w:val="18"/>
        </w:rPr>
        <w:t>——————————————————————————————————————————————————————————————————————</w:t>
      </w:r>
    </w:p>
    <w:p>
      <w:pPr>
        <w:spacing w:before="160" w:after="40" w:line="240" w:lineRule="auto"/>
      </w:pPr>
      <w:r>
        <w:rPr>
          <w:b/>
        </w:rPr>
        <w:t xml:space="preserve">[293] </w:t>
      </w:r>
      <w:hyperlink r:id="rId770">
        <w:r>
          <w:rPr>
            <w:color w:val="1155CC"/>
            <w:u w:val="single"/>
          </w:rPr>
          <w:t>一种促癌细菌毒素结合claudin-4以切割E-钙粘蛋白</w:t>
        </w:r>
      </w:hyperlink>
    </w:p>
    <w:p>
      <w:pPr>
        <w:spacing w:before="0" w:after="80"/>
      </w:pPr>
      <w:r>
        <w:rPr>
          <w:i/>
          <w:sz w:val="20"/>
        </w:rPr>
        <w:t>EN: A pro-carcinogenic bacterial toxin binds claudin-4 to cleave E-cadherin</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71">
        <w:r>
          <w:rPr>
            <w:color w:val="1155CC"/>
            <w:u w:val="single"/>
          </w:rPr>
          <w:t>10.1038/s41586-026-10375-0</w:t>
        </w:r>
      </w:hyperlink>
    </w:p>
    <w:p>
      <w:pPr>
        <w:spacing w:before="0" w:after="120"/>
      </w:pPr>
      <w:r>
        <w:rPr>
          <w:b/>
        </w:rPr>
        <w:t xml:space="preserve">Notes: </w:t>
      </w:r>
      <w:r>
        <w:t>abstract_source=nature_html</w:t>
      </w:r>
    </w:p>
    <w:p>
      <w:pPr>
        <w:spacing w:before="0" w:after="80" w:lineRule="auto" w:line="276"/>
      </w:pPr>
      <w:r>
        <w:rPr>
          <w:b/>
        </w:rPr>
        <w:t xml:space="preserve">摘要（ZH）: </w:t>
      </w:r>
      <w:r>
        <w:t>人类结肠被数万亿细菌定殖，这些细菌在人体健康和疾病中发挥重要作用1。流行病学和实验研究表明，某些结肠细菌可以刺激结直肠癌的发展和进展2。其中一种细菌，产肠毒素脆弱拟杆菌，通过单一毒素——脆弱拟杆菌毒素（BFT）的作用驱动结肠肿瘤形成3,4。BFT是一种金属蛋白酶，它与结肠上皮细胞受体结合并导致E-钙粘蛋白胞外结构域的切割，从而导致上皮屏障破坏、炎症和细胞增殖增加4,5,6。然而，BFT受体的身份未知，BFT引发的E-钙粘蛋白切割的分子机制尚不清楚。在这里，我们确定c</w:t>
      </w:r>
    </w:p>
    <w:p>
      <w:pPr>
        <w:spacing w:before="0" w:after="200" w:lineRule="auto" w:line="276"/>
      </w:pPr>
      <w:r>
        <w:rPr>
          <w:b/>
        </w:rPr>
        <w:t xml:space="preserve">Abstract (EN): </w:t>
      </w:r>
      <w:r>
        <w:t>The human colon is colonized by trillions of bacteria that play substantial roles in human health and disease1. Epidemiological and experimental studies suggest that certain colonic bacteria can stimulate the development and progression of colorectal cancer2. One such bacterium, enterotoxigenic Bacteroides fragilis, drives colon tumour formation through the action of a single toxin, the B. fragilis toxin (BFT)3,4. BFT is a metalloprotease that binds to a colonic epithelial cell receptor and causes cleavage of the E-cadherin ectodomain, leading to epithelial barrier disruption, inflammation and increased cellular proliferation4,5,6. However, the identity of the BFT receptor is unknown and the molecular mechanism of BFT-initiated E-cadherin cleavage is not well understood. Here we identify claudin-4 as a BFT receptor through a genome-wide CRISPR screen and demonstrate that claudin-4 binding promotes BFT-mediated cleavage of cell surface E-cadherin. Our work both sheds light on BFT’s mechanism of action and opens avenues for the development of anti-BFT therapies, which may prove useful for colorectal cancer prevention and treatment of acute enterotoxigenic B. fragilis infection.</w:t>
      </w:r>
    </w:p>
    <w:p>
      <w:pPr>
        <w:spacing w:before="120" w:after="120"/>
      </w:pPr>
      <w:r>
        <w:rPr>
          <w:sz w:val="18"/>
        </w:rPr>
        <w:t>——————————————————————————————————————————————————————————————————————</w:t>
      </w:r>
    </w:p>
    <w:p>
      <w:pPr>
        <w:spacing w:before="160" w:after="40" w:line="240" w:lineRule="auto"/>
      </w:pPr>
      <w:r>
        <w:rPr>
          <w:b/>
        </w:rPr>
        <w:t xml:space="preserve">[294] </w:t>
      </w:r>
      <w:hyperlink r:id="rId772">
        <w:r>
          <w:rPr>
            <w:color w:val="1155CC"/>
            <w:u w:val="single"/>
          </w:rPr>
          <w:t>中东战争给欧洲另一个机会打破其对化石燃料的依赖</w:t>
        </w:r>
      </w:hyperlink>
    </w:p>
    <w:p>
      <w:pPr>
        <w:spacing w:before="0" w:after="80"/>
      </w:pPr>
      <w:r>
        <w:rPr>
          <w:i/>
          <w:sz w:val="20"/>
        </w:rPr>
        <w:t>EN: War in the Middle East hands Europe another chance to break its fossil fuel dependency</w:t>
      </w:r>
    </w:p>
    <w:p>
      <w:pPr>
        <w:spacing w:before="0" w:after="120"/>
      </w:pPr>
      <w:r>
        <w:rPr>
          <w:b/>
        </w:rPr>
        <w:t xml:space="preserve">Source: </w:t>
      </w:r>
      <w:r>
        <w:t>Nature Energy</w:t>
      </w:r>
      <w:r>
        <w:t xml:space="preserve">    </w:t>
      </w:r>
      <w:r>
        <w:rPr>
          <w:b/>
        </w:rPr>
        <w:t xml:space="preserve">Pub date: </w:t>
      </w:r>
      <w:r>
        <w:t>2026-04-22 00:00:00+00:00</w:t>
      </w:r>
      <w:r>
        <w:t xml:space="preserve">    </w:t>
      </w:r>
      <w:r>
        <w:rPr>
          <w:b/>
        </w:rPr>
        <w:t xml:space="preserve">DOI: </w:t>
      </w:r>
      <w:hyperlink r:id="rId773">
        <w:r>
          <w:rPr>
            <w:color w:val="1155CC"/>
            <w:u w:val="single"/>
          </w:rPr>
          <w:t>10.1038/s41560-026-02048-z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774">
        <w:r>
          <w:rPr>
            <w:color w:val="1155CC"/>
            <w:u w:val="single"/>
          </w:rPr>
          <w:t>撤回通知：构建具有不寻常环状π扩展的二维孔状石墨炔</w:t>
        </w:r>
      </w:hyperlink>
    </w:p>
    <w:p>
      <w:pPr>
        <w:spacing w:before="0" w:after="80"/>
      </w:pPr>
      <w:r>
        <w:rPr>
          <w:i/>
          <w:sz w:val="20"/>
        </w:rPr>
        <w:t>EN: Retraction Notice to: Constructing two-dimensional holey graphyne with unusual annulative π-extension</w:t>
      </w:r>
    </w:p>
    <w:p>
      <w:pPr>
        <w:spacing w:before="0" w:after="120"/>
      </w:pPr>
      <w:r>
        <w:rPr>
          <w:b/>
        </w:rPr>
        <w:t xml:space="preserve">Source: </w:t>
      </w:r>
      <w:r>
        <w:t>Matter</w:t>
      </w:r>
      <w:r>
        <w:t xml:space="preserve">    </w:t>
      </w:r>
      <w:r>
        <w:rPr>
          <w:b/>
        </w:rPr>
        <w:t xml:space="preserve">Pub date: </w:t>
      </w:r>
      <w:r>
        <w:t>2026-04-22 00:00:00+00:00</w:t>
      </w:r>
      <w:r>
        <w:t xml:space="preserve">    </w:t>
      </w:r>
      <w:r>
        <w:rPr>
          <w:b/>
        </w:rPr>
        <w:t xml:space="preserve">DOI: </w:t>
      </w:r>
      <w:hyperlink r:id="rId775">
        <w:r>
          <w:rPr>
            <w:color w:val="1155CC"/>
            <w:u w:val="single"/>
          </w:rPr>
          <w:t>10.1016/j.matt.2026.102820</w:t>
        </w:r>
      </w:hyperlink>
    </w:p>
    <w:p>
      <w:pPr>
        <w:spacing w:before="0" w:after="120"/>
      </w:pPr>
      <w:r>
        <w:rPr>
          <w:b/>
        </w:rPr>
        <w:t xml:space="preserve">Notes: </w:t>
      </w:r>
      <w:r>
        <w:t>abstract_source=rss_cell</w:t>
      </w:r>
    </w:p>
    <w:p>
      <w:pPr>
        <w:spacing w:before="0" w:after="80" w:lineRule="auto" w:line="276"/>
      </w:pPr>
      <w:r>
        <w:rPr>
          <w:b/>
        </w:rPr>
        <w:t xml:space="preserve">摘要（ZH）: </w:t>
      </w:r>
      <w:r>
        <w:t>(Matter 5, 2306–2318; July 6, 2022)</w:t>
      </w:r>
    </w:p>
    <w:p>
      <w:pPr>
        <w:spacing w:before="0" w:after="200" w:lineRule="auto" w:line="276"/>
      </w:pPr>
      <w:r>
        <w:rPr>
          <w:b/>
        </w:rPr>
        <w:t xml:space="preserve">Abstract (EN): </w:t>
      </w:r>
      <w:r>
        <w:t>(Matter 5, 2306–2318; July 6, 2022)</w:t>
      </w:r>
    </w:p>
    <w:p>
      <w:pPr>
        <w:spacing w:before="120" w:after="120"/>
      </w:pPr>
      <w:r>
        <w:rPr>
          <w:sz w:val="18"/>
        </w:rPr>
        <w:t>——————————————————————————————————————————————————————————————————————</w:t>
      </w:r>
    </w:p>
    <w:p>
      <w:pPr>
        <w:spacing w:before="160" w:after="40" w:line="240" w:lineRule="auto"/>
      </w:pPr>
      <w:r>
        <w:rPr>
          <w:b/>
        </w:rPr>
        <w:t xml:space="preserve">[296] </w:t>
      </w:r>
      <w:hyperlink r:id="rId776">
        <w:r>
          <w:rPr>
            <w:color w:val="1155CC"/>
            <w:u w:val="single"/>
          </w:rPr>
          <w:t>H2O2重新利用植物O2感应以调节缺氧后的反应</w:t>
        </w:r>
      </w:hyperlink>
    </w:p>
    <w:p>
      <w:pPr>
        <w:spacing w:before="0" w:after="80"/>
      </w:pPr>
      <w:r>
        <w:rPr>
          <w:i/>
          <w:sz w:val="20"/>
        </w:rPr>
        <w:t>EN: H2O2 repurposes plant O2 sensing to regulate post-hypoxia responses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77">
        <w:r>
          <w:rPr>
            <w:color w:val="1155CC"/>
            <w:u w:val="single"/>
          </w:rPr>
          <w:t>10.1038/s41586-026-10366-1</w:t>
        </w:r>
      </w:hyperlink>
    </w:p>
    <w:p>
      <w:pPr>
        <w:spacing w:before="0" w:after="120"/>
      </w:pPr>
      <w:r>
        <w:rPr>
          <w:b/>
        </w:rPr>
        <w:t xml:space="preserve">Notes: </w:t>
      </w:r>
      <w:r>
        <w:t>abstract_source=nature_html</w:t>
      </w:r>
    </w:p>
    <w:p>
      <w:pPr>
        <w:spacing w:before="0" w:after="80" w:lineRule="auto" w:line="276"/>
      </w:pPr>
      <w:r>
        <w:rPr>
          <w:b/>
        </w:rPr>
        <w:t xml:space="preserve">摘要（ZH）: </w:t>
      </w:r>
      <w:r>
        <w:t>了解植物对洪水的分子反应对于提高抗逆性策略至关重要。植物通过降低植物半胱氨酸氧化酶（PCO）活性来响应淹没引起的低氧（缺氧），这稳定了第VII组乙烯反应因子（ERFVIIs），这些因子是代谢和解剖适应反应的主调节因子1,2,3,4。脱淹后快速再氧化会引发活性氧（ROS）生成和代谢重组5,6；然而，植物如何缓解这种后缺氧应激以促进淹没恢复仍然未知。在这里，我们报告ERFVIIs在淹没后恢复中也很重要，通过ROS介导的PCO抑制在再氧化时保持稳定。稳定的ERFVIIs保留在缺氧响应</w:t>
      </w:r>
    </w:p>
    <w:p>
      <w:pPr>
        <w:spacing w:before="0" w:after="200" w:lineRule="auto" w:line="276"/>
      </w:pPr>
      <w:r>
        <w:rPr>
          <w:b/>
        </w:rPr>
        <w:t xml:space="preserve">Abstract (EN): </w:t>
      </w:r>
      <w:r>
        <w:t>Understanding plant molecular responses to flooding is crucial for strategies to increase resilience. Plants respond to submergence-induced low oxygen (hypoxia) through decreased plant cysteine oxidase (PCO) activity, which stabilizes group VII ethylene response factors (ERFVIIs), master regulators of metabolic and anatomic acclimation responses1,2,3,4. Rapid reoxygenation on desubmergence induces a burst of reactive oxygen species (ROS) generation and metabolic reconfiguration5,6; however, how plants mitigate this post-hypoxic stress to facilitate submergence recovery has remained unknown. Here we report that ERFVIIs are also important in post-submergence recovery, remaining stable upon reoxygenation through ROS-mediated PCO inhibition. Stabilized ERFVIIs are retained at hypoxia-responsive promoters, becoming repressors of typical hypoxia marker genes but upregulators of genes involved in ROS homeostasis and oxidative stress protection. Our findings suggest that PCOs and ERFVIIs integrate signals from both oxygen and ROS to coordinate ERFVII stability through submergence-induced hypoxia and desubmergence stress to promote plant survival and recovery.</w:t>
      </w:r>
    </w:p>
    <w:p>
      <w:pPr>
        <w:spacing w:before="120" w:after="120"/>
      </w:pPr>
      <w:r>
        <w:rPr>
          <w:sz w:val="18"/>
        </w:rPr>
        <w:t>——————————————————————————————————————————————————————————————————————</w:t>
      </w:r>
    </w:p>
    <w:p>
      <w:pPr>
        <w:spacing w:before="160" w:after="40" w:line="240" w:lineRule="auto"/>
      </w:pPr>
      <w:r>
        <w:rPr>
          <w:b/>
        </w:rPr>
        <w:t xml:space="preserve">[297] </w:t>
      </w:r>
      <w:hyperlink r:id="rId778">
        <w:r>
          <w:rPr>
            <w:color w:val="1155CC"/>
            <w:u w:val="single"/>
          </w:rPr>
          <w:t>全球干预措施对气候和生物多样性产生协同但不均衡的积极影响</w:t>
        </w:r>
      </w:hyperlink>
    </w:p>
    <w:p>
      <w:pPr>
        <w:spacing w:before="0" w:after="80"/>
      </w:pPr>
      <w:r>
        <w:rPr>
          <w:i/>
          <w:sz w:val="20"/>
        </w:rPr>
        <w:t>EN: Global interventions show synergistic but uneven positive impacts on climate and biodiversity</w:t>
      </w:r>
    </w:p>
    <w:p>
      <w:pPr>
        <w:spacing w:before="0" w:after="120"/>
      </w:pPr>
      <w:r>
        <w:rPr>
          <w:b/>
        </w:rPr>
        <w:t xml:space="preserve">Source: </w:t>
      </w:r>
      <w:r>
        <w:t>One Earth</w:t>
      </w:r>
      <w:r>
        <w:t xml:space="preserve">    </w:t>
      </w:r>
      <w:r>
        <w:rPr>
          <w:b/>
        </w:rPr>
        <w:t xml:space="preserve">Pub date: </w:t>
      </w:r>
      <w:r>
        <w:t>2026-04-22 00:00:00+00:00</w:t>
      </w:r>
      <w:r>
        <w:t xml:space="preserve">    </w:t>
      </w:r>
      <w:r>
        <w:rPr>
          <w:b/>
        </w:rPr>
        <w:t xml:space="preserve">DOI: </w:t>
      </w:r>
      <w:hyperlink r:id="rId779">
        <w:r>
          <w:rPr>
            <w:color w:val="1155CC"/>
            <w:u w:val="single"/>
          </w:rPr>
          <w:t>10.1016/j.oneear.2026.101684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780">
        <w:r>
          <w:rPr>
            <w:color w:val="1155CC"/>
            <w:u w:val="single"/>
          </w:rPr>
          <w:t>紧凑型自旋扭矩微波探测器</w:t>
        </w:r>
      </w:hyperlink>
    </w:p>
    <w:p>
      <w:pPr>
        <w:spacing w:before="0" w:after="80"/>
      </w:pPr>
      <w:r>
        <w:rPr>
          <w:i/>
          <w:sz w:val="20"/>
        </w:rPr>
        <w:t>EN: A compact spin-torque microwave detector</w:t>
      </w:r>
    </w:p>
    <w:p>
      <w:pPr>
        <w:spacing w:before="0" w:after="120"/>
      </w:pPr>
      <w:r>
        <w:rPr>
          <w:b/>
        </w:rPr>
        <w:t xml:space="preserve">Source: </w:t>
      </w:r>
      <w:r>
        <w:t>Nature Electronics</w:t>
      </w:r>
      <w:r>
        <w:t xml:space="preserve">    </w:t>
      </w:r>
      <w:r>
        <w:rPr>
          <w:b/>
        </w:rPr>
        <w:t xml:space="preserve">Pub date: </w:t>
      </w:r>
      <w:r>
        <w:t>2026-04-22 00:00:00+00:00</w:t>
      </w:r>
      <w:r>
        <w:t xml:space="preserve">    </w:t>
      </w:r>
      <w:r>
        <w:rPr>
          <w:b/>
        </w:rPr>
        <w:t xml:space="preserve">DOI: </w:t>
      </w:r>
      <w:hyperlink r:id="rId781">
        <w:r>
          <w:rPr>
            <w:color w:val="1155CC"/>
            <w:u w:val="single"/>
          </w:rPr>
          <w:t>10.1038/s41928-026-01630-3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782">
        <w:r>
          <w:rPr>
            <w:color w:val="1155CC"/>
            <w:u w:val="single"/>
          </w:rPr>
          <w:t>用于高效甲烷转化的灯丝催化剂灯泡反应器</w:t>
        </w:r>
      </w:hyperlink>
    </w:p>
    <w:p>
      <w:pPr>
        <w:spacing w:before="0" w:after="80"/>
      </w:pPr>
      <w:r>
        <w:rPr>
          <w:i/>
          <w:sz w:val="20"/>
        </w:rPr>
        <w:t>EN: Filament-catalyst lightbulb reactor for efficient methane conversion</w:t>
      </w:r>
    </w:p>
    <w:p>
      <w:pPr>
        <w:spacing w:before="0" w:after="120"/>
      </w:pPr>
      <w:r>
        <w:rPr>
          <w:b/>
        </w:rPr>
        <w:t xml:space="preserve">Source: </w:t>
      </w:r>
      <w:r>
        <w:t>Nature Sustainability</w:t>
      </w:r>
      <w:r>
        <w:t xml:space="preserve">    </w:t>
      </w:r>
      <w:r>
        <w:rPr>
          <w:b/>
        </w:rPr>
        <w:t xml:space="preserve">Pub date: </w:t>
      </w:r>
      <w:r>
        <w:t>2026-04-22 00:00:00+00:00</w:t>
      </w:r>
      <w:r>
        <w:t xml:space="preserve">    </w:t>
      </w:r>
      <w:r>
        <w:rPr>
          <w:b/>
        </w:rPr>
        <w:t xml:space="preserve">DOI: </w:t>
      </w:r>
      <w:hyperlink r:id="rId783">
        <w:r>
          <w:rPr>
            <w:color w:val="1155CC"/>
            <w:u w:val="single"/>
          </w:rPr>
          <w:t>10.1038/s41893-026-01812-z</w:t>
        </w:r>
      </w:hyperlink>
    </w:p>
    <w:p>
      <w:pPr>
        <w:spacing w:before="0" w:after="120"/>
      </w:pPr>
      <w:r>
        <w:rPr>
          <w:b/>
        </w:rPr>
        <w:t xml:space="preserve">Notes: </w:t>
      </w:r>
      <w:r>
        <w:t>abstract_source=nature_html</w:t>
      </w:r>
    </w:p>
    <w:p>
      <w:pPr>
        <w:spacing w:before="0" w:after="80" w:lineRule="auto" w:line="276"/>
      </w:pPr>
      <w:r>
        <w:rPr>
          <w:b/>
        </w:rPr>
        <w:t xml:space="preserve">摘要（ZH）: </w:t>
      </w:r>
      <w:r>
        <w:t>直接非氧化转化丰富的甲烷提供了一条可持续的途径来获得有价值的乙烯和芳烃，避免二氧化碳的形成并最小化中间步骤，从而提高碳效率。然而，由于甲烷的高化学稳定性，该过程在等温条件下在转化率和选择性之间存在根本的权衡。我们在此通过使用非等温灯丝催化剂灯泡反应器来克服这一挑战，该反应器在空间上分离甲烷活化和选择性调节。一个焦耳加热的钼灯丝达到1,000–1,457 °C以活化甲烷，而反应器内壳涂有钯（Pd）基催化剂层在较低温度（154–350 °C）下操作以促进选择性烃化</w:t>
      </w:r>
    </w:p>
    <w:p>
      <w:pPr>
        <w:spacing w:before="0" w:after="200" w:lineRule="auto" w:line="276"/>
      </w:pPr>
      <w:r>
        <w:rPr>
          <w:b/>
        </w:rPr>
        <w:t xml:space="preserve">Abstract (EN): </w:t>
      </w:r>
      <w:r>
        <w:t>Direct non-oxidative conversion of abundant methane provides a sustainable route to valuable ethylene and aromatics, avoiding carbon dioxide formation and minimizing intermediate steps, which can improve carbon efficiency. However, due to the high chemical stability of methane, this process is fundamentally constrained by the tradeoff between conversion and selectivity under isothermal conditions. Here we overcome this challenge by using a non-isothermal filament catalyst lightbulb reactor that spatially separates methane activation and selectivity tuning. A joule-heated molybdenum filament reaches 1,000–1,457 °C to activate methane, whereas a palladium (Pd) based catalyst layer coated in the reactor inner shell operates at much lower temperature (154–350 °C) to promote selective hydrocarbon transformation. This decoupling enables high methane conversion in the high-temperature zone, while facilitating controlled aromatization and hydrogenation of reactive intermediates over Pd catalyst in the low-temperature zone, achieving nearly 40% yield of ethylene and benzene, toluene and xylene, with 62% hydrogen yield. Coking—the parasitic buildup of solid carbon deposits on the surfaces within chemical reactors—occurs only on the filament surface, remaining minimal and regenerable. Techno-economic and life cycle analyses indicate strong potential for economically competitive production of value-added chemicals from methane with net-zero emissions using this reactor concept.</w:t>
      </w:r>
    </w:p>
    <w:p>
      <w:pPr>
        <w:spacing w:before="120" w:after="120"/>
      </w:pPr>
      <w:r>
        <w:rPr>
          <w:sz w:val="18"/>
        </w:rPr>
        <w:t>——————————————————————————————————————————————————————————————————————</w:t>
      </w:r>
    </w:p>
    <w:p>
      <w:pPr>
        <w:spacing w:before="160" w:after="40" w:line="240" w:lineRule="auto"/>
      </w:pPr>
      <w:r>
        <w:rPr>
          <w:b/>
        </w:rPr>
        <w:t xml:space="preserve">[300] </w:t>
      </w:r>
      <w:hyperlink r:id="rId784">
        <w:r>
          <w:rPr>
            <w:color w:val="1155CC"/>
            <w:u w:val="single"/>
          </w:rPr>
          <w:t>生物分子凝聚体中的pH梯度</w:t>
        </w:r>
      </w:hyperlink>
    </w:p>
    <w:p>
      <w:pPr>
        <w:spacing w:before="0" w:after="80"/>
      </w:pPr>
      <w:r>
        <w:rPr>
          <w:i/>
          <w:sz w:val="20"/>
        </w:rPr>
        <w:t>EN: pH gradients in biomolecular condensates</w:t>
      </w:r>
    </w:p>
    <w:p>
      <w:pPr>
        <w:spacing w:before="0" w:after="120"/>
      </w:pPr>
      <w:r>
        <w:rPr>
          <w:b/>
        </w:rPr>
        <w:t xml:space="preserve">Source: </w:t>
      </w:r>
      <w:r>
        <w:t>Nature Chemical Engineering</w:t>
      </w:r>
      <w:r>
        <w:t xml:space="preserve">    </w:t>
      </w:r>
      <w:r>
        <w:rPr>
          <w:b/>
        </w:rPr>
        <w:t xml:space="preserve">Pub date: </w:t>
      </w:r>
      <w:r>
        <w:t>2026-04-22 00:00:00+00:00</w:t>
      </w:r>
      <w:r>
        <w:t xml:space="preserve">    </w:t>
      </w:r>
      <w:r>
        <w:rPr>
          <w:b/>
        </w:rPr>
        <w:t xml:space="preserve">DOI: </w:t>
      </w:r>
      <w:hyperlink r:id="rId785">
        <w:r>
          <w:rPr>
            <w:color w:val="1155CC"/>
            <w:u w:val="single"/>
          </w:rPr>
          <w:t>10.1038/s44286-026-00386-z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786">
        <w:r>
          <w:rPr>
            <w:color w:val="1155CC"/>
            <w:u w:val="single"/>
          </w:rPr>
          <w:t>评估大型语言模型的准确性激励了幻觉</w:t>
        </w:r>
      </w:hyperlink>
    </w:p>
    <w:p>
      <w:pPr>
        <w:spacing w:before="0" w:after="80"/>
      </w:pPr>
      <w:r>
        <w:rPr>
          <w:i/>
          <w:sz w:val="20"/>
        </w:rPr>
        <w:t>EN: Evaluating large language models for accuracy incentivizes hallucinations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87">
        <w:r>
          <w:rPr>
            <w:color w:val="1155CC"/>
            <w:u w:val="single"/>
          </w:rPr>
          <w:t>10.1038/s41586-026-10549-w</w:t>
        </w:r>
      </w:hyperlink>
    </w:p>
    <w:p>
      <w:pPr>
        <w:spacing w:before="0" w:after="120"/>
      </w:pPr>
      <w:r>
        <w:rPr>
          <w:b/>
        </w:rPr>
        <w:t xml:space="preserve">Notes: </w:t>
      </w:r>
      <w:r>
        <w:t>abstract_source=nature_html</w:t>
      </w:r>
    </w:p>
    <w:p>
      <w:pPr>
        <w:spacing w:before="0" w:after="80" w:lineRule="auto" w:line="276"/>
      </w:pPr>
      <w:r>
        <w:rPr>
          <w:b/>
        </w:rPr>
        <w:t xml:space="preserve">摘要（ZH）: </w:t>
      </w:r>
      <w:r>
        <w:t>大型语言模型有时会产生自信但似是而非的错误（“幻觉”），限制了它们的可靠性。先前的工作提供了许多解释和有效的缓解措施，如检索和工具使用、一致性自我验证和来自人类反馈的强化学习。然而，即使在最先进的语言模型中，这个问题仍然存在。我们在此展示了下一词预测和基于准确性的评估如何无意中奖励不必要的猜测。最初，下一词预训练即使在理想化的无错误数据中也会产生统计压力，导致幻觉：使用学习理论，我们展示了在训练数据中缺乏重复支持的事实（如一次性细节）会产生不可避免的错误，而重复的规律性（如</w:t>
      </w:r>
    </w:p>
    <w:p>
      <w:pPr>
        <w:spacing w:before="0" w:after="200" w:lineRule="auto" w:line="276"/>
      </w:pPr>
      <w:r>
        <w:rPr>
          <w:b/>
        </w:rPr>
        <w:t xml:space="preserve">Abstract (EN): </w:t>
      </w:r>
      <w:r>
        <w:t>Large language models sometimes produce confident, plausible falsehoods (“hallucinations”), limiting their reliability1,2. Prior work has offered numerous explanations and effective mitigations such as retrieval and tool use3, consistency-based self-verification4, and reinforcement learning from human feedback5. Nonetheless, the problem persists even in state-of-the-art language models6,7. Here we show how next-word prediction and accuracy-based evaluations inadvertently reward unwarranted guessing. Initially, next-word pretraining creates statistical pressure toward hallucination even with idealized error-free data: using learning theory8,9, we show that facts lacking repeated support in training data (such as one-off details) yield unavoidable errors, while recurring regularities (such as grammar) do not. Subsequent training stages aim to correct such errors. However, dominant headline metrics like accuracy systematically reward guessing over admitting uncertainty. To align incentives, we suggest two additions to the classic approach of adding error penalties to evaluations to control abstention10,11. First, we propose “open-rubric” evaluations that explicitly state how errors are penalized (if at all), which test whether a model modulates its abstentions to stated stakes while optimizing accuracy. Second, since hallucination-specific benchmarks rarely make leaderboards12, we suggest using open-rubric variants of existing evaluations, to reverse their guessing incentives. Reframing hallucination as an incentive problem opens a practical path toward more reliable language models.</w:t>
      </w:r>
    </w:p>
    <w:p>
      <w:pPr>
        <w:spacing w:before="120" w:after="120"/>
      </w:pPr>
      <w:r>
        <w:rPr>
          <w:sz w:val="18"/>
        </w:rPr>
        <w:t>——————————————————————————————————————————————————————————————————————</w:t>
      </w:r>
    </w:p>
    <w:p>
      <w:pPr>
        <w:spacing w:before="160" w:after="40" w:line="240" w:lineRule="auto"/>
      </w:pPr>
      <w:r>
        <w:rPr>
          <w:b/>
        </w:rPr>
        <w:t xml:space="preserve">[302] </w:t>
      </w:r>
      <w:hyperlink r:id="rId788">
        <w:r>
          <w:rPr>
            <w:color w:val="1155CC"/>
            <w:u w:val="single"/>
          </w:rPr>
          <w:t>认识Ace，这个可以击败精英选手的乒乓球机器人</w:t>
        </w:r>
      </w:hyperlink>
    </w:p>
    <w:p>
      <w:pPr>
        <w:spacing w:before="0" w:after="80"/>
      </w:pPr>
      <w:r>
        <w:rPr>
          <w:i/>
          <w:sz w:val="20"/>
        </w:rPr>
        <w:t>EN: Meet Ace, the table-tennis robot that can beat elite players</w:t>
      </w:r>
    </w:p>
    <w:p>
      <w:pPr>
        <w:spacing w:before="0" w:after="120"/>
      </w:pPr>
      <w:r>
        <w:rPr>
          <w:b/>
        </w:rPr>
        <w:t xml:space="preserve">Source: </w:t>
      </w:r>
      <w:r>
        <w:t>Nature</w:t>
      </w:r>
      <w:r>
        <w:t xml:space="preserve">    </w:t>
      </w:r>
      <w:r>
        <w:rPr>
          <w:b/>
        </w:rPr>
        <w:t xml:space="preserve">Pub date: </w:t>
      </w:r>
      <w:r>
        <w:t>2026-04-22 00:00:00+00:00</w:t>
      </w:r>
      <w:r>
        <w:t xml:space="preserve">    </w:t>
      </w:r>
      <w:r>
        <w:rPr>
          <w:b/>
        </w:rPr>
        <w:t xml:space="preserve">DOI: </w:t>
      </w:r>
      <w:hyperlink r:id="rId789">
        <w:r>
          <w:rPr>
            <w:color w:val="1155CC"/>
            <w:u w:val="single"/>
          </w:rPr>
          <w:t>10.1038/d41586-026-01341-x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[303] </w:t>
      </w:r>
      <w:hyperlink r:id="rId790">
        <w:r>
          <w:rPr>
            <w:color w:val="1155CC"/>
            <w:u w:val="single"/>
          </w:rPr>
          <w:t>内质网中二硫键还原的重新编程解耦胰腺癌的免疫逃逸</w:t>
        </w:r>
      </w:hyperlink>
    </w:p>
    <w:p>
      <w:pPr>
        <w:spacing w:before="0" w:after="80"/>
      </w:pPr>
      <w:r>
        <w:rPr>
          <w:i/>
          <w:sz w:val="20"/>
        </w:rPr>
        <w:t>EN: Reprogramming Disulfide Reduction in Endoplasmic Reticulum Uncouples Immune Evasion of Pancreatic Cancer</w:t>
      </w:r>
    </w:p>
    <w:p>
      <w:pPr>
        <w:spacing w:before="0" w:after="120"/>
      </w:pPr>
      <w:r>
        <w:rPr>
          <w:b/>
        </w:rPr>
        <w:t xml:space="preserve">Source: </w:t>
      </w:r>
      <w:r>
        <w:t>Wiley: Advanced Materials: Table of Contents</w:t>
      </w:r>
      <w:r>
        <w:t xml:space="preserve">    </w:t>
      </w:r>
      <w:r>
        <w:rPr>
          <w:b/>
        </w:rPr>
        <w:t xml:space="preserve">Pub date: </w:t>
      </w:r>
      <w:r>
        <w:t>2026-04-22 05:21:23+00:00</w:t>
      </w:r>
      <w:r>
        <w:t xml:space="preserve">    </w:t>
      </w:r>
      <w:r>
        <w:rPr>
          <w:b/>
        </w:rPr>
        <w:t xml:space="preserve">DOI: </w:t>
      </w:r>
      <w:hyperlink r:id="rId791">
        <w:r>
          <w:rPr>
            <w:color w:val="1155CC"/>
            <w:u w:val="single"/>
          </w:rPr>
          <w:t>10.1002/adma.202517261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免疫检查点活性的调节对肿瘤免疫治疗产生深远影响。然而，成熟免疫检查点的干扰在实体瘤中遇到疗效挑战，这成为多个潜在靶点临床转化的关键障碍。在此，我们提出了一种通过阻断内质网（ER）内CD47成熟的生化免疫调节策略，以逆转免疫抑制。临床使用的放射性核素碘-131（131I）被重新设计为封装在多孔钛酸钡纳米颗粒中，形成免疫活性纳米调节剂。利用极化和碰撞弛豫，从131I发射的电子</w:t>
      </w:r>
    </w:p>
    <w:p>
      <w:pPr>
        <w:spacing w:before="0" w:after="200" w:lineRule="auto" w:line="276"/>
      </w:pPr>
      <w:r>
        <w:rPr>
          <w:b/>
        </w:rPr>
        <w:t xml:space="preserve">Abstract (EN): </w:t>
      </w:r>
      <w:r>
        <w:t>The modulation of immune checkpoint activity exerts profound impacts on tumor immunotherapy. However, the interfere of mature immune checkpoints encounter efficacy challenges in solid tumors, which underlies a critical barrier in clinical translation of multiple potential targets. Herein, we propose a biochemical immune modulation strategy for immunosuppression reversal by blocking the mature of CD47 within the endoplasmic reticulum (ER). Clinically used radionuclides iodine‐131 (</w:t>
      </w:r>
      <w:r>
        <w:rPr>
          <w:vertAlign w:val="subscript"/>
        </w:rPr>
        <w:t>131</w:t>
      </w:r>
      <w:r>
        <w:t>I) is reengineered to encapsulate within microporous barium titanate nanoparticles, forming an immunoactive nanomodulator. Leveraging polarized and collisional relaxation, the electrons emitted from</w:t>
      </w:r>
      <w:r>
        <w:rPr>
          <w:vertAlign w:val="subscript"/>
        </w:rPr>
        <w:t>131</w:t>
      </w:r>
      <w:r>
        <w:t>I mediate continuous disulfide bond reduction, blocking CD47 folding and surface translocation, resulting in a 93.6% reduction in CD47 expression. Together with the remarkable increase of tumor antigen presentation induced by ER reductive stress in pancreatic tumor‐bearing mice, we realize a 93% tumor inhibition and a 3‐fold prolongation of survival. This work underscores the role of organellar biochemistry in reshaping immunosuppression for tumor immunotherapy.</w:t>
      </w:r>
    </w:p>
    <w:p>
      <w:pPr>
        <w:spacing w:before="120" w:after="120"/>
      </w:pPr>
      <w:r>
        <w:rPr>
          <w:sz w:val="18"/>
        </w:rPr>
        <w:t>——————————————————————————————————————————————————————————————————————</w:t>
      </w:r>
    </w:p>
    <w:p>
      <w:pPr>
        <w:spacing w:before="160" w:after="40" w:line="240" w:lineRule="auto"/>
      </w:pPr>
      <w:r>
        <w:rPr>
          <w:b/>
        </w:rPr>
        <w:t xml:space="preserve">[304] </w:t>
      </w:r>
      <w:hyperlink r:id="rId792">
        <w:r>
          <w:rPr>
            <w:color w:val="1155CC"/>
            <w:u w:val="single"/>
          </w:rPr>
          <w:t>通过回收SO2和塑料废物进行太阳能驱动的光催化C─S偶联用于有机硫合成</w:t>
        </w:r>
      </w:hyperlink>
    </w:p>
    <w:p>
      <w:pPr>
        <w:spacing w:before="0" w:after="80"/>
      </w:pPr>
      <w:r>
        <w:rPr>
          <w:i/>
          <w:sz w:val="20"/>
        </w:rPr>
        <w:t>EN: Solar‐Driven Photocatalytic C─S Coupling for Organosulfur Synthesis Via Upcycling SO2 and Plastic Waste</w:t>
      </w:r>
    </w:p>
    <w:p>
      <w:pPr>
        <w:spacing w:before="0" w:after="120"/>
      </w:pPr>
      <w:r>
        <w:rPr>
          <w:b/>
        </w:rPr>
        <w:t xml:space="preserve">Source: </w:t>
      </w:r>
      <w:r>
        <w:t>Wiley: Angewandte Chemie International Edition: Table of Contents</w:t>
      </w:r>
      <w:r>
        <w:t xml:space="preserve">    </w:t>
      </w:r>
      <w:r>
        <w:rPr>
          <w:b/>
        </w:rPr>
        <w:t xml:space="preserve">Pub date: </w:t>
      </w:r>
      <w:r>
        <w:t>2026-04-22 05:21:54+00:00</w:t>
      </w:r>
      <w:r>
        <w:t xml:space="preserve">    </w:t>
      </w:r>
      <w:r>
        <w:rPr>
          <w:b/>
        </w:rPr>
        <w:t xml:space="preserve">DOI: </w:t>
      </w:r>
      <w:hyperlink r:id="rId793">
        <w:r>
          <w:rPr>
            <w:color w:val="1155CC"/>
            <w:u w:val="single"/>
          </w:rPr>
          <w:t>10.1002/anie.1777088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羟甲基磺酸盐（HMS）是电子工业中的重要清洁剂，并在表面活性剂和药物的合成中作为关键中间体。传统的HMS工业生产依赖于有毒和挥发性的甲醛，带来了相当大的安全和环境风险。在此，我们报告了一种太阳能驱动的光催化路线，在常温下从废弃的SO2和聚对苯二甲酸乙二醇酯（PET）衍生的乙二醇（EG）合成HMS，使用Cu单原子修饰的TiO2催化剂（Cu1/TiO2）。优化后的Cu</w:t>
      </w:r>
    </w:p>
    <w:p>
      <w:pPr>
        <w:spacing w:before="0" w:after="200" w:lineRule="auto" w:line="276"/>
      </w:pPr>
      <w:r>
        <w:rPr>
          <w:b/>
        </w:rPr>
        <w:t xml:space="preserve">Abstract (EN): </w:t>
      </w:r>
      <w:r>
        <w:t>Hydroxymethylsulfonate (HMS) is an important cleaning agent in the electronics industry and serves as a crucial intermediate in the synthesis of surfactants and pharmaceuticals. Conventional industrial production of HMS relies on toxic and volatile formaldehyde, presenting considerable safety and environmental risks. Herein, we report a solar‐driven photocatalytic route for the synthesis of HMS from waste SO</w:t>
      </w:r>
      <w:r>
        <w:rPr>
          <w:vertAlign w:val="subscript"/>
        </w:rPr>
        <w:t>2</w:t>
      </w:r>
      <w:r>
        <w:t>and polyethylene terephthalate (PET)‐derived ethylene glycol (EG) under ambient conditions, using a Cu single‐atom‐decorated TiO</w:t>
      </w:r>
      <w:r>
        <w:rPr>
          <w:vertAlign w:val="subscript"/>
        </w:rPr>
        <w:t>2</w:t>
      </w:r>
      <w:r>
        <w:t>catalyst (Cu</w:t>
      </w:r>
      <w:r>
        <w:rPr>
          <w:vertAlign w:val="subscript"/>
        </w:rPr>
        <w:t>1</w:t>
      </w:r>
      <w:r>
        <w:t>/TiO</w:t>
      </w:r>
      <w:r>
        <w:rPr>
          <w:vertAlign w:val="subscript"/>
        </w:rPr>
        <w:t>2</w:t>
      </w:r>
      <w:r>
        <w:t>). The optimized Cu</w:t>
      </w:r>
      <w:r>
        <w:rPr>
          <w:vertAlign w:val="subscript"/>
        </w:rPr>
        <w:t>1</w:t>
      </w:r>
      <w:r>
        <w:t>/TiO</w:t>
      </w:r>
      <w:r>
        <w:rPr>
          <w:vertAlign w:val="subscript"/>
        </w:rPr>
        <w:t>2</w:t>
      </w:r>
      <w:r>
        <w:t>catalyst achieves an HMS yield rate of ∼ 2.31 mmol g</w:t>
      </w:r>
      <w:r>
        <w:t xml:space="preserve"> </w:t>
      </w:r>
      <w:r>
        <w:t>cat</w:t>
      </w:r>
      <w:r>
        <w:t xml:space="preserve"> </w:t>
      </w:r>
      <w:r>
        <w:t>−1</w:t>
      </w:r>
      <w:r>
        <w:t xml:space="preserve"> </w:t>
      </w:r>
      <w:r>
        <w:t>h</w:t>
      </w:r>
      <w:r>
        <w:t xml:space="preserve"> </w:t>
      </w:r>
      <w:r>
        <w:t>−1</w:t>
      </w:r>
      <w:r>
        <w:t xml:space="preserve"> </w:t>
      </w:r>
      <w:r>
        <w:t>with a 77.5% carbon selectivity, along with a H</w:t>
      </w:r>
      <w:r>
        <w:rPr>
          <w:vertAlign w:val="subscript"/>
        </w:rPr>
        <w:t>2</w:t>
      </w:r>
      <w:r>
        <w:t>evolution rate of ∼ 4.36 mmol g</w:t>
      </w:r>
      <w:r>
        <w:t xml:space="preserve"> </w:t>
      </w:r>
      <w:r>
        <w:t>cat</w:t>
      </w:r>
      <w:r>
        <w:t xml:space="preserve"> </w:t>
      </w:r>
      <w:r>
        <w:t>−1</w:t>
      </w:r>
      <w:r>
        <w:t xml:space="preserve"> </w:t>
      </w:r>
      <w:r>
        <w:t>h</w:t>
      </w:r>
      <w:r>
        <w:t xml:space="preserve"> </w:t>
      </w:r>
      <w:r>
        <w:t>−1</w:t>
      </w:r>
      <w:r>
        <w:t xml:space="preserve"> </w:t>
      </w:r>
      <w:r>
        <w:t>. Mechanistic studies reveal that the atomically dispersed Cu sites act as electron sinks, which enhance charge separation and induce electronic modulation of TiO</w:t>
      </w:r>
      <w:r>
        <w:rPr>
          <w:vertAlign w:val="subscript"/>
        </w:rPr>
        <w:t>2</w:t>
      </w:r>
      <w:r>
        <w:t>. This modulation facilitates the adsorption and activation of reactants while lowering the energy barrier for the formation of a key *CHOH─CH</w:t>
      </w:r>
      <w:r>
        <w:rPr>
          <w:vertAlign w:val="subscript"/>
        </w:rPr>
        <w:t>2</w:t>
      </w:r>
      <w:r>
        <w:t>OH intermediate via EG dehydrogenation. This resulting intermediate then undergoes nucleophilic attack by hole‐generated •SO</w:t>
      </w:r>
      <w:r>
        <w:rPr>
          <w:vertAlign w:val="subscript"/>
        </w:rPr>
        <w:t>3</w:t>
      </w:r>
      <w:r>
        <w:t>−</w:t>
      </w:r>
      <w:r>
        <w:t>, triggering C─C cleavage to form HMS. This work establishes a sustainable and waste‐valorizing route for organosulfur synthesis.</w:t>
      </w:r>
    </w:p>
    <w:p>
      <w:pPr>
        <w:spacing w:before="120" w:after="120"/>
      </w:pPr>
      <w:r>
        <w:rPr>
          <w:sz w:val="18"/>
        </w:rPr>
        <w:t>——————————————————————————————————————————————————————————————————————</w:t>
      </w:r>
    </w:p>
    <w:p>
      <w:pPr>
        <w:spacing w:before="160" w:after="40" w:line="240" w:lineRule="auto"/>
      </w:pPr>
      <w:r>
        <w:rPr>
          <w:b/>
        </w:rPr>
        <w:t xml:space="preserve">[305] </w:t>
      </w:r>
      <w:hyperlink r:id="rId794">
        <w:r>
          <w:rPr>
            <w:color w:val="1155CC"/>
            <w:u w:val="single"/>
          </w:rPr>
          <w:t>Ba1−xSrxTiO3薄膜中相界面启用的高介电可调性及其在硅上的集成</w:t>
        </w:r>
      </w:hyperlink>
    </w:p>
    <w:p>
      <w:pPr>
        <w:spacing w:before="0" w:after="80"/>
      </w:pPr>
      <w:r>
        <w:rPr>
          <w:i/>
          <w:sz w:val="20"/>
        </w:rPr>
        <w:t>EN: Phase Boundary Enabled High Dielectric Tunability in Ba1−xSrxTiO3 Thin Films and their Integration on Silicon</w:t>
      </w:r>
    </w:p>
    <w:p>
      <w:pPr>
        <w:spacing w:before="0" w:after="120"/>
      </w:pPr>
      <w:r>
        <w:rPr>
          <w:b/>
        </w:rPr>
        <w:t xml:space="preserve">Source: </w:t>
      </w:r>
      <w:r>
        <w:t>Wiley: Advanced Materials: Table of Contents</w:t>
      </w:r>
      <w:r>
        <w:t xml:space="preserve">    </w:t>
      </w:r>
      <w:r>
        <w:rPr>
          <w:b/>
        </w:rPr>
        <w:t xml:space="preserve">Pub date: </w:t>
      </w:r>
      <w:r>
        <w:t>2026-04-22 05:24:00+00:00</w:t>
      </w:r>
      <w:r>
        <w:t xml:space="preserve">    </w:t>
      </w:r>
      <w:r>
        <w:rPr>
          <w:b/>
        </w:rPr>
        <w:t xml:space="preserve">DOI: </w:t>
      </w:r>
      <w:hyperlink r:id="rId795">
        <w:r>
          <w:rPr>
            <w:color w:val="1155CC"/>
            <w:u w:val="single"/>
          </w:rPr>
          <w:t>10.1002/adma.73172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实现超高介电可调性并具有稳健的温度和频率稳定性是下一代微波电子和电信设备的关键挑战。同样，将这些材料与硅集成对于可扩展性至关重要，但仍然是一项复杂的任务。本研究通过设计高质量、无铅的Ba</w:t>
      </w:r>
      <w:r>
        <w:t xml:space="preserve"> </w:t>
      </w:r>
      <w:r>
        <w:t>1‐</w:t>
      </w:r>
      <w:r>
        <w:t xml:space="preserve"> </w:t>
      </w:r>
      <w:r>
        <w:t>x</w:t>
      </w:r>
      <w:r>
        <w:t xml:space="preserve"> </w:t>
      </w:r>
      <w:r>
        <w:t>Sr</w:t>
      </w:r>
      <w:r>
        <w:t xml:space="preserve"> </w:t>
      </w:r>
      <w:r>
        <w:t>x</w:t>
      </w:r>
      <w:r>
        <w:t xml:space="preserve"> </w:t>
      </w:r>
      <w:r>
        <w:t>TiO</w:t>
      </w:r>
      <w:r>
        <w:rPr>
          <w:vertAlign w:val="subscript"/>
        </w:rPr>
        <w:t>3</w:t>
      </w:r>
      <w:r>
        <w:t>(BST;</w:t>
      </w:r>
      <w:r>
        <w:t xml:space="preserve"> </w:t>
      </w:r>
      <w:r>
        <w:t>x</w:t>
      </w:r>
      <w:r>
        <w:t xml:space="preserve"> </w:t>
      </w:r>
      <w:r>
        <w:t>= 0.2–0.8)外延薄膜来解决这些挑战。通过系统控制成分和</w:t>
      </w:r>
    </w:p>
    <w:p>
      <w:pPr>
        <w:spacing w:before="0" w:after="200" w:lineRule="auto" w:line="276"/>
      </w:pPr>
      <w:r>
        <w:rPr>
          <w:b/>
        </w:rPr>
        <w:t xml:space="preserve">Abstract (EN): </w:t>
      </w:r>
      <w:r>
        <w:t>Achieving ultra‐high dielectric tunability with robust temperature and frequency stability poses a key challenge for next‐generation microwave electronics and telecommunications devices. Likewise, the integration of such materials with silicon is critical for scalability, yet it remains a complex task. This work addresses these challenges by engineering high‐quality, lead‐free Ba</w:t>
      </w:r>
      <w:r>
        <w:t xml:space="preserve"> </w:t>
      </w:r>
      <w:r>
        <w:t>1‐</w:t>
      </w:r>
      <w:r>
        <w:t xml:space="preserve"> </w:t>
      </w:r>
      <w:r>
        <w:t>x</w:t>
      </w:r>
      <w:r>
        <w:t xml:space="preserve"> </w:t>
      </w:r>
      <w:r>
        <w:t>Sr</w:t>
      </w:r>
      <w:r>
        <w:t xml:space="preserve"> </w:t>
      </w:r>
      <w:r>
        <w:t>x</w:t>
      </w:r>
      <w:r>
        <w:t xml:space="preserve"> </w:t>
      </w:r>
      <w:r>
        <w:t>TiO</w:t>
      </w:r>
      <w:r>
        <w:rPr>
          <w:vertAlign w:val="subscript"/>
        </w:rPr>
        <w:t>3</w:t>
      </w:r>
      <w:r>
        <w:t>(BST;</w:t>
      </w:r>
      <w:r>
        <w:t xml:space="preserve"> </w:t>
      </w:r>
      <w:r>
        <w:t>x</w:t>
      </w:r>
      <w:r>
        <w:t xml:space="preserve"> </w:t>
      </w:r>
      <w:r>
        <w:t>= 0.2–0.8) epitaxial thin films. Through systematic control of composition and epitaxial strain, we have experimentally revealed the coexistence of cubic, tetragonal, rhombohedral, and orthorhombic phases, forming a mixed‐phase state analogous to a morphotropic phase boundary (MPB). This phase coexistence results in exceptional dielectric properties, including ultra‐high tunability (∼91%) and a high breakdown electric field (∼800 kV/cm) at room temperature (10 kHz). The films exhibit good thermal (from 330 to 473 K) and frequency (10 kHz–1 MHz) stability. The robust dielectric tunability being associated with a diffuse‐phase transition at higher strontium concentrations, arising from dipole dispersion, leading to relaxor‐like behavior. Theoretical studies using effective‐Hamiltonian approaches confirm the emergence of the MPB‐like state and its role in enhanced dielectric permittivity and tunability. Finally, integration of these BST thin films onto silicon is demonstrated, highlighting the potential for scalability. These findings bridge the gap between material innovation and industrial implementation.</w:t>
      </w:r>
    </w:p>
    <w:p>
      <w:pPr>
        <w:spacing w:before="120" w:after="120"/>
      </w:pPr>
      <w:r>
        <w:rPr>
          <w:sz w:val="18"/>
        </w:rPr>
        <w:t>——————————————————————————————————————————————————————————————————————</w:t>
      </w:r>
    </w:p>
    <w:p>
      <w:pPr>
        <w:spacing w:before="160" w:after="40" w:line="240" w:lineRule="auto"/>
      </w:pPr>
      <w:r>
        <w:rPr>
          <w:b/>
        </w:rPr>
        <w:t xml:space="preserve">[306] </w:t>
      </w:r>
      <w:hyperlink r:id="rId796">
        <w:r>
          <w:rPr>
            <w:color w:val="1155CC"/>
            <w:u w:val="single"/>
          </w:rPr>
          <w:t>通过缺陷丰富的超薄RuCu合金纳米结构上的安培级硝酸盐电还原提升海水淡化</w:t>
        </w:r>
      </w:hyperlink>
    </w:p>
    <w:p>
      <w:pPr>
        <w:spacing w:before="0" w:after="80"/>
      </w:pPr>
      <w:r>
        <w:rPr>
          <w:i/>
          <w:sz w:val="20"/>
        </w:rPr>
        <w:t>EN: Boosting Seawater Desalination by Ampere‐Level Nitrate Electroreduction On Defect‐Rich Ultrathin RuCu Alloy Nanostructures</w:t>
      </w:r>
    </w:p>
    <w:p>
      <w:pPr>
        <w:spacing w:before="0" w:after="120"/>
      </w:pPr>
      <w:r>
        <w:rPr>
          <w:b/>
        </w:rPr>
        <w:t xml:space="preserve">Source: </w:t>
      </w:r>
      <w:r>
        <w:t>Wiley: Advanced Materials: Table of Contents</w:t>
      </w:r>
      <w:r>
        <w:t xml:space="preserve">    </w:t>
      </w:r>
      <w:r>
        <w:rPr>
          <w:b/>
        </w:rPr>
        <w:t xml:space="preserve">Pub date: </w:t>
      </w:r>
      <w:r>
        <w:t>2026-04-22 05:25:38+00:00</w:t>
      </w:r>
      <w:r>
        <w:t xml:space="preserve">    </w:t>
      </w:r>
      <w:r>
        <w:rPr>
          <w:b/>
        </w:rPr>
        <w:t xml:space="preserve">DOI: </w:t>
      </w:r>
      <w:hyperlink r:id="rId797">
        <w:r>
          <w:rPr>
            <w:color w:val="1155CC"/>
            <w:u w:val="single"/>
          </w:rPr>
          <w:t>10.1002/adma.73146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淡水短缺和水体中的硝酸盐污染是两个日益严重的环境问题。开发绿色和可持续的技术以同时快速从海水中生产淡水和高效处理废水至关重要，但仍然具有挑战性。在此，我们报告了超薄合金纳米结构的缺陷工程，用于高性能电催化硝酸盐还原反应（NO</w:t>
      </w:r>
      <w:r>
        <w:rPr>
          <w:vertAlign w:val="subscript"/>
        </w:rPr>
        <w:t>3</w:t>
      </w:r>
      <w:r>
        <w:t>RR），进一步应用于驱动海水淡化。具体而言，富缺陷的RuCu纳米花（D‐RuCu NFs）在中性介质中表现出优异的选择性用于氨电合成，并在流动电池中具有良好的稳定性以进行安培级操作。原位表征和理论</w:t>
      </w:r>
    </w:p>
    <w:p>
      <w:pPr>
        <w:spacing w:before="0" w:after="200" w:lineRule="auto" w:line="276"/>
      </w:pPr>
      <w:r>
        <w:rPr>
          <w:b/>
        </w:rPr>
        <w:t xml:space="preserve">Abstract (EN): </w:t>
      </w:r>
      <w:r>
        <w:t>Freshwater scarcity and nitrate pollution in water bodies are two growing environmental concerns. Developing green and sustainable techniques for simultaneous rapid freshwater production from seawater and efficient effluent treatment is crucial but remains challenging. Herein, we report the defect engineering of ultrathin alloy nanostructures for high‐performance electrocatalytic nitrate reduction reaction (NO</w:t>
      </w:r>
      <w:r>
        <w:rPr>
          <w:vertAlign w:val="subscript"/>
        </w:rPr>
        <w:t>3</w:t>
      </w:r>
      <w:r>
        <w:t>RR), which is further applied to drive seawater desalination. In specific, defect‐rich RuCu nanoflowers (D‐RuCu NFs) demonstrate superior selectivity toward ammonia electrosynthesis in neutral media and good stability for ampere‐level operation in flow cells. In situ characterizations and theoretical calculations indicate that defective features of D‐RuCu NFs possess more active sites for electrocatalysis and facilitate the nitrate adsorption and deoxygenation/hydrogenation processes. As a proof‐of‐concept application, the electrochemical NO</w:t>
      </w:r>
      <w:r>
        <w:rPr>
          <w:vertAlign w:val="subscript"/>
        </w:rPr>
        <w:t>3</w:t>
      </w:r>
      <w:r>
        <w:t>RR driven seawater desalination delivers an ultrafast salt removal rate of 6033.05 µg cm</w:t>
      </w:r>
      <w:r>
        <w:t xml:space="preserve"> </w:t>
      </w:r>
      <w:r>
        <w:t>−2</w:t>
      </w:r>
      <w:r>
        <w:t xml:space="preserve"> </w:t>
      </w:r>
      <w:r>
        <w:t>min</w:t>
      </w:r>
      <w:r>
        <w:t xml:space="preserve"> </w:t>
      </w:r>
      <w:r>
        <w:t>−1</w:t>
      </w:r>
      <w:r>
        <w:t xml:space="preserve"> </w:t>
      </w:r>
      <w:r>
        <w:t>, as well as achieves robust long‐term stability of desalinating natural seawater to drinking water. This work offers an effective sustainable strategy for simultaneous nitrate conversion and seawater desalination, suggesting great potential for practical application within the water‐energy nexus.</w:t>
      </w:r>
    </w:p>
    <w:p>
      <w:pPr>
        <w:spacing w:before="120" w:after="120"/>
      </w:pPr>
      <w:r>
        <w:rPr>
          <w:sz w:val="18"/>
        </w:rPr>
        <w:t>——————————————————————————————————————————————————————————————————————</w:t>
      </w:r>
    </w:p>
    <w:p>
      <w:pPr>
        <w:spacing w:before="160" w:after="40" w:line="240" w:lineRule="auto"/>
      </w:pPr>
      <w:r>
        <w:rPr>
          <w:b/>
        </w:rPr>
        <w:t xml:space="preserve">[307] </w:t>
      </w:r>
      <w:hyperlink r:id="rId798">
        <w:r>
          <w:rPr>
            <w:color w:val="1155CC"/>
            <w:u w:val="single"/>
          </w:rPr>
          <w:t>靶向全组织抗原呈递细胞的结构稳定脂质聚合物纳米平台实现持久的原位mRNA癌症免疫治疗</w:t>
        </w:r>
      </w:hyperlink>
    </w:p>
    <w:p>
      <w:pPr>
        <w:spacing w:before="0" w:after="80"/>
      </w:pPr>
      <w:r>
        <w:rPr>
          <w:i/>
          <w:sz w:val="20"/>
        </w:rPr>
        <w:t>EN: A Structurally Stabilized Lipopolymer Nanoplatform Targeting Pan‐Tissue Antigen‐Presenting Cells Enables Durable in situ mRNA Cancer Immunotherapy</w:t>
      </w:r>
    </w:p>
    <w:p>
      <w:pPr>
        <w:spacing w:before="0" w:after="120"/>
      </w:pPr>
      <w:r>
        <w:rPr>
          <w:b/>
        </w:rPr>
        <w:t xml:space="preserve">Source: </w:t>
      </w:r>
      <w:r>
        <w:t>Wiley: Advanced Materials: Table of Contents</w:t>
      </w:r>
      <w:r>
        <w:t xml:space="preserve">    </w:t>
      </w:r>
      <w:r>
        <w:rPr>
          <w:b/>
        </w:rPr>
        <w:t xml:space="preserve">Pub date: </w:t>
      </w:r>
      <w:r>
        <w:t>2026-04-22 05:29:27+00:00</w:t>
      </w:r>
      <w:r>
        <w:t xml:space="preserve">    </w:t>
      </w:r>
      <w:r>
        <w:rPr>
          <w:b/>
        </w:rPr>
        <w:t xml:space="preserve">DOI: </w:t>
      </w:r>
      <w:hyperlink r:id="rId799">
        <w:r>
          <w:rPr>
            <w:color w:val="1155CC"/>
            <w:u w:val="single"/>
          </w:rPr>
          <w:t>10.1002/adma.202520594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RNA疫苗已经改变了癌症免疫治疗，但免疫激活延迟、多剂量要求以及在免疫抑制性肿瘤微环境（TME）中的低效性阻碍了当前平台的发展。在此，提出了一种结构稳定的脂质聚合物纳米颗粒（LPNP）平台，用于原位mRNA疫苗接种，靶向抗原呈递细胞（APC）。该系统的核心是一个经过合理设计的双支链脂质聚合物P6CIT，其独特的分子结构增强了疏水微粘度和分子间堆积，增加了颗粒的刚性，防止在生物液体中过早解体。这种稳定性增强了循环稳定性，并促进了对肿瘤部位和淋巴器官的有利生物分布。</w:t>
      </w:r>
    </w:p>
    <w:p>
      <w:pPr>
        <w:spacing w:before="0" w:after="200" w:lineRule="auto" w:line="276"/>
      </w:pPr>
      <w:r>
        <w:rPr>
          <w:b/>
        </w:rPr>
        <w:t xml:space="preserve">Abstract (EN): </w:t>
      </w:r>
      <w:r>
        <w:t>Messenger RNA (mRNA) vaccines have transformed cancer immunotherapy, yet delayed immune activation, multi‐dose requirements, and poor efficacy in immunosuppressive tumor microenvironments (TMEs) hinder current platforms. Here, a structurally stabilized lipopolymer nanoparticle (LPNP) platform is proposed for in situ mRNA vaccination targeting antigen‐presenting cells (APCs). Central to this system is a rationally engineered double‐branched lipopolymer, P6CIT, whose unique molecular architecture enhances hydrophobic microviscosity and intermolecular packing, increasing particle rigidity and preventing premature disassembly in biological fluids. This stabilization enhances circulation stability and promotes favorable biodistribution to tumor sites and lymphoid organs, resulting in a 6.9‐fold increase in the spleen and a 13.6‐fold increase in lymph nodes, key sites for adaptive immune activation. Upon intratumoral administration, the LPNP co‐delivers mRNAs encoding tumor antigens and IL‐12, synergistically reprogramming the TMEs and amplifying APC‐mediated T cell priming. In situ vaccination achieves a 42% complete response in a B16‐OVA melanoma model and outperforms ALC‐0315 LNPs in wild‐type B16F10 tumors. This work highlights chemical‐level structural optimization enabling potent, simplified mRNA immunotherapy.</w:t>
      </w:r>
    </w:p>
    <w:p>
      <w:pPr>
        <w:spacing w:before="120" w:after="120"/>
      </w:pPr>
      <w:r>
        <w:rPr>
          <w:sz w:val="18"/>
        </w:rPr>
        <w:t>——————————————————————————————————————————————————————————————————————</w:t>
      </w:r>
    </w:p>
    <w:p>
      <w:pPr>
        <w:spacing w:before="160" w:after="40" w:line="240" w:lineRule="auto"/>
      </w:pPr>
      <w:r>
        <w:rPr>
          <w:b/>
        </w:rPr>
        <w:t xml:space="preserve">[308] </w:t>
      </w:r>
      <w:hyperlink r:id="rId800">
        <w:r>
          <w:rPr>
            <w:color w:val="1155CC"/>
            <w:u w:val="single"/>
          </w:rPr>
          <w:t>用于深脑慢性记录和解码的径向模量梯度纤维</w:t>
        </w:r>
      </w:hyperlink>
    </w:p>
    <w:p>
      <w:pPr>
        <w:spacing w:before="0" w:after="80"/>
      </w:pPr>
      <w:r>
        <w:rPr>
          <w:i/>
          <w:sz w:val="20"/>
        </w:rPr>
        <w:t>EN: A Radial Modulus‐Gradient Fiber for Chronic Recording and Decoding in Deep Brain</w:t>
      </w:r>
    </w:p>
    <w:p>
      <w:pPr>
        <w:spacing w:before="0" w:after="120"/>
      </w:pPr>
      <w:r>
        <w:rPr>
          <w:b/>
        </w:rPr>
        <w:t xml:space="preserve">Source: </w:t>
      </w:r>
      <w:r>
        <w:t>Wiley: Advanced Materials: Table of Contents</w:t>
      </w:r>
      <w:r>
        <w:t xml:space="preserve">    </w:t>
      </w:r>
      <w:r>
        <w:rPr>
          <w:b/>
        </w:rPr>
        <w:t xml:space="preserve">Pub date: </w:t>
      </w:r>
      <w:r>
        <w:t>2026-04-22 05:30:08+00:00</w:t>
      </w:r>
      <w:r>
        <w:t xml:space="preserve">    </w:t>
      </w:r>
      <w:r>
        <w:rPr>
          <w:b/>
        </w:rPr>
        <w:t xml:space="preserve">DOI: </w:t>
      </w:r>
      <w:hyperlink r:id="rId801">
        <w:r>
          <w:rPr>
            <w:color w:val="1155CC"/>
            <w:u w:val="single"/>
          </w:rPr>
          <w:t>10.1002/adma.202519697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电子学为大脑中生物信号的检测、调制和重建提供了最有前途的平台。然而，保持纤维电子学与深脑细胞级目标之间的稳定通信是关键但具有挑战性的，因为它们的机械不匹配。在此，我们的研究通过开发径向模量梯度纤维（RMGF）填补了这一空白，该纤维可以桥接高模量导电组件（MPa）和低模量脑组织（kPa），以消除整个神经设备界面的机械不匹配。RMGF表现出应变不敏感的电性能（在700,000次拉伸释放循环中电阻波动小于0.2%）。作为一个例子，RMGF实现了前所未有的五个月连续传输。</w:t>
      </w:r>
    </w:p>
    <w:p>
      <w:pPr>
        <w:spacing w:before="0" w:after="200" w:lineRule="auto" w:line="276"/>
      </w:pPr>
      <w:r>
        <w:rPr>
          <w:b/>
        </w:rPr>
        <w:t xml:space="preserve">Abstract (EN): </w:t>
      </w:r>
      <w:r>
        <w:t>Fiber electronics provide the most promising platform for the detection, modulation, and reconstruction of biosignals in the brain. However, preserving stable communication between fiber electronics and cellular‐scale targets in the deep brain is critical but challenging because of their mechanical mismatch. Here, our study fills this gap by developing a radial modulus‐gradient fiber (RMGF), which can bridge high‐modulus conductive components (MPa) and low‐modulus brain tissue (kPa) to well eliminate the mechanical mismatch at the entire neural‒device interface. The RMGF exhibits strain‐insensitive electrical properties (&amp;lt;0.2% resistance fluctuation over 700,000 stretching‒release cycles). As an example, the RMGF enables unprecedented five‐month continuous tracking of single neurons in the dorsal lateral geniculate nucleus of freely moving cats, and allows reconstruction of visual stimuli with the use of only three neurons, with a high correlation coefficient of 0.95, approaching the theoretical limit of the unscented Kalman filter (0.97). The results indicate that dorsal lateral geniculate nucleus neurons maintain stable tuning properties (spatial frequency sensitivity, ON/OFF characteristics, and X‐cell classification) and reveal a minimal effective ensemble for efficient encoding of information within deep thalamic circuits. This RMGF represents a platform for chronic recording at the single‐cell level and investigating fundamental mechanisms in the deep tissues.</w:t>
      </w:r>
    </w:p>
    <w:p>
      <w:pPr>
        <w:spacing w:before="120" w:after="120"/>
      </w:pPr>
      <w:r>
        <w:rPr>
          <w:sz w:val="18"/>
        </w:rPr>
        <w:t>——————————————————————————————————————————————————————————————————————</w:t>
      </w:r>
    </w:p>
    <w:p>
      <w:pPr>
        <w:spacing w:before="160" w:after="40" w:line="240" w:lineRule="auto"/>
      </w:pPr>
      <w:r>
        <w:rPr>
          <w:b/>
        </w:rPr>
        <w:t xml:space="preserve">[309] </w:t>
      </w:r>
      <w:hyperlink r:id="rId802">
        <w:r>
          <w:rPr>
            <w:color w:val="1155CC"/>
            <w:u w:val="single"/>
          </w:rPr>
          <w:t>在18.5 GHz下运行的n型聚合物射频整流器</w:t>
        </w:r>
      </w:hyperlink>
    </w:p>
    <w:p>
      <w:pPr>
        <w:spacing w:before="0" w:after="80"/>
      </w:pPr>
      <w:r>
        <w:rPr>
          <w:i/>
          <w:sz w:val="20"/>
        </w:rPr>
        <w:t>EN: n‐Type Polymer Radio Frequency Rectifiers Operating at 18.5 GHz</w:t>
      </w:r>
    </w:p>
    <w:p>
      <w:pPr>
        <w:spacing w:before="0" w:after="120"/>
      </w:pPr>
      <w:r>
        <w:rPr>
          <w:b/>
        </w:rPr>
        <w:t xml:space="preserve">Source: </w:t>
      </w:r>
      <w:r>
        <w:t>Wiley: Advanced Materials: Table of Contents</w:t>
      </w:r>
      <w:r>
        <w:t xml:space="preserve">    </w:t>
      </w:r>
      <w:r>
        <w:rPr>
          <w:b/>
        </w:rPr>
        <w:t xml:space="preserve">Pub date: </w:t>
      </w:r>
      <w:r>
        <w:t>2026-04-22 05:33:37+00:00</w:t>
      </w:r>
      <w:r>
        <w:t xml:space="preserve">    </w:t>
      </w:r>
      <w:r>
        <w:rPr>
          <w:b/>
        </w:rPr>
        <w:t xml:space="preserve">DOI: </w:t>
      </w:r>
      <w:hyperlink r:id="rId803">
        <w:r>
          <w:rPr>
            <w:color w:val="1155CC"/>
            <w:u w:val="single"/>
          </w:rPr>
          <w:t>10.1002/adma.202522754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人工智能、物联网（IoT）和电信技术的不断进步，对更便宜的射频（RF）电子产品的需求增加。然而，开发满足RF应用严格制造和性能标准的设备仍然是一个重大挑战。在此，我们展示了有机聚合物RF肖特基二极管和整流电路，其工作频率可达18.5 GHz，使其成为迄今为止报道的最快的有机设备。二极管采用分子n型掺杂聚合物N2200，沉积在自对准共面不对称纳米间隙电极（亚20纳米纳米间隙）上。共面结构减少了寄生电容，而工程化的电极</w:t>
      </w:r>
    </w:p>
    <w:p>
      <w:pPr>
        <w:spacing w:before="0" w:after="200" w:lineRule="auto" w:line="276"/>
      </w:pPr>
      <w:r>
        <w:rPr>
          <w:b/>
        </w:rPr>
        <w:t xml:space="preserve">Abstract (EN): </w:t>
      </w:r>
      <w:r>
        <w:t>As advancements in artificial intelligence, the Internet of Things (IoT), and telecommunication technologies continue to accelerate, the demand for cheaper radiofrequency (RF) electronics increases. However, developing devices that meet the stringent manufacturing and performance criteria for RF applications remains a significant challenge. Here, we demonstrate organic polymeric RF Schottky diodes and rectifier circuits that can operate up to 18.5 GHz, making them the fastest organic devices reported to date. The diodes feature the molecularly n‐doped polymer, namely N2200, deposited atop self‐aligned coplanar asymmetric nanogap electrodes (sub‐20‐nm nanogaps). The coplanar architecture reduces parasitic capacitances, while the engineered electron‐injecting contacts, in synergy with the n‐doped polymer, help decrease the contact resistance and boost the device's overall performance. The polymer Schottky diodes exhibit a low turn‐on voltage of ≈0.15 V, a high current rectification ratio exceeding 10</w:t>
      </w:r>
      <w:r>
        <w:rPr>
          <w:vertAlign w:val="subscript"/>
        </w:rPr>
        <w:t>5</w:t>
      </w:r>
      <w:r>
        <w:t>, and an ultra‐low capacitance of ≈2 pF. RF rectifier circuits featuring the polymer Schottky diodes yield a maximum output voltage (</w:t>
      </w:r>
      <w:r>
        <w:t xml:space="preserve"> </w:t>
      </w:r>
      <w:r>
        <w:t>V</w:t>
      </w:r>
      <w:r>
        <w:t xml:space="preserve"> </w:t>
      </w:r>
      <w:r>
        <w:t>PEAK</w:t>
      </w:r>
      <w:r>
        <w:t xml:space="preserve"> </w:t>
      </w:r>
      <w:r>
        <w:t>) of 1.43 V and an extrinsic cut‐off frequency of up to 18.5 GHz. The scalable manufacturing and unprecedented frequency response make these organic Schottky diodes a good candidate for applications in emerging RF electronics for wearables and the broader IoT device ecosystem.</w:t>
      </w:r>
    </w:p>
    <w:p>
      <w:pPr>
        <w:spacing w:before="120" w:after="120"/>
      </w:pPr>
      <w:r>
        <w:rPr>
          <w:sz w:val="18"/>
        </w:rPr>
        <w:t>——————————————————————————————————————————————————————————————————————</w:t>
      </w:r>
    </w:p>
    <w:p>
      <w:pPr>
        <w:spacing w:before="160" w:after="40" w:line="240" w:lineRule="auto"/>
      </w:pPr>
      <w:r>
        <w:rPr>
          <w:b/>
        </w:rPr>
        <w:t xml:space="preserve">[310] </w:t>
      </w:r>
      <w:hyperlink r:id="rId804">
        <w:r>
          <w:rPr>
            <w:color w:val="1155CC"/>
            <w:u w:val="single"/>
          </w:rPr>
          <w:t>线粒体ATP模式预测组织折叠</w:t>
        </w:r>
      </w:hyperlink>
    </w:p>
    <w:p>
      <w:pPr>
        <w:spacing w:before="0" w:after="80"/>
      </w:pPr>
      <w:r>
        <w:rPr>
          <w:i/>
          <w:sz w:val="20"/>
        </w:rPr>
        <w:t>EN: Patterns of mitochondrial ATP predict tissue folding</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05">
        <w:r>
          <w:rPr>
            <w:color w:val="1155CC"/>
            <w:u w:val="single"/>
          </w:rPr>
          <w:t>10.1126/sciadv.aee6175</w:t>
        </w:r>
      </w:hyperlink>
    </w:p>
    <w:p>
      <w:pPr>
        <w:spacing w:before="0" w:after="120"/>
      </w:pPr>
      <w:r>
        <w:rPr>
          <w:b/>
        </w:rPr>
        <w:t xml:space="preserve">Notes: </w:t>
      </w:r>
      <w:r>
        <w:t>abstract_source=crossref</w:t>
      </w:r>
    </w:p>
    <w:p>
      <w:pPr>
        <w:spacing w:before="0" w:after="80" w:lineRule="auto" w:line="276"/>
      </w:pPr>
      <w:r>
        <w:rPr>
          <w:b/>
        </w:rPr>
        <w:t xml:space="preserve">摘要（ZH）: </w:t>
      </w:r>
      <w:r>
        <w:t>在胚胎发育过程中，组织形状的构建是基因表达模式和由ATP水解提供化学能的机械力的结果。我们发现，在顶端收缩过程中，化学能也呈现出类似的模式，这在动物界中广泛用于折叠上皮组织。时间推移成像、空间转录组学和氧消耗率的测量显示，线粒体密度、电位和ATP在上皮细胞的顶端侧增加，然后是肌动蛋白收缩和组织折叠，这一过程可通过抑制氧化磷酸化来阻止。在线虫、鸡和小鼠的顶端收缩过程中，线粒体富集和顶端偏向是保守的，这些模式可用于预测计算模式</w:t>
      </w:r>
    </w:p>
    <w:p>
      <w:pPr>
        <w:spacing w:before="0" w:after="200" w:lineRule="auto" w:line="276"/>
      </w:pPr>
      <w:r>
        <w:rPr>
          <w:b/>
        </w:rPr>
        <w:t xml:space="preserve">Abstract (EN): </w:t>
      </w:r>
      <w:r>
        <w:t>The construction of tissue shapes during embryonic development results from patterns of gene expression and mechanical forces fueled by chemical energy from ATP hydrolysis. We find that chemical energy is similarly patterned during apical constriction, which is widely used across the animal kingdom to fold epithelial tissues. Time-lapse imaging, spatial transcriptomics, and measurements of oxygen consumption rate reveal that mitochondrial density, potential, and ATP increase at the apical side of epithelial cells before actomyosin contraction and tissue folding, which is prevented by inhibiting oxidative phosphorylation. Mitochondrial enrichment and apical bias are conserved during apical constriction in flies, chicks, and mice, and these patterns can be used to predict computationally patterns of tissue folding. These findings highlight a spatial dimension of bioenergetics in development.</w:t>
      </w:r>
    </w:p>
    <w:p>
      <w:pPr>
        <w:spacing w:before="120" w:after="120"/>
      </w:pPr>
      <w:r>
        <w:rPr>
          <w:sz w:val="18"/>
        </w:rPr>
        <w:t>——————————————————————————————————————————————————————————————————————</w:t>
      </w:r>
    </w:p>
    <w:p>
      <w:pPr>
        <w:spacing w:before="160" w:after="40" w:line="240" w:lineRule="auto"/>
      </w:pPr>
      <w:r>
        <w:rPr>
          <w:b/>
        </w:rPr>
        <w:t xml:space="preserve">[311] </w:t>
      </w:r>
      <w:hyperlink r:id="rId806">
        <w:r>
          <w:rPr>
            <w:color w:val="1155CC"/>
            <w:u w:val="single"/>
          </w:rPr>
          <w:t>通过遗传锚在哮喘气道上皮中估算DNA甲基化对基因表达的体内因果效应</w:t>
        </w:r>
      </w:hyperlink>
    </w:p>
    <w:p>
      <w:pPr>
        <w:spacing w:before="0" w:after="80"/>
      </w:pPr>
      <w:r>
        <w:rPr>
          <w:i/>
          <w:sz w:val="20"/>
        </w:rPr>
        <w:t>EN: Estimating in silico causal effects of DNA methylation on gene expression through genetic anchors in airway epithelium in asthma</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07">
        <w:r>
          <w:rPr>
            <w:color w:val="1155CC"/>
            <w:u w:val="single"/>
          </w:rPr>
          <w:t>10.1126/sciadv.ady3555</w:t>
        </w:r>
      </w:hyperlink>
    </w:p>
    <w:p>
      <w:pPr>
        <w:spacing w:before="0" w:after="120"/>
      </w:pPr>
      <w:r>
        <w:rPr>
          <w:b/>
        </w:rPr>
        <w:t xml:space="preserve">Notes: </w:t>
      </w:r>
      <w:r>
        <w:t>abstract_source=crossref</w:t>
      </w:r>
    </w:p>
    <w:p>
      <w:pPr>
        <w:spacing w:before="0" w:after="80" w:lineRule="auto" w:line="276"/>
      </w:pPr>
      <w:r>
        <w:rPr>
          <w:b/>
        </w:rPr>
        <w:t xml:space="preserve">摘要（ZH）: </w:t>
      </w:r>
      <w:r>
        <w:t>表达定量性状甲基化（eQTM）分析已识别出DNA甲基化（DNAm）与基因表达之间的众多关联，但这些关联背后的因果途径仍然知之甚少。利用单核苷酸多态性（SNPs）作为遗传锚点，我们在患有（n = 219）和未患有（n = 236）哮喘的青少年的鼻上皮样本中，检查了DNAm与基因表达之间的潜在因果效应，包括顺式和反式关联。我们进行了因果中介分析，以评估DNAm是否影响基因表达或反之亦然，使用自适应引导法进行联合显著性测试，以估计38,562个eQTM对的因果效应。DNAm是一个合理的原因</w:t>
      </w:r>
    </w:p>
    <w:p>
      <w:pPr>
        <w:spacing w:before="0" w:after="200" w:lineRule="auto" w:line="276"/>
      </w:pPr>
      <w:r>
        <w:rPr>
          <w:b/>
        </w:rPr>
        <w:t xml:space="preserve">Abstract (EN): </w:t>
      </w:r>
      <w:r>
        <w:t>Expression quantitative trait methylation (eQTM) analyses have identified numerous associations between DNA methylation (DNAm) and gene expression, but the causal pathways underlying such associations remain poorly understood. Using single-nucleotide polymorphisms (SNPs) as genetic anchors, we examined potential causal effects between DNAm and gene expression in cis and trans associations in nasal epithelial samples from youth with (</w:t>
      </w:r>
      <w:r>
        <w:t xml:space="preserve"> </w:t>
      </w:r>
      <w:r>
        <w:t>n</w:t>
      </w:r>
      <w:r>
        <w:t xml:space="preserve"> </w:t>
      </w:r>
      <w:r>
        <w:t>= 219) and without (</w:t>
      </w:r>
      <w:r>
        <w:t xml:space="preserve"> </w:t>
      </w:r>
      <w:r>
        <w:t>n</w:t>
      </w:r>
      <w:r>
        <w:t xml:space="preserve"> </w:t>
      </w:r>
      <w:r>
        <w:t>= 236) asthma. We conducted causal mediation analyses to assess whether DNAm affects gene expression or vice versa by using an adaptive bootstrap for the joint significance test to estimate causal effects for 38,562 eQTM pairs. DNAm is a plausible cause of gene expression in 73% of pairs. Genes in these eQTM pairs were significantly enriched in immune pathways and associated with asthma phenotypes. We replicated Expression Quantitative Trait Loci (eQTL) findings in various cell types in lung tissue and eQTL and Methylation Quantitative Trait Loci (meQTL) findings in the upper airway. These results suggest DNAm as a promising target for asthma prevention and therapy.</w:t>
      </w:r>
    </w:p>
    <w:p>
      <w:pPr>
        <w:spacing w:before="120" w:after="120"/>
      </w:pPr>
      <w:r>
        <w:rPr>
          <w:sz w:val="18"/>
        </w:rPr>
        <w:t>——————————————————————————————————————————————————————————————————————</w:t>
      </w:r>
    </w:p>
    <w:p>
      <w:pPr>
        <w:spacing w:before="160" w:after="40" w:line="240" w:lineRule="auto"/>
      </w:pPr>
      <w:r>
        <w:rPr>
          <w:b/>
        </w:rPr>
        <w:t xml:space="preserve">[312] </w:t>
      </w:r>
      <w:hyperlink r:id="rId808">
        <w:r>
          <w:rPr>
            <w:color w:val="1155CC"/>
            <w:u w:val="single"/>
          </w:rPr>
          <w:t>用于带电系统中非共价相互作用的精确密度泛函理论</w:t>
        </w:r>
      </w:hyperlink>
    </w:p>
    <w:p>
      <w:pPr>
        <w:spacing w:before="0" w:after="80"/>
      </w:pPr>
      <w:r>
        <w:rPr>
          <w:i/>
          <w:sz w:val="20"/>
        </w:rPr>
        <w:t>EN: Accurate density functional theory for noncovalent interactions in charged systems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09">
        <w:r>
          <w:rPr>
            <w:color w:val="1155CC"/>
            <w:u w:val="single"/>
          </w:rPr>
          <w:t>10.1126/sciadv.adz8521</w:t>
        </w:r>
      </w:hyperlink>
    </w:p>
    <w:p>
      <w:pPr>
        <w:spacing w:before="0" w:after="120"/>
      </w:pPr>
      <w:r>
        <w:rPr>
          <w:b/>
        </w:rPr>
        <w:t xml:space="preserve">Notes: </w:t>
      </w:r>
      <w:r>
        <w:t>abstract_source=crossref</w:t>
      </w:r>
    </w:p>
    <w:p>
      <w:pPr>
        <w:spacing w:before="0" w:after="80" w:lineRule="auto" w:line="276"/>
      </w:pPr>
      <w:r>
        <w:rPr>
          <w:b/>
        </w:rPr>
        <w:t xml:space="preserve">摘要（ZH）: </w:t>
      </w:r>
      <w:r>
        <w:t>准确建模涉及带电系统的非共价相互作用（NCIs）仍然是密度泛函理论（DFT）中的一个突出挑战，对自然和生命科学、工程学等领域有影响，例如在生物化学、催化和材料科学中。对于这些相互作用，静电、极化和色散之间的相互作用导致标准色散增强DFT方法中出现高达几十千卡每摩尔的系统误差。我们通过引入(r2SCAN+MBD)@HF解决了这个问题，这是一种不含经验拟合参数的DFT方法，结合了r2SCAN泛函和多体色散，均在Hartree-Fock密度上评估。我们展示了这种独特的协同作用</w:t>
      </w:r>
    </w:p>
    <w:p>
      <w:pPr>
        <w:spacing w:before="0" w:after="200" w:lineRule="auto" w:line="276"/>
      </w:pPr>
      <w:r>
        <w:rPr>
          <w:b/>
        </w:rPr>
        <w:t xml:space="preserve">Abstract (EN): </w:t>
      </w:r>
      <w:r>
        <w:t>Accurately modeling noncovalent interactions (NCIs) involving charged systems remains an outstanding challenge in density functional theory (DFT), with implications across natural and life sciences, engineering, e.g., in biochemistry, catalysis, and materials science. For these interactions, the interplay between electrostatics, polarization, and dispersion leads to systematic errors of up to tens of kilocalories per mole in standard dispersion–enhanced DFT methods. We solve this problem by introducing (r</w:t>
      </w:r>
      <w:r>
        <w:rPr>
          <w:vertAlign w:val="subscript"/>
        </w:rPr>
        <w:t>2</w:t>
      </w:r>
      <w:r>
        <w:t>SCAN+MBD)@HF, a DFT method without empirically fitted parameters that combines the r</w:t>
      </w:r>
      <w:r>
        <w:rPr>
          <w:vertAlign w:val="subscript"/>
        </w:rPr>
        <w:t>2</w:t>
      </w:r>
      <w:r>
        <w:t>SCAN functional and many-body dispersion, both evaluated on Hartree-Fock densities. We show that the unique synergy of these three components enables balanced treatment of short- and long-range correlation, which is crucial for accurate description of NCIs involving charged systems. Evaluations on standard benchmarks show that (r</w:t>
      </w:r>
      <w:r>
        <w:rPr>
          <w:vertAlign w:val="subscript"/>
        </w:rPr>
        <w:t>2</w:t>
      </w:r>
      <w:r>
        <w:t>SCAN+MBD)@HF significantly improves accuracy for NCIs involving charged systems while maintaining robust performance for neutral systems. Further tests on the Metal Ion Protein Clusters dataset introduced here demonstrate its improved accuracy for metal-protein interactions, including cases where the metal ion is surrounded by negatively charged ligands for which standard DFT can completely break down. Given the ubiquity of such interactions, (r</w:t>
      </w:r>
      <w:r>
        <w:rPr>
          <w:vertAlign w:val="subscript"/>
        </w:rPr>
        <w:t>2</w:t>
      </w:r>
      <w:r>
        <w:t>SCAN+MBD)@HF is broadly applicable from biochemistry and materials science, including for generating high-quality data to train machine-learning force fields.</w:t>
      </w:r>
    </w:p>
    <w:p>
      <w:pPr>
        <w:spacing w:before="120" w:after="120"/>
      </w:pPr>
      <w:r>
        <w:rPr>
          <w:sz w:val="18"/>
        </w:rPr>
        <w:t>——————————————————————————————————————————————————————————————————————</w:t>
      </w:r>
    </w:p>
    <w:p>
      <w:pPr>
        <w:spacing w:before="160" w:after="40" w:line="240" w:lineRule="auto"/>
      </w:pPr>
      <w:r>
        <w:rPr>
          <w:b/>
        </w:rPr>
        <w:t xml:space="preserve">[313] </w:t>
      </w:r>
      <w:hyperlink r:id="rId810">
        <w:r>
          <w:rPr>
            <w:color w:val="1155CC"/>
            <w:u w:val="single"/>
          </w:rPr>
          <w:t>使用动态平均场理论对静态固体中自旋扩散的第一性原理模拟</w:t>
        </w:r>
      </w:hyperlink>
    </w:p>
    <w:p>
      <w:pPr>
        <w:spacing w:before="0" w:after="80"/>
      </w:pPr>
      <w:r>
        <w:rPr>
          <w:i/>
          <w:sz w:val="20"/>
        </w:rPr>
        <w:t>EN: First-principles simulation of spin diffusion in static solids using dynamic mean-field theory</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11">
        <w:r>
          <w:rPr>
            <w:color w:val="1155CC"/>
            <w:u w:val="single"/>
          </w:rPr>
          <w:t>10.1126/sciadv.aee6228</w:t>
        </w:r>
      </w:hyperlink>
    </w:p>
    <w:p>
      <w:pPr>
        <w:spacing w:before="0" w:after="120"/>
      </w:pPr>
      <w:r>
        <w:rPr>
          <w:b/>
        </w:rPr>
        <w:t xml:space="preserve">Notes: </w:t>
      </w:r>
      <w:r>
        <w:t>abstract_source=crossref</w:t>
      </w:r>
    </w:p>
    <w:p>
      <w:pPr>
        <w:spacing w:before="0" w:after="80" w:lineRule="auto" w:line="276"/>
      </w:pPr>
      <w:r>
        <w:rPr>
          <w:b/>
        </w:rPr>
        <w:t xml:space="preserve">摘要（ZH）: </w:t>
      </w:r>
      <w:r>
        <w:t>无序核自旋集合的动力学是核磁共振研究的主题。由于空间长程偶极相互作用，通常许多自旋参与时间演化，因此精确的蛮力计算是不可能的。最近建立的自旋动态平均场理论（spinDMFT）代表了一种有效且无偏的替代方法来克服这一挑战。该方法仅需要偶极耦合作为输入，其适用性的唯一前提是每个自旋与大量其他自旋相互作用。在此，我们展示了spinDMFT可用于描述静态样品中的谱自旋扩散，并模拟迄今为止难以实现的零量子线形的有效定量模拟。</w:t>
      </w:r>
    </w:p>
    <w:p>
      <w:pPr>
        <w:spacing w:before="0" w:after="200" w:lineRule="auto" w:line="276"/>
      </w:pPr>
      <w:r>
        <w:rPr>
          <w:b/>
        </w:rPr>
        <w:t xml:space="preserve">Abstract (EN): </w:t>
      </w:r>
      <w:r>
        <w:t>The dynamics of disordered nuclear spin ensembles are the subject of nuclear magnetic resonance studies. Because of the through-space long-range dipolar interaction, generically, many spins are involved in the time evolution, so that exact brute force calculations are impossible. The recently established spin dynamic mean-field theory (spinDMFT) represents an efficient and unbiased alternative to overcome this challenge. The approach only requires the dipolar couplings as input, and the only prerequisite for its applicability is that each spin interacts with a large number of other spins. Here, we show that spinDMFT can be used to describe spectral spin diffusion in static samples and to simulate zero-quantum line shapes which eluded an efficient quantitative simulation so far to the best of our knowledge. We perform benchmarks for two test substances that establish an excellent match with published experimental data. As spinDMFT combines low computational effort with high accuracy, we suggest to use it for large-scale simulations of spin diffusion, which are important in various areas of magnetic resonance.</w:t>
      </w:r>
    </w:p>
    <w:p>
      <w:pPr>
        <w:spacing w:before="120" w:after="120"/>
      </w:pPr>
      <w:r>
        <w:rPr>
          <w:sz w:val="18"/>
        </w:rPr>
        <w:t>——————————————————————————————————————————————————————————————————————</w:t>
      </w:r>
    </w:p>
    <w:p>
      <w:pPr>
        <w:spacing w:before="160" w:after="40" w:line="240" w:lineRule="auto"/>
      </w:pPr>
      <w:r>
        <w:rPr>
          <w:b/>
        </w:rPr>
        <w:t xml:space="preserve">[314] </w:t>
      </w:r>
      <w:hyperlink r:id="rId812">
        <w:r>
          <w:rPr>
            <w:color w:val="1155CC"/>
            <w:u w:val="single"/>
          </w:rPr>
          <w:t>肠道病毒诱导的线粒体融合蛋白2裂解产生线粒体自噬体以释放包膜病毒</w:t>
        </w:r>
      </w:hyperlink>
    </w:p>
    <w:p>
      <w:pPr>
        <w:spacing w:before="0" w:after="80"/>
      </w:pPr>
      <w:r>
        <w:rPr>
          <w:i/>
          <w:sz w:val="20"/>
        </w:rPr>
        <w:t>EN: Enterovirus-induced cleavage of Mitofusin 2 generates mitophagosomes for enveloped virion release</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13">
        <w:r>
          <w:rPr>
            <w:color w:val="1155CC"/>
            <w:u w:val="single"/>
          </w:rPr>
          <w:t>10.1126/sciadv.aed6824</w:t>
        </w:r>
      </w:hyperlink>
    </w:p>
    <w:p>
      <w:pPr>
        <w:spacing w:before="0" w:after="120"/>
      </w:pPr>
      <w:r>
        <w:rPr>
          <w:b/>
        </w:rPr>
        <w:t xml:space="preserve">Notes: </w:t>
      </w:r>
      <w:r>
        <w:t>abstract_source=crossref</w:t>
      </w:r>
    </w:p>
    <w:p>
      <w:pPr>
        <w:spacing w:before="0" w:after="80" w:lineRule="auto" w:line="276"/>
      </w:pPr>
      <w:r>
        <w:rPr>
          <w:b/>
        </w:rPr>
        <w:t xml:space="preserve">摘要（ZH）: </w:t>
      </w:r>
      <w:r>
        <w:t>肠道病毒D68（EV-D68）是一种正链RNA病毒，主要引起婴儿呼吸道感染，但在罕见情况下，与儿童麻痹性疾病急性弛缓性脊髓炎有关。我们之前证明了EV-D68诱导非选择性自噬以利于其自身。在此，我们证明了EV-D68的3C蛋白酶在其C端HR2域附近切割线粒体融合蛋白Mitofusin 2，导致线粒体网络的碎片化。这反过来又触发了线粒体自噬体的形成，这是线粒体自噬的标志，线粒体自噬是一种选择性自噬形式，用于回收线粒体。在感染期间观察到线粒体自噬的多个标志，包括线粒体膜电位的丧失和Parkin向线粒体的转移，但线粒体</w:t>
      </w:r>
    </w:p>
    <w:p>
      <w:pPr>
        <w:spacing w:before="0" w:after="200" w:lineRule="auto" w:line="276"/>
      </w:pPr>
      <w:r>
        <w:rPr>
          <w:b/>
        </w:rPr>
        <w:t xml:space="preserve">Abstract (EN): </w:t>
      </w:r>
      <w:r>
        <w:t>Enterovirus D68 (EV-D68) is a plus-strand RNA virus that primarily causes respiratory infections in infants but, in rare cases, has been associated with the pediatric paralytic disease acute flaccid myelitis. We previously demonstrated that EV-D68 induces nonselective autophagy for its benefit. Here, we demonstrate that the 3C protease of EV-D68 cleaves the mitochondrial fusion protein Mitofusin 2 near its C-terminal HR2 domain, inducing fragmentation of the mitochondrial network. This, in turn, triggers the formation of mitophagosomes, a hallmark of mitophagy, a selective form of autophagy that recycles mitochondria. Multiple hallmarks of mitophagy are observed during infection, including loss of mitochondrial membrane potential and Parkin translocation to the mitochondria, but mitochondrial degradation is blocked during infection. While autophagy plays multiple roles in enterovirus infection, depleting Mitofusin 2 or transiently overexpressing Mitofusin 2, particularly the cleavage-resistant mutant, specifically reduces EV-D68 release from cells without affecting intracellular titers. Our results show that enteroviruses induce mitophagosomes as vectors for nonlytic release of virions from cells.</w:t>
      </w:r>
    </w:p>
    <w:p>
      <w:pPr>
        <w:spacing w:before="120" w:after="120"/>
      </w:pPr>
      <w:r>
        <w:rPr>
          <w:sz w:val="18"/>
        </w:rPr>
        <w:t>——————————————————————————————————————————————————————————————————————</w:t>
      </w:r>
    </w:p>
    <w:p>
      <w:pPr>
        <w:spacing w:before="160" w:after="40" w:line="240" w:lineRule="auto"/>
      </w:pPr>
      <w:r>
        <w:rPr>
          <w:b/>
        </w:rPr>
        <w:t xml:space="preserve">[315] </w:t>
      </w:r>
      <w:hyperlink r:id="rId814">
        <w:r>
          <w:rPr>
            <w:color w:val="1155CC"/>
            <w:u w:val="single"/>
          </w:rPr>
          <w:t>通过电容耦合实现的无芯片发光纤维的闭环触觉-视觉交互</w:t>
        </w:r>
      </w:hyperlink>
    </w:p>
    <w:p>
      <w:pPr>
        <w:spacing w:before="0" w:after="80"/>
      </w:pPr>
      <w:r>
        <w:rPr>
          <w:i/>
          <w:sz w:val="20"/>
        </w:rPr>
        <w:t>EN: Closed-loop tactile-visual interactivity via chip-free luminescent fibers enabled by capacitive coupling</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15">
        <w:r>
          <w:rPr>
            <w:color w:val="1155CC"/>
            <w:u w:val="single"/>
          </w:rPr>
          <w:t>10.1126/sciadv.aec5676</w:t>
        </w:r>
      </w:hyperlink>
    </w:p>
    <w:p>
      <w:pPr>
        <w:spacing w:before="0" w:after="120"/>
      </w:pPr>
      <w:r>
        <w:rPr>
          <w:b/>
        </w:rPr>
        <w:t xml:space="preserve">Notes: </w:t>
      </w:r>
      <w:r>
        <w:t>abstract_source=crossref</w:t>
      </w:r>
    </w:p>
    <w:p>
      <w:pPr>
        <w:spacing w:before="0" w:after="80" w:lineRule="auto" w:line="276"/>
      </w:pPr>
      <w:r>
        <w:rPr>
          <w:b/>
        </w:rPr>
        <w:t xml:space="preserve">摘要（ZH）: </w:t>
      </w:r>
      <w:r>
        <w:t>智能纺织品由于刚性电子元件和复杂电路而在功能性和可穿戴性之间面临固有的妥协。在此，我们介绍了一种触摸发光（TouchLumi）纤维，通过电场限制实现无芯片、实时触觉-视觉交互，克服了这种权衡。该纤维集成了导电芯、高介电常数聚偏氟乙烯六氟丙烯/钛酸钡介电层和铜离子掺杂的硫化锌电致发光护套。在触摸或导体引起的电容耦合时，介电不匹配将电场集中在发光层内，在便携式3伏电源下驱动局部和同时的高亮度发光，而无需任何其他外部场或支持。这种协同作用</w:t>
      </w:r>
    </w:p>
    <w:p>
      <w:pPr>
        <w:spacing w:before="0" w:after="200" w:lineRule="auto" w:line="276"/>
      </w:pPr>
      <w:r>
        <w:rPr>
          <w:b/>
        </w:rPr>
        <w:t xml:space="preserve">Abstract (EN): </w:t>
      </w:r>
      <w:r>
        <w:t>Smart textiles face inherent compromises between functionality and wearability due to rigid electronics and complex circuitry. Here, we introduce a touch-luminescence (TouchLumi) fiber that overcomes this trade-off by enabling chip-free, real-time tactile-visual interaction via electric field confinement. The fiber integrates a conductive core, a high-permittivity poly(vinylidene fluoride) hexafluoropropylene/barium titanate dielectric layer, and a copper ion–doped zinc sulfide electroluminescent sheath. Upon touch or conductor-induced capacitive coupling, dielectric mismatch concentrates the electric field within the emissive layer, driving localized and simultaneous high-brightness emission at a portable 3-volt power without requiring any other external field or support. This synergistic design merges tactile signal detection and visual feedback into a unified closed-loop system. Crucially, TouchLumi fibers are continuously producible with robust washability and textile compatibility, supporting digital embroidery and large-area machine weaving. We demonstrated its applications, including selective pattern illumination via wet-fingertip activation, multipoint responsive interfaces, and optical messaging through a keyboard textile. TouchLumi fiber enables intuitive tactile-visual interaction that unlocks transformative applications in assistive and inclusive communications.</w:t>
      </w:r>
    </w:p>
    <w:p>
      <w:pPr>
        <w:spacing w:before="120" w:after="120"/>
      </w:pPr>
      <w:r>
        <w:rPr>
          <w:sz w:val="18"/>
        </w:rPr>
        <w:t>——————————————————————————————————————————————————————————————————————</w:t>
      </w:r>
    </w:p>
    <w:p>
      <w:pPr>
        <w:spacing w:before="160" w:after="40" w:line="240" w:lineRule="auto"/>
      </w:pPr>
      <w:r>
        <w:rPr>
          <w:b/>
        </w:rPr>
        <w:t xml:space="preserve">[316] </w:t>
      </w:r>
      <w:hyperlink r:id="rId816">
        <w:r>
          <w:rPr>
            <w:color w:val="1155CC"/>
            <w:u w:val="single"/>
          </w:rPr>
          <w:t>通过在介电异质结上的伪导电界面设计实现的时间戳触觉传感器</w:t>
        </w:r>
      </w:hyperlink>
    </w:p>
    <w:p>
      <w:pPr>
        <w:spacing w:before="0" w:after="80"/>
      </w:pPr>
      <w:r>
        <w:rPr>
          <w:i/>
          <w:sz w:val="20"/>
        </w:rPr>
        <w:t>EN: A time-stamping tactile sensor enabled by pseudoconductive interface design at dielectric heterojunctions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17">
        <w:r>
          <w:rPr>
            <w:color w:val="1155CC"/>
            <w:u w:val="single"/>
          </w:rPr>
          <w:t>10.1126/sciadv.aec9793</w:t>
        </w:r>
      </w:hyperlink>
    </w:p>
    <w:p>
      <w:pPr>
        <w:spacing w:before="0" w:after="120"/>
      </w:pPr>
      <w:r>
        <w:rPr>
          <w:b/>
        </w:rPr>
        <w:t xml:space="preserve">Notes: </w:t>
      </w:r>
      <w:r>
        <w:t>abstract_source=crossref</w:t>
      </w:r>
    </w:p>
    <w:p>
      <w:pPr>
        <w:spacing w:before="0" w:after="80" w:lineRule="auto" w:line="276"/>
      </w:pPr>
      <w:r>
        <w:rPr>
          <w:b/>
        </w:rPr>
        <w:t xml:space="preserve">摘要（ZH）: </w:t>
      </w:r>
      <w:r>
        <w:t>捕捉触觉刺激的时空特征对于新兴的人机界面、电子皮肤和神经形态系统中的实时和智能操作至关重要。然而，大多数时间分辨触觉传感器依赖于涉及导电组件、主动开关元件或外部电路的复杂架构，限制了其灵活性和能效。在此，我们介绍了一种基于机械刺激驱动的伪导电（MSPC）通道的时间戳触觉传感策略，该通道在介电异质结处形成。对11种介电材料组合的综合能带结构分析表明，MSPC通道源于费米能级移动、准费米形成和场诱导能带倾斜所支配的能带对齐。</w:t>
      </w:r>
    </w:p>
    <w:p>
      <w:pPr>
        <w:spacing w:before="0" w:after="200" w:lineRule="auto" w:line="276"/>
      </w:pPr>
      <w:r>
        <w:rPr>
          <w:b/>
        </w:rPr>
        <w:t xml:space="preserve">Abstract (EN): </w:t>
      </w:r>
      <w:r>
        <w:t>Capturing the spatiotemporal aspects of tactile stimuli is essential for real-time and intelligent operation in emerging human-machine interfaces, electronic skin, and neuromorphic systems. However, most time-resolved tactile sensors rely on complex architectures involving conductive components, active switching elements, or external circuitry, limiting their flexibility and energy efficiency. Here, we introduce a time-stamping tactile sensing strategy on the basis of mechanical stimulus–driven pseudoconductive (MSPC) channels that form at dielectric heterojunctions. Comprehensive band-structure analysis of combinations among 11 dielectric materials reveals that MSPC channels arise from band alignment governed by Fermi-level shifts, quasi-Fermi formation, and field-induced band tilting. The MSPC favorability index is devised to quantitatively predict optimal combinations across 72 dielectric heterojunctions. Mechanical charging activates dielectric pathways that transmit mechanoelectric signals over extended distances, achieving an 854% enhancement across 129 millimeters. A proof-of-concept time-stamping tactile sensor leverages the time-dependent deactivation dynamics of MSPC channels to intrinsically encode spatial and temporal information, offering a passive, scalable, and energy-efficient route for next-generation tactile perception.</w:t>
      </w:r>
    </w:p>
    <w:p>
      <w:pPr>
        <w:spacing w:before="120" w:after="120"/>
      </w:pPr>
      <w:r>
        <w:rPr>
          <w:sz w:val="18"/>
        </w:rPr>
        <w:t>——————————————————————————————————————————————————————————————————————</w:t>
      </w:r>
    </w:p>
    <w:p>
      <w:pPr>
        <w:spacing w:before="160" w:after="40" w:line="240" w:lineRule="auto"/>
      </w:pPr>
      <w:r>
        <w:rPr>
          <w:b/>
        </w:rPr>
        <w:t xml:space="preserve">[317] </w:t>
      </w:r>
      <w:hyperlink r:id="rId818">
        <w:r>
          <w:rPr>
            <w:color w:val="1155CC"/>
            <w:u w:val="single"/>
          </w:rPr>
          <w:t>火山在超过10万年的“静默”岩浆库增长后重新苏醒</w:t>
        </w:r>
      </w:hyperlink>
    </w:p>
    <w:p>
      <w:pPr>
        <w:spacing w:before="0" w:after="80"/>
      </w:pPr>
      <w:r>
        <w:rPr>
          <w:i/>
          <w:sz w:val="20"/>
        </w:rPr>
        <w:t>EN: A volcano reawakens after more than 100,000 years of “silent” magma reservoir growth</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19">
        <w:r>
          <w:rPr>
            <w:color w:val="1155CC"/>
            <w:u w:val="single"/>
          </w:rPr>
          <w:t>10.1126/sciadv.aec9565</w:t>
        </w:r>
      </w:hyperlink>
    </w:p>
    <w:p>
      <w:pPr>
        <w:spacing w:before="0" w:after="120"/>
      </w:pPr>
      <w:r>
        <w:rPr>
          <w:b/>
        </w:rPr>
        <w:t xml:space="preserve">Notes: </w:t>
      </w:r>
      <w:r>
        <w:t>abstract_source=crossref</w:t>
      </w:r>
    </w:p>
    <w:p>
      <w:pPr>
        <w:spacing w:before="0" w:after="80" w:lineRule="auto" w:line="276"/>
      </w:pPr>
      <w:r>
        <w:rPr>
          <w:b/>
        </w:rPr>
        <w:t xml:space="preserve">摘要（ZH）: </w:t>
      </w:r>
      <w:r>
        <w:t>岩浆系统可以休眠数万年，造成一种误导性的灭绝印象，从而使灾害预测复杂化。为了识别长期静止的驱动因素，我们整合了地球化学、同位素和锆石地质年代学数据，这些数据包括来自希腊雅典附近活火山Methana的31次喷发的超过1250个结晶年龄。这一记录使我们能够在70万年间将喷发活动、岩浆储库演化和地幔源变化联系起来。在这里，延长的静止期与地幔楔由板块衍生成分的增多变质作用相关联。Methana最长的静止期（超过10万年）与大量岩浆生产同时发生，这些岩浆优先被困在地壳中。我们将这种困住归因于生成</w:t>
      </w:r>
    </w:p>
    <w:p>
      <w:pPr>
        <w:spacing w:before="0" w:after="200" w:lineRule="auto" w:line="276"/>
      </w:pPr>
      <w:r>
        <w:rPr>
          <w:b/>
        </w:rPr>
        <w:t xml:space="preserve">Abstract (EN): </w:t>
      </w:r>
      <w:r>
        <w:t>Magmatic systems can remain dormant for tens of thousands of years, creating a misleading perception of extinction that complicates hazard forecasting. To identify drivers of protracted quiescence, we integrate geochemical, isotopic, and zircon geochronological data comprising over 1250 crystallization ages from 31 eruptions at Methana, an active volcano near Athens, Greece. This record allows us to link eruptive activity, magma reservoir evolution, and mantle source variations over 700,000 years. Here, extended repose correlates with increased metasomatism of the mantle wedge by slab-derived components. The longest quiescence at Methana (&amp;gt;100,000 years) coincides with substantial magma production that was preferentially trapped in the crust. We attribute this trapping to the generation of superhydrous melts (&amp;gt;6 wt % H</w:t>
      </w:r>
      <w:r>
        <w:rPr>
          <w:vertAlign w:val="subscript"/>
        </w:rPr>
        <w:t>2</w:t>
      </w:r>
      <w:r>
        <w:t>O) from a highly metasomatized mantle. These volatile-rich magmas undergo water saturation and crystallize during ascent, preventing eruption. Such trapping mechanisms can grow large magma reservoirs and may enable transitions from small stratovolcanoes to highly hazardous, caldera-forming systems.</w:t>
      </w:r>
    </w:p>
    <w:p>
      <w:pPr>
        <w:spacing w:before="120" w:after="120"/>
      </w:pPr>
      <w:r>
        <w:rPr>
          <w:sz w:val="18"/>
        </w:rPr>
        <w:t>——————————————————————————————————————————————————————————————————————</w:t>
      </w:r>
    </w:p>
    <w:p>
      <w:pPr>
        <w:spacing w:before="160" w:after="40" w:line="240" w:lineRule="auto"/>
      </w:pPr>
      <w:r>
        <w:rPr>
          <w:b/>
        </w:rPr>
        <w:t xml:space="preserve">[318] </w:t>
      </w:r>
      <w:hyperlink r:id="rId820">
        <w:r>
          <w:rPr>
            <w:color w:val="1155CC"/>
            <w:u w:val="single"/>
          </w:rPr>
          <w:t>感觉运动不稳定性驱动鱼类发育过程中的运动过渡</w:t>
        </w:r>
      </w:hyperlink>
    </w:p>
    <w:p>
      <w:pPr>
        <w:spacing w:before="0" w:after="80"/>
      </w:pPr>
      <w:r>
        <w:rPr>
          <w:i/>
          <w:sz w:val="20"/>
        </w:rPr>
        <w:t>EN: A sensorimotor instability drives a locomotor transition during fish development</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21">
        <w:r>
          <w:rPr>
            <w:color w:val="1155CC"/>
            <w:u w:val="single"/>
          </w:rPr>
          <w:t>10.1126/sciadv.aec6922</w:t>
        </w:r>
      </w:hyperlink>
    </w:p>
    <w:p>
      <w:pPr>
        <w:spacing w:before="0" w:after="120"/>
      </w:pPr>
      <w:r>
        <w:rPr>
          <w:b/>
        </w:rPr>
        <w:t xml:space="preserve">Notes: </w:t>
      </w:r>
      <w:r>
        <w:t>abstract_source=crossref</w:t>
      </w:r>
    </w:p>
    <w:p>
      <w:pPr>
        <w:spacing w:before="0" w:after="80" w:lineRule="auto" w:line="276"/>
      </w:pPr>
      <w:r>
        <w:rPr>
          <w:b/>
        </w:rPr>
        <w:t xml:space="preserve">摘要（ZH）: </w:t>
      </w:r>
      <w:r>
        <w:t>动物依赖运动来生存——探索环境、寻找食物和配偶以及避免危险。在发育过程中，身体形状、肌肉力量和生理需求的变化驱动着运动模式的持续调整。这些变化如何以灵活和适应的方式协调仍然未知。我们在一种新兴的重要脊椎动物模型系统神经科学中探索这个问题，即微型淡水鱼Danionella cerebrum。我们识别出运动的明显过渡，从连续游泳到在大约3周龄时发生的爆发-滑行游泳。我们证明这种过渡是一种节能策略，并且反映了控制速度调节的感觉运动过程中的不稳定性</w:t>
      </w:r>
    </w:p>
    <w:p>
      <w:pPr>
        <w:spacing w:before="0" w:after="200" w:lineRule="auto" w:line="276"/>
      </w:pPr>
      <w:r>
        <w:rPr>
          <w:b/>
        </w:rPr>
        <w:t xml:space="preserve">Abstract (EN): </w:t>
      </w:r>
      <w:r>
        <w:t>Animals rely on movement to survive—to explore their environment, find food and mates, and avoid danger. During development, changes in body shape, muscle strength, and physiological needs drive the continuous adjustment of locomotor patterns. How these changes are orchestrated in a flexible and adaptive manner remains unknown. We explore this question in</w:t>
      </w:r>
      <w:r>
        <w:t xml:space="preserve"> </w:t>
      </w:r>
      <w:r>
        <w:t>Danionella cerebrum</w:t>
      </w:r>
      <w:r>
        <w:t xml:space="preserve"> </w:t>
      </w:r>
      <w:r>
        <w:t>, a miniature freshwater fish that is emerging as an important vertebrate model in systems neuroscience. We identify a clear transition in locomotion, from continuous to burst-and-coast swimming occurring around 3 weeks of age. We demonstrate that this transition is an energy-saving strategy and that it reflects an instability in the sensorimotor process governing speed regulation. Rather than a preprogrammed developmental switch, it is therefore directly tied to the animal swimming strength. We confirmed this finding by manipulating sensory feedback to induce a similar transition at fixed developmental stages. Together, our results illustrate a dynamic interplay between body, brain, and environment during development, offering insights into the principles governing adaptive locomotion.</w:t>
      </w:r>
    </w:p>
    <w:p>
      <w:pPr>
        <w:spacing w:before="120" w:after="120"/>
      </w:pPr>
      <w:r>
        <w:rPr>
          <w:sz w:val="18"/>
        </w:rPr>
        <w:t>——————————————————————————————————————————————————————————————————————</w:t>
      </w:r>
    </w:p>
    <w:p>
      <w:pPr>
        <w:spacing w:before="160" w:after="40" w:line="240" w:lineRule="auto"/>
      </w:pPr>
      <w:r>
        <w:rPr>
          <w:b/>
        </w:rPr>
        <w:t xml:space="preserve">[319] </w:t>
      </w:r>
      <w:hyperlink r:id="rId822">
        <w:r>
          <w:rPr>
            <w:color w:val="1155CC"/>
            <w:u w:val="single"/>
          </w:rPr>
          <w:t>丘脑皮层对前额叶稳定性的调节使抽象规则的泛化成为可能</w:t>
        </w:r>
      </w:hyperlink>
    </w:p>
    <w:p>
      <w:pPr>
        <w:spacing w:before="0" w:after="80"/>
      </w:pPr>
      <w:r>
        <w:rPr>
          <w:i/>
          <w:sz w:val="20"/>
        </w:rPr>
        <w:t>EN: Thalamocortical regulation of prefrontal stability enables abstract rule generalization</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23">
        <w:r>
          <w:rPr>
            <w:color w:val="1155CC"/>
            <w:u w:val="single"/>
          </w:rPr>
          <w:t>10.1126/sciadv.aec6201</w:t>
        </w:r>
      </w:hyperlink>
    </w:p>
    <w:p>
      <w:pPr>
        <w:spacing w:before="0" w:after="120"/>
      </w:pPr>
      <w:r>
        <w:rPr>
          <w:b/>
        </w:rPr>
        <w:t xml:space="preserve">Notes: </w:t>
      </w:r>
      <w:r>
        <w:t>abstract_source=crossref</w:t>
      </w:r>
    </w:p>
    <w:p>
      <w:pPr>
        <w:spacing w:before="0" w:after="80" w:lineRule="auto" w:line="276"/>
      </w:pPr>
      <w:r>
        <w:rPr>
          <w:b/>
        </w:rPr>
        <w:t xml:space="preserve">摘要（ZH）: </w:t>
      </w:r>
      <w:r>
        <w:t>我们将抽象规则推广到新情境的能力是认知的标志，但其神经基础尚不清楚。我们在小鼠中识别出一个对这一过程至关重要的丘脑皮质回路。在跨模态规则转移任务中，内侧前额叶皮质（mPFC）神经元在不同感官模态中编码任务规则以实现泛化。关键是，内侧背丘脑（MD）对mPFC的投射是因果必需的：抑制这一通路会使mPFC表征不稳定并损害规则转移，而增强它则改善了表现。没有MD输入时，mPFC为每个任务招募不同的群体，失去了跨情境的稳定性。直接刺激mPFC会损害泛化，强调了丘脑调节的特异性。因此，MD稳定mPFC活动以促进</w:t>
      </w:r>
    </w:p>
    <w:p>
      <w:pPr>
        <w:spacing w:before="0" w:after="200" w:lineRule="auto" w:line="276"/>
      </w:pPr>
      <w:r>
        <w:rPr>
          <w:b/>
        </w:rPr>
        <w:t xml:space="preserve">Abstract (EN): </w:t>
      </w:r>
      <w:r>
        <w:t>Our ability to generalize abstract rules to new situations is a cognitive hallmark, yet its neural basis is unclear. We identified a thalamocortical circuit essential for this process in mice. During a cross-modal rule transfer task, medial prefrontal cortex (mPFC) neurons encoded task rules across sensory modalities to enable generalization. Crucially, mediodorsal thalamus (MD) projections to mPFC were causally required: Inhibiting this pathway destabilized mPFC representations and impaired rule transfer, whereas enhancing it improved performance. Without MD input, mPFC recruited distinct populations for each task, losing cross-context stability. Direct mPFC excitation impaired generalization, underscoring the specificity of thalamic regulation. Thus, the MD stabilizes mPFC activity for flexible rule transfer—a mechanism with implications for cognitive disorders and artificial intelligence.</w:t>
      </w:r>
    </w:p>
    <w:p>
      <w:pPr>
        <w:spacing w:before="120" w:after="120"/>
      </w:pPr>
      <w:r>
        <w:rPr>
          <w:sz w:val="18"/>
        </w:rPr>
        <w:t>——————————————————————————————————————————————————————————————————————</w:t>
      </w:r>
    </w:p>
    <w:p>
      <w:pPr>
        <w:spacing w:before="160" w:after="40" w:line="240" w:lineRule="auto"/>
      </w:pPr>
      <w:r>
        <w:rPr>
          <w:b/>
        </w:rPr>
        <w:t xml:space="preserve">[320] </w:t>
      </w:r>
      <w:hyperlink r:id="rId824">
        <w:r>
          <w:rPr>
            <w:color w:val="1155CC"/>
            <w:u w:val="single"/>
          </w:rPr>
          <w:t>通过手性介质的自旋依赖电子传输中镜像对称性的动态破坏导致对映体过量</w:t>
        </w:r>
      </w:hyperlink>
    </w:p>
    <w:p>
      <w:pPr>
        <w:spacing w:before="0" w:after="80"/>
      </w:pPr>
      <w:r>
        <w:rPr>
          <w:i/>
          <w:sz w:val="20"/>
        </w:rPr>
        <w:t>EN: Dynamic breaking of mirror symmetry in spin-dependent electron transport through chiral media causes enantiomeric excesses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25">
        <w:r>
          <w:rPr>
            <w:color w:val="1155CC"/>
            <w:u w:val="single"/>
          </w:rPr>
          <w:t>10.1126/sciadv.aec9325</w:t>
        </w:r>
      </w:hyperlink>
    </w:p>
    <w:p>
      <w:pPr>
        <w:spacing w:before="0" w:after="120"/>
      </w:pPr>
      <w:r>
        <w:rPr>
          <w:b/>
        </w:rPr>
        <w:t xml:space="preserve">Notes: </w:t>
      </w:r>
      <w:r>
        <w:t>abstract_source=crossref</w:t>
      </w:r>
    </w:p>
    <w:p>
      <w:pPr>
        <w:spacing w:before="0" w:after="80" w:lineRule="auto" w:line="276"/>
      </w:pPr>
      <w:r>
        <w:rPr>
          <w:b/>
        </w:rPr>
        <w:t xml:space="preserve">摘要（ZH）: </w:t>
      </w:r>
      <w:r>
        <w:t>两个基本问题困扰科学家超过150年。“生命如何变得同手性？”以及“为什么选择了这种特定的手性？”最近，有研究表明，同手性可能是通过分子与磁性基底的对映选择性相互作用而出现的，这是由于RNA前体在地球早期丰富的磁铁矿基底上的不对称结晶。这一现象基于手性诱导的自旋选择性（CISS）效应。尽管该模型具有稳健性，但无法回答第二个问题：为什么选择了特定的手性（RNA的D型）。在这里，我们证明了涉及自旋的过程可以在手性分子的两个对映体中产生不同的结果。在具有未配对电子的手性分子中</w:t>
      </w:r>
    </w:p>
    <w:p>
      <w:pPr>
        <w:spacing w:before="0" w:after="200" w:lineRule="auto" w:line="276"/>
      </w:pPr>
      <w:r>
        <w:rPr>
          <w:b/>
        </w:rPr>
        <w:t xml:space="preserve">Abstract (EN): </w:t>
      </w:r>
      <w:r>
        <w:t>Two fundamental questions have puzzled scientists for more than 150 years. “How did life become homochiral?” and “why was this specific handedness selected?” Recently, it has been shown that homochirality could have emerged through the enantioselective interactions of molecules with magnetic substrates due to the asymmetric crystallization of an RNA precursor on a magnetite substrate, abundant on early Earth. This phenomenon is based on the chirality-induced spin selectivity (CISS) effect. Despite its robustness, this model could not provide an answer to the second question: Why one specific handedness (D for RNA) was selected. Here, we demonstrate that spin-involving processes can have different outcomes in the two enantiomers of chiral molecules. In chiral molecules with unpaired electrons or while electrons are passing through them, the total angular momentum vector,</w:t>
      </w:r>
      <w:r>
        <w:t xml:space="preserve"> </w:t>
      </w:r>
      <w:r>
        <w:t>J</w:t>
      </w:r>
      <w:r>
        <w:t xml:space="preserve"> </w:t>
      </w:r>
      <w:r>
        <w:t>, is aligned along the “easy axis,” which is defined by the magnetic anisotropy induced by the spin-orbit coupling and asymmetry of the molecular field. The magnitude</w:t>
      </w:r>
      <w:r>
        <w:t xml:space="preserve"> </w:t>
      </w:r>
      <w:r>
        <w:t>J</w:t>
      </w:r>
      <w:r>
        <w:t xml:space="preserve"> </w:t>
      </w:r>
      <w:r>
        <w:t>is the same for both enantiomers, but the vectors may be aligned differently relative to the molecular frame in the two enantiomers. This difference can be quantified by, for example, by the angle between</w:t>
      </w:r>
      <w:r>
        <w:t xml:space="preserve"> </w:t>
      </w:r>
      <w:r>
        <w:t>J</w:t>
      </w:r>
      <w:r>
        <w:t xml:space="preserve"> </w:t>
      </w:r>
      <w:r>
        <w:t>and electric dipole moment of the molecule,</w:t>
      </w:r>
      <w:r>
        <w:t xml:space="preserve"> </w:t>
      </w:r>
      <w:r>
        <w:t>μ</w:t>
      </w:r>
      <w:r>
        <w:t xml:space="preserve"> </w:t>
      </w:r>
      <w:r>
        <w:t>. We show by direct measurements, theory, and ab initio calculations that dynamic spin processes in chiral molecules could result in different efficiencies of spin-related phenomena, including the interaction of chiral molecules with magnetic surfaces. The findings may provide an explanation for the specific homochirality in nature.</w:t>
      </w:r>
    </w:p>
    <w:p>
      <w:pPr>
        <w:spacing w:before="120" w:after="120"/>
      </w:pPr>
      <w:r>
        <w:rPr>
          <w:sz w:val="18"/>
        </w:rPr>
        <w:t>——————————————————————————————————————————————————————————————————————</w:t>
      </w:r>
    </w:p>
    <w:p>
      <w:pPr>
        <w:spacing w:before="160" w:after="40" w:line="240" w:lineRule="auto"/>
      </w:pPr>
      <w:r>
        <w:rPr>
          <w:b/>
        </w:rPr>
        <w:t xml:space="preserve">[321] </w:t>
      </w:r>
      <w:hyperlink r:id="rId826">
        <w:r>
          <w:rPr>
            <w:color w:val="1155CC"/>
            <w:u w:val="single"/>
          </w:rPr>
          <w:t>古代调控进化塑造了现代人个体语言能力</w:t>
        </w:r>
      </w:hyperlink>
    </w:p>
    <w:p>
      <w:pPr>
        <w:spacing w:before="0" w:after="80"/>
      </w:pPr>
      <w:r>
        <w:rPr>
          <w:i/>
          <w:sz w:val="20"/>
        </w:rPr>
        <w:t>EN: Ancient regulatory evolution shapes individual language abilities in present-day humans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27">
        <w:r>
          <w:rPr>
            <w:color w:val="1155CC"/>
            <w:u w:val="single"/>
          </w:rPr>
          <w:t>10.1126/sciadv.aed5260</w:t>
        </w:r>
      </w:hyperlink>
    </w:p>
    <w:p>
      <w:pPr>
        <w:spacing w:before="0" w:after="120"/>
      </w:pPr>
      <w:r>
        <w:rPr>
          <w:b/>
        </w:rPr>
        <w:t xml:space="preserve">Notes: </w:t>
      </w:r>
      <w:r>
        <w:t>abstract_source=crossref</w:t>
      </w:r>
    </w:p>
    <w:p>
      <w:pPr>
        <w:spacing w:before="0" w:after="80" w:lineRule="auto" w:line="276"/>
      </w:pPr>
      <w:r>
        <w:rPr>
          <w:b/>
        </w:rPr>
        <w:t xml:space="preserve">摘要（ZH）: </w:t>
      </w:r>
      <w:r>
        <w:t>语言是我们物种的一个定义特征，但使其成为可能的基因组变化仍然知之甚少。尽管自FOXP2发现以来已经进行了数十年的研究，我们仍然缺乏清晰的图景来说明哪些区域塑造了语言进化以及变异如何导致当今的表型差异。使用进化分层的多基因评分方法，我们发现人类祖先快速进化的区域（HAQERs）与口语能力相关（发现N=350，总复制N&gt;100,000）。HAQERs在人与尼安德特人分裂之前进化，使古人类增加了叉头和同源框转录因子的结合，并显示出</w:t>
      </w:r>
    </w:p>
    <w:p>
      <w:pPr>
        <w:spacing w:before="0" w:after="200" w:lineRule="auto" w:line="276"/>
      </w:pPr>
      <w:r>
        <w:rPr>
          <w:b/>
        </w:rPr>
        <w:t xml:space="preserve">Abstract (EN): </w:t>
      </w:r>
      <w:r>
        <w:t>Language is a defining feature of our species, yet the genomic changes enabling it remain poorly understood. Despite decades of work since</w:t>
      </w:r>
      <w:r>
        <w:t xml:space="preserve"> </w:t>
      </w:r>
      <w:r>
        <w:t>FOXP2</w:t>
      </w:r>
      <w:r>
        <w:t xml:space="preserve"> </w:t>
      </w:r>
      <w:r>
        <w:t>’s discovery, we still lack a clear picture of which regions shaped language evolution and how variation contributes to present-day phenotypic differences. Using an evolutionary stratified polygenic score approach, we find that human ancestor quickly evolved regions (HAQERs) are associated with spoken language abilities (discovery</w:t>
      </w:r>
      <w:r>
        <w:t xml:space="preserve"> </w:t>
      </w:r>
      <w:r>
        <w:t>N</w:t>
      </w:r>
      <w:r>
        <w:t xml:space="preserve"> </w:t>
      </w:r>
      <w:r>
        <w:t>= 350, total replication</w:t>
      </w:r>
      <w:r>
        <w:t xml:space="preserve"> </w:t>
      </w:r>
      <w:r>
        <w:t>N</w:t>
      </w:r>
      <w:r>
        <w:t xml:space="preserve"> </w:t>
      </w:r>
      <w:r>
        <w:t>&amp;gt; 100,000). HAQERs evolved before the human-Neanderthal split, giving hominins increased binding of Forkhead and Homeobox transcription factors, and show evidence of balancing selection across the past 20,000 years. Language-associated variants in HAQERs appear more prevalent in Neanderthals, and HAQER-like sequences show convergent evolution across vocal-learning mammals. Our results reveal how ancient innovations continue shaping human language.</w:t>
      </w:r>
    </w:p>
    <w:p>
      <w:pPr>
        <w:spacing w:before="120" w:after="120"/>
      </w:pPr>
      <w:r>
        <w:rPr>
          <w:sz w:val="18"/>
        </w:rPr>
        <w:t>——————————————————————————————————————————————————————————————————————</w:t>
      </w:r>
    </w:p>
    <w:p>
      <w:pPr>
        <w:spacing w:before="160" w:after="40" w:line="240" w:lineRule="auto"/>
      </w:pPr>
      <w:r>
        <w:rPr>
          <w:b/>
        </w:rPr>
        <w:t xml:space="preserve">[322] </w:t>
      </w:r>
      <w:hyperlink r:id="rId828">
        <w:r>
          <w:rPr>
            <w:color w:val="1155CC"/>
            <w:u w:val="single"/>
          </w:rPr>
          <w:t>在哺乳动物大脑发展和进化中的双重计算系统</w:t>
        </w:r>
      </w:hyperlink>
    </w:p>
    <w:p>
      <w:pPr>
        <w:spacing w:before="0" w:after="80"/>
      </w:pPr>
      <w:r>
        <w:rPr>
          <w:i/>
          <w:sz w:val="20"/>
        </w:rPr>
        <w:t>EN: Dual computational systems in the development and evolution of mammalian brains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29">
        <w:r>
          <w:rPr>
            <w:color w:val="1155CC"/>
            <w:u w:val="single"/>
          </w:rPr>
          <w:t>10.1126/sciadv.aec6112</w:t>
        </w:r>
      </w:hyperlink>
    </w:p>
    <w:p>
      <w:pPr>
        <w:spacing w:before="0" w:after="120"/>
      </w:pPr>
      <w:r>
        <w:rPr>
          <w:b/>
        </w:rPr>
        <w:t xml:space="preserve">Notes: </w:t>
      </w:r>
      <w:r>
        <w:t>abstract_source=crossref</w:t>
      </w:r>
    </w:p>
    <w:p>
      <w:pPr>
        <w:spacing w:before="0" w:after="80" w:lineRule="auto" w:line="276"/>
      </w:pPr>
      <w:r>
        <w:rPr>
          <w:b/>
        </w:rPr>
        <w:t xml:space="preserve">摘要（ZH）: </w:t>
      </w:r>
      <w:r>
        <w:t>对哺乳动物分类群脑容量的分析揭示了主要脑部组件之间协变的一致模式，包括边缘系统和新皮质之间的稳健反向关系。为了找到这种关系的功能基础，我们将任务优化的人工神经网络的多维表示映射到类似前脑皮层的二维表面。我们发现，针对视觉、体感和听觉表示优化的网络会发展出有序的空间拓扑图，其中单元从感觉输入的局部区域获取信息。相比之下，针对嗅觉和关系记忆表示优化的网络会发展出信息汇聚模式分散的破碎图。进化优化</w:t>
      </w:r>
    </w:p>
    <w:p>
      <w:pPr>
        <w:spacing w:before="0" w:after="200" w:lineRule="auto" w:line="276"/>
      </w:pPr>
      <w:r>
        <w:rPr>
          <w:b/>
        </w:rPr>
        <w:t xml:space="preserve">Abstract (EN): </w:t>
      </w:r>
      <w:r>
        <w:t>Analyses of brain sizes across mammalian taxonomic groups reveal a consistent pattern of covariation between major brain components, including a robust inverse relationship between the limbic system and the neocortex. To find the functional basis of this relationship, we mapped the multidimensional representations of task-optimized artificial neural networks onto two-dimensional surfaces resembling the forebrain cortices. We found that networks optimized for visual, somatosensory, and auditory representations develop ordered spatiotopic maps where units draw information from localized regions of the sensory input. In contrast, networks optimized for olfactory and relational memory representations develop fractured maps with distributed patterns of information convergence. Evolutionary optimization of multimodal networks for varying task objectives results in inverse covariation between spatiotopic and disordered network components that compete for the representational space. These results suggest that the observed pattern of covariation between brain components reflects an essential computational duality in brain evolution.</w:t>
      </w:r>
    </w:p>
    <w:p>
      <w:pPr>
        <w:spacing w:before="120" w:after="120"/>
      </w:pPr>
      <w:r>
        <w:rPr>
          <w:sz w:val="18"/>
        </w:rPr>
        <w:t>——————————————————————————————————————————————————————————————————————</w:t>
      </w:r>
    </w:p>
    <w:p>
      <w:pPr>
        <w:spacing w:before="160" w:after="40" w:line="240" w:lineRule="auto"/>
      </w:pPr>
      <w:r>
        <w:rPr>
          <w:b/>
        </w:rPr>
        <w:t xml:space="preserve">[323] </w:t>
      </w:r>
      <w:hyperlink r:id="rId830">
        <w:r>
          <w:rPr>
            <w:color w:val="1155CC"/>
            <w:u w:val="single"/>
          </w:rPr>
          <w:t>定义海洋微生物异养菌的代谢生态位</w:t>
        </w:r>
      </w:hyperlink>
    </w:p>
    <w:p>
      <w:pPr>
        <w:spacing w:before="0" w:after="80"/>
      </w:pPr>
      <w:r>
        <w:rPr>
          <w:i/>
          <w:sz w:val="20"/>
        </w:rPr>
        <w:t>EN: Defining metabolic niches for marine microbial heterotrophs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31">
        <w:r>
          <w:rPr>
            <w:color w:val="1155CC"/>
            <w:u w:val="single"/>
          </w:rPr>
          <w:t>10.1126/sciadv.adz0537</w:t>
        </w:r>
      </w:hyperlink>
    </w:p>
    <w:p>
      <w:pPr>
        <w:spacing w:before="0" w:after="120"/>
      </w:pPr>
      <w:r>
        <w:rPr>
          <w:b/>
        </w:rPr>
        <w:t xml:space="preserve">Notes: </w:t>
      </w:r>
      <w:r>
        <w:t>abstract_source=crossref</w:t>
      </w:r>
    </w:p>
    <w:p>
      <w:pPr>
        <w:spacing w:before="0" w:after="80" w:lineRule="auto" w:line="276"/>
      </w:pPr>
      <w:r>
        <w:rPr>
          <w:b/>
        </w:rPr>
        <w:t xml:space="preserve">摘要（ZH）: </w:t>
      </w:r>
      <w:r>
        <w:t>海洋微生物群落由数千种多样的分类群组成，其代谢需求决定了生物量生产和降解的速率。因此，这些微观生物在生态系统动态、全球碳循环和气候中发挥着关键作用。虽然我们有将浮游植物多样性与碳固定速率联系起来的框架，但我们对异养微生物群体变化如何驱动碳循环变化的了解仍处于起步阶段。在此，我们利用全球宏基因组数据集和代谢模型来识别一组具有不同生长策略的代谢生态位。这些分组为描述不同海洋区域的微生物群落提供了简化框架，并帮助理解异养微生物群体如何发挥作用</w:t>
      </w:r>
    </w:p>
    <w:p>
      <w:pPr>
        <w:spacing w:before="0" w:after="200" w:lineRule="auto" w:line="276"/>
      </w:pPr>
      <w:r>
        <w:rPr>
          <w:b/>
        </w:rPr>
        <w:t xml:space="preserve">Abstract (EN): </w:t>
      </w:r>
      <w:r>
        <w:t>Ocean microbial communities are made up of thousands of diverse taxa whose metabolic demands set the rates of both biomass production and degradation. Thus, these microscopic organisms play a critical role in ecosystem dynamics, global carbon cycling, and climate. While we have frameworks for relating phytoplankton diversity to rates of carbon fixation, our knowledge of how variations in heterotrophic microbial populations drive changes in carbon cycling is in its infancy. Here, we leverage global metagenomic datasets and metabolic models to identify a set of metabolic niches with distinct growth strategies. These groupings provide a simplifying framework for describing microbial communities in different oceanographic regions and for understanding how heterotrophic microbial populations function. This framework, predicated directly on metabolic capability rather than taxonomy, will enable us to tractably link heterotrophic diversity directly to biogeochemical rates in large scale ecosystem models.</w:t>
      </w:r>
    </w:p>
    <w:p>
      <w:pPr>
        <w:spacing w:before="120" w:after="120"/>
      </w:pPr>
      <w:r>
        <w:rPr>
          <w:sz w:val="18"/>
        </w:rPr>
        <w:t>——————————————————————————————————————————————————————————————————————</w:t>
      </w:r>
    </w:p>
    <w:p>
      <w:pPr>
        <w:spacing w:before="160" w:after="40" w:line="240" w:lineRule="auto"/>
      </w:pPr>
      <w:r>
        <w:rPr>
          <w:b/>
        </w:rPr>
        <w:t xml:space="preserve">[324] </w:t>
      </w:r>
      <w:hyperlink r:id="rId832">
        <w:r>
          <w:rPr>
            <w:color w:val="1155CC"/>
            <w:u w:val="single"/>
          </w:rPr>
          <w:t>基于仿生超材料的界面用于解码异质机械皮肤活动</w:t>
        </w:r>
      </w:hyperlink>
    </w:p>
    <w:p>
      <w:pPr>
        <w:spacing w:before="0" w:after="80"/>
      </w:pPr>
      <w:r>
        <w:rPr>
          <w:i/>
          <w:sz w:val="20"/>
        </w:rPr>
        <w:t>EN: Biomimetic metamaterial–based interface for decoding heterogeneous mechanodermal activity</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33">
        <w:r>
          <w:rPr>
            <w:color w:val="1155CC"/>
            <w:u w:val="single"/>
          </w:rPr>
          <w:t>10.1126/sciadv.aee2625</w:t>
        </w:r>
      </w:hyperlink>
    </w:p>
    <w:p>
      <w:pPr>
        <w:spacing w:before="0" w:after="120"/>
      </w:pPr>
      <w:r>
        <w:rPr>
          <w:b/>
        </w:rPr>
        <w:t xml:space="preserve">Notes: </w:t>
      </w:r>
      <w:r>
        <w:t>abstract_source=crossref</w:t>
      </w:r>
    </w:p>
    <w:p>
      <w:pPr>
        <w:spacing w:before="0" w:after="80" w:lineRule="auto" w:line="276"/>
      </w:pPr>
      <w:r>
        <w:rPr>
          <w:b/>
        </w:rPr>
        <w:t xml:space="preserve">摘要（ZH）: </w:t>
      </w:r>
      <w:r>
        <w:t>人类皮肤作为一个动态的生物力学界面，通过时空分布的变形传递关键的生理和行为信息。由于当前传感技术的能力有限，其机械信号的时空多样性至今未被充分利用，阻碍了这些机制用于捕捉和解码潜在生理状态的全谱。在这项工作中，我们将这组异质的机械信号定义为机械皮肤活动（MDA），并引入仿生超材料界面（BMMI），这是一种工程化的负泊松比超材料基底，能够再现自然皮肤的微观纹理和机械感受器结构。BMMI允许选择性地捕捉来自</w:t>
      </w:r>
    </w:p>
    <w:p>
      <w:pPr>
        <w:spacing w:before="0" w:after="200" w:lineRule="auto" w:line="276"/>
      </w:pPr>
      <w:r>
        <w:rPr>
          <w:b/>
        </w:rPr>
        <w:t xml:space="preserve">Abstract (EN): </w:t>
      </w:r>
      <w:r>
        <w:t>The human skin acts as a dynamic biomechanical interface that conveys critical physiological and behavioral information through spatiotemporally distributed deformations. Because of the limited capabilities of current sensing technologies, the spatiotemporal diversity of its mechanical cues has remained underused to date, preventing these mechanisms from being used to capture and decode the full spectrum of underlying physiological states. In this work, we define this heterogeneous set of mechanical signals as mechanodermal activity (MDA) and introduce the biomimetic metamaterial–based interface (BMMI), an engineered auxetic metamaterial substrate that reproduces the microrelief and mechanoreceptor architecture of natural skin. The BMMI allows selective capture of diverse MDA signals from adjacent skin regions with simultaneous signal amplification and noise suppression and permits straightforward modulation to accommodate various scenarios. Combined with bespoke algorithms, the wireless BMMI device decodes MDA accurately and robustly for multimodal communication interfaces, unleashing applications in health care monitoring and human-machine interaction.</w:t>
      </w:r>
    </w:p>
    <w:p>
      <w:pPr>
        <w:spacing w:before="120" w:after="120"/>
      </w:pPr>
      <w:r>
        <w:rPr>
          <w:sz w:val="18"/>
        </w:rPr>
        <w:t>——————————————————————————————————————————————————————————————————————</w:t>
      </w:r>
    </w:p>
    <w:p>
      <w:pPr>
        <w:spacing w:before="160" w:after="40" w:line="240" w:lineRule="auto"/>
      </w:pPr>
      <w:r>
        <w:rPr>
          <w:b/>
        </w:rPr>
        <w:t xml:space="preserve">[325] </w:t>
      </w:r>
      <w:hyperlink r:id="rId834">
        <w:r>
          <w:rPr>
            <w:color w:val="1155CC"/>
            <w:u w:val="single"/>
          </w:rPr>
          <w:t>高海拔介导的免疫重塑加速衰老</w:t>
        </w:r>
      </w:hyperlink>
    </w:p>
    <w:p>
      <w:pPr>
        <w:spacing w:before="0" w:after="80"/>
      </w:pPr>
      <w:r>
        <w:rPr>
          <w:i/>
          <w:sz w:val="20"/>
        </w:rPr>
        <w:t>EN: High altitude–mediated immune remodeling accelerates aging</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35">
        <w:r>
          <w:rPr>
            <w:color w:val="1155CC"/>
            <w:u w:val="single"/>
          </w:rPr>
          <w:t>10.1126/sciadv.aeb5599</w:t>
        </w:r>
      </w:hyperlink>
    </w:p>
    <w:p>
      <w:pPr>
        <w:spacing w:before="0" w:after="120"/>
      </w:pPr>
      <w:r>
        <w:rPr>
          <w:b/>
        </w:rPr>
        <w:t xml:space="preserve">Notes: </w:t>
      </w:r>
      <w:r>
        <w:t>abstract_source=crossref</w:t>
      </w:r>
    </w:p>
    <w:p>
      <w:pPr>
        <w:spacing w:before="0" w:after="80" w:lineRule="auto" w:line="276"/>
      </w:pPr>
      <w:r>
        <w:rPr>
          <w:b/>
        </w:rPr>
        <w:t xml:space="preserve">摘要（ZH）: </w:t>
      </w:r>
      <w:r>
        <w:t>高海拔相关的病理生理过程可能会加速衰老轨迹，但证据仍然有限。我们展示了居住在青藏高原3656米（拉萨）和5070米（推瓦村）海拔的人群的免疫景观特征，并通过模拟5000米缺氧条件下的小鼠多器官单细胞RNA测序和空间增强分辨率组学测序（Stereo-seq）进行补充。比较分析显示，高海拔人群（HAP）队列中中性粒细胞比例显著高于低海拔人群队列。值得注意的是，衰老相关免疫细胞（AICs），包括耗竭的T细胞、年龄相关的B细胞和高衰老评分的免疫细胞在HAP队列中表现出显著富集。</w:t>
      </w:r>
    </w:p>
    <w:p>
      <w:pPr>
        <w:spacing w:before="0" w:after="200" w:lineRule="auto" w:line="276"/>
      </w:pPr>
      <w:r>
        <w:rPr>
          <w:b/>
        </w:rPr>
        <w:t xml:space="preserve">Abstract (EN): </w:t>
      </w:r>
      <w:r>
        <w:t>High altitude–associated pathophysiological processes may potentially accelerate aging trajectory, while evidence remains limited. We present immune landscape characterization in human populations residing at 3656-meter (Lhasa) and 5070-meter (Tuiwacun) elevations on the Qinghai-Tibet Plateau, complemented by multiorgan single-cell RNA sequencing and spatially enhanced resolution omics sequencing (Stereo-seq) of mice under simulated 5000-meter hypoxic conditions. Comparative analysis revealed significantly elevated neutrophil proportions in high-altitude population (HAP) cohorts relative to low-altitude population cohorts. Notably, aging-associated immune cells (AICs) including exhausted T cells, age-associated B cells, and high-aging-score immune cells showed marked enrichment in HAP cohorts, a pattern conserved in mouse models. Stereo-seq analyses further identified coordinated niche interactions between AICs and aging-related intestinal epithelial cells, suggesting accelerated gut aging trajectories. Our work establishes the multiomics framework for high-altitude immune remodeling while providing mechanistic insights into high altitude–associated pathophysiological processes.</w:t>
      </w:r>
    </w:p>
    <w:p>
      <w:pPr>
        <w:spacing w:before="120" w:after="120"/>
      </w:pPr>
      <w:r>
        <w:rPr>
          <w:sz w:val="18"/>
        </w:rPr>
        <w:t>——————————————————————————————————————————————————————————————————————</w:t>
      </w:r>
    </w:p>
    <w:p>
      <w:pPr>
        <w:spacing w:before="160" w:after="40" w:line="240" w:lineRule="auto"/>
      </w:pPr>
      <w:r>
        <w:rPr>
          <w:b/>
        </w:rPr>
        <w:t xml:space="preserve">[326] </w:t>
      </w:r>
      <w:hyperlink r:id="rId836">
        <w:r>
          <w:rPr>
            <w:color w:val="1155CC"/>
            <w:u w:val="single"/>
          </w:rPr>
          <w:t>界面水结构各向异性中层依赖分子扭曲的重要性</w:t>
        </w:r>
      </w:hyperlink>
    </w:p>
    <w:p>
      <w:pPr>
        <w:spacing w:before="0" w:after="80"/>
      </w:pPr>
      <w:r>
        <w:rPr>
          <w:i/>
          <w:sz w:val="20"/>
        </w:rPr>
        <w:t>EN: The importance of layer-dependent molecular twisting for the structural anisotropy of interfacial water</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37">
        <w:r>
          <w:rPr>
            <w:color w:val="1155CC"/>
            <w:u w:val="single"/>
          </w:rPr>
          <w:t>10.1126/sciadv.adz5505</w:t>
        </w:r>
      </w:hyperlink>
    </w:p>
    <w:p>
      <w:pPr>
        <w:spacing w:before="0" w:after="120"/>
      </w:pPr>
      <w:r>
        <w:rPr>
          <w:b/>
        </w:rPr>
        <w:t xml:space="preserve">Notes: </w:t>
      </w:r>
      <w:r>
        <w:t>abstract_source=crossref</w:t>
      </w:r>
    </w:p>
    <w:p>
      <w:pPr>
        <w:spacing w:before="0" w:after="80" w:lineRule="auto" w:line="276"/>
      </w:pPr>
      <w:r>
        <w:rPr>
          <w:b/>
        </w:rPr>
        <w:t xml:space="preserve">摘要（ZH）: </w:t>
      </w:r>
      <w:r>
        <w:t>界面水的独特结构特性是电化学、气候科学和生物物理学中许多重要过程的核心。在界面上，水分子表现出优先取向和改变的分子间氢键连接。然而，表征这种薄分子边界的层依赖各向异性结构是一个真正的挑战，许多重要细节仍然未知。在此，我们结合一种新颖的深度分辨二阶光谱学与分子动力学模拟，通过H─O─H弯曲振动研究空气-水界面的各向异性结构。我们首先通过去除发现主导光谱的类体（四极）项，揭示了难以捉摸的各向异性界面响应。</w:t>
      </w:r>
    </w:p>
    <w:p>
      <w:pPr>
        <w:spacing w:before="0" w:after="200" w:lineRule="auto" w:line="276"/>
      </w:pPr>
      <w:r>
        <w:rPr>
          <w:b/>
        </w:rPr>
        <w:t xml:space="preserve">Abstract (EN): </w:t>
      </w:r>
      <w:r>
        <w:t>The unique structural properties of interfacial water are at the heart of many important processes in electrochemistry, climate science, and biophysics. At interfaces, water molecules exhibit preferential orientations and an altered intermolecular H-bond connectivity. Characterizing this layer-dependent anisotropic structure for such a thin molecular boundary, however, is a veritable challenge, with many important details remaining unknown. Here, we combine a novel depth-resolved second-order spectroscopy with molecular dynamics simulations to study the anisotropic structure at the air-water interface through the H─O─H bending vibration. We first uncover the elusive anisotropic interfacial response by removing the bulk-like (quadrupolar) term that is found to dominate the spectrum and has hampered previous experimental investigations of the interfacial structure. Thereafter, we reveal that the molecular structure at the interface shows a pronounced layering of alternating tilt-twist motifs. This highlights the often-disregarded anisotropy in the molecular twist angle and offers a revised picture of aqueous interfaces.</w:t>
      </w:r>
    </w:p>
    <w:p>
      <w:pPr>
        <w:spacing w:before="120" w:after="120"/>
      </w:pPr>
      <w:r>
        <w:rPr>
          <w:sz w:val="18"/>
        </w:rPr>
        <w:t>——————————————————————————————————————————————————————————————————————</w:t>
      </w:r>
    </w:p>
    <w:p>
      <w:pPr>
        <w:spacing w:before="160" w:after="40" w:line="240" w:lineRule="auto"/>
      </w:pPr>
      <w:r>
        <w:rPr>
          <w:b/>
        </w:rPr>
        <w:t xml:space="preserve">[327] </w:t>
      </w:r>
      <w:hyperlink r:id="rId838">
        <w:r>
          <w:rPr>
            <w:color w:val="1155CC"/>
            <w:u w:val="single"/>
          </w:rPr>
          <w:t>单光子量子干涉无光学叠加：迈向空间和光谱域的高分辨率成像</w:t>
        </w:r>
      </w:hyperlink>
    </w:p>
    <w:p>
      <w:pPr>
        <w:spacing w:before="0" w:after="80"/>
      </w:pPr>
      <w:r>
        <w:rPr>
          <w:i/>
          <w:sz w:val="20"/>
        </w:rPr>
        <w:t>EN: Quantum interference of single photons without optical superposition: Toward high resolution imaging in spatial and spectral domains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39">
        <w:r>
          <w:rPr>
            <w:color w:val="1155CC"/>
            <w:u w:val="single"/>
          </w:rPr>
          <w:t>10.1126/sciadv.aea9701</w:t>
        </w:r>
      </w:hyperlink>
    </w:p>
    <w:p>
      <w:pPr>
        <w:spacing w:before="0" w:after="120"/>
      </w:pPr>
      <w:r>
        <w:rPr>
          <w:b/>
        </w:rPr>
        <w:t xml:space="preserve">Notes: </w:t>
      </w:r>
      <w:r>
        <w:t>abstract_source=crossref</w:t>
      </w:r>
    </w:p>
    <w:p>
      <w:pPr>
        <w:spacing w:before="0" w:after="80" w:lineRule="auto" w:line="276"/>
      </w:pPr>
      <w:r>
        <w:rPr>
          <w:b/>
        </w:rPr>
        <w:t xml:space="preserve">摘要（ZH）: </w:t>
      </w:r>
      <w:r>
        <w:t>对宇宙的观测需要高分辨率的望远镜。在光学波段，传统干涉需要将干涉场结合在一起，这限制了由于基线长度受限而导致的分辨率。在此，我们展示了光学波段的甚长基线干涉仪（VLBI），其中两个干涉场从未相遇。特别是，我们报告了当VLBI的输入为单光子状态时的首次量子干涉观测。通过测量光子场的振幅并数字处理量子接收器的信号，干涉得以恢复。此外，我们分析了宽带热光输入的时间和光谱域中的干涉，并表明超高光谱分辨率可以提高径向速度的精度。</w:t>
      </w:r>
    </w:p>
    <w:p>
      <w:pPr>
        <w:spacing w:before="0" w:after="200" w:lineRule="auto" w:line="276"/>
      </w:pPr>
      <w:r>
        <w:rPr>
          <w:b/>
        </w:rPr>
        <w:t xml:space="preserve">Abstract (EN): </w:t>
      </w:r>
      <w:r>
        <w:t>Observation of the universe demands telescopes with high resolution. In the optical band, traditional interference requires bringing interfering fields together, which limits the resolution due to the restricted length of baseline. Here we demonstrate the very long–baseline interferometer (VLBI) in optical band, where two interfering fields never met each other. In particular, we report the first quantum interference observation when the input of VLBI is single-photon state. Interference is recovered after measuring the amplitudes of photon fields and digitally processing the signals of quantum receivers. Moreover, we analyze interference in time and spectral domains for broadband thermal light input and show that the ultrahigh spectral resolution can improve the precision of radial velocity to 0.08 centimeters per second, which is 2 orders of magnitude better than that achievable at the current stage. Further, we apply the spectrally resolved interference in distinguishing two independent sources with angular resolutions beyond diffraction limit. Our investigations have a profound effect on the VLBI, quantum optics, and precision measurement.</w:t>
      </w:r>
    </w:p>
    <w:p>
      <w:pPr>
        <w:spacing w:before="120" w:after="120"/>
      </w:pPr>
      <w:r>
        <w:rPr>
          <w:sz w:val="18"/>
        </w:rPr>
        <w:t>——————————————————————————————————————————————————————————————————————</w:t>
      </w:r>
    </w:p>
    <w:p>
      <w:pPr>
        <w:spacing w:before="160" w:after="40" w:line="240" w:lineRule="auto"/>
      </w:pPr>
      <w:r>
        <w:rPr>
          <w:b/>
        </w:rPr>
        <w:t xml:space="preserve">[328] </w:t>
      </w:r>
      <w:hyperlink r:id="rId840">
        <w:r>
          <w:rPr>
            <w:color w:val="1155CC"/>
            <w:u w:val="single"/>
          </w:rPr>
          <w:t>ArchesWeatherGen：使用机器学习进行技术娴熟且计算高效的概率天气预报</w:t>
        </w:r>
      </w:hyperlink>
    </w:p>
    <w:p>
      <w:pPr>
        <w:spacing w:before="0" w:after="80"/>
      </w:pPr>
      <w:r>
        <w:rPr>
          <w:i/>
          <w:sz w:val="20"/>
        </w:rPr>
        <w:t>EN: ArchesWeatherGen: Skillful and compute-efficient probabilistic weather forecasting with machine learning</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41">
        <w:r>
          <w:rPr>
            <w:color w:val="1155CC"/>
            <w:u w:val="single"/>
          </w:rPr>
          <w:t>10.1126/sciadv.adx2372</w:t>
        </w:r>
      </w:hyperlink>
    </w:p>
    <w:p>
      <w:pPr>
        <w:spacing w:before="0" w:after="120"/>
      </w:pPr>
      <w:r>
        <w:rPr>
          <w:b/>
        </w:rPr>
        <w:t xml:space="preserve">Notes: </w:t>
      </w:r>
      <w:r>
        <w:t>abstract_source=crossref</w:t>
      </w:r>
    </w:p>
    <w:p>
      <w:pPr>
        <w:spacing w:before="0" w:after="80" w:lineRule="auto" w:line="276"/>
      </w:pPr>
      <w:r>
        <w:rPr>
          <w:b/>
        </w:rPr>
        <w:t xml:space="preserve">摘要（ZH）: </w:t>
      </w:r>
      <w:r>
        <w:t>天气预报在当今社会中起着至关重要的作用，从农业和物流到预测可再生能源的产出以及为极端天气事件做准备。与数值全球环流模型相比，使用ERA5进行下一状态预测目标训练的深度学习天气预报模型取得了巨大成功。在此，我们提出了一种方法论，以利用确定性天气模型设计概率天气模型，从而提高性能并降低计算成本。我们设计了一种基于流匹配的概率天气模型，这是一种现代扩散模型变体，旨在将确定性天气预测投射到ERA5天气状态的分布中。我们的模型ArchesWeatherGen在</w:t>
      </w:r>
    </w:p>
    <w:p>
      <w:pPr>
        <w:spacing w:before="0" w:after="200" w:lineRule="auto" w:line="276"/>
      </w:pPr>
      <w:r>
        <w:rPr>
          <w:b/>
        </w:rPr>
        <w:t xml:space="preserve">Abstract (EN): </w:t>
      </w:r>
      <w:r>
        <w:t>Weather forecasting plays a vital role in today’s society, from agriculture and logistics to predicting the output of renewable energies and preparing for extreme weather events. Deep learning weather forecasting models trained with the next state prediction objective on ERA5 have shown great success compared to numerical global circulation models. Here, we propose a methodology to leverage deterministic weather models in the design of probabilistic weather models, leading to improved performance and reduced computing costs. We design a probabilistic weather model based on flow matching, a modern variant of diffusion models, that is trained to project deterministic weather predictions to the distribution of ERA5 weather states. Our model ArchesWeatherGen surpasses IFS ENS and NeuralGCM on all WeatherBench headline variables (except for NeuralGCM’s geopotential). Our work also aims to democratize the use of generative machine learning models in weather forecasting research.</w:t>
      </w:r>
    </w:p>
    <w:p>
      <w:pPr>
        <w:spacing w:before="120" w:after="120"/>
      </w:pPr>
      <w:r>
        <w:rPr>
          <w:sz w:val="18"/>
        </w:rPr>
        <w:t>——————————————————————————————————————————————————————————————————————</w:t>
      </w:r>
    </w:p>
    <w:p>
      <w:pPr>
        <w:spacing w:before="160" w:after="40" w:line="240" w:lineRule="auto"/>
      </w:pPr>
      <w:r>
        <w:rPr>
          <w:b/>
        </w:rPr>
        <w:t xml:space="preserve">[329] </w:t>
      </w:r>
      <w:hyperlink r:id="rId842">
        <w:r>
          <w:rPr>
            <w:color w:val="1155CC"/>
            <w:u w:val="single"/>
          </w:rPr>
          <w:t>Piezo1介导的机械液压控制细胞体积驱动心脏形态发生</w:t>
        </w:r>
      </w:hyperlink>
    </w:p>
    <w:p>
      <w:pPr>
        <w:spacing w:before="0" w:after="80"/>
      </w:pPr>
      <w:r>
        <w:rPr>
          <w:i/>
          <w:sz w:val="20"/>
        </w:rPr>
        <w:t>EN: Piezo1-mediated mechanohydraulic control of cell volume drives cardiac morphogenesis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43">
        <w:r>
          <w:rPr>
            <w:color w:val="1155CC"/>
            <w:u w:val="single"/>
          </w:rPr>
          <w:t>10.1126/sciadv.aea7025</w:t>
        </w:r>
      </w:hyperlink>
    </w:p>
    <w:p>
      <w:pPr>
        <w:spacing w:before="0" w:after="120"/>
      </w:pPr>
      <w:r>
        <w:rPr>
          <w:b/>
        </w:rPr>
        <w:t xml:space="preserve">Notes: </w:t>
      </w:r>
      <w:r>
        <w:t>abstract_source=crossref</w:t>
      </w:r>
    </w:p>
    <w:p>
      <w:pPr>
        <w:spacing w:before="0" w:after="80" w:lineRule="auto" w:line="276"/>
      </w:pPr>
      <w:r>
        <w:rPr>
          <w:b/>
        </w:rPr>
        <w:t xml:space="preserve">摘要（ZH）: </w:t>
      </w:r>
      <w:r>
        <w:t>器官形态发生是由物理力驱动的，但机械刺激如何塑造组织形状并指导发育程序仍然知之甚少。在斑马鱼中，心脏瓣膜形成区域的心内膜细胞（EdCs）在早期形态发生过程中经历显著的体积缩小。在此，我们揭示了一种基于液压的机制，通过机械力控制EdC体积以指导心脏发育。我们表明，机械敏感离子通道Piezo1与钙结合蛋白钙调蛋白（CaM）和水通道蛋白Aqp8a.1协同作用以协调EdC收缩。我们发现Aqp8a.1通过在机械刺激响应中整合到质膜中介细胞体积损失，促进心脏环化和瓣膜形成。在机制上，Piezo1调控</w:t>
      </w:r>
    </w:p>
    <w:p>
      <w:pPr>
        <w:spacing w:before="0" w:after="200" w:lineRule="auto" w:line="276"/>
      </w:pPr>
      <w:r>
        <w:rPr>
          <w:b/>
        </w:rPr>
        <w:t xml:space="preserve">Abstract (EN): </w:t>
      </w:r>
      <w:r>
        <w:t>Organ morphogenesis is driven by physical forces, yet how mechanical stimuli pattern tissue shape and guide developmental programs remains poorly understood. In zebrafish, endocardial cells (EdCs) within the heart valve–forming region undergo marked volume reduction during early morphogenesis. Here, we uncover a hydraulics-based mechanism by which mechanical forces control EdC volume to direct cardiac development. We show that the mechanosensitive ion channel Piezo1 acts with the calcium-binding protein calmodulin (CaM) and the aquaporin Aqp8a.1 water channel to orchestrate EdC shrinkage. We find that Aqp8a.1 mediates cell volume loss by incorporating into the plasma membrane in response to mechanical stimulation, promoting heart looping and valve formation. Mechanistically, Piezo1 governs Aqp8a.1 through a dual mechanism. First, Piezo1 and CaM drive Aqp8a.1 plasma membrane incorporation, enabling rapid cell volume adjustments. Second, Piezo1 suppresses</w:t>
      </w:r>
      <w:r>
        <w:t xml:space="preserve"> </w:t>
      </w:r>
      <w:r>
        <w:t>aqp8a.1</w:t>
      </w:r>
      <w:r>
        <w:t xml:space="preserve"> </w:t>
      </w:r>
      <w:r>
        <w:t>transcription via Notch1b signaling to prevent excessive shrinkage. Together, these findings reveal that mechanotransduction can dictate organ formation through dynamic cell volume regulation, uncovering a fundamental principle of morphogenesis.</w:t>
      </w:r>
    </w:p>
    <w:p>
      <w:pPr>
        <w:spacing w:before="120" w:after="120"/>
      </w:pPr>
      <w:r>
        <w:rPr>
          <w:sz w:val="18"/>
        </w:rPr>
        <w:t>——————————————————————————————————————————————————————————————————————</w:t>
      </w:r>
    </w:p>
    <w:p>
      <w:pPr>
        <w:spacing w:before="160" w:after="40" w:line="240" w:lineRule="auto"/>
      </w:pPr>
      <w:r>
        <w:rPr>
          <w:b/>
        </w:rPr>
        <w:t xml:space="preserve">[330] </w:t>
      </w:r>
      <w:hyperlink r:id="rId844">
        <w:r>
          <w:rPr>
            <w:color w:val="1155CC"/>
            <w:u w:val="single"/>
          </w:rPr>
          <w:t>双海岸的故事：揭示美国墨西哥湾和大西洋沿海城市的高洪水风险</w:t>
        </w:r>
      </w:hyperlink>
    </w:p>
    <w:p>
      <w:pPr>
        <w:spacing w:before="0" w:after="80"/>
      </w:pPr>
      <w:r>
        <w:rPr>
          <w:i/>
          <w:sz w:val="20"/>
        </w:rPr>
        <w:t>EN: A tale of two coasts: Unveiling US Gulf and Atlantic coastal cities at high flood risk</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45">
        <w:r>
          <w:rPr>
            <w:color w:val="1155CC"/>
            <w:u w:val="single"/>
          </w:rPr>
          <w:t>10.1126/sciadv.aec2079</w:t>
        </w:r>
      </w:hyperlink>
    </w:p>
    <w:p>
      <w:pPr>
        <w:spacing w:before="0" w:after="120"/>
      </w:pPr>
      <w:r>
        <w:rPr>
          <w:b/>
        </w:rPr>
        <w:t xml:space="preserve">Notes: </w:t>
      </w:r>
      <w:r>
        <w:t>abstract_source=crossref</w:t>
      </w:r>
    </w:p>
    <w:p>
      <w:pPr>
        <w:spacing w:before="0" w:after="80" w:lineRule="auto" w:line="276"/>
      </w:pPr>
      <w:r>
        <w:rPr>
          <w:b/>
        </w:rPr>
        <w:t xml:space="preserve">摘要（ZH）: </w:t>
      </w:r>
      <w:r>
        <w:t>沿海洪水正在增加，未来影响加速。然而，其影响可以通过主动风险管理来减轻，这需要全面的风险评估。本研究以美国墨西哥湾和大西洋沿岸（USGAC）为试验场，开发了一种框架，以识别高风险沿海城市并揭示双重风险情景下的潜在因素——一般洪水损害（GFD）和极端洪水损害（EFD）。利用历史洪水损害数据和代表危害、暴露和脆弱性的16个因素，本研究采用三种机器学习模型——支持向量机、随机森林和多层感知器——来评估洪水风险。本研究识别出八个高洪水风险的沿海城市，其中纽约市的风险人口最多（GFD：475万；EFD：</w:t>
      </w:r>
    </w:p>
    <w:p>
      <w:pPr>
        <w:spacing w:before="0" w:after="200" w:lineRule="auto" w:line="276"/>
      </w:pPr>
      <w:r>
        <w:rPr>
          <w:b/>
        </w:rPr>
        <w:t xml:space="preserve">Abstract (EN): </w:t>
      </w:r>
      <w:r>
        <w:t>Coastal flooding is increasing, with accelerating impacts ahead. Its impact, however, can be mitigated through proactive risk management, requiring comprehensive risk assessment. Using the US Gulf and Atlantic Coasts (USGAC) as a test bed, this study develops a framework to identify high-risk coastal cities and reveal underlying factors under dual-risk scenarios—general flood damage (GFD) and extreme flood damage (EFD). Using historical flood damage data and 16 factors representing hazard, exposure, and vulnerability, this study adopts three machine learning models—support vector machine, random forest, and multilayer perceptron—to assess flood risk. This study identifies eight coastal cities at high flood risk where New York City has the largest population at risk (GFD: 4.75 million; EFD: 4.40 million) and New Orleans City has the highest relative exposure (~99% under both). Coastal flood risk is greatest in low-lying, densely developed urban areas with high drainage density. Overall, this scalable framework offers actionable insights for policy-makers to manage floods in other flood-prone regions.</w:t>
      </w:r>
    </w:p>
    <w:p>
      <w:pPr>
        <w:spacing w:before="120" w:after="120"/>
      </w:pPr>
      <w:r>
        <w:rPr>
          <w:sz w:val="18"/>
        </w:rPr>
        <w:t>——————————————————————————————————————————————————————————————————————</w:t>
      </w:r>
    </w:p>
    <w:p>
      <w:pPr>
        <w:spacing w:before="160" w:after="40" w:line="240" w:lineRule="auto"/>
      </w:pPr>
      <w:r>
        <w:rPr>
          <w:b/>
        </w:rPr>
        <w:t xml:space="preserve">[331] </w:t>
      </w:r>
      <w:hyperlink r:id="rId846">
        <w:r>
          <w:rPr>
            <w:color w:val="1155CC"/>
            <w:u w:val="single"/>
          </w:rPr>
          <w:t>极端天气的共振罗斯贝波机制在简单模型测试中表现不佳</w:t>
        </w:r>
      </w:hyperlink>
    </w:p>
    <w:p>
      <w:pPr>
        <w:spacing w:before="0" w:after="80"/>
      </w:pPr>
      <w:r>
        <w:rPr>
          <w:i/>
          <w:sz w:val="20"/>
        </w:rPr>
        <w:t>EN: Resonant Rossby wave mechanism for extreme weather performs poorly in simple model test</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47">
        <w:r>
          <w:rPr>
            <w:color w:val="1155CC"/>
            <w:u w:val="single"/>
          </w:rPr>
          <w:t>10.1126/sciadv.adp3054</w:t>
        </w:r>
      </w:hyperlink>
    </w:p>
    <w:p>
      <w:pPr>
        <w:spacing w:before="0" w:after="120"/>
      </w:pPr>
      <w:r>
        <w:rPr>
          <w:b/>
        </w:rPr>
        <w:t xml:space="preserve">Notes: </w:t>
      </w:r>
      <w:r>
        <w:t>abstract_source=crossref</w:t>
      </w:r>
    </w:p>
    <w:p>
      <w:pPr>
        <w:spacing w:before="0" w:after="80" w:lineRule="auto" w:line="276"/>
      </w:pPr>
      <w:r>
        <w:rPr>
          <w:b/>
        </w:rPr>
        <w:t xml:space="preserve">摘要（ZH）: </w:t>
      </w:r>
      <w:r>
        <w:t>准共振放大（QRA）是中纬度极端天气的一种机制，已多次被提出但仅进行了有限的测试。在此，我们通过尝试在理想化的一般环流模型中创建准共振罗斯贝波来测试QRA理论，在该模型中我们识别出预期适合（和不适合）准共振罗斯贝波存在的平均流状态，并量化相关的波幅。对于被认为适合QRA的平均流条件，相关波数的波反而比在表面上不适合QRA的条件下更弱。这种情况不能通过改变QRA适合的平均流的定义来稳健地改变。这些发现对QRA的价值提出了质疑</w:t>
      </w:r>
    </w:p>
    <w:p>
      <w:pPr>
        <w:spacing w:before="0" w:after="200" w:lineRule="auto" w:line="276"/>
      </w:pPr>
      <w:r>
        <w:rPr>
          <w:b/>
        </w:rPr>
        <w:t xml:space="preserve">Abstract (EN): </w:t>
      </w:r>
      <w:r>
        <w:t>Quasiresonant amplification (QRA) of quasistationary Rossby waves is a mechanism for mid-latitude extreme weather that has been repeatedly proposed but subjected to only limited testing. Here, we test QRA theory by attempting to create quasiresonant Rossby waves in an idealized general circulation model, in which we identify mean flow states expected to be suitable (and unsuitable) for the existence of quasiresonant Rossby waves and quantify the associated wave amplitudes. For mean flow conditions thought to be suitable for QRA, waves of the relevant wave number are instead found to be weaker than under conditions ostensibly unsuitable for QRA. This situation cannot robustly be changed by altering the definition of a QRA-suitable mean flow. These findings cast doubt on the value of QRA theory in its current form as an interpretive tool and more generally warrant caution in the use of purely two-dimensional theories and/or zonally averaged flows to explain tropospheric extreme event dynamics.</w:t>
      </w:r>
    </w:p>
    <w:p>
      <w:pPr>
        <w:spacing w:before="120" w:after="120"/>
      </w:pPr>
      <w:r>
        <w:rPr>
          <w:sz w:val="18"/>
        </w:rPr>
        <w:t>——————————————————————————————————————————————————————————————————————</w:t>
      </w:r>
    </w:p>
    <w:p>
      <w:pPr>
        <w:spacing w:before="160" w:after="40" w:line="240" w:lineRule="auto"/>
      </w:pPr>
      <w:r>
        <w:rPr>
          <w:b/>
        </w:rPr>
        <w:t xml:space="preserve">[332] </w:t>
      </w:r>
      <w:hyperlink r:id="rId848">
        <w:r>
          <w:rPr>
            <w:color w:val="1155CC"/>
            <w:u w:val="single"/>
          </w:rPr>
          <w:t>使用纳米机电傅里叶变换红外光谱法量化亚微米大气气溶胶化学成分</w:t>
        </w:r>
      </w:hyperlink>
    </w:p>
    <w:p>
      <w:pPr>
        <w:spacing w:before="0" w:after="80"/>
      </w:pPr>
      <w:r>
        <w:rPr>
          <w:i/>
          <w:sz w:val="20"/>
        </w:rPr>
        <w:t>EN: Quantifying submicrometer atmospheric aerosol chemical composition using nanoelectromechanical Fourier transform infrared spectroscopy</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49">
        <w:r>
          <w:rPr>
            <w:color w:val="1155CC"/>
            <w:u w:val="single"/>
          </w:rPr>
          <w:t>10.1126/sciadv.aeb2254</w:t>
        </w:r>
      </w:hyperlink>
    </w:p>
    <w:p>
      <w:pPr>
        <w:spacing w:before="0" w:after="120"/>
      </w:pPr>
      <w:r>
        <w:rPr>
          <w:b/>
        </w:rPr>
        <w:t xml:space="preserve">Notes: </w:t>
      </w:r>
      <w:r>
        <w:t>abstract_source=crossref</w:t>
      </w:r>
    </w:p>
    <w:p>
      <w:pPr>
        <w:spacing w:before="0" w:after="80" w:lineRule="auto" w:line="276"/>
      </w:pPr>
      <w:r>
        <w:rPr>
          <w:b/>
        </w:rPr>
        <w:t xml:space="preserve">摘要（ZH）: </w:t>
      </w:r>
      <w:r>
        <w:t>大气气溶胶对气候、空气质量和健康有重大影响，但由于其体积小、质量低，其化学成分仍然是一个分析挑战。我们提出了一种结合纳米机电系统和傅里叶变换红外光谱（NEMS-FTIR）的气溶胶化学分析方法，能够同时量化有机功能团、硫酸铵和等效黑碳，其检测限比现有方法低几个数量级。小型轻便的设计允许在空中平台上部署。现场演示表明，可以在地表和高空捕获不同的化学成分，并突出了NEMS-FTIR在高灵敏度、高时间分辨率气溶胶分析中的能力</w:t>
      </w:r>
    </w:p>
    <w:p>
      <w:pPr>
        <w:spacing w:before="0" w:after="200" w:lineRule="auto" w:line="276"/>
      </w:pPr>
      <w:r>
        <w:rPr>
          <w:b/>
        </w:rPr>
        <w:t xml:space="preserve">Abstract (EN): </w:t>
      </w:r>
      <w:r>
        <w:t>Atmospheric aerosols have major impacts on climate, air quality, and health, yet their chemical composition remains an analytical challenge due to their small size and low mass. We present an approach for aerosol chemical analysis combining nanoelectromechanical systems and Fourier transform infrared spectroscopy (NEMS-FTIR), offering simultaneous quantification of organic functional groups, ammonium sulfate, and equivalent black carbon with orders-of-magnitude lower detection limits over existing methods. The miniature, lightweight design allows for deployment on airborne platforms. Field demonstrations show that capturing distinct chemical compositions at the surface and aloft is possible, and they highlight the capacity of NEMS-FTIR for high-sensitivity, high–time-resolution aerosol analysis, revealing short-term variations in chemical composition previously inaccessible to conventional methods. NEMS-FTIR is therefore expected to advance the study of climate-relevant particles across different environments, from polluted urban to pristine polar. Beyond atmospheric science, this technique offers broader potential in nanoparticle analysis where mass constraints or time resolution is critical.</w:t>
      </w:r>
    </w:p>
    <w:p>
      <w:pPr>
        <w:spacing w:before="120" w:after="120"/>
      </w:pPr>
      <w:r>
        <w:rPr>
          <w:sz w:val="18"/>
        </w:rPr>
        <w:t>——————————————————————————————————————————————————————————————————————</w:t>
      </w:r>
    </w:p>
    <w:p>
      <w:pPr>
        <w:spacing w:before="160" w:after="40" w:line="240" w:lineRule="auto"/>
      </w:pPr>
      <w:r>
        <w:rPr>
          <w:b/>
        </w:rPr>
        <w:t xml:space="preserve">[333] </w:t>
      </w:r>
      <w:hyperlink r:id="rId850">
        <w:r>
          <w:rPr>
            <w:color w:val="1155CC"/>
            <w:u w:val="single"/>
          </w:rPr>
          <w:t>CryptoBank：用于识别和预测蛋白质中隐匿位点的资源</w:t>
        </w:r>
      </w:hyperlink>
    </w:p>
    <w:p>
      <w:pPr>
        <w:spacing w:before="0" w:after="80"/>
      </w:pPr>
      <w:r>
        <w:rPr>
          <w:i/>
          <w:sz w:val="20"/>
        </w:rPr>
        <w:t>EN: CryptoBank: A resource for the identification and prediction of cryptic sites in proteins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51">
        <w:r>
          <w:rPr>
            <w:color w:val="1155CC"/>
            <w:u w:val="single"/>
          </w:rPr>
          <w:t>10.1126/sciadv.ady6364</w:t>
        </w:r>
      </w:hyperlink>
    </w:p>
    <w:p>
      <w:pPr>
        <w:spacing w:before="0" w:after="120"/>
      </w:pPr>
      <w:r>
        <w:rPr>
          <w:b/>
        </w:rPr>
        <w:t xml:space="preserve">Notes: </w:t>
      </w:r>
      <w:r>
        <w:t>abstract_source=crossref</w:t>
      </w:r>
    </w:p>
    <w:p>
      <w:pPr>
        <w:spacing w:before="0" w:after="80" w:lineRule="auto" w:line="276"/>
      </w:pPr>
      <w:r>
        <w:rPr>
          <w:b/>
        </w:rPr>
        <w:t xml:space="preserve">摘要（ZH）: </w:t>
      </w:r>
      <w:r>
        <w:t>隐性结合位点为调节先前被认为“不可药物化”的目标提供了机会。然而，经过验证的例子稀缺限制了预测工具的发展。在此，我们介绍CryptoBank，这是一个大型隐性位点数据库，通过应用机器学习模型检测配体诱导的构象变化，在来自蛋白质数据银行（PDB）的超过600万个未结合（apo）和结合（holo）蛋白质对的结构比对中识别出隐性位点。我们的分析显示，隐性口袋广泛存在，出现在约18%的蛋白质簇中。利用这一资源，我们微调了一个蛋白质语言模型（PLM），以直接从蛋白质序列预测隐性位点。至关重要的是，我们通过预测四个中的隐性位点展示了我们策略的广泛适用性</w:t>
      </w:r>
    </w:p>
    <w:p>
      <w:pPr>
        <w:spacing w:before="0" w:after="200" w:lineRule="auto" w:line="276"/>
      </w:pPr>
      <w:r>
        <w:rPr>
          <w:b/>
        </w:rPr>
        <w:t xml:space="preserve">Abstract (EN): </w:t>
      </w:r>
      <w:r>
        <w:t>Cryptic binding sites offer opportunities to modulate targets previously considered “undruggable.” However, the scarcity of validated examples limits the development of predictive tools. Here, we introduce CryptoBank, a large-scale database of cryptic sites identified by applying a machine learning model to detect ligand-induced conformational changes in more than 6 million structural alignments of unbound (apo) and bound (holo) protein pairs from the Protein Data Bank (PDB). Our analysis reveals that cryptic pockets are widespread, occurring in ~18% of protein clusters. Leveraging this resource, we fine-tuned a protein language model (PLM) to predict cryptic sites directly from protein sequences. Crucially, we show the broad applicability of our strategy by predicting cryptic sites in four proteins with low sequence identity to any CryptoBank entry and then validating these predictions using molecular dynamics simulations. CryptoBank and the predictive PLM are publicly accessible via a web server, providing valuable resources for cryptic site discovery.</w:t>
      </w:r>
    </w:p>
    <w:p>
      <w:pPr>
        <w:spacing w:before="120" w:after="120"/>
      </w:pPr>
      <w:r>
        <w:rPr>
          <w:sz w:val="18"/>
        </w:rPr>
        <w:t>——————————————————————————————————————————————————————————————————————</w:t>
      </w:r>
    </w:p>
    <w:p>
      <w:pPr>
        <w:spacing w:before="160" w:after="40" w:line="240" w:lineRule="auto"/>
      </w:pPr>
      <w:r>
        <w:rPr>
          <w:b/>
        </w:rPr>
        <w:t xml:space="preserve">[334] </w:t>
      </w:r>
      <w:hyperlink r:id="rId852">
        <w:r>
          <w:rPr>
            <w:color w:val="1155CC"/>
            <w:u w:val="single"/>
          </w:rPr>
          <w:t>通过自监督学习、少量可拉伸传感器和少样本数据实现可切换手指任务的可穿戴拇指套</w:t>
        </w:r>
      </w:hyperlink>
    </w:p>
    <w:p>
      <w:pPr>
        <w:spacing w:before="0" w:after="80"/>
      </w:pPr>
      <w:r>
        <w:rPr>
          <w:i/>
          <w:sz w:val="20"/>
        </w:rPr>
        <w:t>EN: Wearable thumb sleeves enabled by self-supervised learning with few stretchable sensors and few-shot data for switchable finger tasks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53">
        <w:r>
          <w:rPr>
            <w:color w:val="1155CC"/>
            <w:u w:val="single"/>
          </w:rPr>
          <w:t>10.1126/sciadv.aea2020</w:t>
        </w:r>
      </w:hyperlink>
    </w:p>
    <w:p>
      <w:pPr>
        <w:spacing w:before="0" w:after="120"/>
      </w:pPr>
      <w:r>
        <w:rPr>
          <w:b/>
        </w:rPr>
        <w:t xml:space="preserve">Notes: </w:t>
      </w:r>
      <w:r>
        <w:t>abstract_source=crossref</w:t>
      </w:r>
    </w:p>
    <w:p>
      <w:pPr>
        <w:spacing w:before="0" w:after="80" w:lineRule="auto" w:line="276"/>
      </w:pPr>
      <w:r>
        <w:rPr>
          <w:b/>
        </w:rPr>
        <w:t xml:space="preserve">摘要（ZH）: </w:t>
      </w:r>
      <w:r>
        <w:t>人类手指表现出非凡的灵活性，是自然人机交互的理想选择。传统方法需要每个手指至少一个设备和大量标记数据，通常将模型限制为单个用户和任务。在此，我们提出了一种集成自监督学习的可穿戴拇指套，其表现出用户独立性和数据效率，能够识别各种与手指相关的任务。拇指套仅在拇指关节处配备两个可拉伸传感器，并从未标记的随机拇指运动数据中学习潜在特征。通过使用五次标记数据进行微调，它可以快速适应新用户和任务，包括八个方向命令和10个指关节键输入。它允许在任务之间自由切换，而无需重新配置。</w:t>
      </w:r>
    </w:p>
    <w:p>
      <w:pPr>
        <w:spacing w:before="0" w:after="200" w:lineRule="auto" w:line="276"/>
      </w:pPr>
      <w:r>
        <w:rPr>
          <w:b/>
        </w:rPr>
        <w:t xml:space="preserve">Abstract (EN): </w:t>
      </w:r>
      <w:r>
        <w:t>Human fingers exhibiting remarkable dexterity are ideal for natural human-machine interaction. Traditional methods require at least one device per finger and extensive labeled data, often limiting models to a single user and task. Here, we propose a wearable thumb sleeve integrated with self-supervised learning, which exhibits user independence and data efficiency, enabling recognition of various finger-related tasks. The thumb sleeve is equipped with only two stretchable sensors at the thumb joints and learns latent features from unlabeled random thumb movement data. By using fine-tuning with five-shot labeled data, it can rapidly adapt to new users and tasks, including eight directional commands and 10 knuckle key inputs. It allows free switching between tasks without the need to reconstruct or retrain the model. The proposed approach demonstrates strong potential for real-world applications, serving as a substitute for a mouse and keyboard to enable tasks such as online shopping.</w:t>
      </w:r>
    </w:p>
    <w:p>
      <w:pPr>
        <w:spacing w:before="120" w:after="120"/>
      </w:pPr>
      <w:r>
        <w:rPr>
          <w:sz w:val="18"/>
        </w:rPr>
        <w:t>——————————————————————————————————————————————————————————————————————</w:t>
      </w:r>
    </w:p>
    <w:p>
      <w:pPr>
        <w:spacing w:before="160" w:after="40" w:line="240" w:lineRule="auto"/>
      </w:pPr>
      <w:r>
        <w:rPr>
          <w:b/>
        </w:rPr>
        <w:t xml:space="preserve">[335] </w:t>
      </w:r>
      <w:hyperlink r:id="rId854">
        <w:r>
          <w:rPr>
            <w:color w:val="1155CC"/>
            <w:u w:val="single"/>
          </w:rPr>
          <w:t>通过LTβR阻断选择性消除循环效应CD8 T细胞，将抗CD137的疗效与毒性分离</w:t>
        </w:r>
      </w:hyperlink>
    </w:p>
    <w:p>
      <w:pPr>
        <w:spacing w:before="0" w:after="80"/>
      </w:pPr>
      <w:r>
        <w:rPr>
          <w:i/>
          <w:sz w:val="20"/>
        </w:rPr>
        <w:t>EN: Selective elimination of circulating effector CD8 T cells via LTβR blockade separates anti-CD137 efficacy from toxicity</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55">
        <w:r>
          <w:rPr>
            <w:color w:val="1155CC"/>
            <w:u w:val="single"/>
          </w:rPr>
          <w:t>10.1126/sciadv.aea8737</w:t>
        </w:r>
      </w:hyperlink>
    </w:p>
    <w:p>
      <w:pPr>
        <w:spacing w:before="0" w:after="120"/>
      </w:pPr>
      <w:r>
        <w:rPr>
          <w:b/>
        </w:rPr>
        <w:t xml:space="preserve">Notes: </w:t>
      </w:r>
      <w:r>
        <w:t>abstract_source=crossref</w:t>
      </w:r>
    </w:p>
    <w:p>
      <w:pPr>
        <w:spacing w:before="0" w:after="80" w:lineRule="auto" w:line="276"/>
      </w:pPr>
      <w:r>
        <w:rPr>
          <w:b/>
        </w:rPr>
        <w:t xml:space="preserve">摘要（ZH）: </w:t>
      </w:r>
      <w:r>
        <w:t>αCD137免疫疗法临床转化的主要障碍是将抗肿瘤疗效与由IFN-γ产生的CD8 T细胞驱动的肝毒性分开。我们提出了一种通过促进过度扩展的CD8 T细胞收缩来限制毒性的策略。我们确定了CD11c</w:t>
      </w:r>
      <w:r>
        <w:t xml:space="preserve"> </w:t>
      </w:r>
      <w:r>
        <w:t>+</w:t>
      </w:r>
      <w:r>
        <w:t xml:space="preserve"> </w:t>
      </w:r>
      <w:r>
        <w:t>KLRG1</w:t>
      </w:r>
      <w:r>
        <w:t xml:space="preserve"> </w:t>
      </w:r>
      <w:r>
        <w:t>+</w:t>
      </w:r>
      <w:r>
        <w:t xml:space="preserve"> </w:t>
      </w:r>
      <w:r>
        <w:t>效应CD8 T细胞（CD11c</w:t>
      </w:r>
      <w:r>
        <w:t xml:space="preserve"> </w:t>
      </w:r>
      <w:r>
        <w:t>+</w:t>
      </w:r>
      <w:r>
        <w:t xml:space="preserve"> </w:t>
      </w:r>
      <w:r>
        <w:t>T</w:t>
      </w:r>
      <w:r>
        <w:t xml:space="preserve"> </w:t>
      </w:r>
      <w:r>
        <w:t>E</w:t>
      </w:r>
      <w:r>
        <w:t xml:space="preserve"> </w:t>
      </w:r>
      <w:r>
        <w:t>）是IFN-γ的主要来源，在血液和次级淋巴器官（SLOs）之间循环，在收缩过程中经历凋亡。我们显示淋巴毒素β受体（LTβR）信号限制了这种收缩。从机制上讲，表达淋巴毒素的B细胞激活纤维网状细胞中的LTβR。</w:t>
      </w:r>
    </w:p>
    <w:p>
      <w:pPr>
        <w:spacing w:before="0" w:after="200" w:lineRule="auto" w:line="276"/>
      </w:pPr>
      <w:r>
        <w:rPr>
          <w:b/>
        </w:rPr>
        <w:t xml:space="preserve">Abstract (EN): </w:t>
      </w:r>
      <w:r>
        <w:t>The major barrier to clinical translation of αCD137 immunotherapy is separating antitumor efficacy from hepatotoxicity driven by IFN-γ–producing CD8 T cells. We propose a strategy to limit toxicity by promoting contraction of excessively expanded CD8 T cells. We identify CD11c</w:t>
      </w:r>
      <w:r>
        <w:t xml:space="preserve"> </w:t>
      </w:r>
      <w:r>
        <w:t>+</w:t>
      </w:r>
      <w:r>
        <w:t xml:space="preserve"> </w:t>
      </w:r>
      <w:r>
        <w:t>KLRG1</w:t>
      </w:r>
      <w:r>
        <w:t xml:space="preserve"> </w:t>
      </w:r>
      <w:r>
        <w:t>+</w:t>
      </w:r>
      <w:r>
        <w:t xml:space="preserve"> </w:t>
      </w:r>
      <w:r>
        <w:t>effector CD8 T cells (CD11c</w:t>
      </w:r>
      <w:r>
        <w:t xml:space="preserve"> </w:t>
      </w:r>
      <w:r>
        <w:t>+</w:t>
      </w:r>
      <w:r>
        <w:t xml:space="preserve"> </w:t>
      </w:r>
      <w:r>
        <w:t>T</w:t>
      </w:r>
      <w:r>
        <w:t xml:space="preserve"> </w:t>
      </w:r>
      <w:r>
        <w:t>E</w:t>
      </w:r>
      <w:r>
        <w:t xml:space="preserve"> </w:t>
      </w:r>
      <w:r>
        <w:t>) as the primary source of IFN-γ, recirculating between blood and secondary lymphoid organs (SLOs), where they undergo apoptosis during contraction. We show that lymphotoxin β receptor (LTβR) signaling restrains this contraction. Mechanistically, lymphotoxin-expressing B cells activate LTβR in fibroblastic reticular cells (FRCs), suppressing apoptosis of CD11c</w:t>
      </w:r>
      <w:r>
        <w:t xml:space="preserve"> </w:t>
      </w:r>
      <w:r>
        <w:t>+</w:t>
      </w:r>
      <w:r>
        <w:t xml:space="preserve"> </w:t>
      </w:r>
      <w:r>
        <w:t>T</w:t>
      </w:r>
      <w:r>
        <w:t xml:space="preserve"> </w:t>
      </w:r>
      <w:r>
        <w:t>E</w:t>
      </w:r>
      <w:r>
        <w:t xml:space="preserve"> </w:t>
      </w:r>
      <w:r>
        <w:t>cells in the spleen and sustaining their systemic circulation and liver infiltration. Pharmacological LTβR blockade abrogates hepatotoxicity by reducing the accumulation of IFN-γ–producing CD11c</w:t>
      </w:r>
      <w:r>
        <w:t xml:space="preserve"> </w:t>
      </w:r>
      <w:r>
        <w:t>+</w:t>
      </w:r>
      <w:r>
        <w:t xml:space="preserve"> </w:t>
      </w:r>
      <w:r>
        <w:t>T</w:t>
      </w:r>
      <w:r>
        <w:t xml:space="preserve"> </w:t>
      </w:r>
      <w:r>
        <w:t>E</w:t>
      </w:r>
      <w:r>
        <w:t xml:space="preserve"> </w:t>
      </w:r>
      <w:r>
        <w:t>cells while preserving tumor-specific CD8 T cell responses. These findings identify LTβR as a key regulator of effector CD8 T cell persistence and support the use of LTβR antagonists to improve the safety of αCD137-based immunotherapy.</w:t>
      </w:r>
    </w:p>
    <w:p>
      <w:pPr>
        <w:spacing w:before="120" w:after="120"/>
      </w:pPr>
      <w:r>
        <w:rPr>
          <w:sz w:val="18"/>
        </w:rPr>
        <w:t>——————————————————————————————————————————————————————————————————————</w:t>
      </w:r>
    </w:p>
    <w:p>
      <w:pPr>
        <w:spacing w:before="160" w:after="40" w:line="240" w:lineRule="auto"/>
      </w:pPr>
      <w:r>
        <w:rPr>
          <w:b/>
        </w:rPr>
        <w:t xml:space="preserve">[336] </w:t>
      </w:r>
      <w:hyperlink r:id="rId856">
        <w:r>
          <w:rPr>
            <w:color w:val="1155CC"/>
            <w:u w:val="single"/>
          </w:rPr>
          <w:t>疟疾塑造了人类在过去74,000年的空间组织</w:t>
        </w:r>
      </w:hyperlink>
    </w:p>
    <w:p>
      <w:pPr>
        <w:spacing w:before="0" w:after="80"/>
      </w:pPr>
      <w:r>
        <w:rPr>
          <w:i/>
          <w:sz w:val="20"/>
        </w:rPr>
        <w:t>EN: Malaria shaped human spatial organization for the past 74 thousand years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57">
        <w:r>
          <w:rPr>
            <w:color w:val="1155CC"/>
            <w:u w:val="single"/>
          </w:rPr>
          <w:t>10.1126/sciadv.aea2316</w:t>
        </w:r>
      </w:hyperlink>
    </w:p>
    <w:p>
      <w:pPr>
        <w:spacing w:before="0" w:after="120"/>
      </w:pPr>
      <w:r>
        <w:rPr>
          <w:b/>
        </w:rPr>
        <w:t xml:space="preserve">Notes: </w:t>
      </w:r>
      <w:r>
        <w:t>abstract_source=crossref</w:t>
      </w:r>
    </w:p>
    <w:p>
      <w:pPr>
        <w:spacing w:before="0" w:after="80" w:lineRule="auto" w:line="276"/>
      </w:pPr>
      <w:r>
        <w:rPr>
          <w:b/>
        </w:rPr>
        <w:t xml:space="preserve">摘要（ZH）: </w:t>
      </w:r>
      <w:r>
        <w:t>虽然气候通常被视为非洲早期人类空间组织的主要驱动力，但遗传和考古研究也表明疾病是更新世的关键选择力。我们探讨了</w:t>
      </w:r>
      <w:r>
        <w:t xml:space="preserve"> </w:t>
      </w:r>
      <w:r>
        <w:t>Plasmodium falciparum</w:t>
      </w:r>
      <w:r>
        <w:t xml:space="preserve"> </w:t>
      </w:r>
      <w:r>
        <w:t>引起的疟疾是否在74,000到5000年前驱动了人类社会的栖息地选择。结合蚊子复合体的物种分布模型、古气候和流行病学数据，我们估计了撒哈拉以南非洲的疟疾传播风险指数。然后我们将其与人类生态位的独立重建相关联，证明人类避免或在潜在的疟疾热点地区不成功。我们的结果强调了在建模时考虑疾病分布的重要性。</w:t>
      </w:r>
    </w:p>
    <w:p>
      <w:pPr>
        <w:spacing w:before="0" w:after="200" w:lineRule="auto" w:line="276"/>
      </w:pPr>
      <w:r>
        <w:rPr>
          <w:b/>
        </w:rPr>
        <w:t xml:space="preserve">Abstract (EN): </w:t>
      </w:r>
      <w:r>
        <w:t>While climate is often seen as the main driver of early humans’ spatial organization in Africa, genetic and archaeological studies also suggest diseases as key selective forces in the Pleistocene. We explored whether</w:t>
      </w:r>
      <w:r>
        <w:t xml:space="preserve"> </w:t>
      </w:r>
      <w:r>
        <w:t>Plasmodium falciparum</w:t>
      </w:r>
      <w:r>
        <w:t xml:space="preserve"> </w:t>
      </w:r>
      <w:r>
        <w:t>–induced malaria drove habitat choice in human societies 74,000 to 5000 years ago. Combining species distribution models of mosquito complexes, palaeoclimatic and epidemiological data, we estimated an index of malaria transmission risk in sub-Saharan Africa through time. We then correlated it with an independent reconstruction of the human niche, demonstrating that humans avoided or were unsuccessful in potential malaria hotspots. Our results highlight the importance of considering disease distributions when modeling past human demography, demonstrating that factors beyond climate underlay population structure, patterns of habitat choice, and dispersal.</w:t>
      </w:r>
    </w:p>
    <w:p>
      <w:pPr>
        <w:spacing w:before="120" w:after="120"/>
      </w:pPr>
      <w:r>
        <w:rPr>
          <w:sz w:val="18"/>
        </w:rPr>
        <w:t>——————————————————————————————————————————————————————————————————————</w:t>
      </w:r>
    </w:p>
    <w:p>
      <w:pPr>
        <w:spacing w:before="160" w:after="40" w:line="240" w:lineRule="auto"/>
      </w:pPr>
      <w:r>
        <w:rPr>
          <w:b/>
        </w:rPr>
        <w:t xml:space="preserve">[337] </w:t>
      </w:r>
      <w:hyperlink r:id="rId858">
        <w:r>
          <w:rPr>
            <w:color w:val="1155CC"/>
            <w:u w:val="single"/>
          </w:rPr>
          <w:t>中国湖泊扩张加剧了快速的CO2排放</w:t>
        </w:r>
      </w:hyperlink>
    </w:p>
    <w:p>
      <w:pPr>
        <w:spacing w:before="0" w:after="80"/>
      </w:pPr>
      <w:r>
        <w:rPr>
          <w:i/>
          <w:sz w:val="20"/>
        </w:rPr>
        <w:t>EN: China’s lake expansion amplified rapid CO2 emissions</w:t>
      </w:r>
    </w:p>
    <w:p>
      <w:pPr>
        <w:spacing w:before="0" w:after="120"/>
      </w:pPr>
      <w:r>
        <w:rPr>
          <w:b/>
        </w:rPr>
        <w:t xml:space="preserve">Source: </w:t>
      </w:r>
      <w:r>
        <w:t>AAAS: Science Advances: Table of Contents</w:t>
      </w:r>
      <w:r>
        <w:t xml:space="preserve">    </w:t>
      </w:r>
      <w:r>
        <w:rPr>
          <w:b/>
        </w:rPr>
        <w:t xml:space="preserve">Pub date: </w:t>
      </w:r>
      <w:r>
        <w:t>2026-04-22 07:00:00+00:00</w:t>
      </w:r>
      <w:r>
        <w:t xml:space="preserve">    </w:t>
      </w:r>
      <w:r>
        <w:rPr>
          <w:b/>
        </w:rPr>
        <w:t xml:space="preserve">DOI: </w:t>
      </w:r>
      <w:hyperlink r:id="rId859">
        <w:r>
          <w:rPr>
            <w:color w:val="1155CC"/>
            <w:u w:val="single"/>
          </w:rPr>
          <w:t>10.1126/sciadv.aea4657</w:t>
        </w:r>
      </w:hyperlink>
    </w:p>
    <w:p>
      <w:pPr>
        <w:spacing w:before="0" w:after="120"/>
      </w:pPr>
      <w:r>
        <w:rPr>
          <w:b/>
        </w:rPr>
        <w:t xml:space="preserve">Notes: </w:t>
      </w:r>
      <w:r>
        <w:t>abstract_source=crossref</w:t>
      </w:r>
    </w:p>
    <w:p>
      <w:pPr>
        <w:spacing w:before="0" w:after="80" w:lineRule="auto" w:line="276"/>
      </w:pPr>
      <w:r>
        <w:rPr>
          <w:b/>
        </w:rPr>
        <w:t xml:space="preserve">摘要（ZH）: </w:t>
      </w:r>
      <w:r>
        <w:t>湖泊的CO</w:t>
      </w:r>
      <w:r>
        <w:rPr>
          <w:vertAlign w:val="subscript"/>
        </w:rPr>
        <w:t>2</w:t>
      </w:r>
      <w:r>
        <w:t>排放在全球碳循环中起着至关重要的作用，但其长期动态仍然缺乏约束。在此，通过利用编制的湖泊CO</w:t>
      </w:r>
      <w:r>
        <w:rPr>
          <w:vertAlign w:val="subscript"/>
        </w:rPr>
        <w:t>2</w:t>
      </w:r>
      <w:r>
        <w:t>通量数据集、机器学习模型和湖泊面积数据，我们展示了中国湖泊的CO</w:t>
      </w:r>
      <w:r>
        <w:rPr>
          <w:vertAlign w:val="subscript"/>
        </w:rPr>
        <w:t>2</w:t>
      </w:r>
      <w:r>
        <w:t>排放量在全国范围内增加，从2000年的每年11.25太克碳增加到2021年的每年13.94太克碳，并在2010年后出现了急剧变化。这一转变与湖泊的快速扩张相吻合，湖泊面积每年在各地区以71到462平方公里的速度增加。尽管各地区差异很大，但大湖泊（&amp;gt;50平方公里）主导了全国排放，占总量的约62%。</w:t>
      </w:r>
    </w:p>
    <w:p>
      <w:pPr>
        <w:spacing w:before="0" w:after="200" w:lineRule="auto" w:line="276"/>
      </w:pPr>
      <w:r>
        <w:rPr>
          <w:b/>
        </w:rPr>
        <w:t xml:space="preserve">Abstract (EN): </w:t>
      </w:r>
      <w:r>
        <w:t>CO</w:t>
      </w:r>
      <w:r>
        <w:rPr>
          <w:vertAlign w:val="subscript"/>
        </w:rPr>
        <w:t>2</w:t>
      </w:r>
      <w:r>
        <w:t>emissions from lakes play a crucial role in the global carbon cycle, yet their long-term dynamics remain poorly constrained. Here, leveraging a compiled lake CO</w:t>
      </w:r>
      <w:r>
        <w:rPr>
          <w:vertAlign w:val="subscript"/>
        </w:rPr>
        <w:t>2</w:t>
      </w:r>
      <w:r>
        <w:t>flux dataset, machine learning model, and lake area data, we demonstrated a nationwide increase in CO</w:t>
      </w:r>
      <w:r>
        <w:rPr>
          <w:vertAlign w:val="subscript"/>
        </w:rPr>
        <w:t>2</w:t>
      </w:r>
      <w:r>
        <w:t>emissions across China’s lakes, from 11.25 teragrams of C per year in 2000 to 13.94 teragrams of C per year in 2021 with an abrupt shift after 2010. This transition coincided with rapid lake expansion, gaining at a pace of 71 to 462 square kilometers per year across regions. Large lakes (&amp;gt;50 square kilometers) dominated national emissions, accounting for ~62% of the total, despite large regional variability (33 to 79%). Lakes exhibited divergent responses to climate extremes, with CO</w:t>
      </w:r>
      <w:r>
        <w:rPr>
          <w:vertAlign w:val="subscript"/>
        </w:rPr>
        <w:t>2</w:t>
      </w:r>
      <w:r>
        <w:t>flux variations of 4 to 48% across regions. The CO</w:t>
      </w:r>
      <w:r>
        <w:rPr>
          <w:vertAlign w:val="subscript"/>
        </w:rPr>
        <w:t>2</w:t>
      </w:r>
      <w:r>
        <w:t>emissions in China’s lakes offset ~12% of national wetland carbon sinks, revealing the critical role in terrestrial carbon budget. Our findings highlighted the urgent need for sustained and high-resolution monitoring to refine lake carbon budget and support climate mitigation policy formulation.</w:t>
      </w:r>
    </w:p>
    <w:p>
      <w:pPr>
        <w:spacing w:before="120" w:after="120"/>
      </w:pPr>
      <w:r>
        <w:rPr>
          <w:sz w:val="18"/>
        </w:rPr>
        <w:t>——————————————————————————————————————————————————————————————————————</w:t>
      </w:r>
    </w:p>
    <w:p>
      <w:pPr>
        <w:spacing w:before="160" w:after="40" w:line="240" w:lineRule="auto"/>
      </w:pPr>
      <w:r>
        <w:rPr>
          <w:b/>
        </w:rPr>
        <w:t xml:space="preserve">[338] </w:t>
      </w:r>
      <w:hyperlink r:id="rId860">
        <w:r>
          <w:rPr>
            <w:color w:val="1155CC"/>
            <w:u w:val="single"/>
          </w:rPr>
          <w:t>在脂质体纳米颗粒中掺入新型合成糖脂影响调理作用和体内清除</w:t>
        </w:r>
      </w:hyperlink>
    </w:p>
    <w:p>
      <w:pPr>
        <w:spacing w:before="0" w:after="80"/>
      </w:pPr>
      <w:r>
        <w:rPr>
          <w:i/>
          <w:sz w:val="20"/>
        </w:rPr>
        <w:t>EN: Incorporation of Novel Synthetic Glycolipids in Liposomal Nanoparticles Affects Opsonization and In Vivo Clearance</w:t>
      </w:r>
    </w:p>
    <w:p>
      <w:pPr>
        <w:spacing w:before="0" w:after="120"/>
      </w:pPr>
      <w:r>
        <w:rPr>
          <w:b/>
        </w:rPr>
        <w:t xml:space="preserve">Source: </w:t>
      </w:r>
      <w:r>
        <w:t>Wiley: Angewandte Chemie International Edition: Table of Contents</w:t>
      </w:r>
      <w:r>
        <w:t xml:space="preserve">    </w:t>
      </w:r>
      <w:r>
        <w:rPr>
          <w:b/>
        </w:rPr>
        <w:t xml:space="preserve">Pub date: </w:t>
      </w:r>
      <w:r>
        <w:t>2026-04-22 07:38:20+00:00</w:t>
      </w:r>
      <w:r>
        <w:t xml:space="preserve">    </w:t>
      </w:r>
      <w:r>
        <w:rPr>
          <w:b/>
        </w:rPr>
        <w:t xml:space="preserve">DOI: </w:t>
      </w:r>
      <w:hyperlink r:id="rId861">
        <w:r>
          <w:rPr>
            <w:color w:val="1155CC"/>
            <w:u w:val="single"/>
          </w:rPr>
          <w:t>10.1002/anie.202520837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模仿细胞膜糖萼，糖类修饰纳米颗粒提供了一种有效的方法来调节其体内命运。在此，我们研究了糖基化（即葡萄糖、半乳糖、果糖、甘露糖和</w:t>
      </w:r>
      <w:r>
        <w:t xml:space="preserve"> </w:t>
      </w:r>
      <w:r>
        <w:t>N</w:t>
      </w:r>
      <w:r>
        <w:t xml:space="preserve"> </w:t>
      </w:r>
      <w:r>
        <w:t>‐乙酰氨基葡萄糖）如何调节脂质体纳米颗粒与血浆蛋白和免疫细胞的相互作用，这进一步决定了它们的生物分布和治疗效果。虽然果糖在体外显著增强了肿瘤细胞的摄取，</w:t>
      </w:r>
      <w:r>
        <w:t xml:space="preserve"> </w:t>
      </w:r>
      <w:r>
        <w:t>N</w:t>
      </w:r>
      <w:r>
        <w:t xml:space="preserve"> </w:t>
      </w:r>
      <w:r>
        <w:t>‐乙酰氨基葡萄糖修饰的纳米颗粒在体内实现了最高的肿瘤积累，并显著减缓了系统清除，突显了体外和</w:t>
      </w:r>
    </w:p>
    <w:p>
      <w:pPr>
        <w:spacing w:before="0" w:after="200" w:lineRule="auto" w:line="276"/>
      </w:pPr>
      <w:r>
        <w:rPr>
          <w:b/>
        </w:rPr>
        <w:t xml:space="preserve">Abstract (EN): </w:t>
      </w:r>
      <w:r>
        <w:t>Mimicking cell membrane glycocalyx, saccharide modification of nanoparticles offers a potent means to regulate their in vivo fate. Here, we investigate how glycosylation (i.e., glucose, galactose, fructose, mannose, and</w:t>
      </w:r>
      <w:r>
        <w:t xml:space="preserve"> </w:t>
      </w:r>
      <w:r>
        <w:t>N</w:t>
      </w:r>
      <w:r>
        <w:t xml:space="preserve"> </w:t>
      </w:r>
      <w:r>
        <w:t>‐acetylglucosamine) regulates liposomal nanoparticle interactions with plasma proteins and immune cells, which further determine their biodistribution and therapeutic efficacy. While fructose conferred the greatest enhancement in tumor cell uptake in vitro,</w:t>
      </w:r>
      <w:r>
        <w:t xml:space="preserve"> </w:t>
      </w:r>
      <w:r>
        <w:t>N</w:t>
      </w:r>
      <w:r>
        <w:t xml:space="preserve"> </w:t>
      </w:r>
      <w:r>
        <w:t>‐acetylglucosamine‐modified nanoparticles achieved the highest tumor accumulation and markedly attenuated systemic clearance in vivo, highlighting a pronounced disparity between in vitro and in vivo performance. The compromised in vivo efficacy of glycosylated nanoparticles was linked to significant clearance in blood, liver, and spleen, primarily mediated by blood monocytes, hepatic stellate cells, and splenic macrophages. Proteomics revealed that adsorption of immunoglobulin G (IgG) and complement C3 facilitates in vivo clearance of nanoparticles. Moreover, IgG deposition further promotes subsequent C3 binding. Notably,</w:t>
      </w:r>
      <w:r>
        <w:t xml:space="preserve"> </w:t>
      </w:r>
      <w:r>
        <w:t>N</w:t>
      </w:r>
      <w:r>
        <w:t xml:space="preserve"> </w:t>
      </w:r>
      <w:r>
        <w:t>‐acetylglucosamine markedly mitigates IgG and C3 adsorption, leading to prolonged circulation and enhanced tumor accumulation and inhibition. Benefiting from glycosylation‐regulated protein corona, doxorubicin‐loaded</w:t>
      </w:r>
      <w:r>
        <w:t xml:space="preserve"> </w:t>
      </w:r>
      <w:r>
        <w:t>N</w:t>
      </w:r>
      <w:r>
        <w:t xml:space="preserve"> </w:t>
      </w:r>
      <w:r>
        <w:t>‐acetylglucosamine‐modified liposomal nanoparticles achieved superior antitumor efficacy compared with other glycosylated formulations. This study establishes a clear correlation between glycosyl ligand identity, protein corona composition, and in vivo performance, providing fundamental insights for rational design and clinical translation of glycosylated nanomedicines.</w:t>
      </w:r>
    </w:p>
    <w:p>
      <w:pPr>
        <w:spacing w:before="120" w:after="120"/>
      </w:pPr>
      <w:r>
        <w:rPr>
          <w:sz w:val="18"/>
        </w:rPr>
        <w:t>——————————————————————————————————————————————————————————————————————</w:t>
      </w:r>
    </w:p>
    <w:p>
      <w:pPr>
        <w:spacing w:before="160" w:after="40" w:line="240" w:lineRule="auto"/>
      </w:pPr>
      <w:r>
        <w:rPr>
          <w:b/>
        </w:rPr>
        <w:t xml:space="preserve">[339] </w:t>
      </w:r>
      <w:hyperlink r:id="rId862">
        <w:r>
          <w:rPr>
            <w:color w:val="1155CC"/>
            <w:u w:val="single"/>
          </w:rPr>
          <w:t>互熔石墨烯纤维膜通过层间位点激活实现体积电子转移高级氧化</w:t>
        </w:r>
      </w:hyperlink>
    </w:p>
    <w:p>
      <w:pPr>
        <w:spacing w:before="0" w:after="80"/>
      </w:pPr>
      <w:r>
        <w:rPr>
          <w:i/>
          <w:sz w:val="20"/>
        </w:rPr>
        <w:t>EN: Interfused Graphene Fiber Membranes Enable Volumetric Electron‐Transfer Advanced Oxidation via Interlayer Site Activation</w:t>
      </w:r>
    </w:p>
    <w:p>
      <w:pPr>
        <w:spacing w:before="0" w:after="120"/>
      </w:pPr>
      <w:r>
        <w:rPr>
          <w:b/>
        </w:rPr>
        <w:t xml:space="preserve">Source: </w:t>
      </w:r>
      <w:r>
        <w:t>Wiley: Angewandte Chemie International Edition: Table of Contents</w:t>
      </w:r>
      <w:r>
        <w:t xml:space="preserve">    </w:t>
      </w:r>
      <w:r>
        <w:rPr>
          <w:b/>
        </w:rPr>
        <w:t xml:space="preserve">Pub date: </w:t>
      </w:r>
      <w:r>
        <w:t>2026-04-22 07:45:15+00:00</w:t>
      </w:r>
      <w:r>
        <w:t xml:space="preserve">    </w:t>
      </w:r>
      <w:r>
        <w:rPr>
          <w:b/>
        </w:rPr>
        <w:t xml:space="preserve">DOI: </w:t>
      </w:r>
      <w:hyperlink r:id="rId863">
        <w:r>
          <w:rPr>
            <w:color w:val="1155CC"/>
            <w:u w:val="single"/>
          </w:rPr>
          <w:t>10.1002/anie.6024780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涉及电子转移的过硫酸盐基高级氧化过程（ET-AOPs）因其高选择性和环境稳健性而对废水处理具有吸引力。然而，ET-AOPs本质上是双位点反应，需要在过硫酸盐结合位点和污染物结合位点之间进行有效的电子转移。这一限制在粉末催化剂中常常被忽视，但在集成催化膜或设备中的反应中变得至关重要，因为活性位点的空间分离和不连续的导电路径可能会电子隔离内部区域，从而大大限制反应位点的利用率。在此，我们报告了一种互熔氮掺杂还原氧化石墨烯纤维（N-rGOF）膜，通过统一长</w:t>
      </w:r>
    </w:p>
    <w:p>
      <w:pPr>
        <w:spacing w:before="0" w:after="200" w:lineRule="auto" w:line="276"/>
      </w:pPr>
      <w:r>
        <w:rPr>
          <w:b/>
        </w:rPr>
        <w:t xml:space="preserve">Abstract (EN): </w:t>
      </w:r>
      <w:r>
        <w:t>Electron‐transfer‐involved persulfate‐based advanced oxidation processes (ET‐AOPs) are attractive for wastewater treatment because of their high selectivity and environmental robustness. However, ET‐AOPs are intrinsically dual‐site reaction requiring efficient electron transfer between persulfate‐binding and pollutant‐binding sites. This constraint is often obscured in powder catalysts but becomes critical when reactions in integrated catalytic membranes or devices, where spatial separation of active sites and discontinuous conductive pathways can electronically isolate internal regions, substantially limiting reaction site utilization. Here we report an interfused nitrogen‐doped reduced graphene oxide fiber (N‐rGOF) membrane that overcomes this by unifying long‐range electronic continuity with internal site accessibility. Fused junctions between fibers form a continuous, low resistance conductive network, while the layered rGO structure enables persulfate entry into interlayers to activate otherwise inaccessible internal nitrogen sites through an interlayer entry‐induced site activation (IESA) mechanism. The N‐rGOF membrane degraded bisphenol A (BPA) ∼5.2 times faster than a noninterfused counterpart and maintained excellent removal of trace organic pollutants in real livestock wastewater with high ionic strength and organic loading. Furthermore, the intrinsic potential difference generated during catalysis enables a floatable, self‐powered setup that couples pollutant degradation with real‐time electrical signaling, illustrating the conceptional feasibility of integrated monitoring and remediation based on one single system.</w:t>
      </w:r>
    </w:p>
    <w:p>
      <w:pPr>
        <w:spacing w:before="120" w:after="120"/>
      </w:pPr>
      <w:r>
        <w:rPr>
          <w:sz w:val="18"/>
        </w:rPr>
        <w:t>——————————————————————————————————————————————————————————————————————</w:t>
      </w:r>
    </w:p>
    <w:p>
      <w:pPr>
        <w:spacing w:before="160" w:after="40" w:line="240" w:lineRule="auto"/>
      </w:pPr>
      <w:r>
        <w:rPr>
          <w:b/>
        </w:rPr>
        <w:t xml:space="preserve">[340] </w:t>
      </w:r>
      <w:hyperlink r:id="rId864">
        <w:r>
          <w:rPr>
            <w:color w:val="1155CC"/>
            <w:u w:val="single"/>
          </w:rPr>
          <w:t>氧空位驱动的双位点Pd-TiO2声催化剂用于放大活性氧物种生成和声催化治疗</w:t>
        </w:r>
      </w:hyperlink>
    </w:p>
    <w:p>
      <w:pPr>
        <w:spacing w:before="0" w:after="80"/>
      </w:pPr>
      <w:r>
        <w:rPr>
          <w:i/>
          <w:sz w:val="20"/>
        </w:rPr>
        <w:t>EN: Oxygen Vacancy‐Driven Dual‐Site Pd‐TiO2 Sonocatalyst for Amplified Reactive Oxygen Species Generation and Sonocatalytic Therapy</w:t>
      </w:r>
    </w:p>
    <w:p>
      <w:pPr>
        <w:spacing w:before="0" w:after="120"/>
      </w:pPr>
      <w:r>
        <w:rPr>
          <w:b/>
        </w:rPr>
        <w:t xml:space="preserve">Source: </w:t>
      </w:r>
      <w:r>
        <w:t>Wiley: Angewandte Chemie International Edition: Table of Contents</w:t>
      </w:r>
      <w:r>
        <w:t xml:space="preserve">    </w:t>
      </w:r>
      <w:r>
        <w:rPr>
          <w:b/>
        </w:rPr>
        <w:t xml:space="preserve">Pub date: </w:t>
      </w:r>
      <w:r>
        <w:t>2026-04-22 07:50:07+00:00</w:t>
      </w:r>
      <w:r>
        <w:t xml:space="preserve">    </w:t>
      </w:r>
      <w:r>
        <w:rPr>
          <w:b/>
        </w:rPr>
        <w:t xml:space="preserve">DOI: </w:t>
      </w:r>
      <w:hyperlink r:id="rId865">
        <w:r>
          <w:rPr>
            <w:color w:val="1155CC"/>
            <w:u w:val="single"/>
          </w:rPr>
          <w:t>10.1002/anie.6677973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声催化剂通过超声（US）触发的活性氧（ROS）生成对于声催化治疗至关重要。然而，由于缓慢的电荷转移和难以捉摸的活性位点，治疗效果受到低ROS生成率的阻碍。在此，开发了原位氧空位（Vo）工程化的Pd-TiO</w:t>
      </w:r>
      <w:r>
        <w:rPr>
          <w:vertAlign w:val="subscript"/>
        </w:rPr>
        <w:t>2</w:t>
      </w:r>
      <w:r>
        <w:t>声催化剂，具有空间分离的双重活性位点，优化了电荷动力学并放大了ROS生成。机制研究表明，US诱导的Vo作为电子泵，激活Pd–O–Ti传输通道，降低界面障碍并引导电子从TiO</w:t>
      </w:r>
      <w:r>
        <w:rPr>
          <w:vertAlign w:val="subscript"/>
        </w:rPr>
        <w:t>2</w:t>
      </w:r>
      <w:r>
        <w:t>迁移到Pd。这种有序的电荷重定</w:t>
      </w:r>
    </w:p>
    <w:p>
      <w:pPr>
        <w:spacing w:before="0" w:after="200" w:lineRule="auto" w:line="276"/>
      </w:pPr>
      <w:r>
        <w:rPr>
          <w:b/>
        </w:rPr>
        <w:t xml:space="preserve">Abstract (EN): </w:t>
      </w:r>
      <w:r>
        <w:t>Ultrasound (US)‐triggered reactive oxygen species (ROS) generation by nano‐sonocatalysts is vital for sonocatalytic therapy. However, the therapeutic effect is hindered by the low ROS generation yield owing to sluggish charge transfer and elusive active sites. Herein, in situ oxygen vacancies (Vo)‐engineered Pd‐TiO</w:t>
      </w:r>
      <w:r>
        <w:rPr>
          <w:vertAlign w:val="subscript"/>
        </w:rPr>
        <w:t>2</w:t>
      </w:r>
      <w:r>
        <w:t>sonocatalysts with spatially separated dual reactive sites are developed, which optimize charge kinetics and amplify ROS generation. Mechanism studies revealed that US‐induced Vo serves as an electron pump, activating the Pd–O–Ti transport channel, lowering interfacial barriers and steering electron migration from TiO</w:t>
      </w:r>
      <w:r>
        <w:rPr>
          <w:vertAlign w:val="subscript"/>
        </w:rPr>
        <w:t>2</w:t>
      </w:r>
      <w:r>
        <w:t>to Pd. This ordered charge redistribution tunes the</w:t>
      </w:r>
      <w:r>
        <w:t xml:space="preserve"> </w:t>
      </w:r>
      <w:r>
        <w:t>d</w:t>
      </w:r>
      <w:r>
        <w:t xml:space="preserve"> </w:t>
      </w:r>
      <w:r>
        <w:t>‐band center of Pd, designating electron‐rich Pd sites as the primary active center for O</w:t>
      </w:r>
      <w:r>
        <w:rPr>
          <w:vertAlign w:val="subscript"/>
        </w:rPr>
        <w:t>2</w:t>
      </w:r>
      <w:r>
        <w:t>adsorption and activation to produce singlet oxygen (</w:t>
      </w:r>
      <w:r>
        <w:rPr>
          <w:vertAlign w:val="subscript"/>
        </w:rPr>
        <w:t>1</w:t>
      </w:r>
      <w:r>
        <w:t>O</w:t>
      </w:r>
      <w:r>
        <w:rPr>
          <w:vertAlign w:val="subscript"/>
        </w:rPr>
        <w:t>2</w:t>
      </w:r>
      <w:r>
        <w:t>). Concurrently, Vo‐mediated reconstruction of Ti 3d states strengthens orbital coupling with H</w:t>
      </w:r>
      <w:r>
        <w:rPr>
          <w:vertAlign w:val="subscript"/>
        </w:rPr>
        <w:t>2</w:t>
      </w:r>
      <w:r>
        <w:t>O at the Pd–O–Ti interface, dominating the activation of H</w:t>
      </w:r>
      <w:r>
        <w:rPr>
          <w:vertAlign w:val="subscript"/>
        </w:rPr>
        <w:t>2</w:t>
      </w:r>
      <w:r>
        <w:t>O to promote the generation of hydroxyl radical (•OH). This dual‐site configuration effectively lowers the activation energy barriers, which increases the rate constants of</w:t>
      </w:r>
      <w:r>
        <w:rPr>
          <w:vertAlign w:val="subscript"/>
        </w:rPr>
        <w:t>1</w:t>
      </w:r>
      <w:r>
        <w:t>O</w:t>
      </w:r>
      <w:r>
        <w:rPr>
          <w:vertAlign w:val="subscript"/>
        </w:rPr>
        <w:t>2</w:t>
      </w:r>
      <w:r>
        <w:t>and •OH generation by 5.0‐fold and 2.7‐fold, respectively, and ultimately achieving an 87.5% tumor inhibition efficiency. This work provides molecular insights into the charge transfer cascade and critical active centers in US‐activated Pd‐TiO</w:t>
      </w:r>
      <w:r>
        <w:rPr>
          <w:vertAlign w:val="subscript"/>
        </w:rPr>
        <w:t>2</w:t>
      </w:r>
      <w:r>
        <w:t>, offering a rational paradigm for designing high‐performance sonocatalysts.</w:t>
      </w:r>
    </w:p>
    <w:p>
      <w:pPr>
        <w:spacing w:before="120" w:after="120"/>
      </w:pPr>
      <w:r>
        <w:rPr>
          <w:sz w:val="18"/>
        </w:rPr>
        <w:t>——————————————————————————————————————————————————————————————————————</w:t>
      </w:r>
    </w:p>
    <w:p>
      <w:pPr>
        <w:spacing w:before="160" w:after="40" w:line="240" w:lineRule="auto"/>
      </w:pPr>
      <w:r>
        <w:rPr>
          <w:b/>
        </w:rPr>
        <w:t xml:space="preserve">[341] </w:t>
      </w:r>
      <w:hyperlink r:id="rId866">
        <w:r>
          <w:rPr>
            <w:color w:val="1155CC"/>
            <w:u w:val="single"/>
          </w:rPr>
          <w:t>通过液滴操控直接书写实现有机半导体晶体阵列的单片和异质集成</w:t>
        </w:r>
      </w:hyperlink>
    </w:p>
    <w:p>
      <w:pPr>
        <w:spacing w:before="0" w:after="80"/>
      </w:pPr>
      <w:r>
        <w:rPr>
          <w:i/>
          <w:sz w:val="20"/>
        </w:rPr>
        <w:t>EN: Monolithic and Heterogeneous Integration of Organic Semiconductor Crystal Arrays by Meniscus‐Manipulated Direct Writing</w:t>
      </w:r>
    </w:p>
    <w:p>
      <w:pPr>
        <w:spacing w:before="0" w:after="120"/>
      </w:pPr>
      <w:r>
        <w:rPr>
          <w:b/>
        </w:rPr>
        <w:t xml:space="preserve">Source: </w:t>
      </w:r>
      <w:r>
        <w:t>Wiley: Advanced Materials: Table of Contents</w:t>
      </w:r>
      <w:r>
        <w:t xml:space="preserve">    </w:t>
      </w:r>
      <w:r>
        <w:rPr>
          <w:b/>
        </w:rPr>
        <w:t xml:space="preserve">Pub date: </w:t>
      </w:r>
      <w:r>
        <w:t>2026-04-22 07:50:20+00:00</w:t>
      </w:r>
      <w:r>
        <w:t xml:space="preserve">    </w:t>
      </w:r>
      <w:r>
        <w:rPr>
          <w:b/>
        </w:rPr>
        <w:t xml:space="preserve">DOI: </w:t>
      </w:r>
      <w:hyperlink r:id="rId867">
        <w:r>
          <w:rPr>
            <w:color w:val="1155CC"/>
            <w:u w:val="single"/>
          </w:rPr>
          <w:t>10.1002/adma.202520839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半导体晶体的整体和异质集成代表了向多功能有机芯片迈进的重要进展。然而，由于成核的随机性和在不同材料中调节结晶动力学的复杂性，在单一基板上同时精确控制不同有机半导体晶体的晶体取向仍然是一个重大挑战。在此，我们提出了一种通用的液滴操控直接书写（MMDW）策略，用于多样有机晶体阵列的整体和异质集成。通过疏液线图案化来操控液滴的液面轮廓，实现了成核和生长的控制，减少了</w:t>
      </w:r>
    </w:p>
    <w:p>
      <w:pPr>
        <w:spacing w:before="0" w:after="200" w:lineRule="auto" w:line="276"/>
      </w:pPr>
      <w:r>
        <w:rPr>
          <w:b/>
        </w:rPr>
        <w:t xml:space="preserve">Abstract (EN): </w:t>
      </w:r>
      <w:r>
        <w:t>Monolithic and heterogeneous integration of organic semiconductor crystals represents a pivotal advancement toward multifunctional organic chips. However, due to the stochastic nature of nucleation and the complexity of regulating crystallization kinetics across diverse materials, precisely controlling the crystallographic orientation of different organic semiconductor crystals simultaneously on a single substrate remains a significant challenge. Here, we present a universal meniscus‐manipulated direct writing (MMDW) strategy for the monolithic and heterogeneous integration of diverse organic crystal arrays. The control of nucleation and growth is achieved via lyophobic line patterning to manipulate the droplet meniscus profile, reducing the nucleation events while enforcing unidirectional crystal growth along the direct‐writing trajectory for different organic semiconductors. The meniscus‐manipulated crystallization mechanism enables the fabrication of diverse organic crystal arrays with consistent crystallographic orientation, yielding organic field‐effect transistors (OFETs) with a high average mobility of 11.2 cm</w:t>
      </w:r>
      <w:r>
        <w:rPr>
          <w:vertAlign w:val="subscript"/>
        </w:rPr>
        <w:t>2</w:t>
      </w:r>
      <w:r>
        <w:t>V</w:t>
      </w:r>
      <w:r>
        <w:t xml:space="preserve"> </w:t>
      </w:r>
      <w:r>
        <w:t>−1</w:t>
      </w:r>
      <w:r>
        <w:t xml:space="preserve"> </w:t>
      </w:r>
      <w:r>
        <w:t>s</w:t>
      </w:r>
      <w:r>
        <w:t xml:space="preserve"> </w:t>
      </w:r>
      <w:r>
        <w:t>−1</w:t>
      </w:r>
      <w:r>
        <w:t xml:space="preserve"> </w:t>
      </w:r>
      <w:r>
        <w:t>and excellent switching characteristics, significantly outperforming prior reports for OFETs made from traditional direct‐writing method. Using this method, we, for the first time, implement heterogeneous integration of organic logic gates and optoelectronic components on a single wafer, unlocking new pathways toward scalable, multifunctional organic electronic systems.</w:t>
      </w:r>
    </w:p>
    <w:p>
      <w:pPr>
        <w:spacing w:before="120" w:after="120"/>
      </w:pPr>
      <w:r>
        <w:rPr>
          <w:sz w:val="18"/>
        </w:rPr>
        <w:t>——————————————————————————————————————————————————————————————————————</w:t>
      </w:r>
    </w:p>
    <w:p>
      <w:pPr>
        <w:spacing w:before="160" w:after="40" w:line="240" w:lineRule="auto"/>
      </w:pPr>
      <w:r>
        <w:rPr>
          <w:b/>
        </w:rPr>
        <w:t xml:space="preserve">[342] </w:t>
      </w:r>
      <w:hyperlink r:id="rId868">
        <w:r>
          <w:rPr>
            <w:color w:val="1155CC"/>
            <w:u w:val="single"/>
          </w:rPr>
          <w:t>具有谷胱甘肽响应性的生物推进口腔细胞纳米马达用于骨关节炎治疗</w:t>
        </w:r>
      </w:hyperlink>
    </w:p>
    <w:p>
      <w:pPr>
        <w:spacing w:before="0" w:after="80"/>
      </w:pPr>
      <w:r>
        <w:rPr>
          <w:i/>
          <w:sz w:val="20"/>
        </w:rPr>
        <w:t>EN: Bio‐Propelled Stomatocyte Nanomotors with Glutathione‐Responsiveness for Osteoarthritis Treatment</w:t>
      </w:r>
    </w:p>
    <w:p>
      <w:pPr>
        <w:spacing w:before="0" w:after="120"/>
      </w:pPr>
      <w:r>
        <w:rPr>
          <w:b/>
        </w:rPr>
        <w:t xml:space="preserve">Source: </w:t>
      </w:r>
      <w:r>
        <w:t>Wiley: Angewandte Chemie International Edition: Table of Contents</w:t>
      </w:r>
      <w:r>
        <w:t xml:space="preserve">    </w:t>
      </w:r>
      <w:r>
        <w:rPr>
          <w:b/>
        </w:rPr>
        <w:t xml:space="preserve">Pub date: </w:t>
      </w:r>
      <w:r>
        <w:t>2026-04-22 07:54:11+00:00</w:t>
      </w:r>
      <w:r>
        <w:t xml:space="preserve">    </w:t>
      </w:r>
      <w:r>
        <w:rPr>
          <w:b/>
        </w:rPr>
        <w:t xml:space="preserve">DOI: </w:t>
      </w:r>
      <w:hyperlink r:id="rId869">
        <w:r>
          <w:rPr>
            <w:color w:val="1155CC"/>
            <w:u w:val="single"/>
          </w:rPr>
          <w:t>10.1002/anie.3640627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药物干预是骨关节炎（OA）的一种主要治疗策略，然而，提高治疗剂的生物利用度仍然是一个重大挑战。在这项研究中，我们开发了氧气驱动的、谷胱甘肽（GSH）响应的口腔细胞纳米马达（MTX/MnO</w:t>
      </w:r>
      <w:r>
        <w:rPr>
          <w:vertAlign w:val="subscript"/>
        </w:rPr>
        <w:t>2</w:t>
      </w:r>
      <w:r>
        <w:t>‐GSH‐口腔细胞）用于骨关节炎（OA）治疗。首先，组装了由含有GSH可裂解二硫键的嵌段共聚物组成的聚合物囊泡，并将治疗剂甲氨蝶呤（MTX）装载到其亲水域中。通过透析诱导的形状变化形成了碗状的口腔细胞，并包裹了二氧化锰（MnO</w:t>
      </w:r>
      <w:r>
        <w:rPr>
          <w:vertAlign w:val="subscript"/>
        </w:rPr>
        <w:t>2</w:t>
      </w:r>
      <w:r>
        <w:t>）颗粒</w:t>
      </w:r>
    </w:p>
    <w:p>
      <w:pPr>
        <w:spacing w:before="0" w:after="200" w:lineRule="auto" w:line="276"/>
      </w:pPr>
      <w:r>
        <w:rPr>
          <w:b/>
        </w:rPr>
        <w:t xml:space="preserve">Abstract (EN): </w:t>
      </w:r>
      <w:r>
        <w:t>Pharmacological intervention is a primary therapeutic strategy for Osteoarthritis (OA), however, improving the bioavailability of therapeutic agents remains a significant challenge. In this study, we developed oxygen‐propelled, glutathione (GSH)‐responsive stomatocyte nanomotors (MTX/MnO</w:t>
      </w:r>
      <w:r>
        <w:rPr>
          <w:vertAlign w:val="subscript"/>
        </w:rPr>
        <w:t>2</w:t>
      </w:r>
      <w:r>
        <w:t>‐GSH‐stomatocytes) for osteoarthritis (OA) treatment. First, polymersomes were assembled composed of block copolymers containing a GSH‐cleavable disulfide linker, which were loaded with the therapeutic agent methotrexate (MTX) into their hydrophilic domain. Upon dialysis‐induced shape change bowl shaped stomatocytes were formed with manganese dioxide (MnO</w:t>
      </w:r>
      <w:r>
        <w:rPr>
          <w:vertAlign w:val="subscript"/>
        </w:rPr>
        <w:t>2</w:t>
      </w:r>
      <w:r>
        <w:t>) particles encapsulated into the nanocavity with high loading efficiency. Within the OA microenvironment, MnO</w:t>
      </w:r>
      <w:r>
        <w:rPr>
          <w:vertAlign w:val="subscript"/>
        </w:rPr>
        <w:t>2</w:t>
      </w:r>
      <w:r>
        <w:t>decomposed the inflammatory hydrogen peroxide (H</w:t>
      </w:r>
      <w:r>
        <w:rPr>
          <w:vertAlign w:val="subscript"/>
        </w:rPr>
        <w:t>2</w:t>
      </w:r>
      <w:r>
        <w:t>O</w:t>
      </w:r>
      <w:r>
        <w:rPr>
          <w:vertAlign w:val="subscript"/>
        </w:rPr>
        <w:t>2</w:t>
      </w:r>
      <w:r>
        <w:t>), generating an O</w:t>
      </w:r>
      <w:r>
        <w:rPr>
          <w:vertAlign w:val="subscript"/>
        </w:rPr>
        <w:t>2</w:t>
      </w:r>
      <w:r>
        <w:t>gradient that propelled the nanomotors and enabled chemotactic movement for targeted cargo delivery. Meanwhile, after cellular uptake elevated GSH levels cleaved the disulfide linkers, inducing the collapse of the stomatocyte structure and the rapid release of MTX. The motility and targeted release behavior of the nanomotors were systematically evaluated both in vitro and in vivo. Experimental results demonstrated that these nanomotors effectively alleviated oxidative stress, inflammation, and cartilage degradation, while exhibiting negligible adverse effects. Overall, this study presents a promising GSH‐responsive, nanomotor‐based strategy for enhanced osteoarthritis therapy.</w:t>
      </w:r>
    </w:p>
    <w:p>
      <w:pPr>
        <w:spacing w:before="120" w:after="120"/>
      </w:pPr>
      <w:r>
        <w:rPr>
          <w:sz w:val="18"/>
        </w:rPr>
        <w:t>——————————————————————————————————————————————————————————————————————</w:t>
      </w:r>
    </w:p>
    <w:p>
      <w:pPr>
        <w:spacing w:before="160" w:after="40" w:line="240" w:lineRule="auto"/>
      </w:pPr>
      <w:r>
        <w:rPr>
          <w:b/>
        </w:rPr>
        <w:t xml:space="preserve">[343] </w:t>
      </w:r>
      <w:hyperlink r:id="rId870">
        <w:r>
          <w:rPr>
            <w:color w:val="1155CC"/>
            <w:u w:val="single"/>
          </w:rPr>
          <w:t>结合交叉烯烃偶联与Smiles-Truce重排的自由基级联反应</w:t>
        </w:r>
      </w:hyperlink>
    </w:p>
    <w:p>
      <w:pPr>
        <w:spacing w:before="0" w:after="80"/>
      </w:pPr>
      <w:r>
        <w:rPr>
          <w:i/>
          <w:sz w:val="20"/>
        </w:rPr>
        <w:t>EN: Radical Cascade Combining Cross‐Olefin Coupling with the Smiles‐Truce Rearrangement</w:t>
      </w:r>
    </w:p>
    <w:p>
      <w:pPr>
        <w:spacing w:before="0" w:after="120"/>
      </w:pPr>
      <w:r>
        <w:rPr>
          <w:b/>
        </w:rPr>
        <w:t xml:space="preserve">Source: </w:t>
      </w:r>
      <w:r>
        <w:t>Wiley: Angewandte Chemie International Edition: Table of Contents</w:t>
      </w:r>
      <w:r>
        <w:t xml:space="preserve">    </w:t>
      </w:r>
      <w:r>
        <w:rPr>
          <w:b/>
        </w:rPr>
        <w:t xml:space="preserve">Pub date: </w:t>
      </w:r>
      <w:r>
        <w:t>2026-04-22 07:56:25+00:00</w:t>
      </w:r>
      <w:r>
        <w:t xml:space="preserve">    </w:t>
      </w:r>
      <w:r>
        <w:rPr>
          <w:b/>
        </w:rPr>
        <w:t xml:space="preserve">DOI: </w:t>
      </w:r>
      <w:hyperlink r:id="rId871">
        <w:r>
          <w:rPr>
            <w:color w:val="1155CC"/>
            <w:u w:val="single"/>
          </w:rPr>
          <w:t>10.1002/anie.202525790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由基级联反应能够快速高效地组装复杂的分子结构。这些转化在从具有天然功能的易得底物开始时尤其有价值。在这项工作中，我们描述了一种级联反应的发展，该反应选择性地结合了两个烯烃起始材料，在一步中形成三个新键。该转化由极性匹配的钴催化剂向富电子苯乙烯双键进行催化氢原子转移启动。随后发生碳中心自由基的Giese加成，并且在使用</w:t>
      </w:r>
      <w:r>
        <w:t xml:space="preserve"> </w:t>
      </w:r>
      <w:r>
        <w:t>N</w:t>
      </w:r>
      <w:r>
        <w:t xml:space="preserve"> </w:t>
      </w:r>
      <w:r>
        <w:t>‐磺酰丙烯酰胺作为Michael受体时，触发了自由基级联反应</w:t>
      </w:r>
    </w:p>
    <w:p>
      <w:pPr>
        <w:spacing w:before="0" w:after="200" w:lineRule="auto" w:line="276"/>
      </w:pPr>
      <w:r>
        <w:rPr>
          <w:b/>
        </w:rPr>
        <w:t xml:space="preserve">Abstract (EN): </w:t>
      </w:r>
      <w:r>
        <w:t>Radical cascade reactions enable the swift and efficient assembly of complex molecular architectures. These transformations are especially valuable when initiated from readily available substrates bearing native functionalities. In this work, we describe the development of a cascade reaction that selectively combines two alkene starting materials, forming three new bonds in a single step. This transformation is initiated by polarity‐matched, catalytic hydrogen atom transfer from a cobalt catalyst to an electron‐rich styrene double bond. Subsequent Giese‐addition of the carbon‐centred radical occurs and, when using</w:t>
      </w:r>
      <w:r>
        <w:t xml:space="preserve"> </w:t>
      </w:r>
      <w:r>
        <w:t>N</w:t>
      </w:r>
      <w:r>
        <w:t xml:space="preserve"> </w:t>
      </w:r>
      <w:r>
        <w:t>‐sulfonyl acrylamides as the Michael acceptors, a radical cascade reaction is triggered to yield α,γ‐diarylated amides via Smiles‐Truce rearrangement. This allows for the construction of complex organic molecules with sterically hindered aryl substituents in a swift manner under mild conditions.</w:t>
      </w:r>
    </w:p>
    <w:p>
      <w:pPr>
        <w:spacing w:before="120" w:after="120"/>
      </w:pPr>
      <w:r>
        <w:rPr>
          <w:sz w:val="18"/>
        </w:rPr>
        <w:t>——————————————————————————————————————————————————————————————————————</w:t>
      </w:r>
    </w:p>
    <w:p>
      <w:pPr>
        <w:spacing w:before="160" w:after="40" w:line="240" w:lineRule="auto"/>
      </w:pPr>
      <w:r>
        <w:rPr>
          <w:b/>
        </w:rPr>
        <w:t xml:space="preserve">[344] </w:t>
      </w:r>
      <w:hyperlink r:id="rId872">
        <w:r>
          <w:rPr>
            <w:color w:val="1155CC"/>
            <w:u w:val="single"/>
          </w:rPr>
          <w:t>具有热自循环功能的非对称Janus剪切增稠织物，用于冲击保护和动态热管理</w:t>
        </w:r>
      </w:hyperlink>
    </w:p>
    <w:p>
      <w:pPr>
        <w:spacing w:before="0" w:after="80"/>
      </w:pPr>
      <w:r>
        <w:rPr>
          <w:i/>
          <w:sz w:val="20"/>
        </w:rPr>
        <w:t>EN: Asymmetric Janus Shear Thickening Fabric with Heat Self‐Circulating toward Impact Protection and Dynamic Thermal Management</w:t>
      </w:r>
    </w:p>
    <w:p>
      <w:pPr>
        <w:spacing w:before="0" w:after="120"/>
      </w:pPr>
      <w:r>
        <w:rPr>
          <w:b/>
        </w:rPr>
        <w:t xml:space="preserve">Source: </w:t>
      </w:r>
      <w:r>
        <w:t>Wiley: Advanced Materials: Table of Contents</w:t>
      </w:r>
      <w:r>
        <w:t xml:space="preserve">    </w:t>
      </w:r>
      <w:r>
        <w:rPr>
          <w:b/>
        </w:rPr>
        <w:t xml:space="preserve">Pub date: </w:t>
      </w:r>
      <w:r>
        <w:t>2026-04-22 07:57:46+00:00</w:t>
      </w:r>
      <w:r>
        <w:t xml:space="preserve">    </w:t>
      </w:r>
      <w:r>
        <w:rPr>
          <w:b/>
        </w:rPr>
        <w:t xml:space="preserve">DOI: </w:t>
      </w:r>
      <w:hyperlink r:id="rId873">
        <w:r>
          <w:rPr>
            <w:color w:val="1155CC"/>
            <w:u w:val="single"/>
          </w:rPr>
          <w:t>10.1002/adma.202522056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温度失衡和机械攻击在极端环境中对个人和设备构成严重风险，推动了先进防护设备的发展。尽管已经为动态和恶劣环境开发了智能热管理和机械坚固的材料，但冲击/热耦合保护的协同实施仍然是一个挑战。本研究提出了一种不对称的Janus织物（SKMP），由剪切增稠增强的Kevlar（SK）与MXene和聚乙二醇（PEG）热调节材料组装而成。所得复合织物表现出显著的撕裂力为621 N，而纯Kevlar为152.2 N。值得注意的是，复合织物表现出可靠的防弹性能</w:t>
      </w:r>
    </w:p>
    <w:p>
      <w:pPr>
        <w:spacing w:before="0" w:after="200" w:lineRule="auto" w:line="276"/>
      </w:pPr>
      <w:r>
        <w:rPr>
          <w:b/>
        </w:rPr>
        <w:t xml:space="preserve">Abstract (EN): </w:t>
      </w:r>
      <w:r>
        <w:t>Temperature imbalance and mechanical attacks pose severe risks to both individuals and devices in extreme environments, promoting the development of advanced protective equipment. Although intelligent thermal management and mechanically robust materials have been developed for dynamic and harsh environments, the synergistic implementation of impact/thermal coupling protection remains a challenge. This study proposes an asymmetric Janus fabric (SKMP) consisting of shear‐thickening‐reinforced Kevlar (SK) assembled using MXene and polyethylene glycol (PEG) thermoregulatory materials. The resulting composite fabric exhibited a remarkable tearing force of 621 N compared to 152.2 N for neat Kevlar. Notably, the composite fabric exhibits reliable bulletproof performance with a limit penetration speed of 125.79 m/s, which arises from the multiscale energy dissipation mechanism of fiber‐bridge enhancement, shear thickening effect, and synergistic stress transfer. Additionally, attributed to extensive light absorption capacity and low transmission loss, SKMP demonstrates the light/heat conversion effectiveness of 12.4°C temperature difference within an extremely low MXene loading of 0.47 wt.%. Furthermore, a PEG phase‐change layer is assembled to provide thermal buffering and energy storage, realizing durable thermal comfort through reasonable energy self‐cycling. Therefore, this study can assist the fabrication of integrated and intelligent protection materials for future applications.</w:t>
      </w:r>
    </w:p>
    <w:p>
      <w:pPr>
        <w:spacing w:before="120" w:after="120"/>
      </w:pPr>
      <w:r>
        <w:rPr>
          <w:sz w:val="18"/>
        </w:rPr>
        <w:t>——————————————————————————————————————————————————————————————————————</w:t>
      </w:r>
    </w:p>
    <w:p>
      <w:pPr>
        <w:spacing w:before="160" w:after="40" w:line="240" w:lineRule="auto"/>
      </w:pPr>
      <w:r>
        <w:rPr>
          <w:b/>
        </w:rPr>
        <w:t xml:space="preserve">[345] </w:t>
      </w:r>
      <w:hyperlink r:id="rId874">
        <w:r>
          <w:rPr>
            <w:color w:val="1155CC"/>
            <w:u w:val="single"/>
          </w:rPr>
          <w:t>全热蒸发钙钛矿光电器件</w:t>
        </w:r>
      </w:hyperlink>
    </w:p>
    <w:p>
      <w:pPr>
        <w:spacing w:before="0" w:after="80"/>
      </w:pPr>
      <w:r>
        <w:rPr>
          <w:i/>
          <w:sz w:val="20"/>
        </w:rPr>
        <w:t>EN: Fully Thermally Evaporated Perovskite Optoelectronic Devices</w:t>
      </w:r>
    </w:p>
    <w:p>
      <w:pPr>
        <w:spacing w:before="0" w:after="120"/>
      </w:pPr>
      <w:r>
        <w:rPr>
          <w:b/>
        </w:rPr>
        <w:t xml:space="preserve">Source: </w:t>
      </w:r>
      <w:r>
        <w:t>Wiley: Advanced Materials: Table of Contents</w:t>
      </w:r>
      <w:r>
        <w:t xml:space="preserve">    </w:t>
      </w:r>
      <w:r>
        <w:rPr>
          <w:b/>
        </w:rPr>
        <w:t xml:space="preserve">Pub date: </w:t>
      </w:r>
      <w:r>
        <w:t>2026-04-22 07:58:24+00:00</w:t>
      </w:r>
      <w:r>
        <w:t xml:space="preserve">    </w:t>
      </w:r>
      <w:r>
        <w:rPr>
          <w:b/>
        </w:rPr>
        <w:t xml:space="preserve">DOI: </w:t>
      </w:r>
      <w:hyperlink r:id="rId875">
        <w:r>
          <w:rPr>
            <w:color w:val="1155CC"/>
            <w:u w:val="single"/>
          </w:rPr>
          <w:t>10.1002/adma.202523053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极高光电转换能力的钙钛矿使得包括钙钛矿太阳能电池（PSCs）、钙钛矿发光二极管（PeLEDs）、钙钛矿光电探测器等在内的大范围光电应用成为可能。迄今为止，最先进的钙钛矿光电器件主要由旋涂技术主导。成熟的热蒸发技术具有精确的过程控制、高重现性、大面积均匀性、消除溶剂和易于集成的优点，应加速钙钛矿光电器件的商业化。在此，我们强调了使用工业兼容的全</w:t>
      </w:r>
    </w:p>
    <w:p>
      <w:pPr>
        <w:spacing w:before="0" w:after="200" w:lineRule="auto" w:line="276"/>
      </w:pPr>
      <w:r>
        <w:rPr>
          <w:b/>
        </w:rPr>
        <w:t xml:space="preserve">Abstract (EN): </w:t>
      </w:r>
      <w:r>
        <w:t>Perovskite with extremely high photoelectric conversion capabilities enables a large range of optoelectronic applications including perovskite solar cells (PSCs), perovskite light‐emitting diodes (PeLEDs), perovskite photodetectors, et al. So far, the state‐of‐the‐art perovskite optoelectronic devices have been primarily led by spin‐coating techniques. The well‐established thermal‐evaporation technique with advantages of precise process‐control, high reproducibility, large‐area uniformity, elimination of solvent, and ease of integration, should accelerate the commercialization of perovskite optoelectronic devices. Herein, we highlight the recent progress in perovskite optoelectronic devices (especially PSCs and PeLEDs) fabricated using industry‐compatible fully thermally evaporation (FTE) technique, including both the perovskite layer, charge transport layer and metal electrode, which may enable their transition from lab to market. We systematically review the fundamentals of thermal evaporation and major progress of optoelectronic devices, with special attention paid to the crystallization process control of perovskite and the ammonium salt evaporation. Finally, outlook of the challenges and the possible approaches are presented.</w:t>
      </w:r>
    </w:p>
    <w:p>
      <w:pPr>
        <w:spacing w:before="120" w:after="120"/>
      </w:pPr>
      <w:r>
        <w:rPr>
          <w:sz w:val="18"/>
        </w:rPr>
        <w:t>——————————————————————————————————————————————————————————————————————</w:t>
      </w:r>
    </w:p>
    <w:p>
      <w:pPr>
        <w:spacing w:before="160" w:after="40" w:line="240" w:lineRule="auto"/>
      </w:pPr>
      <w:r>
        <w:rPr>
          <w:b/>
        </w:rPr>
        <w:t xml:space="preserve">[346] </w:t>
      </w:r>
      <w:hyperlink r:id="rId876">
        <w:r>
          <w:rPr>
            <w:color w:val="1155CC"/>
            <w:u w:val="single"/>
          </w:rPr>
          <w:t>通过配体设计定制混合碘化铜簇玻璃以实现稳定的多功能X射线成像</w:t>
        </w:r>
      </w:hyperlink>
    </w:p>
    <w:p>
      <w:pPr>
        <w:spacing w:before="0" w:after="80"/>
      </w:pPr>
      <w:r>
        <w:rPr>
          <w:i/>
          <w:sz w:val="20"/>
        </w:rPr>
        <w:t>EN: Tailoring Hybrid Copper Iodide Cluster Glasses via Ligand Design for Stable Multifunctional X‐Ray Imaging</w:t>
      </w:r>
    </w:p>
    <w:p>
      <w:pPr>
        <w:spacing w:before="0" w:after="120"/>
      </w:pPr>
      <w:r>
        <w:rPr>
          <w:b/>
        </w:rPr>
        <w:t xml:space="preserve">Source: </w:t>
      </w:r>
      <w:r>
        <w:t>Wiley: Angewandte Chemie International Edition: Table of Contents</w:t>
      </w:r>
      <w:r>
        <w:t xml:space="preserve">    </w:t>
      </w:r>
      <w:r>
        <w:rPr>
          <w:b/>
        </w:rPr>
        <w:t xml:space="preserve">Pub date: </w:t>
      </w:r>
      <w:r>
        <w:t>2026-04-22 07:59:35+00:00</w:t>
      </w:r>
      <w:r>
        <w:t xml:space="preserve">    </w:t>
      </w:r>
      <w:r>
        <w:rPr>
          <w:b/>
        </w:rPr>
        <w:t xml:space="preserve">DOI: </w:t>
      </w:r>
      <w:hyperlink r:id="rId877">
        <w:r>
          <w:rPr>
            <w:color w:val="1155CC"/>
            <w:u w:val="single"/>
          </w:rPr>
          <w:t>10.1002/anie.9659580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玻璃态有机-无机杂化材料的发展引起了极大的兴趣，但由于不稳定的熔化、差的结晶抗性和有限的环境稳定性等问题，仍然具有显著挑战。在本研究中，我们报告了一种合理的配体工程策略，用于设计新型碘化铜簇玻璃。通过使用具有不同芳香苯基（Ph-）和脂肪族环己基（Cy-）基团的膦配体，制备了一系列零维Cu</w:t>
      </w:r>
      <w:r>
        <w:rPr>
          <w:vertAlign w:val="subscript"/>
        </w:rPr>
        <w:t>4</w:t>
      </w:r>
      <w:r>
        <w:t>I</w:t>
      </w:r>
      <w:r>
        <w:rPr>
          <w:vertAlign w:val="subscript"/>
        </w:rPr>
        <w:t>4</w:t>
      </w:r>
      <w:r>
        <w:t>(L)</w:t>
      </w:r>
      <w:r>
        <w:rPr>
          <w:vertAlign w:val="subscript"/>
        </w:rPr>
        <w:t>4</w:t>
      </w:r>
      <w:r>
        <w:t>(L = Ph</w:t>
      </w:r>
      <w:r>
        <w:rPr>
          <w:vertAlign w:val="subscript"/>
        </w:rPr>
        <w:t>3</w:t>
      </w:r>
      <w:r>
        <w:t>P, CyPh</w:t>
      </w:r>
      <w:r>
        <w:rPr>
          <w:vertAlign w:val="subscript"/>
        </w:rPr>
        <w:t>2</w:t>
      </w:r>
      <w:r>
        <w:t>P, 和 Cy</w:t>
      </w:r>
      <w:r>
        <w:rPr>
          <w:vertAlign w:val="subscript"/>
        </w:rPr>
        <w:t>2</w:t>
      </w:r>
    </w:p>
    <w:p>
      <w:pPr>
        <w:spacing w:before="0" w:after="200" w:lineRule="auto" w:line="276"/>
      </w:pPr>
      <w:r>
        <w:rPr>
          <w:b/>
        </w:rPr>
        <w:t xml:space="preserve">Abstract (EN): </w:t>
      </w:r>
      <w:r>
        <w:t>The development of glassy organic–inorganic hybrid material has attracted great interest, yet remains significantly challenging due to issues such as unstable melting, poor crystallization resistance, and limited environmental stability. In this study, we report a rational ligand engineering strategy for designing novel copper iodide cluster glasses. By using phosphine ligands with varying aromatic phenyl (Ph‐) and aliphatic cyclohexyl (Cy‐) groups, a series of zero‐dimensional Cu</w:t>
      </w:r>
      <w:r>
        <w:rPr>
          <w:vertAlign w:val="subscript"/>
        </w:rPr>
        <w:t>4</w:t>
      </w:r>
      <w:r>
        <w:t>I</w:t>
      </w:r>
      <w:r>
        <w:rPr>
          <w:vertAlign w:val="subscript"/>
        </w:rPr>
        <w:t>4</w:t>
      </w:r>
      <w:r>
        <w:t>(L)</w:t>
      </w:r>
      <w:r>
        <w:rPr>
          <w:vertAlign w:val="subscript"/>
        </w:rPr>
        <w:t>4</w:t>
      </w:r>
      <w:r>
        <w:t>(L = Ph</w:t>
      </w:r>
      <w:r>
        <w:rPr>
          <w:vertAlign w:val="subscript"/>
        </w:rPr>
        <w:t>3</w:t>
      </w:r>
      <w:r>
        <w:t>P, CyPh</w:t>
      </w:r>
      <w:r>
        <w:rPr>
          <w:vertAlign w:val="subscript"/>
        </w:rPr>
        <w:t>2</w:t>
      </w:r>
      <w:r>
        <w:t>P, and Cy</w:t>
      </w:r>
      <w:r>
        <w:rPr>
          <w:vertAlign w:val="subscript"/>
        </w:rPr>
        <w:t>2</w:t>
      </w:r>
      <w:r>
        <w:t>PhP) cubic clusters was synthesized. Variable‐temperature X‐ray absorption fine structure analysis, Raman spectroscopy, and molecular dynamics simulations reveal that melting proceeds through disruption of intermolecular electrostatic interactions rather than ligand dissociation. Density functional theory and rheological analyses further rationalize how ligand engineering regulates the thermodynamic behavior of the clusters. Systematic substitution of phenyl with cyclohexyl groups modulates intermolecular forces, effectively suppressing crystallization and enabling successful vitrification for the CyPh</w:t>
      </w:r>
      <w:r>
        <w:rPr>
          <w:vertAlign w:val="subscript"/>
        </w:rPr>
        <w:t>2</w:t>
      </w:r>
      <w:r>
        <w:t>P and Cy</w:t>
      </w:r>
      <w:r>
        <w:rPr>
          <w:vertAlign w:val="subscript"/>
        </w:rPr>
        <w:t>2</w:t>
      </w:r>
      <w:r>
        <w:t>PhP analogues. The resulting low‐melting Cu</w:t>
      </w:r>
      <w:r>
        <w:rPr>
          <w:vertAlign w:val="subscript"/>
        </w:rPr>
        <w:t>4</w:t>
      </w:r>
      <w:r>
        <w:t>I</w:t>
      </w:r>
      <w:r>
        <w:rPr>
          <w:vertAlign w:val="subscript"/>
        </w:rPr>
        <w:t>4</w:t>
      </w:r>
      <w:r>
        <w:t>(Cy</w:t>
      </w:r>
      <w:r>
        <w:rPr>
          <w:vertAlign w:val="subscript"/>
        </w:rPr>
        <w:t>2</w:t>
      </w:r>
      <w:r>
        <w:t>PhP)</w:t>
      </w:r>
      <w:r>
        <w:rPr>
          <w:vertAlign w:val="subscript"/>
        </w:rPr>
        <w:t>4</w:t>
      </w:r>
      <w:r>
        <w:t>glass exhibits a high glass transition temperature (352.3 K), excellent optical transparency (&amp;gt; 80%, 450–800 nm), and remarkable stability. These properties allow its application in high‐resolution, underwater, and high‐temperature X‐ray imaging. This work establishes a feasible design principle for organic–inorganic hybrid glasses and underscores their potential for advanced photonic applications.</w:t>
      </w:r>
    </w:p>
    <w:p>
      <w:pPr>
        <w:spacing w:before="120" w:after="120"/>
      </w:pPr>
      <w:r>
        <w:rPr>
          <w:sz w:val="18"/>
        </w:rPr>
        <w:t>——————————————————————————————————————————————————————————————————————</w:t>
      </w:r>
    </w:p>
    <w:p>
      <w:pPr>
        <w:spacing w:before="160" w:after="40" w:line="240" w:lineRule="auto"/>
      </w:pPr>
      <w:r>
        <w:rPr>
          <w:b/>
        </w:rPr>
        <w:t xml:space="preserve">[347] </w:t>
      </w:r>
      <w:hyperlink r:id="rId878">
        <w:r>
          <w:rPr>
            <w:color w:val="1155CC"/>
            <w:u w:val="single"/>
          </w:rPr>
          <w:t>[ASAP] 通过铜催化可控的二氟卡宾延伸</w:t>
        </w:r>
      </w:hyperlink>
    </w:p>
    <w:p>
      <w:pPr>
        <w:spacing w:before="0" w:after="80"/>
      </w:pPr>
      <w:r>
        <w:rPr>
          <w:i/>
          <w:sz w:val="20"/>
        </w:rPr>
        <w:t>EN: [ASAP] Controllable Difluorocarbene Elongation via Copper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2026-04-22 08:08:22+00:00</w:t>
      </w:r>
      <w:r>
        <w:t xml:space="preserve">    </w:t>
      </w:r>
      <w:r>
        <w:rPr>
          <w:b/>
        </w:rPr>
        <w:t xml:space="preserve">DOI: </w:t>
      </w:r>
      <w:hyperlink r:id="rId879">
        <w:r>
          <w:rPr>
            <w:color w:val="1155CC"/>
            <w:u w:val="single"/>
          </w:rPr>
          <w:t>10.1021/jacs.6c00610</w:t>
        </w:r>
      </w:hyperlink>
    </w:p>
    <w:p>
      <w:pPr>
        <w:spacing w:before="0" w:after="120"/>
      </w:pPr>
      <w:r>
        <w:rPr>
          <w:b/>
        </w:rPr>
        <w:t xml:space="preserve">Notes: </w:t>
      </w:r>
      <w:r>
        <w:t>abstract_source=pubmed</w:t>
      </w:r>
    </w:p>
    <w:p>
      <w:pPr>
        <w:spacing w:before="0" w:after="80" w:lineRule="auto" w:line="276"/>
      </w:pPr>
      <w:r>
        <w:rPr>
          <w:b/>
        </w:rPr>
        <w:t xml:space="preserve">摘要（ZH）: </w:t>
      </w:r>
      <w:r>
        <w:t>四氟乙烯（-CF2CF2-）是材料和药物化学中的一个重要结构。然而，构建CF2CF2连接的高度模块化且合成方便的方法仍然难以实现。在此，我们报告了一种前所未有的铜催化、操作简便的二氟卡宾延伸平台，该平台可以将BrCF2CO2K、硅烯醇醚和二级炔丙基磺酸酯转化为四氟烷基化的烯丙烯，只需一步操作。简单调整二氟卡宾的化学计量比即可切换选择性，生成相应的单二氟亚甲基（CF2）掺入产物。该方法是模块化的（不需要预先形成的氟化构件），操作简单（所有试剂均可商业获得或易于制备），选择性高（可控的双或</w:t>
      </w:r>
    </w:p>
    <w:p>
      <w:pPr>
        <w:spacing w:before="0" w:after="200" w:lineRule="auto" w:line="276"/>
      </w:pPr>
      <w:r>
        <w:rPr>
          <w:b/>
        </w:rPr>
        <w:t xml:space="preserve">Abstract (EN): </w:t>
      </w:r>
      <w:r>
        <w:t>Tetrafluoroethylene (-CF2CF2-) is a privileged motif in materials and medicinal chemistry. However, a highly modular and synthetically convenient method for constructing the CF2CF2 linkage remains elusive. Here, we report an unprecedented copper-catalyzed, bench-friendly difluorocarbene elongation platform that converts BrCF2CO2K, silyl enol ethers, and secondary propargyl sulfonates into tetrafluoroalkylated allenes in a single operation. Simply tuning the difluorocarbene stoichiometry switches selectivity to the corresponding monodifluoromethylene (CF2) incorporation products. The method is modular (no preformed fluorinated building blocks are required), operationally simple (all reagents are commercially available or easily prepared), highly selective (controllable formation of bis- or mono-CF2-containing products), and tolerant of diverse functional groups, including those found in drug-like scaffolds. The products serve as versatile linchpins for downstream transformations, opening expedient routes to advanced materials and modern drug discovery.</w:t>
      </w:r>
    </w:p>
    <w:p>
      <w:pPr>
        <w:spacing w:before="120" w:after="120"/>
      </w:pPr>
      <w:r>
        <w:rPr>
          <w:sz w:val="18"/>
        </w:rPr>
        <w:t>——————————————————————————————————————————————————————————————————————</w:t>
      </w:r>
    </w:p>
    <w:p>
      <w:pPr>
        <w:spacing w:before="160" w:after="40" w:line="240" w:lineRule="auto"/>
      </w:pPr>
      <w:r>
        <w:rPr>
          <w:b/>
        </w:rPr>
        <w:t xml:space="preserve">[348] </w:t>
      </w:r>
      <w:hyperlink r:id="rId880">
        <w:r>
          <w:rPr>
            <w:color w:val="1155CC"/>
            <w:u w:val="single"/>
          </w:rPr>
          <w:t>[ASAP] 手性Cp*克隆的模块化组装解锁用于对映选择性C–H功能化的高性能催化剂</w:t>
        </w:r>
      </w:hyperlink>
    </w:p>
    <w:p>
      <w:pPr>
        <w:spacing w:before="0" w:after="80"/>
      </w:pPr>
      <w:r>
        <w:rPr>
          <w:i/>
          <w:sz w:val="20"/>
        </w:rPr>
        <w:t>EN: [ASAP] Modular Assembly of Chiral Cp* Clones Unlocks Performant Catalysts for Enantioselective C–H Functionalizations</w:t>
      </w:r>
    </w:p>
    <w:p>
      <w:pPr>
        <w:spacing w:before="0" w:after="120"/>
      </w:pPr>
      <w:r>
        <w:rPr>
          <w:b/>
        </w:rPr>
        <w:t xml:space="preserve">Source: </w:t>
      </w:r>
      <w:r>
        <w:t>Journal of the American Chemical Society: Latest Articles (ACS Publications)</w:t>
      </w:r>
      <w:r>
        <w:t xml:space="preserve">    </w:t>
      </w:r>
      <w:r>
        <w:rPr>
          <w:b/>
        </w:rPr>
        <w:t xml:space="preserve">Pub date: </w:t>
      </w:r>
      <w:r>
        <w:t>2026-04-22 10:34:28+00:00</w:t>
      </w:r>
      <w:r>
        <w:t xml:space="preserve">    </w:t>
      </w:r>
      <w:r>
        <w:rPr>
          <w:b/>
        </w:rPr>
        <w:t xml:space="preserve">DOI: </w:t>
      </w:r>
      <w:hyperlink r:id="rId881">
        <w:r>
          <w:rPr>
            <w:color w:val="1155CC"/>
            <w:u w:val="single"/>
          </w:rPr>
          <w:t>10.1021/jacs.6c05307</w:t>
        </w:r>
      </w:hyperlink>
    </w:p>
    <w:p>
      <w:pPr>
        <w:spacing w:before="0" w:after="120"/>
      </w:pPr>
      <w:r>
        <w:rPr>
          <w:b/>
        </w:rPr>
        <w:t xml:space="preserve">Notes: </w:t>
      </w:r>
      <w:r>
        <w:t>abstract_source=pubmed</w:t>
      </w:r>
    </w:p>
    <w:p>
      <w:pPr>
        <w:spacing w:before="0" w:after="80" w:lineRule="auto" w:line="276"/>
      </w:pPr>
      <w:r>
        <w:rPr>
          <w:b/>
        </w:rPr>
        <w:t xml:space="preserve">摘要（ZH）: </w:t>
      </w:r>
      <w:r>
        <w:t>手性环戊二烯基（Cpx）配体在不对称过渡金属催化中有广泛应用。然而，进一步的配体开发对于解锁不同的反应性结果和突破当前的选择性界限至关重要。过去的配体设计工作主要集中在将新的手性骨架引入到二取代的Cpx实体中。相比之下，Cpx环的取代程度的修改以及这些取代基性质的多样化仍然很少被探索。在这方面，一种简洁的合成方法，用于制备具有高度取代灵活性的Cpx配体是最理想的。在此，我们报告了一种模块化策略，用于快速组装结构多样的五取代Cpx配体（CpV）。易于获得的1,</w:t>
      </w:r>
    </w:p>
    <w:p>
      <w:pPr>
        <w:spacing w:before="0" w:after="200" w:lineRule="auto" w:line="276"/>
      </w:pPr>
      <w:r>
        <w:rPr>
          <w:b/>
        </w:rPr>
        <w:t xml:space="preserve">Abstract (EN): </w:t>
      </w:r>
      <w:r>
        <w:t>Chiral cyclopentadienyl (Cpx) ligands have widespread applications in asymmetric transition-metal catalysis. Yet, further ligand development is crucial to unlock different reactivity outcomes and break through current selectivity boundaries. Past ligand design efforts have primarily focused on incorporating new chiral backbones into disubstituted Cpx entities. In contrast, modification of the substitution degree of the Cpx ring and diversification of the nature of these substituents remain largely underexplored. In this respect, a concise synthetic approach toward highly substituted Cpx ligands with profound substituent flexibility is most desirable. Herein, we report a modular strategy for the rapid assembly of structurally diverse pentasubstituted Cpx ligands (CpV). Readily accessible 1,2,3-trifunctionalized cyclopentadiene building blocks are leveraged in a robust one-step dialkylation procedure, integrating a wide range of chiral bis-electrophiles. This combinatorial approach reduces the synthetic upfront investment of catalyst screenings and enables fast ligand diversification with extensive steric and electronic substituent tunability. Subsequent complexation with group 9 metals (Co, Rh, Ir) was amply demonstrated (50+ examples), and electronic parametrization of the ligands via their respective CpVRh phosphite species was performed. In selected exemplary asymmetric C-H functionalizations, the pentasubstituted CpV cobalt and rhodium catalysts acted as true chiral Cp* clones, delivering excellent reactivity under identical conditions. Easily introduced modifications of the CpV substituents prompted strong responses in stereoselectivity, including several instances of enantio-inversion. For each catalytic benchmark assessment, multiple CpV ligands directly outperformed their di- or trisubstituted Cpx counterparts with simultaneously improved yields, diastereo-, and enantioselectivities. As such, the CpV platform addresses catalyst performance issues in challenging transformations, as well as substantially expands the reactivity and selectivity optimization options for future methodology development.</w:t>
      </w:r>
    </w:p>
    <w:p>
      <w:pPr>
        <w:spacing w:before="120" w:after="120"/>
      </w:pPr>
      <w:r>
        <w:rPr>
          <w:sz w:val="18"/>
        </w:rPr>
        <w:t>——————————————————————————————————————————————————————————————————————</w:t>
      </w:r>
    </w:p>
    <w:p>
      <w:pPr>
        <w:spacing w:before="160" w:after="40" w:line="240" w:lineRule="auto"/>
      </w:pPr>
      <w:r>
        <w:rPr>
          <w:b/>
        </w:rPr>
        <w:t xml:space="preserve">[349] </w:t>
      </w:r>
      <w:hyperlink r:id="rId882">
        <w:r>
          <w:rPr>
            <w:color w:val="1155CC"/>
            <w:u w:val="single"/>
          </w:rPr>
          <w:t>[ASAP] 通过金属有机框架的剂量输送实现的氟化气体电还原自由基烯烃双功能化</w:t>
        </w:r>
      </w:hyperlink>
    </w:p>
    <w:p>
      <w:pPr>
        <w:spacing w:before="0" w:after="80"/>
      </w:pPr>
      <w:r>
        <w:rPr>
          <w:i/>
          <w:sz w:val="20"/>
        </w:rPr>
        <w:t>EN: [ASAP] Electroreductive Radical Olefin Difunctionalization with Fluorinated Gases Enabled by Dosage Delivery from a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2026-04-22 11:43:21+00:00</w:t>
      </w:r>
      <w:r>
        <w:t xml:space="preserve">    </w:t>
      </w:r>
      <w:r>
        <w:rPr>
          <w:b/>
        </w:rPr>
        <w:t xml:space="preserve">DOI: </w:t>
      </w:r>
      <w:hyperlink r:id="rId883">
        <w:r>
          <w:rPr>
            <w:color w:val="1155CC"/>
            <w:u w:val="single"/>
          </w:rPr>
          <w:t>10.1021/jacs.6c01583</w:t>
        </w:r>
      </w:hyperlink>
    </w:p>
    <w:p>
      <w:pPr>
        <w:spacing w:before="0" w:after="120"/>
      </w:pPr>
      <w:r>
        <w:rPr>
          <w:b/>
        </w:rPr>
        <w:t xml:space="preserve">Notes: </w:t>
      </w:r>
      <w:r>
        <w:t>abstract_source=pubmed</w:t>
      </w:r>
    </w:p>
    <w:p>
      <w:pPr>
        <w:spacing w:before="0" w:after="80" w:lineRule="auto" w:line="276"/>
      </w:pPr>
      <w:r>
        <w:rPr>
          <w:b/>
        </w:rPr>
        <w:t xml:space="preserve">摘要（ZH）: </w:t>
      </w:r>
      <w:r>
        <w:t>氟烷基基团对于调节类药物分子的药代动力学性质至关重要，这激励了开发实用方法以在后期阶段安装它们。尽管取得了广泛进展，但大多数现代氟烷基化策略依赖于不切实际的试剂或苛刻的反应条件，限制了其可持续性和可扩展性。电化学提供了一种引人注目的替代方案，通过在温和条件下实现可控和可调的自由基生成；然而，电化学氟烷基化反应，特别是还原性转化，仍然显著欠发展。在此，我们报告了一种用于电还原烯烃双功能化的通用平台，该平台使用简单的氟烷基碘化物气体（CF3I、CF3CF2I和CF2HI），并通过ro安全处理</w:t>
      </w:r>
    </w:p>
    <w:p>
      <w:pPr>
        <w:spacing w:before="0" w:after="200" w:lineRule="auto" w:line="276"/>
      </w:pPr>
      <w:r>
        <w:rPr>
          <w:b/>
        </w:rPr>
        <w:t xml:space="preserve">Abstract (EN): </w:t>
      </w:r>
      <w:r>
        <w:t>Fluoroalkyl groups are crucial for tuning the pharmacokinetic properties of drug-like molecules, motivating the development of practical methods for their late-stage installation. Despite extensive progress, most contemporary fluoroalkylation strategies rely on impractical reagents or harsh reaction conditions, limiting their sustainability and scalability. Electrochemistry offers a compelling alternative by enabling controlled and tunable radical generation under mild conditions; however, electrochemical fluoroalkylation reactions, particularly reductive transformations, remain significantly underdeveloped. Herein, we report a general platform for electroreductive olefin difunctionalization that employs simple fluoroalkyl iodide gases (CF3I, CF3CF2I, and CF2HI) handled safely using the robust, inexpensive, recyclable, and redox-innocent metal-organic framework (MOF) Al-fum. Our method delivers streamlined access to fluoroalkylated products and enables electroreductive olefin difunctionalization for installing the medicinally important CF2H group. All reactions proceed with broad functional group tolerance (including for other alkyl halides) and are suitable for follow-on diversification. Together, our findings expand the scope of electroreductive fluoroalkylation chemistry and establish gas-MOF reagents as powerful tools to deliver fluoroalkyl iodide gases for electroorganic synthesis.</w:t>
      </w:r>
    </w:p>
    <w:p>
      <w:pPr>
        <w:spacing w:before="120" w:after="120"/>
      </w:pPr>
      <w:r>
        <w:rPr>
          <w:sz w:val="18"/>
        </w:rPr>
        <w:t>——————————————————————————————————————————————————————————————————————</w:t>
      </w:r>
    </w:p>
    <w:p>
      <w:pPr>
        <w:spacing w:before="160" w:after="40" w:line="240" w:lineRule="auto"/>
      </w:pPr>
      <w:r>
        <w:rPr>
          <w:b/>
        </w:rPr>
        <w:t xml:space="preserve">[350] </w:t>
      </w:r>
      <w:hyperlink r:id="rId884">
        <w:r>
          <w:rPr>
            <w:color w:val="1155CC"/>
            <w:u w:val="single"/>
          </w:rPr>
          <w:t>[ASAP] 溴噻吩异构体的激光诱导开环和解离动力学的时间分辨研究</w:t>
        </w:r>
      </w:hyperlink>
    </w:p>
    <w:p>
      <w:pPr>
        <w:spacing w:before="0" w:after="80"/>
      </w:pPr>
      <w:r>
        <w:rPr>
          <w:i/>
          <w:sz w:val="20"/>
        </w:rPr>
        <w:t>EN: [ASAP] Time-Resolved Laser-Induced Ring-Opening and Dissociation Dynamics in Bromothiophene Isomers</w:t>
      </w:r>
    </w:p>
    <w:p>
      <w:pPr>
        <w:spacing w:before="0" w:after="120"/>
      </w:pPr>
      <w:r>
        <w:rPr>
          <w:b/>
        </w:rPr>
        <w:t xml:space="preserve">Source: </w:t>
      </w:r>
      <w:r>
        <w:t>Journal of the American Chemical Society: Latest Articles (ACS Publications)</w:t>
      </w:r>
      <w:r>
        <w:t xml:space="preserve">    </w:t>
      </w:r>
      <w:r>
        <w:rPr>
          <w:b/>
        </w:rPr>
        <w:t xml:space="preserve">Pub date: </w:t>
      </w:r>
      <w:r>
        <w:t>2026-04-22 12:17:06+00:00</w:t>
      </w:r>
      <w:r>
        <w:t xml:space="preserve">    </w:t>
      </w:r>
      <w:r>
        <w:rPr>
          <w:b/>
        </w:rPr>
        <w:t xml:space="preserve">DOI: </w:t>
      </w:r>
      <w:hyperlink r:id="rId885">
        <w:r>
          <w:rPr>
            <w:color w:val="1155CC"/>
            <w:u w:val="single"/>
          </w:rPr>
          <w:t>10.1021/jacs.6c05063</w:t>
        </w:r>
      </w:hyperlink>
    </w:p>
    <w:p>
      <w:pPr>
        <w:spacing w:before="0" w:after="120"/>
      </w:pPr>
      <w:r>
        <w:rPr>
          <w:b/>
        </w:rPr>
        <w:t xml:space="preserve">Notes: </w:t>
      </w:r>
      <w:r>
        <w:t>abstract_source=pubmed</w:t>
      </w:r>
    </w:p>
    <w:p>
      <w:pPr>
        <w:spacing w:before="0" w:after="80" w:lineRule="auto" w:line="276"/>
      </w:pPr>
      <w:r>
        <w:rPr>
          <w:b/>
        </w:rPr>
        <w:t xml:space="preserve">摘要（ZH）: </w:t>
      </w:r>
      <w:r>
        <w:t>光诱导分子开环反应在许多自然化学过程中起着关键作用；然而，关于支配这些转化的基本机制仍存在悬而未决的问题。此外，对开环反应的理解对光电子和分子控制应用具有重要影响。这些化学反应是通过其势能面中的锥形交叉点在电子态之间的非绝热耦合驱动的，其激发态动力学仍然是争论的焦点。在此，我们结合了即时从头算分子动力学模拟和强大的成像超快紫外泵-红外探针光谱技术，详细研究了2-和3-溴噻吩的解离路径。</w:t>
      </w:r>
    </w:p>
    <w:p>
      <w:pPr>
        <w:spacing w:before="0" w:after="200" w:lineRule="auto" w:line="276"/>
      </w:pPr>
      <w:r>
        <w:rPr>
          <w:b/>
        </w:rPr>
        <w:t xml:space="preserve">Abstract (EN): </w:t>
      </w:r>
      <w:r>
        <w:t>Photoinduced molecular ring-opening reactions play a critical role in many natural chemical processes; however, there are pending questions regarding the fundamental mechanisms that govern these transformations. Furthermore, the understanding of ring-opening reactions has an important impact on optoelectronic and molecular control applications. These chemical reactions are driven by nonadiabatic coupling between electronic states through conical intersections in their potential energy surfaces, and their excited state dynamics are still a matter of debates. Here, we use a combination of on-the-fly ab initio molecular dynamics simulations and a powerful imaging ultrafast UV pump-IR probe spectroscopy technique to examine in detail the dissociation pathways followed by 2- and 3-bromothiophene. Using time-dependent momentum imaging, we identify clearly three dominant fragmentation channels following UV photon absorption: C-Br bond dissociation and cleavage of either C-S bond, which induce structural changes through molecular ring-opening prior to IR-induced ionization. We also obtain their fragmentation times, which span 600 to 1300 fs. Our findings elucidate both the initial excited states that initiate these dynamics and the nature of the electronic states reached by the nonadiabatic population transfer, a process essential to the observed ring-opening dynamics. Investigations of both 2- and 3-bromothiophene highlight the isomer dependence of UV absorption and reveal differences unknown before. Our results unambiguously support the role of ultrafast internal conversion from the dominant electronic states initiating ring-opening dynamics and identify the conical intersections that determine ring opening. Our work provides findings that advance the understanding of excited-state dynamics in ring molecules.</w:t>
      </w:r>
    </w:p>
    <w:p>
      <w:pPr>
        <w:spacing w:before="120" w:after="120"/>
      </w:pPr>
      <w:r>
        <w:rPr>
          <w:sz w:val="18"/>
        </w:rPr>
        <w:t>——————————————————————————————————————————————————————————————————————</w:t>
      </w:r>
    </w:p>
    <w:p>
      <w:pPr>
        <w:spacing w:before="160" w:after="40" w:line="240" w:lineRule="auto"/>
      </w:pPr>
      <w:r>
        <w:rPr>
          <w:b/>
        </w:rPr>
        <w:t xml:space="preserve">[351] </w:t>
      </w:r>
      <w:hyperlink r:id="rId886">
        <w:r>
          <w:rPr>
            <w:color w:val="1155CC"/>
            <w:u w:val="single"/>
          </w:rPr>
          <w:t>[ASAP] 在自由基共价有机框架中原位光聚合水凝胶</w:t>
        </w:r>
      </w:hyperlink>
    </w:p>
    <w:p>
      <w:pPr>
        <w:spacing w:before="0" w:after="80"/>
      </w:pPr>
      <w:r>
        <w:rPr>
          <w:i/>
          <w:sz w:val="20"/>
        </w:rPr>
        <w:t>EN: [ASAP] In Situ Photopolymerization of Hydrogels in Radical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2026-04-22 12:18:04+00:00</w:t>
      </w:r>
      <w:r>
        <w:t xml:space="preserve">    </w:t>
      </w:r>
      <w:r>
        <w:rPr>
          <w:b/>
        </w:rPr>
        <w:t xml:space="preserve">DOI: </w:t>
      </w:r>
      <w:hyperlink r:id="rId887">
        <w:r>
          <w:rPr>
            <w:color w:val="1155CC"/>
            <w:u w:val="single"/>
          </w:rPr>
          <w:t>10.1021/jacs.5c21333</w:t>
        </w:r>
      </w:hyperlink>
    </w:p>
    <w:p>
      <w:pPr>
        <w:spacing w:before="0" w:after="120"/>
      </w:pPr>
      <w:r>
        <w:rPr>
          <w:b/>
        </w:rPr>
        <w:t xml:space="preserve">Notes: </w:t>
      </w:r>
      <w:r>
        <w:t>abstract_source=pubmed</w:t>
      </w:r>
    </w:p>
    <w:p>
      <w:pPr>
        <w:spacing w:before="0" w:after="80" w:lineRule="auto" w:line="276"/>
      </w:pPr>
      <w:r>
        <w:rPr>
          <w:b/>
        </w:rPr>
        <w:t xml:space="preserve">摘要（ZH）: </w:t>
      </w:r>
      <w:r>
        <w:t>分子引发剂，特别是用于光引发的引发剂，几十年来一直主导着水凝胶的合成。然而，其小分子特性导致水凝胶中出现若干问题：从聚合物基质中迁移、光稳定性差、功能性有限以及机械性能相对较差。在本研究中，我们报告了作为下一代水凝胶合成光引发剂的自由基共价有机框架（COFs）的高分子实例，并提出了一种双重引发机制。自由基COFs中的原位聚合使水凝胶具有超高的拉伸强度（4.3 MPa）、出色的可拉伸性（断裂应变提高了1个数量级，13,382%）、卓越的韧性（262 MJ/m3）以及完全可恢复的大变形。</w:t>
      </w:r>
    </w:p>
    <w:p>
      <w:pPr>
        <w:spacing w:before="0" w:after="200" w:lineRule="auto" w:line="276"/>
      </w:pPr>
      <w:r>
        <w:rPr>
          <w:b/>
        </w:rPr>
        <w:t xml:space="preserve">Abstract (EN): </w:t>
      </w:r>
      <w:r>
        <w:t>Molecular initiating agents, particularly those used for photoinitiation, have dominated hydrogel synthesis for decades. However, their small molecular nature leads to several issues in hydrogels: migration out of the polymer matrix, poor photostability, limited functionality, and relatively poor mechanical properties. In this study, we report macromolecular examples of radical covalent organic frameworks (COFs) as next-generation photoinitiating agents for hydrogel synthesis, along with a proposed dual-initiation mechanism. In situ polymerization in radical COFs enables hydrogels with an ultrahigh tensile strength of 4.3 MPa, outstanding stretchability with a fracture strain improved by 1 order of magnitude (13,382%), an exceptional toughness of 262 MJ/m3, and fully recoverable large deformation (up to 1500% strain). This exceptional performance is attributed to the physical nanoconfined effect of the framework and chemical crosslinking between hydrogels and COF walls. Furthermore, the exceptional strength, toughness, and durability of the hydrogel enable its excellent applicability in wearable sensors, delivering multiangle detection with high sensitivity over prolonged operation.</w:t>
      </w:r>
    </w:p>
    <w:p>
      <w:pPr>
        <w:spacing w:before="120" w:after="120"/>
      </w:pPr>
      <w:r>
        <w:rPr>
          <w:sz w:val="18"/>
        </w:rPr>
        <w:t>——————————————————————————————————————————————————————————————————————</w:t>
      </w:r>
    </w:p>
    <w:p>
      <w:pPr>
        <w:spacing w:before="160" w:after="40" w:line="240" w:lineRule="auto"/>
      </w:pPr>
      <w:r>
        <w:rPr>
          <w:b/>
        </w:rPr>
        <w:t xml:space="preserve">[352] </w:t>
      </w:r>
      <w:hyperlink r:id="rId888">
        <w:r>
          <w:rPr>
            <w:color w:val="1155CC"/>
            <w:u w:val="single"/>
          </w:rPr>
          <w:t>[ASAP] 电极正交非共价自组装在分子电催化剂周围编程微环境</w:t>
        </w:r>
      </w:hyperlink>
    </w:p>
    <w:p>
      <w:pPr>
        <w:spacing w:before="0" w:after="80"/>
      </w:pPr>
      <w:r>
        <w:rPr>
          <w:i/>
          <w:sz w:val="20"/>
        </w:rPr>
        <w:t>EN: [ASAP] Electrode-Orthogonal Non-Covalent Self-Assembly Programs Microenvironments around Molecular Electrocatalysts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2026-04-22 13:19:26+00:00</w:t>
      </w:r>
      <w:r>
        <w:t xml:space="preserve">    </w:t>
      </w:r>
      <w:r>
        <w:rPr>
          <w:b/>
        </w:rPr>
        <w:t xml:space="preserve">DOI: </w:t>
      </w:r>
      <w:hyperlink r:id="rId889">
        <w:r>
          <w:rPr>
            <w:color w:val="1155CC"/>
            <w:u w:val="single"/>
          </w:rPr>
          <w:t>10.1021/jacs.6c02348</w:t>
        </w:r>
      </w:hyperlink>
    </w:p>
    <w:p>
      <w:pPr>
        <w:spacing w:before="0" w:after="120"/>
      </w:pPr>
      <w:r>
        <w:rPr>
          <w:b/>
        </w:rPr>
        <w:t xml:space="preserve">Notes: </w:t>
      </w:r>
      <w:r>
        <w:t>abstract_source=openalex</w:t>
      </w:r>
    </w:p>
    <w:p>
      <w:pPr>
        <w:spacing w:before="0" w:after="80" w:lineRule="auto" w:line="276"/>
      </w:pPr>
      <w:r>
        <w:rPr>
          <w:b/>
        </w:rPr>
        <w:t xml:space="preserve">摘要（ZH）: </w:t>
      </w:r>
      <w:r>
        <w:t>在此，我们介绍了一种催化剂设计策略，其中非共价自组装同时实现对活性位点和微环境的分子控制，以推动水中的高效电合成。以中性条件下从O&lt;sub&gt;2&lt;/sub&gt;电合成H&lt;sub&gt;2&lt;/sub&gt;O&lt;sub&gt;2&lt;/sub&gt;的蒽醌催化为模型系统，我们设计了蒽醌功能化的两亲分子，这些分子通过静电和范德华相互作用在极化电极上一步&lt;i&gt;in situ&lt;/i&gt;自组装。该过程将蒽醌固定并浓缩在一个疏水微环境中，使得活性中间体的碱性增加3个pK&lt;sub&gt;a&lt;/sub&gt;单位，否则在体相中难以获得。自组装催化剂因此增强了O&lt;sub&gt;2&lt;/sub&gt;的还原。</w:t>
      </w:r>
    </w:p>
    <w:p>
      <w:pPr>
        <w:spacing w:before="0" w:after="200" w:lineRule="auto" w:line="276"/>
      </w:pPr>
      <w:r>
        <w:rPr>
          <w:b/>
        </w:rPr>
        <w:t xml:space="preserve">Abstract (EN): </w:t>
      </w:r>
      <w:r>
        <w:t>Here, we introduce a catalyst design strategy where non-covalent self-assembly enables molecular control over the active site and microenvironment at the same time to drive efficient electrosynthesis in water. Using anthraquinone-catalyzed H&lt;sub&gt;2&lt;/sub&gt;O&lt;sub&gt;2&lt;/sub&gt; electrosynthesis from O&lt;sub&gt;2&lt;/sub&gt; under neutral conditions as a model system, we design anthraquinone-functionalized amphiphiles that self-assemble at polarized electrodes in one &lt;i&gt;in situ&lt;/i&gt; step via electrostatic and van der Waals interactions. This process pins and concentrates anthraquinone in a hydrophobic microenvironment that increases the basicity of active intermediates, otherwise poorly accessible in the bulk, by 3 pK&lt;sub&gt;a&lt;/sub&gt; units. The self-assembled catalyst consequently enhances O&lt;sub&gt;2&lt;/sub&gt; reduction over the control catalyst that remains in the bulk solution and does not tether to the electrode. As self-assembly is reversible and agnostic to the surface chemistry of the electrode, this strategy can be translated to high-surface-area electrodes, catalyzing O&lt;sub&gt;2&lt;/sub&gt; reduction at 924 mol H&lt;sub&gt;2&lt;/sub&gt;O&lt;sub&gt;2&lt;/sub&gt; mol&lt;sub&gt;cat&lt;/sub&gt;&lt;sup&gt;-1&lt;/sup&gt; h&lt;sup&gt;-1&lt;/sup&gt; while allowing recovery and reuse of the amphiphile catalyst. Integrating molecular catalysts into amphiphiles that predictively self-assemble at electrodes to program microenvironments around catalytic sites, our study showcases electrode-orthogonal non-covalent self-assembly as a molecularly tunable construct to enhance electrocatalysis.</w:t>
      </w:r>
    </w:p>
    <w:p>
      <w:pPr>
        <w:spacing w:before="120" w:after="120"/>
      </w:pPr>
      <w:r>
        <w:rPr>
          <w:sz w:val="18"/>
        </w:rPr>
        <w:t>——————————————————————————————————————————————————————————————————————</w:t>
      </w:r>
    </w:p>
    <w:p>
      <w:pPr>
        <w:spacing w:before="160" w:after="40" w:line="240" w:lineRule="auto"/>
      </w:pPr>
      <w:r>
        <w:rPr>
          <w:b/>
        </w:rPr>
        <w:t xml:space="preserve">[353] </w:t>
      </w:r>
      <w:hyperlink r:id="rId890">
        <w:r>
          <w:rPr>
            <w:color w:val="1155CC"/>
            <w:u w:val="single"/>
          </w:rPr>
          <w:t>[ASAP] 通过机器学习方法对完整细胞进行NMR光谱表型分类</w:t>
        </w:r>
      </w:hyperlink>
    </w:p>
    <w:p>
      <w:pPr>
        <w:spacing w:before="0" w:after="80"/>
      </w:pPr>
      <w:r>
        <w:rPr>
          <w:i/>
          <w:sz w:val="20"/>
        </w:rPr>
        <w:t>EN: [ASAP] Phenotype Classification of Intact Cells by NMR Spectroscopy through Machine Learning Approaches</w:t>
      </w:r>
    </w:p>
    <w:p>
      <w:pPr>
        <w:spacing w:before="0" w:after="120"/>
      </w:pPr>
      <w:r>
        <w:rPr>
          <w:b/>
        </w:rPr>
        <w:t xml:space="preserve">Source: </w:t>
      </w:r>
      <w:r>
        <w:t>Journal of the American Chemical Society: Latest Articles (ACS Publications)</w:t>
      </w:r>
      <w:r>
        <w:t xml:space="preserve">    </w:t>
      </w:r>
      <w:r>
        <w:rPr>
          <w:b/>
        </w:rPr>
        <w:t xml:space="preserve">Pub date: </w:t>
      </w:r>
      <w:r>
        <w:t>2026-04-22 13:43:22+00:00</w:t>
      </w:r>
      <w:r>
        <w:t xml:space="preserve">    </w:t>
      </w:r>
      <w:r>
        <w:rPr>
          <w:b/>
        </w:rPr>
        <w:t xml:space="preserve">DOI: </w:t>
      </w:r>
      <w:hyperlink r:id="rId891">
        <w:r>
          <w:rPr>
            <w:color w:val="1155CC"/>
            <w:u w:val="single"/>
          </w:rPr>
          <w:t>10.1021/jacs.6c01100</w:t>
        </w:r>
      </w:hyperlink>
    </w:p>
    <w:p>
      <w:pPr>
        <w:spacing w:before="0" w:after="120"/>
      </w:pPr>
      <w:r>
        <w:rPr>
          <w:b/>
        </w:rPr>
        <w:t xml:space="preserve">Notes: </w:t>
      </w:r>
      <w:r>
        <w:t>abstract_source=openalex</w:t>
      </w:r>
    </w:p>
    <w:p>
      <w:pPr>
        <w:spacing w:before="0" w:after="80" w:lineRule="auto" w:line="276"/>
      </w:pPr>
      <w:r>
        <w:rPr>
          <w:b/>
        </w:rPr>
        <w:t xml:space="preserve">摘要（ZH）: </w:t>
      </w:r>
      <w:r>
        <w:t>核磁共振（NMR）光谱是一种强大且非侵入性的工具，用于分析复杂的生物样品。&lt;i&gt;体外&lt;/i&gt;，生物流体和细胞提取物的高分辨率一维NMR光谱使得根据代谢指纹对生物样品进行分类成为可能。然而，由于此类样品的固有不均匀性导致的线宽展宽，当前无法对活细胞或组织进行此类分析，也无法通过光谱成像&lt;i&gt;体内&lt;/i&gt;进行。在此，我们展示了将机器学习方法应用于在高场记录的活体完整细胞的分辨率较低的NMR光谱，可以对&lt;i&gt;体外&lt;/i&gt;培养的不同生理病理相关细胞类型进行分类。我们证明了神经祖细胞的成功分类</w:t>
      </w:r>
    </w:p>
    <w:p>
      <w:pPr>
        <w:spacing w:before="0" w:after="200" w:lineRule="auto" w:line="276"/>
      </w:pPr>
      <w:r>
        <w:rPr>
          <w:b/>
        </w:rPr>
        <w:t xml:space="preserve">Abstract (EN): </w:t>
      </w:r>
      <w:r>
        <w:t>NMR spectroscopy is a powerful, noninvasive tool to analyze complex biological samples. &lt;i&gt;In vitro&lt;/i&gt;, high-resolution, 1D NMR spectra of biofluids and cell extracts make it possible to classify biological samples based on their metabolic fingerprint. However, such analysis is currently not possible with live cells or tissues, or by spectroscopic imaging &lt;i&gt;in vivo,&lt;/i&gt; due to the line broadening arising from the intrinsic inhomogeneity of such samples, causing severe signal overlap. Here, we show that machine learning approaches applied to poorly resolved NMR spectra of live, intact cells recorded at high fields allow for the classification of different physiopathologically relevant cell types cultured &lt;i&gt;in vitro&lt;/i&gt;. We demonstrate the successful classification of neural progenitor cells, neurons, and astrocytes, as well as the classification of mixed cell type samples, and show that a classifier trained on high-field NMR spectra can discriminate cells analyzed at lower fields, approaching those of current MRI instruments. In the future, this approach could be further developed for MRSI data analysis applications, potentially offering a noninvasive diagnostic tool for lesions of the central nervous system and reducing the need for biopsies.</w:t>
      </w:r>
    </w:p>
    <w:p>
      <w:pPr>
        <w:spacing w:before="120" w:after="120"/>
      </w:pPr>
      <w:r>
        <w:rPr>
          <w:sz w:val="18"/>
        </w:rPr>
        <w:t>——————————————————————————————————————————————————————————————————————</w:t>
      </w:r>
    </w:p>
    <w:p>
      <w:pPr>
        <w:spacing w:before="160" w:after="40" w:line="240" w:lineRule="auto"/>
      </w:pPr>
      <w:r>
        <w:rPr>
          <w:b/>
        </w:rPr>
        <w:t xml:space="preserve">[354] </w:t>
      </w:r>
      <w:hyperlink r:id="rId892">
        <w:r>
          <w:rPr>
            <w:color w:val="1155CC"/>
            <w:u w:val="single"/>
          </w:rPr>
          <w:t>[ASAP] 通过嵌入环戊[a]庚烯核心和多个附加七元环的扭曲纳米石墨烯：手性超分子π-十二聚体和与富勒烯的共晶</w:t>
        </w:r>
      </w:hyperlink>
    </w:p>
    <w:p>
      <w:pPr>
        <w:spacing w:before="0" w:after="80"/>
      </w:pPr>
      <w:r>
        <w:rPr>
          <w:i/>
          <w:sz w:val="20"/>
        </w:rPr>
        <w:t>EN: [ASAP] Distorted Nanographenes by Embedding a Cyclopenta[a]heptalene Core and Multiple Additional Heptagons: Chiral Supramolecular π-Dodecamer and Co-crystal with Fullerenes</w:t>
      </w:r>
    </w:p>
    <w:p>
      <w:pPr>
        <w:spacing w:before="0" w:after="120"/>
      </w:pPr>
      <w:r>
        <w:rPr>
          <w:b/>
        </w:rPr>
        <w:t xml:space="preserve">Source: </w:t>
      </w:r>
      <w:r>
        <w:t>Journal of the American Chemical Society: Latest Articles (ACS Publications)</w:t>
      </w:r>
      <w:r>
        <w:t xml:space="preserve">    </w:t>
      </w:r>
      <w:r>
        <w:rPr>
          <w:b/>
        </w:rPr>
        <w:t xml:space="preserve">Pub date: </w:t>
      </w:r>
      <w:r>
        <w:t>2026-04-22 14:43:45+00:00</w:t>
      </w:r>
      <w:r>
        <w:t xml:space="preserve">    </w:t>
      </w:r>
      <w:r>
        <w:rPr>
          <w:b/>
        </w:rPr>
        <w:t xml:space="preserve">DOI: </w:t>
      </w:r>
      <w:hyperlink r:id="rId893">
        <w:r>
          <w:rPr>
            <w:color w:val="1155CC"/>
            <w:u w:val="single"/>
          </w:rPr>
          <w:t>10.1021/jacs.6c02700</w:t>
        </w:r>
      </w:hyperlink>
    </w:p>
    <w:p>
      <w:pPr>
        <w:spacing w:before="0" w:after="120"/>
      </w:pPr>
      <w:r>
        <w:rPr>
          <w:b/>
        </w:rPr>
        <w:t xml:space="preserve">Notes: </w:t>
      </w:r>
      <w:r>
        <w:t>abstract_source=openalex</w:t>
      </w:r>
    </w:p>
    <w:p>
      <w:pPr>
        <w:spacing w:before="0" w:after="80" w:lineRule="auto" w:line="276"/>
      </w:pPr>
      <w:r>
        <w:rPr>
          <w:b/>
        </w:rPr>
        <w:t xml:space="preserve">摘要（ZH）: </w:t>
      </w:r>
      <w:r>
        <w:t>含有融合五边形-七边形单元（例如，5-7、5-7-5或7-5-7环结构）的纳米石墨烯表现出显著的电子和光物理特性，而嵌入明确5-7-7环单元的碳π骨架仍然难以实现。在此，我们介绍了两种新型纳米石墨烯，它们结合了一个环戊[&lt;i&gt;a&lt;/i&gt;]庚烯核心以及两个（&lt;i&gt;C70&lt;/i&gt;）或三个（&lt;i&gt;C88&lt;/i&gt;）额外的七边形，通过Scholl反应高效合成，一步提供四个或五个七边形。嵌入的奇数环赋予π系统良好的溶解性、高光稳定性、多重氧化还原过程和优异的荧光发射。单晶X射线衍射分析揭示了&lt;i&gt;C70&lt;/i&gt;的鞍形螺旋和鞍形扭曲混合构象</w:t>
      </w:r>
    </w:p>
    <w:p>
      <w:pPr>
        <w:spacing w:before="0" w:after="200" w:lineRule="auto" w:line="276"/>
      </w:pPr>
      <w:r>
        <w:rPr>
          <w:b/>
        </w:rPr>
        <w:t xml:space="preserve">Abstract (EN): </w:t>
      </w:r>
      <w:r>
        <w:t>Nanographenes containing fused pentagon-heptagon units (e.g., 5-7, 5-7-5, or 7-5-7 ring motifs) have demonstrated remarkable electronic and photophysical properties, whereas carbon π-skeletons embedding well-defined 5-7-7 ring units remain elusive. Herein, we present two novel nanographenes incorporating a cyclopenta[&lt;i&gt;a&lt;/i&gt;]heptalene core together with two (&lt;i&gt;C70&lt;/i&gt;) or three (&lt;i&gt;C88&lt;/i&gt;) additional heptagons, which were efficiently synthesized through Scholl reactions, providing four or five heptagons in one step. The embedded odd-membered rings impart favorable solubility, high photostability, multiple redox processes, and excellent fluorescence emission to π-systems. Single-crystal X-ray diffraction analyses revealed saddle-helix and saddle-twist hybrid conformations for &lt;i&gt;C70&lt;/i&gt; and &lt;i&gt;C88&lt;/i&gt;, respectively. The smaller distorted saddle exists as a pair of enantiomers that are tightly interlocked into discrete π-dimers, while the larger twisted saddle of identical configuration self-assembled into banana-shaped columnar chiral π-dodecamers, in which six chlorobenzene molecules were alternately intercalated into the interlayers of 12 saddles, forming multilayer sandwich-like structures. Driven by a secondary nucleation event, these bent oligomeric stacks underwent hierarchical organization into &lt;i&gt;quasi&lt;/i&gt;-hexagonal, offset-packed columnar arrays. Moreover, 1:1 cocrystallization of saddle &lt;i&gt;C70&lt;/i&gt; and fullerene C&lt;sub&gt;60&lt;/sub&gt; in toluene afforded a &lt;i&gt;C&lt;/i&gt;&lt;sub&gt;&lt;i&gt;i&lt;/i&gt;&lt;/sub&gt;-symmetric 2:2:2 inclusion complex, which further self-assembled into multilayer supramolecular π-architectures. Our work demonstrates how larger distorted nanographenes with reduced symmetry, made accessible by integrating cyclopenta[&lt;i&gt;a&lt;/i&gt;]heptalene core subunits and heptagons, can direct the formation of novel solid-state packing structures.</w:t>
      </w:r>
    </w:p>
    <w:p>
      <w:pPr>
        <w:spacing w:before="120" w:after="120"/>
      </w:pPr>
      <w:r>
        <w:rPr>
          <w:sz w:val="18"/>
        </w:rPr>
        <w:t>——————————————————————————————————————————————————————————————————————</w:t>
      </w:r>
    </w:p>
    <w:p>
      <w:pPr>
        <w:spacing w:before="160" w:after="40" w:line="240" w:lineRule="auto"/>
      </w:pPr>
      <w:r>
        <w:rPr>
          <w:b/>
        </w:rPr>
        <w:t xml:space="preserve">[355] </w:t>
      </w:r>
      <w:hyperlink r:id="rId894">
        <w:r>
          <w:rPr>
            <w:color w:val="1155CC"/>
            <w:u w:val="single"/>
          </w:rPr>
          <w:t>[ASAP] 通过在功能化1T′-MoS2上的二硫苏糖醇再生进行电酶促C1固定到甘氨酸</w:t>
        </w:r>
      </w:hyperlink>
    </w:p>
    <w:p>
      <w:pPr>
        <w:spacing w:before="0" w:after="80"/>
      </w:pPr>
      <w:r>
        <w:rPr>
          <w:i/>
          <w:sz w:val="20"/>
        </w:rPr>
        <w:t>EN: [ASAP] Electroenzymatic C1 Fixation to Glycine via Dithiothreitol Regeneration on Functionalized 1T′-MoS2</w:t>
      </w:r>
    </w:p>
    <w:p>
      <w:pPr>
        <w:spacing w:before="0" w:after="120"/>
      </w:pPr>
      <w:r>
        <w:rPr>
          <w:b/>
        </w:rPr>
        <w:t xml:space="preserve">Source: </w:t>
      </w:r>
      <w:r>
        <w:t>Journal of the American Chemical Society: Latest Articles (ACS Publications)</w:t>
      </w:r>
      <w:r>
        <w:t xml:space="preserve">    </w:t>
      </w:r>
      <w:r>
        <w:rPr>
          <w:b/>
        </w:rPr>
        <w:t xml:space="preserve">Pub date: </w:t>
      </w:r>
      <w:r>
        <w:t>2026-04-22 15:13:46+00:00</w:t>
      </w:r>
      <w:r>
        <w:t xml:space="preserve">    </w:t>
      </w:r>
      <w:r>
        <w:rPr>
          <w:b/>
        </w:rPr>
        <w:t xml:space="preserve">DOI: </w:t>
      </w:r>
      <w:hyperlink r:id="rId895">
        <w:r>
          <w:rPr>
            <w:color w:val="1155CC"/>
            <w:u w:val="single"/>
          </w:rPr>
          <w:t>10.1021/jacs.6c03530</w:t>
        </w:r>
      </w:hyperlink>
    </w:p>
    <w:p>
      <w:pPr>
        <w:spacing w:before="0" w:after="120"/>
      </w:pPr>
      <w:r>
        <w:rPr>
          <w:b/>
        </w:rPr>
        <w:t xml:space="preserve">Notes: </w:t>
      </w:r>
      <w:r>
        <w:t>abstract_source=pubmed</w:t>
      </w:r>
    </w:p>
    <w:p>
      <w:pPr>
        <w:spacing w:before="0" w:after="80" w:lineRule="auto" w:line="276"/>
      </w:pPr>
      <w:r>
        <w:rPr>
          <w:b/>
        </w:rPr>
        <w:t xml:space="preserve">摘要（ZH）: </w:t>
      </w:r>
      <w:r>
        <w:t>电酶合成结合了电催化的多功能性和酶学的特异性，提供了一种可持续的化学制造策略。然而，这种方法的实际应用通常受到电极与酶之间电子转移效率低下和不兼容的限制。在此，我们提出了一种集成的电酶平台，通过建立一种高效且生物兼容的电化学再生二硫苏糖醇（DTT）作为氧化还原介质的途径，从C1原料高效合成甘氨酸。我们确定1T'-MoS2是一种高度活跃的电催化剂，用于还原二硫键，特别是通过电位依赖的双路径机制再生DTT。1T'-MoS2催化剂的共价功能化进一步</w:t>
      </w:r>
    </w:p>
    <w:p>
      <w:pPr>
        <w:spacing w:before="0" w:after="200" w:lineRule="auto" w:line="276"/>
      </w:pPr>
      <w:r>
        <w:rPr>
          <w:b/>
        </w:rPr>
        <w:t xml:space="preserve">Abstract (EN): </w:t>
      </w:r>
      <w:r>
        <w:t>Electroenzymatic synthesis, merges the versatility of electrocatalysis with the specificity of enzymology, offering a sustainable strategy for chemical manufacturing. However, the practical application of this approach is often limited by inefficient and incompatible electron transfer between the electrode and enzymes. Here, we present an integrated electroenzymatic platform for the efficient synthesis of glycine from C1 feedstock by establishing an efficient and biocompatible route for electrochemical regeneration of dithiothreitol (DTT) as a redox mediator. We identify 1T'-MoS2 as a highly active electrocatalyst for the reduction of disulfide bonds, specifically regenerating DTT via a potential-dependent dual-pathway mechanism. Covalent functionalization of the 1T'-MoS2 catalyst further enhances its performance through precise interfacial microenvironment engineering. Critically, this electrochemical regeneration system is fully biocompatible, enabling its seamless integration with a downstream chemoenzymatic cascade for glycine synthesis. The mild operating conditions preserve enzyme integrity, ensuring sustained high catalytic activity and achieving a 2-fold enhancement in glycine production up to 12.2 mM over 9 h. This work establishes a sustainable platform for C1 valorization by synergistically coupling electrocatalytic and chemoenzymatic processes, providing a generalizable platform for renewable energy-driven biomanufacturing.</w:t>
      </w:r>
    </w:p>
    <w:p>
      <w:pPr>
        <w:spacing w:before="120" w:after="120"/>
      </w:pPr>
      <w:r>
        <w:rPr>
          <w:sz w:val="18"/>
        </w:rPr>
        <w:t>——————————————————————————————————————————————————————————————————————</w:t>
      </w:r>
    </w:p>
    <w:p>
      <w:pPr>
        <w:spacing w:before="160" w:after="40" w:line="240" w:lineRule="auto"/>
      </w:pPr>
      <w:r>
        <w:rPr>
          <w:b/>
        </w:rPr>
        <w:t xml:space="preserve">[356] </w:t>
      </w:r>
      <w:hyperlink r:id="rId896">
        <w:r>
          <w:rPr>
            <w:color w:val="1155CC"/>
            <w:u w:val="single"/>
          </w:rPr>
          <w:t>[ASAP] 由手性铱(III)纳米颗粒驱动的手性免疫检查点调节</w:t>
        </w:r>
      </w:hyperlink>
    </w:p>
    <w:p>
      <w:pPr>
        <w:spacing w:before="0" w:after="80"/>
      </w:pPr>
      <w:r>
        <w:rPr>
          <w:i/>
          <w:sz w:val="20"/>
        </w:rPr>
        <w:t>EN: [ASAP] Chirality-Driven Immune Checkpoint Modulation by Chiral Iridium(III)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2026-04-22 17:02:03+00:00</w:t>
      </w:r>
      <w:r>
        <w:t xml:space="preserve">    </w:t>
      </w:r>
      <w:r>
        <w:rPr>
          <w:b/>
        </w:rPr>
        <w:t xml:space="preserve">DOI: </w:t>
      </w:r>
      <w:hyperlink r:id="rId897">
        <w:r>
          <w:rPr>
            <w:color w:val="1155CC"/>
            <w:u w:val="single"/>
          </w:rPr>
          <w:t>10.1021/jacs.6c00020</w:t>
        </w:r>
      </w:hyperlink>
    </w:p>
    <w:p>
      <w:pPr>
        <w:spacing w:before="0" w:after="120"/>
      </w:pPr>
      <w:r>
        <w:rPr>
          <w:b/>
        </w:rPr>
        <w:t xml:space="preserve">Notes: </w:t>
      </w:r>
      <w:r>
        <w:t>abstract_source=pubmed</w:t>
      </w:r>
    </w:p>
    <w:p>
      <w:pPr>
        <w:spacing w:before="0" w:after="80" w:lineRule="auto" w:line="276"/>
      </w:pPr>
      <w:r>
        <w:rPr>
          <w:b/>
        </w:rPr>
        <w:t xml:space="preserve">摘要（ZH）: </w:t>
      </w:r>
      <w:r>
        <w:t>免疫检查点抑制剂（ICIs）为晚期癌症带来了革命性的治疗机会。然而，ICIs的准确性不足迫切需要在精确靶向方面取得进展。在此，利用手性构型与手性生物分子的高度兼容性，我们构建了一对以BMS-8基团为特征的金属中心手性铱(III)纳米颗粒Δ-IrBMS8-NPs和Λ-IrBMS8-NPs，以增强与免疫检查点生物大分子的手性适应性，同时避免使用纳米载体。所得的手性纳米颗粒表现出显著不同的手性依赖性生物活性。具体而言，Δ-IrBMS8-NPs通过立体选择性识别和结合Δ-IrBMS8-实现了129倍的肿瘤靶向增强。</w:t>
      </w:r>
    </w:p>
    <w:p>
      <w:pPr>
        <w:spacing w:before="0" w:after="200" w:lineRule="auto" w:line="276"/>
      </w:pPr>
      <w:r>
        <w:rPr>
          <w:b/>
        </w:rPr>
        <w:t xml:space="preserve">Abstract (EN): </w:t>
      </w:r>
      <w:r>
        <w:t>Immune checkpoint inhibitors (ICIs) have brought revolutionary therapeutic opportunities to advanced cancers. However, the insufficient accuracy of ICIs necessitates urgent advancements in precise targeting. Herein, leveraging the high compatibility of chiral configurations with chiral biomolecules, we constructed a pair of metal-centered chiral iridium(III) nanoparticles Δ-IrBMS8-NPs and Λ-IrBMS8-NPs featuring the BMS-8 moiety to enhance the chiral adaptability with immune checkpoint biomacromolecules while avoiding the use of nanocarriers. The resulting chiral nanoparticles demonstrate markedly distinct chirality-dependent biological activities. Specifically, Δ-IrBMS8-NPs achieve a 129-fold enhancement in tumor targeting, driven by the stereoselective recognition and binding of Δ-IrBMS8-NPs to tumor-specific PD-L1. This elevated targeting accuracy of Δ-IrBMS8-NPs with PD-L1 subsequently results in significantly enhanced anticancer immune responses in vivo, especially in activating the response to cytokine pathways in dendritic cells (DCs) and the recruitment of effector CD8+ T cells to remodel the tumor microenvironment. This work pioneers the discovery of nanoscale metal-centered chirality in precisely targeting immune checkpoints and highlights the pivotal role of delta configurations in enhancing anticancer immune responses, paving the way for the future rational design of effective metal-based immunotherapies.</w:t>
      </w:r>
    </w:p>
    <w:p>
      <w:pPr>
        <w:spacing w:before="120" w:after="120"/>
      </w:pPr>
      <w:r>
        <w:rPr>
          <w:sz w:val="18"/>
        </w:rPr>
        <w:t>——————————————————————————————————————————————————————————————————————</w:t>
      </w:r>
    </w:p>
    <w:p>
      <w:pPr>
        <w:spacing w:before="160" w:after="40" w:line="240" w:lineRule="auto"/>
      </w:pPr>
      <w:r>
        <w:rPr>
          <w:b/>
        </w:rPr>
        <w:t xml:space="preserve">[357] </w:t>
      </w:r>
      <w:hyperlink r:id="rId898">
        <w:r>
          <w:rPr>
            <w:color w:val="1155CC"/>
            <w:u w:val="single"/>
          </w:rPr>
          <w:t>[ASAP] 由互穿钛网电极实现的热稳定和偏压稳定的FAPbBr3钙钛矿单晶辐射探测器</w:t>
        </w:r>
      </w:hyperlink>
    </w:p>
    <w:p>
      <w:pPr>
        <w:spacing w:before="0" w:after="80"/>
      </w:pPr>
      <w:r>
        <w:rPr>
          <w:i/>
          <w:sz w:val="20"/>
        </w:rPr>
        <w:t>EN: [ASAP] Thermally and Bias-Stable FAPbBr3 Perovskite Single-Crystalline Radiation Detectors Enabled by Interpenetrating Titanium Mesh Electrode</w:t>
      </w:r>
    </w:p>
    <w:p>
      <w:pPr>
        <w:spacing w:before="0" w:after="120"/>
      </w:pPr>
      <w:r>
        <w:rPr>
          <w:b/>
        </w:rPr>
        <w:t xml:space="preserve">Source: </w:t>
      </w:r>
      <w:r>
        <w:t>ACS Energy Letters: Latest Articles (ACS Publications)</w:t>
      </w:r>
      <w:r>
        <w:t xml:space="preserve">    </w:t>
      </w:r>
      <w:r>
        <w:rPr>
          <w:b/>
        </w:rPr>
        <w:t xml:space="preserve">Pub date: </w:t>
      </w:r>
      <w:r>
        <w:t>2026-04-22 18:13:25+00:00</w:t>
      </w:r>
      <w:r>
        <w:t xml:space="preserve">    </w:t>
      </w:r>
      <w:r>
        <w:rPr>
          <w:b/>
        </w:rPr>
        <w:t xml:space="preserve">DOI: </w:t>
      </w:r>
      <w:hyperlink r:id="rId899">
        <w:r>
          <w:rPr>
            <w:color w:val="1155CC"/>
            <w:u w:val="single"/>
          </w:rPr>
          <w:t>10.1021/acsenergylett.6c00023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900">
        <w:r>
          <w:rPr>
            <w:color w:val="1155CC"/>
            <w:u w:val="single"/>
          </w:rPr>
          <w:t>[ASAP] 天然产物生物合成中的氮-氮键形成的酶促策略</w:t>
        </w:r>
      </w:hyperlink>
    </w:p>
    <w:p>
      <w:pPr>
        <w:spacing w:before="0" w:after="80"/>
      </w:pPr>
      <w:r>
        <w:rPr>
          <w:i/>
          <w:sz w:val="20"/>
        </w:rPr>
        <w:t>EN: [ASAP] Enzymatic Strategies for Nitrogen–Nitrogen Bond Formation in Natural Product Biosynthesis</w:t>
      </w:r>
    </w:p>
    <w:p>
      <w:pPr>
        <w:spacing w:before="0" w:after="120"/>
      </w:pPr>
      <w:r>
        <w:rPr>
          <w:b/>
        </w:rPr>
        <w:t xml:space="preserve">Source: </w:t>
      </w:r>
      <w:r>
        <w:t>Chemical Reviews: Latest Articles (ACS Publications)</w:t>
      </w:r>
      <w:r>
        <w:t xml:space="preserve">    </w:t>
      </w:r>
      <w:r>
        <w:rPr>
          <w:b/>
        </w:rPr>
        <w:t xml:space="preserve">Pub date: </w:t>
      </w:r>
      <w:r>
        <w:t>2026-04-22 18:13:38+00:00</w:t>
      </w:r>
      <w:r>
        <w:t xml:space="preserve">    </w:t>
      </w:r>
      <w:r>
        <w:rPr>
          <w:b/>
        </w:rPr>
        <w:t xml:space="preserve">DOI: </w:t>
      </w:r>
      <w:hyperlink r:id="rId901">
        <w:r>
          <w:rPr>
            <w:color w:val="1155CC"/>
            <w:u w:val="single"/>
          </w:rPr>
          <w:t>10.1021/acs.chemrev.5c01091</w:t>
        </w:r>
      </w:hyperlink>
    </w:p>
    <w:p>
      <w:pPr>
        <w:spacing w:before="0" w:after="120"/>
      </w:pPr>
      <w:r>
        <w:rPr>
          <w:b/>
        </w:rPr>
        <w:t xml:space="preserve">Notes: </w:t>
      </w:r>
      <w:r>
        <w:t>abstract_source=pubmed</w:t>
      </w:r>
    </w:p>
    <w:p>
      <w:pPr>
        <w:spacing w:before="0" w:after="80" w:lineRule="auto" w:line="276"/>
      </w:pPr>
      <w:r>
        <w:rPr>
          <w:b/>
        </w:rPr>
        <w:t xml:space="preserve">摘要（ZH）: </w:t>
      </w:r>
      <w:r>
        <w:t>氮-氮（N-N）键构成了许多具有生物活性的天然产物和药物中的重要结构基序。基因组学和生物化学的最新进展揭示了自然界用于形成这些化学上具有挑战性的连接的多种酶策略。本综述重点介绍了负责N-N键形成的关键酶家族的发现和机制阐明，包括血红素依赖的肼合成酶、锌依赖的肼合成酶、ATP依赖的二氮酶或N-亚硝基化酶，以及膜结合的肼合成酶和二氮酶。我们总结了代表性N-N含量天然产物的生物合成途径，强调了这些酶的催化逻辑和化学巧思。理解这些生物途径不仅</w:t>
      </w:r>
    </w:p>
    <w:p>
      <w:pPr>
        <w:spacing w:before="0" w:after="200" w:lineRule="auto" w:line="276"/>
      </w:pPr>
      <w:r>
        <w:rPr>
          <w:b/>
        </w:rPr>
        <w:t xml:space="preserve">Abstract (EN): </w:t>
      </w:r>
      <w:r>
        <w:t>Nitrogen-nitrogen (N-N) bonds constitute essential structural motifs in numerous bioactive natural products and pharmaceuticals. Recent advances in genomics and biochemistry have unveiled diverse enzymatic strategies employed by nature to forge these chemically challenging linkages. This review highlights the discovery and mechanistic elucidation of key enzyme families responsible for N-N bond formation, including heme-dependent hydrazine synthases, zinc-dependent hydrazine synthetases, ATP-dependent diazotases or N-nitrosylases, and membrane-bound hydrazine synthases and diazotase. We summarize the biosynthetic pathways of representative N-N-containing natural products, emphasizing the catalytic logic and chemical ingenuity of these enzymes. Understanding these biological routes not only expands the enzymology of N-N bond formation but also provides a foundation for biocatalyst development and genome-driven discovery of novel bioactive compounds.</w:t>
      </w:r>
    </w:p>
    <w:p>
      <w:pPr>
        <w:spacing w:before="120" w:after="120"/>
      </w:pPr>
      <w:r>
        <w:rPr>
          <w:sz w:val="18"/>
        </w:rPr>
        <w:t>——————————————————————————————————————————————————————————————————————</w:t>
      </w:r>
    </w:p>
    <w:p>
      <w:pPr>
        <w:spacing w:before="160" w:after="40" w:line="240" w:lineRule="auto"/>
      </w:pPr>
      <w:r>
        <w:rPr>
          <w:b/>
        </w:rPr>
        <w:t xml:space="preserve">[359] </w:t>
      </w:r>
      <w:hyperlink r:id="rId902">
        <w:r>
          <w:rPr>
            <w:color w:val="1155CC"/>
            <w:u w:val="single"/>
          </w:rPr>
          <w:t>[ASAP] 通过锂掺杂实现超过14%认证效率的柔性CZTSSe薄膜太阳能电池</w:t>
        </w:r>
      </w:hyperlink>
    </w:p>
    <w:p>
      <w:pPr>
        <w:spacing w:before="0" w:after="80"/>
      </w:pPr>
      <w:r>
        <w:rPr>
          <w:i/>
          <w:sz w:val="20"/>
        </w:rPr>
        <w:t>EN: [ASAP] Flexible CZTSSe Thin-Film Solar Cells with Over 14% Certified Efficiency Enabled by Lithium Doping</w:t>
      </w:r>
    </w:p>
    <w:p>
      <w:pPr>
        <w:spacing w:before="0" w:after="120"/>
      </w:pPr>
      <w:r>
        <w:rPr>
          <w:b/>
        </w:rPr>
        <w:t xml:space="preserve">Source: </w:t>
      </w:r>
      <w:r>
        <w:t>ACS Energy Letters: Latest Articles (ACS Publications)</w:t>
      </w:r>
      <w:r>
        <w:t xml:space="preserve">    </w:t>
      </w:r>
      <w:r>
        <w:rPr>
          <w:b/>
        </w:rPr>
        <w:t xml:space="preserve">Pub date: </w:t>
      </w:r>
      <w:r>
        <w:t>2026-04-22 18:25:35+00:00</w:t>
      </w:r>
      <w:r>
        <w:t xml:space="preserve">    </w:t>
      </w:r>
      <w:r>
        <w:rPr>
          <w:b/>
        </w:rPr>
        <w:t xml:space="preserve">DOI: </w:t>
      </w:r>
      <w:hyperlink r:id="rId903">
        <w:r>
          <w:rPr>
            <w:color w:val="1155CC"/>
            <w:u w:val="single"/>
          </w:rPr>
          <w:t>10.1021/acsenergylett.6c00329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904">
        <w:r>
          <w:rPr>
            <w:color w:val="1155CC"/>
            <w:u w:val="single"/>
          </w:rPr>
          <w:t>[ASAP] 基于识别的手性放大通过自适应锁定</w:t>
        </w:r>
      </w:hyperlink>
    </w:p>
    <w:p>
      <w:pPr>
        <w:spacing w:before="0" w:after="80"/>
      </w:pPr>
      <w:r>
        <w:rPr>
          <w:i/>
          <w:sz w:val="20"/>
        </w:rPr>
        <w:t>EN: [ASAP] Recognition-Based Chiral Amplification through Adaptive Locking</w:t>
      </w:r>
    </w:p>
    <w:p>
      <w:pPr>
        <w:spacing w:before="0" w:after="120"/>
      </w:pPr>
      <w:r>
        <w:rPr>
          <w:b/>
        </w:rPr>
        <w:t xml:space="preserve">Source: </w:t>
      </w:r>
      <w:r>
        <w:t>Journal of the American Chemical Society: Latest Articles (ACS Publications)</w:t>
      </w:r>
      <w:r>
        <w:t xml:space="preserve">    </w:t>
      </w:r>
      <w:r>
        <w:rPr>
          <w:b/>
        </w:rPr>
        <w:t xml:space="preserve">Pub date: </w:t>
      </w:r>
      <w:r>
        <w:t>2026-04-22 18:26:02+00:00</w:t>
      </w:r>
      <w:r>
        <w:t xml:space="preserve">    </w:t>
      </w:r>
      <w:r>
        <w:rPr>
          <w:b/>
        </w:rPr>
        <w:t xml:space="preserve">DOI: </w:t>
      </w:r>
      <w:hyperlink r:id="rId905">
        <w:r>
          <w:rPr>
            <w:color w:val="1155CC"/>
            <w:u w:val="single"/>
          </w:rPr>
          <w:t>10.1021/jacs.6c03811</w:t>
        </w:r>
      </w:hyperlink>
    </w:p>
    <w:p>
      <w:pPr>
        <w:spacing w:before="0" w:after="120"/>
      </w:pPr>
      <w:r>
        <w:rPr>
          <w:b/>
        </w:rPr>
        <w:t xml:space="preserve">Notes: </w:t>
      </w:r>
      <w:r>
        <w:t>abstract_source=pubmed</w:t>
      </w:r>
    </w:p>
    <w:p>
      <w:pPr>
        <w:spacing w:before="0" w:after="80" w:lineRule="auto" w:line="276"/>
      </w:pPr>
      <w:r>
        <w:rPr>
          <w:b/>
        </w:rPr>
        <w:t xml:space="preserve">摘要（ZH）: </w:t>
      </w:r>
      <w:r>
        <w:t>在主客体系统中，手性放大仍然难以控制，因为结构往往要么过于刚性以容纳客体，要么过于柔性以维持稳定的螺旋性。这是一个限制，因为手性底物的结合是手性光学诱导和产生例如圆二色性（CD）或圆偏振发光（CPL）响应的关键。在此，我们引入了一种基于超分子自适应锁定手性（ALC）策略，该策略在分子有机笼（Cg）中整合了手性诱导和螺旋性控制。该笼具有柔性，能够结合广泛的手性酸。在捕获四个客体并饱和四个可用结合位点后，Cg发生构象锁定，从而稳定单一螺旋构型。</w:t>
      </w:r>
    </w:p>
    <w:p>
      <w:pPr>
        <w:spacing w:before="0" w:after="200" w:lineRule="auto" w:line="276"/>
      </w:pPr>
      <w:r>
        <w:rPr>
          <w:b/>
        </w:rPr>
        <w:t xml:space="preserve">Abstract (EN): </w:t>
      </w:r>
      <w:r>
        <w:t>Chiral amplification in host-guest systems remains difficult to control because structures tend to be either too rigid to accommodate a guest or too flexible to maintain stable helicity. This is a limitation where binding of chiral substrates is a key to chiroptical induction and the production of, e.g., a circular dichroism (CD) or circularly polarized luminescence (CPL) response. Here, we introduce a supramolecular-based adaptive-locking chirality (ALC) strategy that integrates chirality induction and helicity control within a molecular organic cage (Cg). This cage is flexible and able to bind a broad range of chiral acids. After the capture of four guests and saturation of the four available binding sites, conformational locking of Cg occurs, which stabilizes a single helical configuration. Structural, spectroscopic, and kinetic analyses reveal a guest-dependent progression from rapid helix interconversion to a structure characterized by fully immobilized chirality. These structural changes were found to correlate directly with the emergence of increasingly strong chiroptical signals. The |gabs| and |glum| values for the resulting complexes were found to reach 0.044 and 0.012. A quantitative correlation between desymmetrization as inferred from NMR spectroscopic analyses (Δν) and the |glum| values was observed. This enables a predictive assessment of the chiroptical performance for Cg and may provide a general strategy for evaluating a priori high-performance chiroptical materials.</w:t>
      </w:r>
    </w:p>
    <w:p>
      <w:pPr>
        <w:spacing w:before="120" w:after="120"/>
      </w:pPr>
      <w:r>
        <w:rPr>
          <w:sz w:val="18"/>
        </w:rPr>
        <w:t>——————————————————————————————————————————————————————————————————————</w:t>
      </w:r>
    </w:p>
    <w:p>
      <w:pPr>
        <w:spacing w:before="160" w:after="40" w:line="240" w:lineRule="auto"/>
      </w:pPr>
      <w:r>
        <w:rPr>
          <w:b/>
        </w:rPr>
        <w:t xml:space="preserve">[361] </w:t>
      </w:r>
      <w:hyperlink r:id="rId906">
        <w:r>
          <w:rPr>
            <w:color w:val="1155CC"/>
            <w:u w:val="single"/>
          </w:rPr>
          <w:t>[ASAP] 金属有机框架中孔隙空间划分的推广</w:t>
        </w:r>
      </w:hyperlink>
    </w:p>
    <w:p>
      <w:pPr>
        <w:spacing w:before="0" w:after="80"/>
      </w:pPr>
      <w:r>
        <w:rPr>
          <w:i/>
          <w:sz w:val="20"/>
        </w:rPr>
        <w:t>EN: [ASAP] Generalizing Pore-Space Partitioning in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2026-04-22 18:49:44+00:00</w:t>
      </w:r>
      <w:r>
        <w:t xml:space="preserve">    </w:t>
      </w:r>
      <w:r>
        <w:rPr>
          <w:b/>
        </w:rPr>
        <w:t xml:space="preserve">DOI: </w:t>
      </w:r>
      <w:hyperlink r:id="rId907">
        <w:r>
          <w:rPr>
            <w:color w:val="1155CC"/>
            <w:u w:val="single"/>
          </w:rPr>
          <w:t>10.1021/jacs.6c00850</w:t>
        </w:r>
      </w:hyperlink>
    </w:p>
    <w:p>
      <w:pPr>
        <w:spacing w:before="0" w:after="120"/>
      </w:pPr>
      <w:r>
        <w:rPr>
          <w:b/>
        </w:rPr>
        <w:t xml:space="preserve">Notes: </w:t>
      </w:r>
      <w:r>
        <w:t>abstract_source=pubmed</w:t>
      </w:r>
    </w:p>
    <w:p>
      <w:pPr>
        <w:spacing w:before="0" w:after="80" w:lineRule="auto" w:line="276"/>
      </w:pPr>
      <w:r>
        <w:rPr>
          <w:b/>
        </w:rPr>
        <w:t xml:space="preserve">摘要（ZH）: </w:t>
      </w:r>
      <w:r>
        <w:t>理论框架的发展通常从理想化的情况向越来越不理想的情况推进。在过去的十年中，孔隙空间分割（PSP）主要在基于最高D3h对称性的三聚体的高对称性系统中进行探索。将PSP扩展到更一般的理论框架将包括有目的地降低构建块或晶体对称性的对称性。然而，在较低对称性情况下设计分割策略更具挑战性。在此，我们报告了几种新型的PSP启用的金属有机框架（MOF）平台，其特征是配体触发的较低构建块对称性或互穿触发的较低晶体对称性（即使构建块对称性处于最大值）。这种扩展</w:t>
      </w:r>
    </w:p>
    <w:p>
      <w:pPr>
        <w:spacing w:before="0" w:after="200" w:lineRule="auto" w:line="276"/>
      </w:pPr>
      <w:r>
        <w:rPr>
          <w:b/>
        </w:rPr>
        <w:t xml:space="preserve">Abstract (EN): </w:t>
      </w:r>
      <w:r>
        <w:t>The development of a theoretical framework typically proceeds from idealized cases toward increasingly nonideal situations. Over the past decade, pore-space partitioning (PSP) has been predominantly explored in high-symmetry systems based on trimers at the highest D3h symmetry. Extending PSP toward a more general theoretical framework would encompass a purposeful reduction of the symmetry of building blocks or crystal symmetry. However, the design of partitioning strategies is more challenging in lower-symmetry situations. Herein, we report several new types of PSP-enabled metal-organic framework (MOF) platforms featuring ligand-triggered lower building-block symmetry or interpenetration-triggered lower crystal symmetry (even if the building-block symmetry is at the maximum). This expansion of PSP is realized through a new conceptual strategy termed retro-PSP, which enables the construction of partitioning ligands with adaptable symmetry and the discovery of tripyridyl ligands with C3h symmetry as partitioning ligands. In addition to a new form of partitioning mode for acs net (t2-pacs) via partitioning of a trigonal-bipyramidal cage (instead of previously observed partitioning of straight channels) and the hierarchical partition in 2- and 3-fold interpenetrating acs nets (x2-pacs and x3-pacs), we have also created the partitioned pcu (pcup) and partitioned nia (pnia) systems. This work results not only in the discovery of new topologies not known before, but also the experimental realization of topologies that had previously existed only as theoretical predictions. Collectively, this work establishes retro-PSP as a generalizable approach for extending PSP to include either more partition modes or more MOF platforms, resulting in new PSP-enabled materials with enhanced stability and tunable gas adsorption properties.</w:t>
      </w:r>
    </w:p>
    <w:p>
      <w:pPr>
        <w:spacing w:before="120" w:after="120"/>
      </w:pPr>
      <w:r>
        <w:rPr>
          <w:sz w:val="18"/>
        </w:rPr>
        <w:t>——————————————————————————————————————————————————————————————————————</w:t>
      </w:r>
    </w:p>
    <w:p>
      <w:pPr>
        <w:spacing w:before="160" w:after="40" w:line="240" w:lineRule="auto"/>
      </w:pPr>
      <w:r>
        <w:rPr>
          <w:b/>
        </w:rPr>
        <w:t xml:space="preserve">[362] </w:t>
      </w:r>
      <w:hyperlink r:id="rId908">
        <w:r>
          <w:rPr>
            <w:color w:val="1155CC"/>
            <w:u w:val="single"/>
          </w:rPr>
          <w:t>[ASAP] 与自旋交叉相关的马氏体转变实现晶体跳跃和热释电响应</w:t>
        </w:r>
      </w:hyperlink>
    </w:p>
    <w:p>
      <w:pPr>
        <w:spacing w:before="0" w:after="80"/>
      </w:pPr>
      <w:r>
        <w:rPr>
          <w:i/>
          <w:sz w:val="20"/>
        </w:rPr>
        <w:t>EN: [ASAP] Martensitic Transition Associated with Spin-Crossover Enabling Crystal Jumping and Pyroelectric Response</w:t>
      </w:r>
    </w:p>
    <w:p>
      <w:pPr>
        <w:spacing w:before="0" w:after="120"/>
      </w:pPr>
      <w:r>
        <w:rPr>
          <w:b/>
        </w:rPr>
        <w:t xml:space="preserve">Source: </w:t>
      </w:r>
      <w:r>
        <w:t>Journal of the American Chemical Society: Latest Articles (ACS Publications)</w:t>
      </w:r>
      <w:r>
        <w:t xml:space="preserve">    </w:t>
      </w:r>
      <w:r>
        <w:rPr>
          <w:b/>
        </w:rPr>
        <w:t xml:space="preserve">Pub date: </w:t>
      </w:r>
      <w:r>
        <w:t>2026-04-22 18:52:35+00:00</w:t>
      </w:r>
      <w:r>
        <w:t xml:space="preserve">    </w:t>
      </w:r>
      <w:r>
        <w:rPr>
          <w:b/>
        </w:rPr>
        <w:t xml:space="preserve">DOI: </w:t>
      </w:r>
      <w:hyperlink r:id="rId909">
        <w:r>
          <w:rPr>
            <w:color w:val="1155CC"/>
            <w:u w:val="single"/>
          </w:rPr>
          <w:t>10.1021/jacs.6c01880</w:t>
        </w:r>
      </w:hyperlink>
    </w:p>
    <w:p>
      <w:pPr>
        <w:spacing w:before="0" w:after="120"/>
      </w:pPr>
      <w:r>
        <w:rPr>
          <w:b/>
        </w:rPr>
        <w:t xml:space="preserve">Notes: </w:t>
      </w:r>
      <w:r>
        <w:t>abstract_source=pubmed</w:t>
      </w:r>
    </w:p>
    <w:p>
      <w:pPr>
        <w:spacing w:before="0" w:after="80" w:lineRule="auto" w:line="276"/>
      </w:pPr>
      <w:r>
        <w:rPr>
          <w:b/>
        </w:rPr>
        <w:t xml:space="preserve">摘要（ZH）: </w:t>
      </w:r>
      <w:r>
        <w:t>将电子开关与分子机械结合仍然是开发多功能刺激响应材料的核心挑战。在此，我们展示了自旋交叉（SCO）与分子运动在由自旋活性[Fe(3-bpp)2]2+配合物和柔性bpa分子（3-bpp = 2,6-双（吡唑-3-基）吡啶；bpa = 1,2-双（4-吡啶基）乙烷）构建的氢键超分子结构中的协同耦合。在该晶体中，Fe(II)中心的温度诱导自旋转换与bpa连接体的大幅度踏板状构象变化机械相关。电子和分子结构的这种协同演变驱动了无扩散的马氏体相变，伴随着快速各向异性晶格变形。</w:t>
      </w:r>
    </w:p>
    <w:p>
      <w:pPr>
        <w:spacing w:before="0" w:after="200" w:lineRule="auto" w:line="276"/>
      </w:pPr>
      <w:r>
        <w:rPr>
          <w:b/>
        </w:rPr>
        <w:t xml:space="preserve">Abstract (EN): </w:t>
      </w:r>
      <w:r>
        <w:t>Integrating electronic switching with molecular machinery remains a central challenge in the development of multifunctional stimuli-responsive materials. Herein, we demonstrate a synergistic coupling of spin crossover (SCO) and molecular motion within a hydrogen-bonded supramolecular architecture constructed from spin-active [Fe(3-bpp)2]2+ complexes and flexible bpa molecules (3-bpp = 2,6-bis(pyrazol-3-yl)pyridine; bpa = 1,2-bis(4-pyridyl)ethane). In this crystal, temperature-induced spin conversion of the Fe(II) centers is mechanically associated with a large-amplitude pedal-like conformational change of the bpa linkers. This cooperative evolution of electronic and molecular structures drives a diffusionless martensitic phase transition accompanied by rapid anisotropic lattice deformation. As a result, the material exhibits a thermosalient effect, manifested as the macroscopic jumping of single crystals. Moreover, the conformational change of bpa induces a concomitant displacement of the AsF6- counteranions along the crystallographic polar axis, leading to a substantial modulation of lattice polarization and a distinct pyroelectric response. These findings establish a rational design strategy for bridging electronic switching and molecular mechanics, paving the way for sophisticated multifunctional dynamic crystals.</w:t>
      </w:r>
    </w:p>
    <w:p>
      <w:pPr>
        <w:spacing w:before="120" w:after="120"/>
      </w:pPr>
      <w:r>
        <w:rPr>
          <w:sz w:val="18"/>
        </w:rPr>
        <w:t>——————————————————————————————————————————————————————————————————————</w:t>
      </w:r>
    </w:p>
    <w:p>
      <w:pPr>
        <w:spacing w:before="160" w:after="40" w:line="240" w:lineRule="auto"/>
      </w:pPr>
      <w:r>
        <w:rPr>
          <w:b/>
        </w:rPr>
        <w:t xml:space="preserve">[363] </w:t>
      </w:r>
      <w:hyperlink r:id="rId910">
        <w:r>
          <w:rPr>
            <w:color w:val="1155CC"/>
            <w:u w:val="single"/>
          </w:rPr>
          <w:t>[ASAP] 工程化模块化聚酮合酶阐明烯酰还原酶如何与下游酰基载体蛋白和酮合酶协作设定立体中心</w:t>
        </w:r>
      </w:hyperlink>
    </w:p>
    <w:p>
      <w:pPr>
        <w:spacing w:before="0" w:after="80"/>
      </w:pPr>
      <w:r>
        <w:rPr>
          <w:i/>
          <w:sz w:val="20"/>
        </w:rPr>
        <w:t>EN: [ASAP] Engineered Modular Polyketide Synthases Elucidate How Enoylreductases Collaborate with Downstream Acyl Carrier Proteins and Ketosynthases to Set Stereocenters</w:t>
      </w:r>
    </w:p>
    <w:p>
      <w:pPr>
        <w:spacing w:before="0" w:after="120"/>
      </w:pPr>
      <w:r>
        <w:rPr>
          <w:b/>
        </w:rPr>
        <w:t xml:space="preserve">Source: </w:t>
      </w:r>
      <w:r>
        <w:t>Journal of the American Chemical Society: Latest Articles (ACS Publications)</w:t>
      </w:r>
      <w:r>
        <w:t xml:space="preserve">    </w:t>
      </w:r>
      <w:r>
        <w:rPr>
          <w:b/>
        </w:rPr>
        <w:t xml:space="preserve">Pub date: </w:t>
      </w:r>
      <w:r>
        <w:t>2026-04-22 19:00:00+00:00</w:t>
      </w:r>
      <w:r>
        <w:t xml:space="preserve">    </w:t>
      </w:r>
      <w:r>
        <w:rPr>
          <w:b/>
        </w:rPr>
        <w:t xml:space="preserve">DOI: </w:t>
      </w:r>
      <w:hyperlink r:id="rId911">
        <w:r>
          <w:rPr>
            <w:color w:val="1155CC"/>
            <w:u w:val="single"/>
          </w:rPr>
          <w:t>10.1021/jacs.6c03764</w:t>
        </w:r>
      </w:hyperlink>
    </w:p>
    <w:p>
      <w:pPr>
        <w:spacing w:before="0" w:after="120"/>
      </w:pPr>
      <w:r>
        <w:rPr>
          <w:b/>
        </w:rPr>
        <w:t xml:space="preserve">Notes: </w:t>
      </w:r>
      <w:r>
        <w:t>abstract_source=openalex</w:t>
      </w:r>
    </w:p>
    <w:p>
      <w:pPr>
        <w:spacing w:before="0" w:after="80" w:lineRule="auto" w:line="276"/>
      </w:pPr>
      <w:r>
        <w:rPr>
          <w:b/>
        </w:rPr>
        <w:t xml:space="preserve">摘要（ZH）: </w:t>
      </w:r>
      <w:r>
        <w:t>为了设计能够可靠地产生立体复合产物的模块化聚酮合酶，详细了解其酶促结构域的集体运作方式至关重要。它们的烯酰还原酶（ER）结构域如何功能化以安装d-或l-取向的烷基取代基仍然很神秘。在这项研究中，我们调查了ER的立体选择性以及它们如何与由匹克霉素和雷帕霉素合酶成分构建的四酮-七酮合酶平台内的其他结构域协同工作。我们首先通过使用&lt;i&gt;体外&lt;/i&gt;四酮合酶平台突变性探测AlphaFold预测的共识解决方案，确定ER和酰基载体蛋白（ACP）结构域如何结合。由于发现ER接触了在多样化ACP中保守的残基</w:t>
      </w:r>
    </w:p>
    <w:p>
      <w:pPr>
        <w:spacing w:before="0" w:after="200" w:lineRule="auto" w:line="276"/>
      </w:pPr>
      <w:r>
        <w:rPr>
          <w:b/>
        </w:rPr>
        <w:t xml:space="preserve">Abstract (EN): </w:t>
      </w:r>
      <w:r>
        <w:t>To engineer modular polyketide synthases that reliably yield stereocomplex products, a detailed understanding of how their enzymatic domains collectively operate is essential. How their enoylreductase (ER) domains function to install either d-or l-oriented alkyl substituents remains largely mysterious. In this study, we investigated the stereoselectivity of ERs and how they work with other domains within tetraketide-heptaketide synthase platforms constructed from components of the pikromycin and rapamycin synthases. We first determined how ER and acyl carrier protein (ACP) domains associate by mutagenically probing the consensus solution predicted by AlphaFold using an &lt;i&gt;in vitro&lt;/i&gt; tetraketide synthase platform. Since ERs were found to contact residues conserved in ACPs from diverse module types, we tested whether ERs operate when inserted into modules that only contain ketoreductase and dehydratase domains in several &lt;i&gt;in vivo&lt;/i&gt; platforms. ER-inserted modules were observed to generate both unsaturated and saturated intermediates. Increased production of the saturated intermediate was realized when the downstream KS was also swapped for a KS from an ER-containing module. To access products with desired methyl group orientations, it was necessary to consider how the methyl groups interact with the KS of the module that installed them, as well as with the KS of the downstream module. Additionally, we interconverted d- and l-type ERs by swapping a 14-residue loop and propose the molecular basis for how ERs set stereocenters. This research provides new strategies for controlling the orientations of alkyl substituents in complex polyketides and enables access to stereochemical libraries of polyketide drug leads.</w:t>
      </w:r>
    </w:p>
    <w:p>
      <w:pPr>
        <w:spacing w:before="120" w:after="120"/>
      </w:pPr>
      <w:r>
        <w:rPr>
          <w:sz w:val="18"/>
        </w:rPr>
        <w:t>——————————————————————————————————————————————————————————————————————</w:t>
      </w:r>
    </w:p>
    <w:p>
      <w:pPr>
        <w:spacing w:before="160" w:after="40" w:line="240" w:lineRule="auto"/>
      </w:pPr>
      <w:r>
        <w:rPr>
          <w:b/>
        </w:rPr>
        <w:t xml:space="preserve">[364] </w:t>
      </w:r>
      <w:hyperlink r:id="rId912">
        <w:r>
          <w:rPr>
            <w:color w:val="1155CC"/>
            <w:u w:val="single"/>
          </w:rPr>
          <w:t>[ASAP] 应变1-氮杂[n.1.0]双环的区域和立体选择性去质子化和功能化</w:t>
        </w:r>
      </w:hyperlink>
    </w:p>
    <w:p>
      <w:pPr>
        <w:spacing w:before="0" w:after="80"/>
      </w:pPr>
      <w:r>
        <w:rPr>
          <w:i/>
          <w:sz w:val="20"/>
        </w:rPr>
        <w:t>EN: [ASAP] Regio- and Stereoselective Deprotonation and Functionalization of Strained 1-Aza[n.1.0]bicycles</w:t>
      </w:r>
    </w:p>
    <w:p>
      <w:pPr>
        <w:spacing w:before="0" w:after="120"/>
      </w:pPr>
      <w:r>
        <w:rPr>
          <w:b/>
        </w:rPr>
        <w:t xml:space="preserve">Source: </w:t>
      </w:r>
      <w:r>
        <w:t>Journal of the American Chemical Society: Latest Articles (ACS Publications)</w:t>
      </w:r>
      <w:r>
        <w:t xml:space="preserve">    </w:t>
      </w:r>
      <w:r>
        <w:rPr>
          <w:b/>
        </w:rPr>
        <w:t xml:space="preserve">Pub date: </w:t>
      </w:r>
      <w:r>
        <w:t>2026-04-22 19:18:07+00:00</w:t>
      </w:r>
      <w:r>
        <w:t xml:space="preserve">    </w:t>
      </w:r>
      <w:r>
        <w:rPr>
          <w:b/>
        </w:rPr>
        <w:t xml:space="preserve">DOI: </w:t>
      </w:r>
      <w:hyperlink r:id="rId913">
        <w:r>
          <w:rPr>
            <w:color w:val="1155CC"/>
            <w:u w:val="single"/>
          </w:rPr>
          <w:t>10.1021/jacs.6c03462</w:t>
        </w:r>
      </w:hyperlink>
    </w:p>
    <w:p>
      <w:pPr>
        <w:spacing w:before="0" w:after="120"/>
      </w:pPr>
      <w:r>
        <w:rPr>
          <w:b/>
        </w:rPr>
        <w:t xml:space="preserve">Notes: </w:t>
      </w:r>
      <w:r>
        <w:t>abstract_source=pubmed</w:t>
      </w:r>
    </w:p>
    <w:p>
      <w:pPr>
        <w:spacing w:before="0" w:after="80" w:lineRule="auto" w:line="276"/>
      </w:pPr>
      <w:r>
        <w:rPr>
          <w:b/>
        </w:rPr>
        <w:t xml:space="preserve">摘要（ZH）: </w:t>
      </w:r>
      <w:r>
        <w:t>应变的1-氮杂[n.1.0]双环提供了通过应变释放反应快速组装复杂3D杂环的独特机会。然而，由于其固有的不稳定性和组装的挑战性，功能化变体的获取受到限制。在此，我们报告了一种对氮杂双环[2.1.0]戊烷（ABP）和氮杂双环[3.1.0]己烷（ABH）的区域和立体选择性锂化策略，使得直接功能化应变框架成为可能。与基于传统酸度模型的预测相反，锂化仅发生在两个杂环的exo-C2-H位置。所得的有机锂中间体与多种电亲试剂高效捕获，提供了C2/C3-取代的吡咯烷和哌啶，并在随后的环化过程中实现完全的非对映选择性</w:t>
      </w:r>
    </w:p>
    <w:p>
      <w:pPr>
        <w:spacing w:before="0" w:after="200" w:lineRule="auto" w:line="276"/>
      </w:pPr>
      <w:r>
        <w:rPr>
          <w:b/>
        </w:rPr>
        <w:t xml:space="preserve">Abstract (EN): </w:t>
      </w:r>
      <w:r>
        <w:t>Strained 1-aza[n.1.0]bicycles offer unique opportunities to rapidly assemble complex 3D heterocycles via strain-release reactivity. However, access to functionalized variants is limited by their innate instability and challenging assembly. Herein, we report a regio- and stereoselective lithiation strategy for azabicyclo[2.1.0]pentane (ABP) and azabicyclo[3.1.0]hexane (ABH), enabling direct functionalization of the strained framework. In contrast to predictions based on conventional acidity models, lithiation occurs exclusively at the exo-C2-H position in both heterocycles. The resulting organolithium intermediates undergo efficient trapping with a diverse array of electrophiles, providing access to C2/C3-substituted pyrrolidines and piperidines with full diastereocontrol upon subsequent ring-opening. Notably, upon trapping with boronic esters, ABH boronates undergo strain-promoted migration, while ABP analogues favor elimination. Extensive experimental and computational studies reveal that the exo-C2-H bond is the thermodynamic site of deprotonation and that the ABP 1,2-boronate rearrangement is outcompeted by deleterious C3 intermolecular nucleophilic addition. This work expands the synthetic utility of azabicyclic scaffolds and provides a blueprint for exploiting strained heterocycles for stereoselective synthesis.</w:t>
      </w:r>
    </w:p>
    <w:p>
      <w:pPr>
        <w:spacing w:before="120" w:after="120"/>
      </w:pPr>
      <w:r>
        <w:rPr>
          <w:sz w:val="18"/>
        </w:rPr>
        <w:t>——————————————————————————————————————————————————————————————————————</w:t>
      </w:r>
    </w:p>
    <w:p>
      <w:pPr>
        <w:spacing w:before="160" w:after="40" w:line="240" w:lineRule="auto"/>
      </w:pPr>
      <w:r>
        <w:rPr>
          <w:b/>
        </w:rPr>
        <w:t xml:space="preserve">[365] </w:t>
      </w:r>
      <w:hyperlink r:id="rId914">
        <w:r>
          <w:rPr>
            <w:color w:val="1155CC"/>
            <w:u w:val="single"/>
          </w:rPr>
          <w:t>纳米结构化氢键有机框架：策略、复合材料和功能应用</w:t>
        </w:r>
      </w:hyperlink>
    </w:p>
    <w:p>
      <w:pPr>
        <w:spacing w:before="0" w:after="80"/>
      </w:pPr>
      <w:r>
        <w:rPr>
          <w:i/>
          <w:sz w:val="20"/>
        </w:rPr>
        <w:t>EN: Nano-structuring hydrogen-bonded organic frameworks: strategies, composites, and functional applications</w:t>
      </w:r>
    </w:p>
    <w:p>
      <w:pPr>
        <w:spacing w:before="0" w:after="120"/>
      </w:pPr>
      <w:r>
        <w:rPr>
          <w:b/>
        </w:rPr>
        <w:t xml:space="preserve">Source: </w:t>
      </w:r>
      <w:r>
        <w:t>RSC - Chem. Soc. Rev. latest articles</w:t>
      </w:r>
      <w:r>
        <w:t xml:space="preserve">    </w:t>
      </w:r>
      <w:r>
        <w:rPr>
          <w:b/>
        </w:rPr>
        <w:t xml:space="preserve">Pub date: </w:t>
      </w:r>
      <w:r>
        <w:t>2026-04-22 23:00:00+00:00</w:t>
      </w:r>
    </w:p>
    <w:p>
      <w:pPr>
        <w:spacing w:before="0" w:after="120"/>
      </w:pPr>
      <w:r>
        <w:rPr>
          <w:b/>
        </w:rPr>
        <w:t xml:space="preserve">Notes: </w:t>
      </w:r>
      <w:r>
        <w:t>abstract_source=rsc_html</w:t>
      </w:r>
    </w:p>
    <w:p>
      <w:pPr>
        <w:spacing w:before="0" w:after="80" w:lineRule="auto" w:line="276"/>
      </w:pPr>
      <w:r>
        <w:rPr>
          <w:b/>
        </w:rPr>
        <w:t xml:space="preserve">摘要（ZH）: </w:t>
      </w:r>
      <w:r>
        <w:t>氢键有机框架是一类新兴的多孔材料，因其高比表面积、温和合成、溶液可加工性和生物相容性而受到认可，使其在广泛的应用中具有吸引力。然而，其块体形式通常存在诸如导电性差和结构稳定性不足等限制，这可能阻碍实际应用。为了超越其块体对应物的限制，一个强有力的策略是将其转化为原始纳米结构或纳米复合材料，从而增强导电性、稳定性和孔隙率等特性。这些HOF纳米材料利用纳米限域和复合基质的协同效应，在应用中表现出增强的性能</w:t>
      </w:r>
    </w:p>
    <w:p>
      <w:pPr>
        <w:spacing w:before="0" w:after="200" w:lineRule="auto" w:line="276"/>
      </w:pPr>
      <w:r>
        <w:rPr>
          <w:b/>
        </w:rPr>
        <w:t xml:space="preserve">Abstract (EN): </w:t>
      </w:r>
      <w:r>
        <w:t>Hydrogen-bonded organic frameworks are a rising class of porous materials that are now recognized for their high surface areas, mild synthesis, solution processability, and biocompatibility, making them attractive for a wide range of applications. However, their bulk forms often suffer from limitations such as poor electrical conductivity and insufficient structural stability, which can hinder practical implementation. To transcend the limitations of their bulk counterparts, a powerful strategy is their transformation into pristine nanostructures or nanocomposites, which enhances properties such as conductivity, stability, and porosity. These HOF nanomaterials leverage the synergistic effects of nanoconfinement and composite matrices, leading to enhanced performance in applications ranging from photocatalysis and energy storage to photothermal therapy. This review aims to provide an overview of recent developments, focusing on the classification, fabrication strategies, and diverse applications of HOF nanomaterials, thereby offering a perspective for future research in this evolving field.</w:t>
      </w:r>
    </w:p>
    <w:p>
      <w:pPr>
        <w:spacing w:before="120" w:after="120"/>
      </w:pPr>
      <w:r>
        <w:rPr>
          <w:sz w:val="18"/>
        </w:rPr>
        <w:t>——————————————————————————————————————————————————————————————————————</w:t>
      </w:r>
    </w:p>
    <w:p>
      <w:pPr>
        <w:spacing w:before="160" w:after="40" w:line="240" w:lineRule="auto"/>
      </w:pPr>
      <w:r>
        <w:rPr>
          <w:b/>
        </w:rPr>
        <w:t xml:space="preserve">[366] </w:t>
      </w:r>
      <w:hyperlink r:id="rId915">
        <w:r>
          <w:rPr>
            <w:color w:val="1155CC"/>
            <w:u w:val="single"/>
          </w:rPr>
          <w:t>催化应变释放促进的羰基活化双环[1.1.0]丁烷的环加成反应</w:t>
        </w:r>
      </w:hyperlink>
    </w:p>
    <w:p>
      <w:pPr>
        <w:spacing w:before="0" w:after="80"/>
      </w:pPr>
      <w:r>
        <w:rPr>
          <w:i/>
          <w:sz w:val="20"/>
        </w:rPr>
        <w:t>EN: Catalytic strain-release enabled cycloaddition of carbonyl activated bicyclo[1.1.0]butanes</w:t>
      </w:r>
    </w:p>
    <w:p>
      <w:pPr>
        <w:spacing w:before="0" w:after="120"/>
      </w:pPr>
      <w:r>
        <w:rPr>
          <w:b/>
        </w:rPr>
        <w:t xml:space="preserve">Source: </w:t>
      </w:r>
      <w:r>
        <w:t>RSC - Chem. Soc. Rev. latest articles</w:t>
      </w:r>
      <w:r>
        <w:t xml:space="preserve">    </w:t>
      </w:r>
      <w:r>
        <w:rPr>
          <w:b/>
        </w:rPr>
        <w:t xml:space="preserve">Pub date: </w:t>
      </w:r>
      <w:r>
        <w:t>2026-04-22 23:00:00+00:00</w:t>
      </w:r>
    </w:p>
    <w:p>
      <w:pPr>
        <w:spacing w:before="0" w:after="120"/>
      </w:pPr>
      <w:r>
        <w:rPr>
          <w:b/>
        </w:rPr>
        <w:t xml:space="preserve">Notes: </w:t>
      </w:r>
      <w:r>
        <w:t>abstract_source=rsc_html</w:t>
      </w:r>
    </w:p>
    <w:p>
      <w:pPr>
        <w:spacing w:before="0" w:after="80" w:lineRule="auto" w:line="276"/>
      </w:pPr>
      <w:r>
        <w:rPr>
          <w:b/>
        </w:rPr>
        <w:t xml:space="preserve">摘要（ZH）: </w:t>
      </w:r>
      <w:r>
        <w:t>双环[1.1.0]丁烷（BCBs）以其紧凑且高度应变的碳环结构在现代合成化学中作为多功能构建块而崭露头角。其独特的几何形状和低活化能障使得多样的应变释放环加成成为可能，从而高效地获得结构复杂的环系统。近年来，在催化环加成策略中取得了显著进展，这些策略利用了由于桥头碳上羰基的存在而活化的BCBs的反应性，特别是路易斯酸介导和光化学自由基转化。本文综述了这些进展，重点关注机制原理、催化剂设计和合成应用。通过组织跨越双电子、单电子的反应。</w:t>
      </w:r>
    </w:p>
    <w:p>
      <w:pPr>
        <w:spacing w:before="0" w:after="200" w:lineRule="auto" w:line="276"/>
      </w:pPr>
      <w:r>
        <w:rPr>
          <w:b/>
        </w:rPr>
        <w:t xml:space="preserve">Abstract (EN): </w:t>
      </w:r>
      <w:r>
        <w:t>Bicyclo[1.1.0]butanes (BCBs), characterized by their compact and highly strained carbocyclic frameworks, have emerged as versatile building blocks in modern synthetic chemistry. Their distinctive geometry and low activation barriers enable diverse strain-release cycloadditions, granting efficient access to architecturally complex ring systems. In recent years, significant progress has been achieved in catalytic cycloaddition strategies that harness the reactivity of carbonyl activated BCBs due to the presence of a carbonyl group on the bridgehead, especially Lewis acid-mediated and photochemical radical transformations. This review summarizes these advances with a focus on mechanistic principles, catalyst design, and synthetic applications. By organizing reactions across two-electron, single-electron or carbene pathways, we highlight current trends, challenges, and opportunities in this rapidly evolving field. We anticipate this review will inspire further innovations in BCB chemistry and promote interdisciplinary applications in drug discovery and molecular design.</w:t>
      </w:r>
    </w:p>
    <w:p>
      <w:pPr>
        <w:spacing w:before="120" w:after="120"/>
      </w:pPr>
      <w:r>
        <w:rPr>
          <w:sz w:val="18"/>
        </w:rPr>
        <w:t>——————————————————————————————————————————————————————————————————————</w:t>
      </w:r>
    </w:p>
    <w:p>
      <w:pPr>
        <w:spacing w:before="160" w:after="40" w:line="240" w:lineRule="auto"/>
      </w:pPr>
      <w:r>
        <w:rPr>
          <w:b/>
        </w:rPr>
        <w:t xml:space="preserve">[367] </w:t>
      </w:r>
      <w:hyperlink r:id="rId916">
        <w:r>
          <w:rPr>
            <w:color w:val="1155CC"/>
            <w:u w:val="single"/>
          </w:rPr>
          <w:t>填补空白：高效稳定的倒置钙钛矿太阳能电池的多功能分子填充</w:t>
        </w:r>
      </w:hyperlink>
    </w:p>
    <w:p>
      <w:pPr>
        <w:spacing w:before="0" w:after="80"/>
      </w:pPr>
      <w:r>
        <w:rPr>
          <w:i/>
          <w:sz w:val="20"/>
        </w:rPr>
        <w:t>EN: Closing the Gaps: Multifunctional Molecular Filling for Highly Efficient and Stable Inverted Perovskite Solar Cells</w:t>
      </w:r>
    </w:p>
    <w:p>
      <w:pPr>
        <w:spacing w:before="0" w:after="120"/>
      </w:pPr>
      <w:r>
        <w:rPr>
          <w:b/>
        </w:rPr>
        <w:t xml:space="preserve">Source: </w:t>
      </w:r>
      <w:r>
        <w:t>RSC - Energy Environ. Sci. latest articles</w:t>
      </w:r>
      <w:r>
        <w:t xml:space="preserve">    </w:t>
      </w:r>
      <w:r>
        <w:rPr>
          <w:b/>
        </w:rPr>
        <w:t xml:space="preserve">Pub date: </w:t>
      </w:r>
      <w:r>
        <w:t>2026-04-22 23:00:00+00:00</w:t>
      </w:r>
    </w:p>
    <w:p>
      <w:pPr>
        <w:spacing w:before="0" w:after="120"/>
      </w:pPr>
      <w:r>
        <w:rPr>
          <w:b/>
        </w:rPr>
        <w:t xml:space="preserve">Notes: </w:t>
      </w:r>
      <w:r>
        <w:t>abstract_source=rsc_html</w:t>
      </w:r>
    </w:p>
    <w:p>
      <w:pPr>
        <w:spacing w:before="0" w:after="80" w:lineRule="auto" w:line="276"/>
      </w:pPr>
      <w:r>
        <w:rPr>
          <w:b/>
        </w:rPr>
        <w:t xml:space="preserve">摘要（ZH）: </w:t>
      </w:r>
      <w:r>
        <w:t>自组装单分子层（SAMs）在倒置钙钛矿太阳能电池（PSCs）中作为空穴传输层（HTLs）显示出极大的潜力。然而，其通常不完整的表面覆盖率为界面电荷复合创造了通道，从而损害了器件性能。在此，我们引入氯甲基三氯硅烷（CMS）作为一种多功能分子填料，同时解决了不完整SAM覆盖和界面离子迁移的两个关键挑战。高度活泼的三氯硅烷基团容易化学吸附在透明导电氧化物（TCO）表面的残留羟基上，有效地“填补”了SAM层的空隙，从而抑制界面电荷复合。同时，氯甲基末端基团与</w:t>
      </w:r>
    </w:p>
    <w:p>
      <w:pPr>
        <w:spacing w:before="0" w:after="200" w:lineRule="auto" w:line="276"/>
      </w:pPr>
      <w:r>
        <w:rPr>
          <w:b/>
        </w:rPr>
        <w:t xml:space="preserve">Abstract (EN): </w:t>
      </w:r>
      <w:r>
        <w:t>Self-assembled monolayers (SAMs) have shown exceptional promise as hole-transport layers (HTLs) in inverted perovskite solar cells (PSCs). Nevertheless, their typically incomplete surface coverage creates pathways for interfacial charge recombination, which compromises device performance. Herein, we introduce chloromethyltrichlorosilane (CMS) as a multifunctional molecular filler that simultaneously addresses two critical challenges of incomplete SAM coverage and interfacial ion migration. The highly reactive trichlorosilane groups readily chemisorb onto residual hydroxyl groups on the transparent conductive oxide (TCO) surface, effectively “closing the gaps” in the SAM layer, thereby suppressing interfacial charge recombination. Meanwhile, the chloromethyl terminal groups coordinate with the perovskite components, enhancing perovskite crystallization and passivating surface defects. As a result, CMS-modified devices achieved a power conversion efficiency (PCE) of 26.85% via the two-step fabrication—the highest reported to date for this method—and a similarly impressive 26.71% via the one-step approach, demonstrating the strategy’s broad universality. Beyond efficiency, the multifunctional modification anchors the HTL more robustly to the substrate and establishes a potent barrier against ion migration. Consequently, the unencapsulated devices exhibited exceptional long-term durability, retaining more than 98% of their initial efficiency after aging at 85 °C for 1200 hours and 96% after 1200 hours of maximum power point tracking. This work demonstrates that multifunctional molecular engineering at the buried interface offers a powerful strategy to simultaneously enhance efficiency and stability of inverted PSCs.</w:t>
      </w:r>
    </w:p>
    <w:p>
      <w:pPr>
        <w:spacing w:before="120" w:after="120"/>
      </w:pPr>
      <w:r>
        <w:rPr>
          <w:sz w:val="18"/>
        </w:rPr>
        <w:t>——————————————————————————————————————————————————————————————————————</w:t>
      </w:r>
    </w:p>
    <w:p>
      <w:pPr>
        <w:spacing w:before="160" w:after="40" w:line="240" w:lineRule="auto"/>
      </w:pPr>
      <w:r>
        <w:rPr>
          <w:b/>
        </w:rPr>
        <w:t xml:space="preserve">[368] </w:t>
      </w:r>
      <w:hyperlink r:id="rId917">
        <w:r>
          <w:rPr>
            <w:color w:val="1155CC"/>
            <w:u w:val="single"/>
          </w:rPr>
          <w:t>SAF：满足日益增长的航空燃料需求的有前途的方法</w:t>
        </w:r>
      </w:hyperlink>
    </w:p>
    <w:p>
      <w:pPr>
        <w:spacing w:before="0" w:after="80"/>
      </w:pPr>
      <w:r>
        <w:rPr>
          <w:i/>
          <w:sz w:val="20"/>
        </w:rPr>
        <w:t>EN: SAF: a promising approach to meet growing jet fuel demand</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918">
        <w:r>
          <w:rPr>
            <w:color w:val="1155CC"/>
            <w:u w:val="single"/>
          </w:rPr>
          <w:t>作者更正：重组E3连接酶增强玉米的耐寒性和磷酸盐利用</w:t>
        </w:r>
      </w:hyperlink>
    </w:p>
    <w:p>
      <w:pPr>
        <w:spacing w:before="0" w:after="80"/>
      </w:pPr>
      <w:r>
        <w:rPr>
          <w:i/>
          <w:sz w:val="20"/>
        </w:rPr>
        <w:t>EN: Author Correction: Rewiring an E3 ligase enhances cold resilience and phosphate use in maize</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19">
        <w:r>
          <w:rPr>
            <w:color w:val="1155CC"/>
            <w:u w:val="single"/>
          </w:rPr>
          <w:t>10.1038/s41586-026-10560-1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920">
        <w:r>
          <w:rPr>
            <w:color w:val="1155CC"/>
            <w:u w:val="single"/>
          </w:rPr>
          <w:t>可扩展的一体化电致变色玻璃用于全光谱太阳辐射管理</w:t>
        </w:r>
      </w:hyperlink>
    </w:p>
    <w:p>
      <w:pPr>
        <w:spacing w:before="0" w:after="80"/>
      </w:pPr>
      <w:r>
        <w:rPr>
          <w:i/>
          <w:sz w:val="20"/>
        </w:rPr>
        <w:t>EN: Scalable all-in-one electrochromic glazing for full-spectrum solar radiation management</w:t>
      </w:r>
    </w:p>
    <w:p>
      <w:pPr>
        <w:spacing w:before="0" w:after="120"/>
      </w:pPr>
      <w:r>
        <w:rPr>
          <w:b/>
        </w:rPr>
        <w:t xml:space="preserve">Source: </w:t>
      </w:r>
      <w:r>
        <w:t>Nature Sustainability</w:t>
      </w:r>
      <w:r>
        <w:t xml:space="preserve">    </w:t>
      </w:r>
      <w:r>
        <w:rPr>
          <w:b/>
        </w:rPr>
        <w:t xml:space="preserve">Pub date: </w:t>
      </w:r>
      <w:r>
        <w:t>2026-04-23 00:00:00+00:00</w:t>
      </w:r>
      <w:r>
        <w:t xml:space="preserve">    </w:t>
      </w:r>
      <w:r>
        <w:rPr>
          <w:b/>
        </w:rPr>
        <w:t xml:space="preserve">DOI: </w:t>
      </w:r>
      <w:hyperlink r:id="rId921">
        <w:r>
          <w:rPr>
            <w:color w:val="1155CC"/>
            <w:u w:val="single"/>
          </w:rPr>
          <w:t>10.1038/s41893-026-01823-w</w:t>
        </w:r>
      </w:hyperlink>
    </w:p>
    <w:p>
      <w:pPr>
        <w:spacing w:before="0" w:after="120"/>
      </w:pPr>
      <w:r>
        <w:rPr>
          <w:b/>
        </w:rPr>
        <w:t xml:space="preserve">Notes: </w:t>
      </w:r>
      <w:r>
        <w:t>abstract_source=nature_html</w:t>
      </w:r>
    </w:p>
    <w:p>
      <w:pPr>
        <w:spacing w:before="0" w:after="80" w:lineRule="auto" w:line="276"/>
      </w:pPr>
      <w:r>
        <w:rPr>
          <w:b/>
        </w:rPr>
        <w:t xml:space="preserve">摘要（ZH）: </w:t>
      </w:r>
      <w:r>
        <w:t>具有全光谱太阳辐射管理的电致变色窗提供了一种节能的途径来调节日光和太阳热增益，提高室内舒适度，同时减少建筑物和车辆的能源需求。然而，其传统的类似电池的多层结构通常由于复杂的界面反应而导致昂贵的制造和性能退化，使得以可接受的成本实现稳定的全光谱和深色调调制具有挑战性。在此，我们报告了一种基于含有悬浮多金属氧酸盐簇的有机凝胶的多合一电致变色玻璃。在电化学偏压下，这些簇在电极界面发生多电子转移，诱导簇间聚集，产生等离子体增强的近红外</w:t>
      </w:r>
    </w:p>
    <w:p>
      <w:pPr>
        <w:spacing w:before="0" w:after="200" w:lineRule="auto" w:line="276"/>
      </w:pPr>
      <w:r>
        <w:rPr>
          <w:b/>
        </w:rPr>
        <w:t xml:space="preserve">Abstract (EN): </w:t>
      </w:r>
      <w:r>
        <w:t>Electrochromic windows with full-spectrum solar radiation management offer an energy-efficient route to regulate daylight and solar heat gain, improving indoor comfort while reducing energy demand in buildings and vehicles. However, their conventional battery-like multilayer architectures often suffer from costly fabrication and performance degradation arising from complex interfacial reactions, making it challenging to achieve stable full-spectrum and deep-tinted modulation at an agreeable cost. Here we report an all-in-one electrochromic glazing based on an organogel containing suspended polyoxometalate clusters. Upon electrochemical bias, the clusters undergo multielectron transfer at the electrode interface, inducing intercluster aggregation that generates plasmon-augmented near-infrared absorption. As a result, the glazing achieves a deep-tinted state with a minimum transmittance of 1.4% and a high solar radiation modulation of 86.4%. Spatial confinement of clusters within the polar polymer matrix suppresses uncontrolled aggregate growth, allowing the device to retain 90.3% optical modulation at 600 nm after 50,000 cycles. The simplified architecture also enables scalable fabrication of large-area devices (&gt;900 cm2) that maintain stable solar radiation modulation over more than 10,000 cycles. Our findings outline a scalable strategy for solar-adaptive smart windows that support net-zero energy buildings and low-carbon transportation.</w:t>
      </w:r>
    </w:p>
    <w:p>
      <w:pPr>
        <w:spacing w:before="120" w:after="120"/>
      </w:pPr>
      <w:r>
        <w:rPr>
          <w:sz w:val="18"/>
        </w:rPr>
        <w:t>——————————————————————————————————————————————————————————————————————</w:t>
      </w:r>
    </w:p>
    <w:p>
      <w:pPr>
        <w:spacing w:before="160" w:after="40" w:line="240" w:lineRule="auto"/>
      </w:pPr>
      <w:r>
        <w:rPr>
          <w:b/>
        </w:rPr>
        <w:t xml:space="preserve">[371] </w:t>
      </w:r>
      <w:hyperlink r:id="rId922">
        <w:r>
          <w:rPr>
            <w:color w:val="1155CC"/>
            <w:u w:val="single"/>
          </w:rPr>
          <w:t>地缘政治风险与能源转型：欧洲的金融和区域相互依赖性</w:t>
        </w:r>
      </w:hyperlink>
    </w:p>
    <w:p>
      <w:pPr>
        <w:spacing w:before="0" w:after="80"/>
      </w:pPr>
      <w:r>
        <w:rPr>
          <w:i/>
          <w:sz w:val="20"/>
        </w:rPr>
        <w:t>EN: Geopolitical risk and energy transition: Financial and regional interdependencies in Europe</w:t>
      </w:r>
    </w:p>
    <w:p>
      <w:pPr>
        <w:spacing w:before="0" w:after="120"/>
      </w:pPr>
      <w:r>
        <w:rPr>
          <w:b/>
        </w:rPr>
        <w:t xml:space="preserve">Source: </w:t>
      </w:r>
      <w:r>
        <w:t>ScienceDirect Publication: Energy Policy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923">
        <w:r>
          <w:rPr>
            <w:color w:val="1155CC"/>
            <w:u w:val="single"/>
          </w:rPr>
          <w:t>使用具有四面体钾离子簇门的金属有机框架打破甲醇/碳酸二甲酯共沸物</w:t>
        </w:r>
      </w:hyperlink>
    </w:p>
    <w:p>
      <w:pPr>
        <w:spacing w:before="0" w:after="80"/>
      </w:pPr>
      <w:r>
        <w:rPr>
          <w:i/>
          <w:sz w:val="20"/>
        </w:rPr>
        <w:t>EN: Breaking the methanol/dimethyl carbonate azeotrope using a metal–organic framework with tetrahedral potassium-ion cluster gates</w:t>
      </w:r>
    </w:p>
    <w:p>
      <w:pPr>
        <w:spacing w:before="0" w:after="120"/>
      </w:pPr>
      <w:r>
        <w:rPr>
          <w:b/>
        </w:rPr>
        <w:t xml:space="preserve">Source: </w:t>
      </w:r>
      <w:r>
        <w:t>Nature Chemistry</w:t>
      </w:r>
      <w:r>
        <w:t xml:space="preserve">    </w:t>
      </w:r>
      <w:r>
        <w:rPr>
          <w:b/>
        </w:rPr>
        <w:t xml:space="preserve">Pub date: </w:t>
      </w:r>
      <w:r>
        <w:t>2026-04-23 00:00:00+00:00</w:t>
      </w:r>
      <w:r>
        <w:t xml:space="preserve">    </w:t>
      </w:r>
      <w:r>
        <w:rPr>
          <w:b/>
        </w:rPr>
        <w:t xml:space="preserve">DOI: </w:t>
      </w:r>
      <w:hyperlink r:id="rId924">
        <w:r>
          <w:rPr>
            <w:color w:val="1155CC"/>
            <w:u w:val="single"/>
          </w:rPr>
          <w:t>10.1038/s41557-026-02128-3</w:t>
        </w:r>
      </w:hyperlink>
    </w:p>
    <w:p>
      <w:pPr>
        <w:spacing w:before="0" w:after="120"/>
      </w:pPr>
      <w:r>
        <w:rPr>
          <w:b/>
        </w:rPr>
        <w:t xml:space="preserve">Notes: </w:t>
      </w:r>
      <w:r>
        <w:t>abstract_source=nature_html</w:t>
      </w:r>
    </w:p>
    <w:p>
      <w:pPr>
        <w:spacing w:before="0" w:after="80" w:lineRule="auto" w:line="276"/>
      </w:pPr>
      <w:r>
        <w:rPr>
          <w:b/>
        </w:rPr>
        <w:t xml:space="preserve">摘要（ZH）: </w:t>
      </w:r>
      <w:r>
        <w:t>随着电池行业对高纯度碳酸二甲酯（DMC）需求的增长，实现电池级纯度（&gt;99.99%）的甲醇（MeOH）和DMC共沸物的分离已成为DMC生产中的关键瓶颈。在此，我们设计并合成了一种具有四面体钾离子簇作为孔门的离子金属有机框架，使这种分离成为可能。尽管离子簇完全阻塞了孔口，但它通过选择性配位键重构和离子簇的协同变形允许MeOH传输。得益于超高的MeOH/DMC选择性（&gt;3,300），可以在单次吸附过程中从等摩尔/共沸混合物中生产出高纯度DMC（&gt;99.9999%）。这项工作展示了一种客体结合</w:t>
      </w:r>
    </w:p>
    <w:p>
      <w:pPr>
        <w:spacing w:before="0" w:after="200" w:lineRule="auto" w:line="276"/>
      </w:pPr>
      <w:r>
        <w:rPr>
          <w:b/>
        </w:rPr>
        <w:t xml:space="preserve">Abstract (EN): </w:t>
      </w:r>
      <w:r>
        <w:t>With the growing demand for high-purity dimethyl carbonate (DMC) in the battery industry, the separation of methanol (MeOH) and DMC azeotrope to achieve battery-grade purity (&gt;99.99%) has become a pivotal bottleneck in the production of DMC. Here we design and synthesize an ionic metal−organic framework with tetrahedral potassium-ion clusters as pore gates that enables this separation. Although the ion cluster completely blocks the pore aperture, it permits MeOH transport through selective coordination bond reconstitution and cooperative deformation of the ion cluster. Benefiting from the ultrahigh MeOH/DMC selectivity (&gt;3,300), high-purity DMC (&gt;99.9999%) could be produced in a single adsorption process from an equimolar/azeotropic mixture of MeOH and DMC. This work presents a guest-binding counterion cluster gating mechanism different from conventional sieving of individual ions in porous materials, opening avenues for next-generation molecular sieves.The alternative text for this image may have been generated using AI.</w:t>
      </w:r>
    </w:p>
    <w:p>
      <w:pPr>
        <w:spacing w:before="120" w:after="120"/>
      </w:pPr>
      <w:r>
        <w:rPr>
          <w:sz w:val="18"/>
        </w:rPr>
        <w:t>——————————————————————————————————————————————————————————————————————</w:t>
      </w:r>
    </w:p>
    <w:p>
      <w:pPr>
        <w:spacing w:before="160" w:after="40" w:line="240" w:lineRule="auto"/>
      </w:pPr>
      <w:r>
        <w:rPr>
          <w:b/>
        </w:rPr>
        <w:t xml:space="preserve">[373] </w:t>
      </w:r>
      <w:hyperlink r:id="rId925">
        <w:r>
          <w:rPr>
            <w:color w:val="1155CC"/>
            <w:u w:val="single"/>
          </w:rPr>
          <w:t>分子框架Cr(pyrazine)3中的持久补偿铁磁性</w:t>
        </w:r>
      </w:hyperlink>
    </w:p>
    <w:p>
      <w:pPr>
        <w:spacing w:before="0" w:after="80"/>
      </w:pPr>
      <w:r>
        <w:rPr>
          <w:i/>
          <w:sz w:val="20"/>
        </w:rPr>
        <w:t>EN: Persistent compensated ferrimagnetism in the molecular framework Cr(pyrazine)3</w:t>
      </w:r>
    </w:p>
    <w:p>
      <w:pPr>
        <w:spacing w:before="0" w:after="120"/>
      </w:pPr>
      <w:r>
        <w:rPr>
          <w:b/>
        </w:rPr>
        <w:t xml:space="preserve">Source: </w:t>
      </w:r>
      <w:r>
        <w:t>Nature Chemistry</w:t>
      </w:r>
      <w:r>
        <w:t xml:space="preserve">    </w:t>
      </w:r>
      <w:r>
        <w:rPr>
          <w:b/>
        </w:rPr>
        <w:t xml:space="preserve">Pub date: </w:t>
      </w:r>
      <w:r>
        <w:t>2026-04-23 00:00:00+00:00</w:t>
      </w:r>
      <w:r>
        <w:t xml:space="preserve">    </w:t>
      </w:r>
      <w:r>
        <w:rPr>
          <w:b/>
        </w:rPr>
        <w:t xml:space="preserve">DOI: </w:t>
      </w:r>
      <w:hyperlink r:id="rId926">
        <w:r>
          <w:rPr>
            <w:color w:val="1155CC"/>
            <w:u w:val="single"/>
          </w:rPr>
          <w:t>10.1038/s41557-026-02131-8</w:t>
        </w:r>
      </w:hyperlink>
    </w:p>
    <w:p>
      <w:pPr>
        <w:spacing w:before="0" w:after="120"/>
      </w:pPr>
      <w:r>
        <w:rPr>
          <w:b/>
        </w:rPr>
        <w:t xml:space="preserve">Notes: </w:t>
      </w:r>
      <w:r>
        <w:t>abstract_source=nature_html</w:t>
      </w:r>
    </w:p>
    <w:p>
      <w:pPr>
        <w:spacing w:before="0" w:after="80" w:lineRule="auto" w:line="276"/>
      </w:pPr>
      <w:r>
        <w:rPr>
          <w:b/>
        </w:rPr>
        <w:t xml:space="preserve">摘要（ZH）: </w:t>
      </w:r>
      <w:r>
        <w:t>具有ReO3或钙钛矿相关拓扑结构的分子框架因其结构多样性而被广泛研究，但在这些系统中尚未实现显示强电子和磁性关联的例子。在此，我们报告了Cr(pyrazine)3的合成，这是一种采用立方ReO3型结构的三维分子框架，其中Cr3+离子仅由吡嗪自由基阴离子桥接。在Cr(pyrazine)3中，Cr3+和自由基子晶格之间的反铁磁耦合，其大小可与过渡金属氧化物中的相媲美，导致几乎完全补偿的亚铁磁基态，具有异常小的净磁矩。由于双分子晶格的对称性和化学计量比，磁补偿持续存在</w:t>
      </w:r>
    </w:p>
    <w:p>
      <w:pPr>
        <w:spacing w:before="0" w:after="200" w:lineRule="auto" w:line="276"/>
      </w:pPr>
      <w:r>
        <w:rPr>
          <w:b/>
        </w:rPr>
        <w:t xml:space="preserve">Abstract (EN): </w:t>
      </w:r>
      <w:r>
        <w:t>Molecular frameworks with ReO3- or perovskite-related topologies have been widely investigated for their structural versatility, yet examples displaying strong electronic and magnetic correlations have not been realized in such systems. Here we report the synthesis of Cr(pyrazine)3, a three-dimensional molecular framework adopting a cubic ReO3-type structure, in which Cr3+ ions are bridged exclusively by pyrazine radical anions. In Cr(pyrazine)3, antiferromagnetic coupling between the Cr3+ and radical sublattices, comparable in magnitude to that found in transition-metal oxides, leads to a nearly perfectly compensated ferrimagnetic ground state with an exceptionally small net magnetic moment. Owing to the symmetry and stoichiometry of the bipartite lattice, magnetic compensation persists over an extended temperature range rather than occurring only at a specific compensation temperature. Long-range magnetic order is observed well above room temperature, placing Cr(pyrazine)3 among the very few materials featuring robust compensated ferrimagnetism under ambient conditions.The alternative text for this image may have been generated using AI.</w:t>
      </w:r>
    </w:p>
    <w:p>
      <w:pPr>
        <w:spacing w:before="120" w:after="120"/>
      </w:pPr>
      <w:r>
        <w:rPr>
          <w:sz w:val="18"/>
        </w:rPr>
        <w:t>——————————————————————————————————————————————————————————————————————</w:t>
      </w:r>
    </w:p>
    <w:p>
      <w:pPr>
        <w:spacing w:before="160" w:after="40" w:line="240" w:lineRule="auto"/>
      </w:pPr>
      <w:r>
        <w:rPr>
          <w:b/>
        </w:rPr>
        <w:t xml:space="preserve">[374] </w:t>
      </w:r>
      <w:hyperlink r:id="rId927">
        <w:r>
          <w:rPr>
            <w:color w:val="1155CC"/>
            <w:u w:val="single"/>
          </w:rPr>
          <w:t>通过光响应分子的合理设计和其人工蛋白结合对的选择实现从头化学光遗传学</w:t>
        </w:r>
      </w:hyperlink>
    </w:p>
    <w:p>
      <w:pPr>
        <w:spacing w:before="0" w:after="80"/>
      </w:pPr>
      <w:r>
        <w:rPr>
          <w:i/>
          <w:sz w:val="20"/>
        </w:rPr>
        <w:t>EN: De novo chemo-optogenetics through the rational design of photoresponsive molecules and selection of their artificial protein binding pairs</w:t>
      </w:r>
    </w:p>
    <w:p>
      <w:pPr>
        <w:spacing w:before="0" w:after="120"/>
      </w:pPr>
      <w:r>
        <w:rPr>
          <w:b/>
        </w:rPr>
        <w:t xml:space="preserve">Source: </w:t>
      </w:r>
      <w:r>
        <w:t>Nature Chemistry</w:t>
      </w:r>
      <w:r>
        <w:t xml:space="preserve">    </w:t>
      </w:r>
      <w:r>
        <w:rPr>
          <w:b/>
        </w:rPr>
        <w:t xml:space="preserve">Pub date: </w:t>
      </w:r>
      <w:r>
        <w:t>2026-04-23 00:00:00+00:00</w:t>
      </w:r>
      <w:r>
        <w:t xml:space="preserve">    </w:t>
      </w:r>
      <w:r>
        <w:rPr>
          <w:b/>
        </w:rPr>
        <w:t xml:space="preserve">DOI: </w:t>
      </w:r>
      <w:hyperlink r:id="rId928">
        <w:r>
          <w:rPr>
            <w:color w:val="1155CC"/>
            <w:u w:val="single"/>
          </w:rPr>
          <w:t>10.1038/s41557-026-02121-w</w:t>
        </w:r>
      </w:hyperlink>
    </w:p>
    <w:p>
      <w:pPr>
        <w:spacing w:before="0" w:after="120"/>
      </w:pPr>
      <w:r>
        <w:rPr>
          <w:b/>
        </w:rPr>
        <w:t xml:space="preserve">Notes: </w:t>
      </w:r>
      <w:r>
        <w:t>abstract_source=nature_html</w:t>
      </w:r>
    </w:p>
    <w:p>
      <w:pPr>
        <w:spacing w:before="0" w:after="80" w:lineRule="auto" w:line="276"/>
      </w:pPr>
      <w:r>
        <w:rPr>
          <w:b/>
        </w:rPr>
        <w:t xml:space="preserve">摘要（ZH）: </w:t>
      </w:r>
      <w:r>
        <w:t>蛋白质的光学操控是探测和工程细胞功能的核心。然而，基于天然光受体的现有光遗传工具和基于天然蛋白质-配体对的化学光遗传工具难以重新配置以获得所需的光化学和结合特性。在此，我们介绍了一种创建化学光遗传工具的全新方法。我们不是修改预先存在的配体，而是首先设计具有定义特性的合成光开关，然后使用mRNA展示选择识别特定光异构体依赖构象的人工蛋白质结合体。这种自下而上的框架产生了人工光开关-蛋白质结合体对，使得在哺乳动物细胞中对多种生物活动进行精确的光学控制，例如激酶</w:t>
      </w:r>
    </w:p>
    <w:p>
      <w:pPr>
        <w:spacing w:before="0" w:after="200" w:lineRule="auto" w:line="276"/>
      </w:pPr>
      <w:r>
        <w:rPr>
          <w:b/>
        </w:rPr>
        <w:t xml:space="preserve">Abstract (EN): </w:t>
      </w:r>
      <w:r>
        <w:t>Optical manipulation of proteins is central to probing and engineering cellular functions. However, existing optogenetic tools based on natural photoreceptors and chemo-optogenetic tools based on natural protein–ligand pairs are difficult to reconfigure for the desired photochemical and binding properties. Here we introduce a de novo approach for creating chemo-optogenetic tools. Instead of modifying pre-existing ligands, we first design a synthetic photoswitch with defined properties and then use mRNA display to select for artificial protein binders that recognize a specific photoisomer-dependent conformation. This bottom-up framework yields artificial photoswitch–protein binder pairs that enable precise optical control of diverse biological activities in mammalian cells, such as kinase and lipid signalling, G-protein-coupled receptor activation, gene expression and cell differentiation. The regulatory mode (sustained, reversible or repeatable) is readily programmed by adjusting light inputs. This de novo approach provides customizable synthetic photoswitch–protein binder pairs, expanding opportunities for optical protein manipulation in biological and biomedical applications.The alternative text for this image may have been generated using AI.</w:t>
      </w:r>
    </w:p>
    <w:p>
      <w:pPr>
        <w:spacing w:before="120" w:after="120"/>
      </w:pPr>
      <w:r>
        <w:rPr>
          <w:sz w:val="18"/>
        </w:rPr>
        <w:t>——————————————————————————————————————————————————————————————————————</w:t>
      </w:r>
    </w:p>
    <w:p>
      <w:pPr>
        <w:spacing w:before="160" w:after="40" w:line="240" w:lineRule="auto"/>
      </w:pPr>
      <w:r>
        <w:rPr>
          <w:b/>
        </w:rPr>
        <w:t xml:space="preserve">[375] </w:t>
      </w:r>
      <w:hyperlink r:id="rId929">
        <w:r>
          <w:rPr>
            <w:color w:val="1155CC"/>
            <w:u w:val="single"/>
          </w:rPr>
          <w:t>转移RNA脱酰基酶作为非标准氨基酸生物合成的信标</w:t>
        </w:r>
      </w:hyperlink>
    </w:p>
    <w:p>
      <w:pPr>
        <w:spacing w:before="0" w:after="80"/>
      </w:pPr>
      <w:r>
        <w:rPr>
          <w:i/>
          <w:sz w:val="20"/>
        </w:rPr>
        <w:t>EN: Transfer RNA deacylases as beacons for non-canonical amino acid biosynthesis</w:t>
      </w:r>
    </w:p>
    <w:p>
      <w:pPr>
        <w:spacing w:before="0" w:after="120"/>
      </w:pPr>
      <w:r>
        <w:rPr>
          <w:b/>
        </w:rPr>
        <w:t xml:space="preserve">Source: </w:t>
      </w:r>
      <w:r>
        <w:t>Nature Chemistry</w:t>
      </w:r>
      <w:r>
        <w:t xml:space="preserve">    </w:t>
      </w:r>
      <w:r>
        <w:rPr>
          <w:b/>
        </w:rPr>
        <w:t xml:space="preserve">Pub date: </w:t>
      </w:r>
      <w:r>
        <w:t>2026-04-23 00:00:00+00:00</w:t>
      </w:r>
      <w:r>
        <w:t xml:space="preserve">    </w:t>
      </w:r>
      <w:r>
        <w:rPr>
          <w:b/>
        </w:rPr>
        <w:t xml:space="preserve">DOI: </w:t>
      </w:r>
      <w:hyperlink r:id="rId930">
        <w:r>
          <w:rPr>
            <w:color w:val="1155CC"/>
            <w:u w:val="single"/>
          </w:rPr>
          <w:t>10.1038/s41557-026-02139-0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[376] </w:t>
      </w:r>
      <w:hyperlink r:id="rId931">
        <w:r>
          <w:rPr>
            <w:color w:val="1155CC"/>
            <w:u w:val="single"/>
          </w:rPr>
          <w:t>延迟使新的NSF资助变得稀少——这种情况可能即将改变</w:t>
        </w:r>
      </w:hyperlink>
    </w:p>
    <w:p>
      <w:pPr>
        <w:spacing w:before="0" w:after="80"/>
      </w:pPr>
      <w:r>
        <w:rPr>
          <w:i/>
          <w:sz w:val="20"/>
        </w:rPr>
        <w:t>EN: Delays have kept new NSF grants to a trickle — that could be about to change</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32">
        <w:r>
          <w:rPr>
            <w:color w:val="1155CC"/>
            <w:u w:val="single"/>
          </w:rPr>
          <w:t>10.1038/d41586-026-01287-0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933">
        <w:r>
          <w:rPr>
            <w:color w:val="1155CC"/>
            <w:u w:val="single"/>
          </w:rPr>
          <w:t>作者更正：外延反铁磁氧化物异质结构中的磁振子限制</w:t>
        </w:r>
      </w:hyperlink>
    </w:p>
    <w:p>
      <w:pPr>
        <w:spacing w:before="0" w:after="80"/>
      </w:pPr>
      <w:r>
        <w:rPr>
          <w:i/>
          <w:sz w:val="20"/>
        </w:rPr>
        <w:t>EN: Author Correction: Magnon confinement in epitaxial antiferromagnetic oxide heterostructures</w:t>
      </w:r>
    </w:p>
    <w:p>
      <w:pPr>
        <w:spacing w:before="0" w:after="120"/>
      </w:pPr>
      <w:r>
        <w:rPr>
          <w:b/>
        </w:rPr>
        <w:t xml:space="preserve">Source: </w:t>
      </w:r>
      <w:r>
        <w:t>Nature Materials</w:t>
      </w:r>
      <w:r>
        <w:t xml:space="preserve">    </w:t>
      </w:r>
      <w:r>
        <w:rPr>
          <w:b/>
        </w:rPr>
        <w:t xml:space="preserve">Pub date: </w:t>
      </w:r>
      <w:r>
        <w:t>2026-04-23 00:00:00+00:00</w:t>
      </w:r>
      <w:r>
        <w:t xml:space="preserve">    </w:t>
      </w:r>
      <w:r>
        <w:rPr>
          <w:b/>
        </w:rPr>
        <w:t xml:space="preserve">DOI: </w:t>
      </w:r>
      <w:hyperlink r:id="rId934">
        <w:r>
          <w:rPr>
            <w:color w:val="1155CC"/>
            <w:u w:val="single"/>
          </w:rPr>
          <w:t>10.1038/s41563-026-02612-8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935">
        <w:r>
          <w:rPr>
            <w:color w:val="1155CC"/>
            <w:u w:val="single"/>
          </w:rPr>
          <w:t>为了生物打印形态发生类器官，保持冷静和放松是至关重要的</w:t>
        </w:r>
      </w:hyperlink>
    </w:p>
    <w:p>
      <w:pPr>
        <w:spacing w:before="0" w:after="80"/>
      </w:pPr>
      <w:r>
        <w:rPr>
          <w:i/>
          <w:sz w:val="20"/>
        </w:rPr>
        <w:t>EN: To bioprint morphogenic organoids it is essential to chill out and relax</w:t>
      </w:r>
    </w:p>
    <w:p>
      <w:pPr>
        <w:spacing w:before="0" w:after="120"/>
      </w:pPr>
      <w:r>
        <w:rPr>
          <w:b/>
        </w:rPr>
        <w:t xml:space="preserve">Source: </w:t>
      </w:r>
      <w:r>
        <w:t>Nature Materials</w:t>
      </w:r>
      <w:r>
        <w:t xml:space="preserve">    </w:t>
      </w:r>
      <w:r>
        <w:rPr>
          <w:b/>
        </w:rPr>
        <w:t xml:space="preserve">Pub date: </w:t>
      </w:r>
      <w:r>
        <w:t>2026-04-23 00:00:00+00:00</w:t>
      </w:r>
      <w:r>
        <w:t xml:space="preserve">    </w:t>
      </w:r>
      <w:r>
        <w:rPr>
          <w:b/>
        </w:rPr>
        <w:t xml:space="preserve">DOI: </w:t>
      </w:r>
      <w:hyperlink r:id="rId936">
        <w:r>
          <w:rPr>
            <w:color w:val="1155CC"/>
            <w:u w:val="single"/>
          </w:rPr>
          <w:t>10.1038/s41563-026-02581-y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937">
        <w:r>
          <w:rPr>
            <w:color w:val="1155CC"/>
            <w:u w:val="single"/>
          </w:rPr>
          <w:t>耐氧绿色光聚合与I型硼烷基化BODIPYs：亚甲基的力量</w:t>
        </w:r>
      </w:hyperlink>
    </w:p>
    <w:p>
      <w:pPr>
        <w:spacing w:before="0" w:after="80"/>
      </w:pPr>
      <w:r>
        <w:rPr>
          <w:i/>
          <w:sz w:val="20"/>
        </w:rPr>
        <w:t>EN: Oxygen-tolerant green-light photopolymerizations with type I boron-alkylated BODIPYs: The power of a methylene</w:t>
      </w:r>
    </w:p>
    <w:p>
      <w:pPr>
        <w:spacing w:before="0" w:after="120"/>
      </w:pPr>
      <w:r>
        <w:rPr>
          <w:b/>
        </w:rPr>
        <w:t xml:space="preserve">Source: </w:t>
      </w:r>
      <w:r>
        <w:t>Chem</w:t>
      </w:r>
      <w:r>
        <w:t xml:space="preserve">    </w:t>
      </w:r>
      <w:r>
        <w:rPr>
          <w:b/>
        </w:rPr>
        <w:t xml:space="preserve">Pub date: </w:t>
      </w:r>
      <w:r>
        <w:t>2026-04-23 00:00:00+00:00</w:t>
      </w:r>
      <w:r>
        <w:t xml:space="preserve">    </w:t>
      </w:r>
      <w:r>
        <w:rPr>
          <w:b/>
        </w:rPr>
        <w:t xml:space="preserve">DOI: </w:t>
      </w:r>
      <w:hyperlink r:id="rId938">
        <w:r>
          <w:rPr>
            <w:color w:val="1155CC"/>
            <w:u w:val="single"/>
          </w:rPr>
          <w:t>10.1016/j.chempr.2026.103043</w:t>
        </w:r>
      </w:hyperlink>
    </w:p>
    <w:p>
      <w:pPr>
        <w:spacing w:before="0" w:after="120"/>
      </w:pPr>
      <w:r>
        <w:rPr>
          <w:b/>
        </w:rPr>
        <w:t xml:space="preserve">Notes: </w:t>
      </w:r>
      <w:r>
        <w:t>abstract_source=rss_cell</w:t>
      </w:r>
    </w:p>
    <w:p>
      <w:pPr>
        <w:spacing w:before="0" w:after="80" w:lineRule="auto" w:line="276"/>
      </w:pPr>
      <w:r>
        <w:rPr>
          <w:b/>
        </w:rPr>
        <w:t xml:space="preserve">摘要（ZH）: </w:t>
      </w:r>
      <w:r>
        <w:t>在硼烷基化BODIPY光引发剂中，从甲基到乙基取代的微妙变化显著提高了性能，使其在空气中低强度绿光下能够快速产生自由基。这种固有的氧气耐受性支持丙烯酸酯的高效聚合和环境3D打印，使得从牙科复合材料到组织工程支架的应用中实现可见光固化。</w:t>
      </w:r>
    </w:p>
    <w:p>
      <w:pPr>
        <w:spacing w:before="0" w:after="200" w:lineRule="auto" w:line="276"/>
      </w:pPr>
      <w:r>
        <w:rPr>
          <w:b/>
        </w:rPr>
        <w:t xml:space="preserve">Abstract (EN): </w:t>
      </w:r>
      <w:r>
        <w:t>A subtle change from methyl to ethyl substitution in boron-alkylated BODIPY photoinitiators dramatically enhances performance, enabling rapid radical generation under low-intensity green light in air. This intrinsic oxygen tolerance supports efficient polymerization and ambient 3D printing of acrylates, enabling visible-light curing for applications from dental composites to tissue engineering scaffolds.</w:t>
      </w:r>
    </w:p>
    <w:p>
      <w:pPr>
        <w:spacing w:before="120" w:after="120"/>
      </w:pPr>
      <w:r>
        <w:rPr>
          <w:sz w:val="18"/>
        </w:rPr>
        <w:t>——————————————————————————————————————————————————————————————————————</w:t>
      </w:r>
    </w:p>
    <w:p>
      <w:pPr>
        <w:spacing w:before="160" w:after="40" w:line="240" w:lineRule="auto"/>
      </w:pPr>
      <w:r>
        <w:rPr>
          <w:b/>
        </w:rPr>
        <w:t xml:space="preserve">[380] </w:t>
      </w:r>
      <w:hyperlink r:id="rId939">
        <w:r>
          <w:rPr>
            <w:color w:val="1155CC"/>
            <w:u w:val="single"/>
          </w:rPr>
          <w:t>二维金属有机框架提供光催化整体水分解的一体化助催化剂</w:t>
        </w:r>
      </w:hyperlink>
    </w:p>
    <w:p>
      <w:pPr>
        <w:spacing w:before="0" w:after="80"/>
      </w:pPr>
      <w:r>
        <w:rPr>
          <w:i/>
          <w:sz w:val="20"/>
        </w:rPr>
        <w:t>EN: Two-dimensional metal–organic frameworks offer all-in-one cocatalysts for photocatalytic overall water splitting</w:t>
      </w:r>
    </w:p>
    <w:p>
      <w:pPr>
        <w:spacing w:before="0" w:after="120"/>
      </w:pPr>
      <w:r>
        <w:rPr>
          <w:b/>
        </w:rPr>
        <w:t xml:space="preserve">Source: </w:t>
      </w:r>
      <w:r>
        <w:t>Nature Chemistry</w:t>
      </w:r>
      <w:r>
        <w:t xml:space="preserve">    </w:t>
      </w:r>
      <w:r>
        <w:rPr>
          <w:b/>
        </w:rPr>
        <w:t xml:space="preserve">Pub date: </w:t>
      </w:r>
      <w:r>
        <w:t>2026-04-23 00:00:00+00:00</w:t>
      </w:r>
      <w:r>
        <w:t xml:space="preserve">    </w:t>
      </w:r>
      <w:r>
        <w:rPr>
          <w:b/>
        </w:rPr>
        <w:t xml:space="preserve">DOI: </w:t>
      </w:r>
      <w:hyperlink r:id="rId940">
        <w:r>
          <w:rPr>
            <w:color w:val="1155CC"/>
            <w:u w:val="single"/>
          </w:rPr>
          <w:t>10.1038/s41557-026-02133-6</w:t>
        </w:r>
      </w:hyperlink>
    </w:p>
    <w:p>
      <w:pPr>
        <w:spacing w:before="0" w:after="120"/>
      </w:pPr>
      <w:r>
        <w:rPr>
          <w:b/>
        </w:rPr>
        <w:t xml:space="preserve">Notes: </w:t>
      </w:r>
      <w:r>
        <w:t>abstract_source=nature_html</w:t>
      </w:r>
    </w:p>
    <w:p>
      <w:pPr>
        <w:spacing w:before="0" w:after="80" w:lineRule="auto" w:line="276"/>
      </w:pPr>
      <w:r>
        <w:rPr>
          <w:b/>
        </w:rPr>
        <w:t xml:space="preserve">摘要（ZH）: </w:t>
      </w:r>
      <w:r>
        <w:t>光催化整体水分解在可持续氢气生产方面具有巨大潜力。对于通过一步激发进行的整体水分解，氢气演化和氧气演化反应在动力学上受到阻碍；因此，有必要对光催化剂进行位点选择性修饰，使用氢气演化和氧气演化助催化剂。然而，关键挑战仍然存在，包括需要繁琐的多步骤光沉积过程和耐用的阻挡层以抑制逆反应。在此，我们发现一种导电的二维金属有机框架可以作为简单的多功能助催化剂。我们使用一步自组装方法将该框架加载到SrTiO3:Al上，这是一种整体水分解光催化剂。该框架</w:t>
      </w:r>
    </w:p>
    <w:p>
      <w:pPr>
        <w:spacing w:before="0" w:after="200" w:lineRule="auto" w:line="276"/>
      </w:pPr>
      <w:r>
        <w:rPr>
          <w:b/>
        </w:rPr>
        <w:t xml:space="preserve">Abstract (EN): </w:t>
      </w:r>
      <w:r>
        <w:t>Photocatalytic overall water splitting holds great promise for sustainable hydrogen production. For overall water splitting performed by one-step excitation, both the hydrogen evolution and oxygen evolution reactions are hindered kinetically; hence, it is necessary to employ site-selective modification of photocatalysts with hydrogen-evolving and oxygen-evolving cocatalysts. However, critical challenges remain, including the need for cumbersome, multi-step photodeposition processes and durable blocking layers to inhibit the reverse reactions. Here we find a conductive, two-dimensional metal–organic framework to serve as a simple, multifunctional cocatalyst. We loaded this framework on SrTiO3:Al, an overall water-splitting photocatalyst, using a one-step self-assembly method. The framework cocatalyst promoted steady photocatalysis with an apparent quantum efficiency of 31.5% at 350 nm, free from the reverse reaction even without blocking layers. We proposed the operational principles for the cocatalyst activity using spectroscopic, electrochemical and theoretical analyses. This two-dimensional metal–organic framework offers an all-in-one approach for designing efficient and practical one-step excitation overall water-splitting systems.The alternative text for this image may have been generated using AI.</w:t>
      </w:r>
    </w:p>
    <w:p>
      <w:pPr>
        <w:spacing w:before="120" w:after="120"/>
      </w:pPr>
      <w:r>
        <w:rPr>
          <w:sz w:val="18"/>
        </w:rPr>
        <w:t>——————————————————————————————————————————————————————————————————————</w:t>
      </w:r>
    </w:p>
    <w:p>
      <w:pPr>
        <w:spacing w:before="160" w:after="40" w:line="240" w:lineRule="auto"/>
      </w:pPr>
      <w:r>
        <w:rPr>
          <w:b/>
        </w:rPr>
        <w:t xml:space="preserve">[381] </w:t>
      </w:r>
      <w:hyperlink r:id="rId941">
        <w:r>
          <w:rPr>
            <w:color w:val="1155CC"/>
            <w:u w:val="single"/>
          </w:rPr>
          <w:t>为什么心脏癌如此罕见？跳动的肌肉‘击败’了它</w:t>
        </w:r>
      </w:hyperlink>
    </w:p>
    <w:p>
      <w:pPr>
        <w:spacing w:before="0" w:after="80"/>
      </w:pPr>
      <w:r>
        <w:rPr>
          <w:i/>
          <w:sz w:val="20"/>
        </w:rPr>
        <w:t>EN: Why is heart cancer so rare? The pumping muscle ‘beats’ it</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42">
        <w:r>
          <w:rPr>
            <w:color w:val="1155CC"/>
            <w:u w:val="single"/>
          </w:rPr>
          <w:t>10.1038/d41586-026-01296-z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943">
        <w:r>
          <w:rPr>
            <w:color w:val="1155CC"/>
            <w:u w:val="single"/>
          </w:rPr>
          <w:t>掺铕无限层镍酸盐中的场再入超导性</w:t>
        </w:r>
      </w:hyperlink>
    </w:p>
    <w:p>
      <w:pPr>
        <w:spacing w:before="0" w:after="80"/>
      </w:pPr>
      <w:r>
        <w:rPr>
          <w:i/>
          <w:sz w:val="20"/>
        </w:rPr>
        <w:t>EN: Field re-entrant superconductivity in Eu-doped infinite-layer nickelates</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44">
        <w:r>
          <w:rPr>
            <w:color w:val="1155CC"/>
            <w:u w:val="single"/>
          </w:rPr>
          <w:t>10.1038/s41586-026-10547-y</w:t>
        </w:r>
      </w:hyperlink>
    </w:p>
    <w:p>
      <w:pPr>
        <w:spacing w:before="0" w:after="120"/>
      </w:pPr>
      <w:r>
        <w:rPr>
          <w:b/>
        </w:rPr>
        <w:t xml:space="preserve">Notes: </w:t>
      </w:r>
      <w:r>
        <w:t>abstract_source=nature_html</w:t>
      </w:r>
    </w:p>
    <w:p>
      <w:pPr>
        <w:spacing w:before="0" w:after="80" w:lineRule="auto" w:line="276"/>
      </w:pPr>
      <w:r>
        <w:rPr>
          <w:b/>
        </w:rPr>
        <w:t xml:space="preserve">摘要（ZH）: </w:t>
      </w:r>
      <w:r>
        <w:t>交织的超导和磁性序可能会引发奇异的量子相，包括场诱导和再入超导性。然而，在具有较高转变温度的超导体中，这种磁性增强的超导性仍然难以捉摸。虽然无限层镍酸盐代表了一类新的非常规超导体，但稀土磁性对超导性能的影响仍然很大程度上未被探索。在此，我们展示了掺Eu的无限层镍酸盐Sm0.95−xCa0.05EuxNiO2在富Eu过掺杂区域表现出磁场诱导的再入超导相。零电阻传输和高场抗磁屏蔽证实了该相的超导性质，该性质在初始抑制后出现</w:t>
      </w:r>
    </w:p>
    <w:p>
      <w:pPr>
        <w:spacing w:before="0" w:after="200" w:lineRule="auto" w:line="276"/>
      </w:pPr>
      <w:r>
        <w:rPr>
          <w:b/>
        </w:rPr>
        <w:t xml:space="preserve">Abstract (EN): </w:t>
      </w:r>
      <w:r>
        <w:t>Intertwined superconducting and magnetic orders may give rise to exotic quantum phases1–7, including field-induced and re-entrant superconductivity8–10. However, such magnetism-enhanced superconductivity has remained elusive in superconductors with higher transition temperatures1–3. While infinite-layer nickelates represent a new class of unconventional superconductors11–20, the impact of rare-earth magnetism on superconducting properties remains largely unexplored. Here, we show that Eu-doped infinite-layer nickelate Sm0.95−xCa0.05EuxNiO2 exhibits a magnetic-field-induced re-entrant superconducting phase in the Eu-rich over-doped regime. Zero-resistance transport and high-field diamagnetic screening confirm the superconducting nature of this phase, which emerges after the initial suppression of low-field superconductivity and remains robust across a broad range of temperatures, fields and field orientations. In the same doping range, we observe nonlinear Hall transport and hysteretic magnetoresistance, indicating the unconventional nature of the re-entrant behaviour. While partially consistent with a compensation mechanism between the Eu-derived exchange field and the applied field, our data reveal pronounced deviations from this model at the highest-doping levels. Our findings establish infinite-layer nickelates as a fertile platform for exploring magnetically driven high-field superconductivity in strongly correlated oxides.</w:t>
      </w:r>
    </w:p>
    <w:p>
      <w:pPr>
        <w:spacing w:before="120" w:after="120"/>
      </w:pPr>
      <w:r>
        <w:rPr>
          <w:sz w:val="18"/>
        </w:rPr>
        <w:t>——————————————————————————————————————————————————————————————————————</w:t>
      </w:r>
    </w:p>
    <w:p>
      <w:pPr>
        <w:spacing w:before="160" w:after="40" w:line="240" w:lineRule="auto"/>
      </w:pPr>
      <w:r>
        <w:rPr>
          <w:b/>
        </w:rPr>
        <w:t xml:space="preserve">[383] </w:t>
      </w:r>
      <w:hyperlink r:id="rId945">
        <w:r>
          <w:rPr>
            <w:color w:val="1155CC"/>
            <w:u w:val="single"/>
          </w:rPr>
          <w:t>具有共享储能的非合作与合作博弈的数据中心集群双层两阶段计算-电力耦合调度模型</w:t>
        </w:r>
      </w:hyperlink>
    </w:p>
    <w:p>
      <w:pPr>
        <w:spacing w:before="0" w:after="80"/>
      </w:pPr>
      <w:r>
        <w:rPr>
          <w:i/>
          <w:sz w:val="20"/>
        </w:rPr>
        <w:t>EN: A Bi-level two-stage computing-electric power coupled scheduling model of data center cluster with shared energy storage incorporating non-cooperative and cooperative game</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946">
        <w:r>
          <w:rPr>
            <w:color w:val="1155CC"/>
            <w:u w:val="single"/>
          </w:rPr>
          <w:t>一种系统思维方法，用于建模政府干预以减少能源贫困</w:t>
        </w:r>
      </w:hyperlink>
    </w:p>
    <w:p>
      <w:pPr>
        <w:spacing w:before="0" w:after="80"/>
      </w:pPr>
      <w:r>
        <w:rPr>
          <w:i/>
          <w:sz w:val="20"/>
        </w:rPr>
        <w:t>EN: A systems thinking approach to modelling government interventions for energy poverty reduction</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947">
        <w:r>
          <w:rPr>
            <w:color w:val="1155CC"/>
            <w:u w:val="single"/>
          </w:rPr>
          <w:t>用于慢性脑活动记录的神经元尺度全水凝胶电极阵列</w:t>
        </w:r>
      </w:hyperlink>
    </w:p>
    <w:p>
      <w:pPr>
        <w:spacing w:before="0" w:after="80"/>
      </w:pPr>
      <w:r>
        <w:rPr>
          <w:i/>
          <w:sz w:val="20"/>
        </w:rPr>
        <w:t>EN: A neuron-scale all-hydrogel electrode array for chronic brain activity recording</w:t>
      </w:r>
    </w:p>
    <w:p>
      <w:pPr>
        <w:spacing w:before="0" w:after="120"/>
      </w:pPr>
      <w:r>
        <w:rPr>
          <w:b/>
        </w:rPr>
        <w:t xml:space="preserve">Source: </w:t>
      </w:r>
      <w:r>
        <w:t>Matter</w:t>
      </w:r>
      <w:r>
        <w:t xml:space="preserve">    </w:t>
      </w:r>
      <w:r>
        <w:rPr>
          <w:b/>
        </w:rPr>
        <w:t xml:space="preserve">Pub date: </w:t>
      </w:r>
      <w:r>
        <w:t>2026-04-23 00:00:00+00:00</w:t>
      </w:r>
      <w:r>
        <w:t xml:space="preserve">    </w:t>
      </w:r>
      <w:r>
        <w:rPr>
          <w:b/>
        </w:rPr>
        <w:t xml:space="preserve">DOI: </w:t>
      </w:r>
      <w:hyperlink r:id="rId948">
        <w:r>
          <w:rPr>
            <w:color w:val="1155CC"/>
            <w:u w:val="single"/>
          </w:rPr>
          <w:t>10.1016/j.matt.2026.102798</w:t>
        </w:r>
      </w:hyperlink>
    </w:p>
    <w:p>
      <w:pPr>
        <w:spacing w:before="0" w:after="120"/>
      </w:pPr>
      <w:r>
        <w:rPr>
          <w:b/>
        </w:rPr>
        <w:t xml:space="preserve">Notes: </w:t>
      </w:r>
      <w:r>
        <w:t>abstract_source=rss_cell</w:t>
      </w:r>
    </w:p>
    <w:p>
      <w:pPr>
        <w:spacing w:before="0" w:after="80" w:lineRule="auto" w:line="276"/>
      </w:pPr>
      <w:r>
        <w:rPr>
          <w:b/>
        </w:rPr>
        <w:t xml:space="preserve">摘要（ZH）: </w:t>
      </w:r>
      <w:r>
        <w:t>这项工作专注于新兴的生物相容性水凝胶基神经接口设计，并实现了两个关键的创新设计：突破水凝胶纤维直径的制造限制至亚微米水平（0.94 μm），以实现显著减少免疫反应和高分辨率跟踪单神经元动作电位，并克服水凝胶纤维的固有电气和稳定性缺陷，以实现高质量（16.9 dB）和长期（超过6个月）的神经信号记录。</w:t>
      </w:r>
    </w:p>
    <w:p>
      <w:pPr>
        <w:spacing w:before="0" w:after="200" w:lineRule="auto" w:line="276"/>
      </w:pPr>
      <w:r>
        <w:rPr>
          <w:b/>
        </w:rPr>
        <w:t xml:space="preserve">Abstract (EN): </w:t>
      </w:r>
      <w:r>
        <w:t>This work focuses on the emerging biocompatible hydrogel-based neural interface design and achieves two key innovative designs: breaking the manufacturing limit of hydrogel fiber diameter to the submicron level (0.94 μm) to realize a significant reduction in immune responses and high-resolution tracking of single-neuron action potentials and overcoming the intrinsic electrical and stability defects of hydrogel fiber to realize high-quality (16.9 dB) and long-term (over 6 months) neuron signal recordings.</w:t>
      </w:r>
    </w:p>
    <w:p>
      <w:pPr>
        <w:spacing w:before="120" w:after="120"/>
      </w:pPr>
      <w:r>
        <w:rPr>
          <w:sz w:val="18"/>
        </w:rPr>
        <w:t>——————————————————————————————————————————————————————————————————————</w:t>
      </w:r>
    </w:p>
    <w:p>
      <w:pPr>
        <w:spacing w:before="160" w:after="40" w:line="240" w:lineRule="auto"/>
      </w:pPr>
      <w:r>
        <w:rPr>
          <w:b/>
        </w:rPr>
        <w:t xml:space="preserve">[386] </w:t>
      </w:r>
      <w:hyperlink r:id="rId949">
        <w:r>
          <w:rPr>
            <w:color w:val="1155CC"/>
            <w:u w:val="single"/>
          </w:rPr>
          <w:t>用于机器学习建筑负荷预测的数据质量评估框架的开发与验证</w:t>
        </w:r>
      </w:hyperlink>
    </w:p>
    <w:p>
      <w:pPr>
        <w:spacing w:before="0" w:after="80"/>
      </w:pPr>
      <w:r>
        <w:rPr>
          <w:i/>
          <w:sz w:val="20"/>
        </w:rPr>
        <w:t>EN: Development and validation of a data quality assessment framework for machine learning-based building load prediction</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950">
        <w:r>
          <w:rPr>
            <w:color w:val="1155CC"/>
            <w:u w:val="single"/>
          </w:rPr>
          <w:t>在具有基于NGBoost的可再生能源预测的社区能源系统中协调异构电动汽车和建筑负荷灵活性的多时间尺度滚动优化</w:t>
        </w:r>
      </w:hyperlink>
    </w:p>
    <w:p>
      <w:pPr>
        <w:spacing w:before="0" w:after="80"/>
      </w:pPr>
      <w:r>
        <w:rPr>
          <w:i/>
          <w:sz w:val="20"/>
        </w:rPr>
        <w:t>EN: Multi-timescale rolling optimization coordinating heterogeneous EV and building load flexibility in community energy systems with NGBoost-based renewable forecast</w:t>
      </w:r>
    </w:p>
    <w:p>
      <w:pPr>
        <w:spacing w:before="0" w:after="120"/>
      </w:pPr>
      <w:r>
        <w:rPr>
          <w:b/>
        </w:rPr>
        <w:t xml:space="preserve">Source: </w:t>
      </w:r>
      <w:r>
        <w:t>ScienceDirect Publication: Applied Energy</w:t>
      </w:r>
      <w:r>
        <w:t xml:space="preserve">    </w:t>
      </w:r>
      <w:r>
        <w:rPr>
          <w:b/>
        </w:rPr>
        <w:t xml:space="preserve">Pub date: </w:t>
      </w:r>
      <w:r>
        <w:t>2026-04-23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951">
        <w:r>
          <w:rPr>
            <w:color w:val="1155CC"/>
            <w:u w:val="single"/>
          </w:rPr>
          <w:t>水启发的类机械组装氧化石墨烯导向块和生命</w:t>
        </w:r>
      </w:hyperlink>
    </w:p>
    <w:p>
      <w:pPr>
        <w:spacing w:before="0" w:after="80"/>
      </w:pPr>
      <w:r>
        <w:rPr>
          <w:i/>
          <w:sz w:val="20"/>
        </w:rPr>
        <w:t>EN: Water-inspired mechanical-like assembly of graphene oxide-directed blocks and lives</w:t>
      </w:r>
    </w:p>
    <w:p>
      <w:pPr>
        <w:spacing w:before="0" w:after="120"/>
      </w:pPr>
      <w:r>
        <w:rPr>
          <w:b/>
        </w:rPr>
        <w:t xml:space="preserve">Source: </w:t>
      </w:r>
      <w:r>
        <w:t>Matter</w:t>
      </w:r>
      <w:r>
        <w:t xml:space="preserve">    </w:t>
      </w:r>
      <w:r>
        <w:rPr>
          <w:b/>
        </w:rPr>
        <w:t xml:space="preserve">Pub date: </w:t>
      </w:r>
      <w:r>
        <w:t>2026-04-23 00:00:00+00:00</w:t>
      </w:r>
      <w:r>
        <w:t xml:space="preserve">    </w:t>
      </w:r>
      <w:r>
        <w:rPr>
          <w:b/>
        </w:rPr>
        <w:t xml:space="preserve">DOI: </w:t>
      </w:r>
      <w:hyperlink r:id="rId952">
        <w:r>
          <w:rPr>
            <w:color w:val="1155CC"/>
            <w:u w:val="single"/>
          </w:rPr>
          <w:t>10.1016/j.matt.2026.102799</w:t>
        </w:r>
      </w:hyperlink>
    </w:p>
    <w:p>
      <w:pPr>
        <w:spacing w:before="0" w:after="120"/>
      </w:pPr>
      <w:r>
        <w:rPr>
          <w:b/>
        </w:rPr>
        <w:t xml:space="preserve">Notes: </w:t>
      </w:r>
      <w:r>
        <w:t>abstract_source=rss_cell</w:t>
      </w:r>
    </w:p>
    <w:p>
      <w:pPr>
        <w:spacing w:before="0" w:after="80" w:lineRule="auto" w:line="276"/>
      </w:pPr>
      <w:r>
        <w:rPr>
          <w:b/>
        </w:rPr>
        <w:t xml:space="preserve">摘要（ZH）: </w:t>
      </w:r>
      <w:r>
        <w:t>所提出的类机械组装是一种灵活的策略，使材料能够构建成各种结构，并且能够可逆地拆卸和重新组装成其他结构。通过氧化石墨烯二维分子共形界面实现了强而可逆的组装。这种组装为生命整合材料开辟了一条途径。</w:t>
      </w:r>
    </w:p>
    <w:p>
      <w:pPr>
        <w:spacing w:before="0" w:after="200" w:lineRule="auto" w:line="276"/>
      </w:pPr>
      <w:r>
        <w:rPr>
          <w:b/>
        </w:rPr>
        <w:t xml:space="preserve">Abstract (EN): </w:t>
      </w:r>
      <w:r>
        <w:t>The proposed mechanical-like assembly is a flexible strategy that enables materials to be constructed into various structures as well as to reversibly disassemble and reassemble into other structures. Strong and reversible assembly is realized by a graphene oxide two-dimensional molecular conformal interface. The assembly paves an avenue for life-integrated materials.</w:t>
      </w:r>
    </w:p>
    <w:p>
      <w:pPr>
        <w:spacing w:before="120" w:after="120"/>
      </w:pPr>
      <w:r>
        <w:rPr>
          <w:sz w:val="18"/>
        </w:rPr>
        <w:t>——————————————————————————————————————————————————————————————————————</w:t>
      </w:r>
    </w:p>
    <w:p>
      <w:pPr>
        <w:spacing w:before="160" w:after="40" w:line="240" w:lineRule="auto"/>
      </w:pPr>
      <w:r>
        <w:rPr>
          <w:b/>
        </w:rPr>
        <w:t xml:space="preserve">[389] </w:t>
      </w:r>
      <w:hyperlink r:id="rId953">
        <w:r>
          <w:rPr>
            <w:color w:val="1155CC"/>
            <w:u w:val="single"/>
          </w:rPr>
          <w:t>克拉肯般的章鱼是否统治了白垩纪海洋？巨大的下颌化石提供线索</w:t>
        </w:r>
      </w:hyperlink>
    </w:p>
    <w:p>
      <w:pPr>
        <w:spacing w:before="0" w:after="80"/>
      </w:pPr>
      <w:r>
        <w:rPr>
          <w:i/>
          <w:sz w:val="20"/>
        </w:rPr>
        <w:t>EN: Did kraken-like octopuses rule Cretaceous seas? Massive jaw fossils offer clues</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54">
        <w:r>
          <w:rPr>
            <w:color w:val="1155CC"/>
            <w:u w:val="single"/>
          </w:rPr>
          <w:t>10.1038/d41586-026-01342-w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[390] </w:t>
      </w:r>
      <w:hyperlink r:id="rId955">
        <w:r>
          <w:rPr>
            <w:color w:val="1155CC"/>
            <w:u w:val="single"/>
          </w:rPr>
          <w:t>三维微型仪器化神经网络设备</w:t>
        </w:r>
      </w:hyperlink>
    </w:p>
    <w:p>
      <w:pPr>
        <w:spacing w:before="0" w:after="80"/>
      </w:pPr>
      <w:r>
        <w:rPr>
          <w:i/>
          <w:sz w:val="20"/>
        </w:rPr>
        <w:t>EN: A three-dimensional micro-instrumented neural network device</w:t>
      </w:r>
    </w:p>
    <w:p>
      <w:pPr>
        <w:spacing w:before="0" w:after="120"/>
      </w:pPr>
      <w:r>
        <w:rPr>
          <w:b/>
        </w:rPr>
        <w:t xml:space="preserve">Source: </w:t>
      </w:r>
      <w:r>
        <w:t>Nature Electronics</w:t>
      </w:r>
      <w:r>
        <w:t xml:space="preserve">    </w:t>
      </w:r>
      <w:r>
        <w:rPr>
          <w:b/>
        </w:rPr>
        <w:t xml:space="preserve">Pub date: </w:t>
      </w:r>
      <w:r>
        <w:t>2026-04-23 00:00:00+00:00</w:t>
      </w:r>
      <w:r>
        <w:t xml:space="preserve">    </w:t>
      </w:r>
      <w:r>
        <w:rPr>
          <w:b/>
        </w:rPr>
        <w:t xml:space="preserve">DOI: </w:t>
      </w:r>
      <w:hyperlink r:id="rId956">
        <w:r>
          <w:rPr>
            <w:color w:val="1155CC"/>
            <w:u w:val="single"/>
          </w:rPr>
          <w:t>10.1038/s41928-026-01608-1</w:t>
        </w:r>
      </w:hyperlink>
    </w:p>
    <w:p>
      <w:pPr>
        <w:spacing w:before="0" w:after="120"/>
      </w:pPr>
      <w:r>
        <w:rPr>
          <w:b/>
        </w:rPr>
        <w:t xml:space="preserve">Notes: </w:t>
      </w:r>
      <w:r>
        <w:t>abstract_source=nature_html</w:t>
      </w:r>
    </w:p>
    <w:p>
      <w:pPr>
        <w:spacing w:before="0" w:after="80" w:lineRule="auto" w:line="276"/>
      </w:pPr>
      <w:r>
        <w:rPr>
          <w:b/>
        </w:rPr>
        <w:t xml:space="preserve">摘要（ZH）: </w:t>
      </w:r>
      <w:r>
        <w:t>三维（3D）培养的神经网络模拟了大脑的结构和计算原理，可以用于脑启发计算和人工智能的发展，以及理解神经发育和疾病进展。然而，创建这种稳定的设备-神经网络接口仍然具有挑战性，限制了这种3D神经网络的潜力。在此，我们报告了一种3D微仪器化神经网络设备，其中3D柔性电子传感器和刺激器阵列与3D培养的神经网络集成。我们的设备可以用于记录多个平面上的动作电位，持续6个月，从而允许对不断演变的连接图和药理刺激进行定量监测。</w:t>
      </w:r>
    </w:p>
    <w:p>
      <w:pPr>
        <w:spacing w:before="0" w:after="200" w:lineRule="auto" w:line="276"/>
      </w:pPr>
      <w:r>
        <w:rPr>
          <w:b/>
        </w:rPr>
        <w:t xml:space="preserve">Abstract (EN): </w:t>
      </w:r>
      <w:r>
        <w:t>Three-dimensional (3D) cultured neural networks that emulate the structures and computational principles of the brain could be of use in the development of brain-inspired computing and artificial intelligence, as well as in the understanding of neural development and disease progression. However, creating such stable device–neural network interfaces remains challenging, limiting the potential of such 3D neural networks. Here we report a 3D micro-instrumented neural network device in which a 3D flexible electronic sensor and stimulator array is integrated with a 3D cultured neural network. Our device can be used to record action potentials from multiple planes over a period of 6 months, allowing the quantitative monitoring of the evolving connectivity maps and the pharmacological stimulation responses of the neural networks. This approach also supports chronic electrical stimulation, which we use to train neural networks by tuning the connectivity strengths between neurons, creating a reservoir neural network for biocomputing.</w:t>
      </w:r>
    </w:p>
    <w:p>
      <w:pPr>
        <w:spacing w:before="120" w:after="120"/>
      </w:pPr>
      <w:r>
        <w:rPr>
          <w:sz w:val="18"/>
        </w:rPr>
        <w:t>——————————————————————————————————————————————————————————————————————</w:t>
      </w:r>
    </w:p>
    <w:p>
      <w:pPr>
        <w:spacing w:before="160" w:after="40" w:line="240" w:lineRule="auto"/>
      </w:pPr>
      <w:r>
        <w:rPr>
          <w:b/>
        </w:rPr>
        <w:t xml:space="preserve">[391] </w:t>
      </w:r>
      <w:hyperlink r:id="rId957">
        <w:r>
          <w:rPr>
            <w:color w:val="1155CC"/>
            <w:u w:val="single"/>
          </w:rPr>
          <w:t>数千名哈佛研究生罢工——研究陷入停滞</w:t>
        </w:r>
      </w:hyperlink>
    </w:p>
    <w:p>
      <w:pPr>
        <w:spacing w:before="0" w:after="80"/>
      </w:pPr>
      <w:r>
        <w:rPr>
          <w:i/>
          <w:sz w:val="20"/>
        </w:rPr>
        <w:t>EN: Thousands of Harvard graduate students strike — bringing research to a halt</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58">
        <w:r>
          <w:rPr>
            <w:color w:val="1155CC"/>
            <w:u w:val="single"/>
          </w:rPr>
          <w:t>10.1038/d41586-026-01344-8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959">
        <w:r>
          <w:rPr>
            <w:color w:val="1155CC"/>
            <w:u w:val="single"/>
          </w:rPr>
          <w:t>学者要求为因中国关系被调查但从未被指控的科学家道歉</w:t>
        </w:r>
      </w:hyperlink>
    </w:p>
    <w:p>
      <w:pPr>
        <w:spacing w:before="0" w:after="80"/>
      </w:pPr>
      <w:r>
        <w:rPr>
          <w:i/>
          <w:sz w:val="20"/>
        </w:rPr>
        <w:t>EN: Academics demand apology for scientist investigated for China ties but never charged</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60">
        <w:r>
          <w:rPr>
            <w:color w:val="1155CC"/>
            <w:u w:val="single"/>
          </w:rPr>
          <w:t>10.1038/d41586-026-01113-7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961">
        <w:r>
          <w:rPr>
            <w:color w:val="1155CC"/>
            <w:u w:val="single"/>
          </w:rPr>
          <w:t>6,000名研究人员对科学未来的看法</w:t>
        </w:r>
      </w:hyperlink>
    </w:p>
    <w:p>
      <w:pPr>
        <w:spacing w:before="0" w:after="80"/>
      </w:pPr>
      <w:r>
        <w:rPr>
          <w:i/>
          <w:sz w:val="20"/>
        </w:rPr>
        <w:t>EN: What 6,000 researchers think about the future of science</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62">
        <w:r>
          <w:rPr>
            <w:color w:val="1155CC"/>
            <w:u w:val="single"/>
          </w:rPr>
          <w:t>10.1038/d41586-026-01061-2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963">
        <w:r>
          <w:rPr>
            <w:color w:val="1155CC"/>
            <w:u w:val="single"/>
          </w:rPr>
          <w:t>我们需要谈论科学中的失败</w:t>
        </w:r>
      </w:hyperlink>
    </w:p>
    <w:p>
      <w:pPr>
        <w:spacing w:before="0" w:after="80"/>
      </w:pPr>
      <w:r>
        <w:rPr>
          <w:i/>
          <w:sz w:val="20"/>
        </w:rPr>
        <w:t>EN: We need to talk about failure in science</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64">
        <w:r>
          <w:rPr>
            <w:color w:val="1155CC"/>
            <w:u w:val="single"/>
          </w:rPr>
          <w:t>10.1038/d41586-026-01254-9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965">
        <w:r>
          <w:rPr>
            <w:color w:val="1155CC"/>
            <w:u w:val="single"/>
          </w:rPr>
          <w:t>基于维基百科的AI模型揭示100项值得关注的技术</w:t>
        </w:r>
      </w:hyperlink>
    </w:p>
    <w:p>
      <w:pPr>
        <w:spacing w:before="0" w:after="80"/>
      </w:pPr>
      <w:r>
        <w:rPr>
          <w:i/>
          <w:sz w:val="20"/>
        </w:rPr>
        <w:t>EN: Wikipedia-based AI model reveals the 100 technologies to watch</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66">
        <w:r>
          <w:rPr>
            <w:color w:val="1155CC"/>
            <w:u w:val="single"/>
          </w:rPr>
          <w:t>10.1038/d41586-026-00980-4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967">
        <w:r>
          <w:rPr>
            <w:color w:val="1155CC"/>
            <w:u w:val="single"/>
          </w:rPr>
          <w:t>精英运动为我在实验室中准备了什么——以及没有准备什么</w:t>
        </w:r>
      </w:hyperlink>
    </w:p>
    <w:p>
      <w:pPr>
        <w:spacing w:before="0" w:after="80"/>
      </w:pPr>
      <w:r>
        <w:rPr>
          <w:i/>
          <w:sz w:val="20"/>
        </w:rPr>
        <w:t>EN: What elite sport prepared me for in the lab — and what it didn’t</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68">
        <w:r>
          <w:rPr>
            <w:color w:val="1155CC"/>
            <w:u w:val="single"/>
          </w:rPr>
          <w:t>10.1038/d41586-026-01131-5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969">
        <w:r>
          <w:rPr>
            <w:color w:val="1155CC"/>
            <w:u w:val="single"/>
          </w:rPr>
          <w:t>出版商更正：经济学和政治科学研究的可重复性和稳健性</w:t>
        </w:r>
      </w:hyperlink>
    </w:p>
    <w:p>
      <w:pPr>
        <w:spacing w:before="0" w:after="80"/>
      </w:pPr>
      <w:r>
        <w:rPr>
          <w:i/>
          <w:sz w:val="20"/>
        </w:rPr>
        <w:t>EN: Publisher Correction: Reproducibility and robustness of economics and political science research</w:t>
      </w:r>
    </w:p>
    <w:p>
      <w:pPr>
        <w:spacing w:before="0" w:after="120"/>
      </w:pPr>
      <w:r>
        <w:rPr>
          <w:b/>
        </w:rPr>
        <w:t xml:space="preserve">Source: </w:t>
      </w:r>
      <w:r>
        <w:t>Nature</w:t>
      </w:r>
      <w:r>
        <w:t xml:space="preserve">    </w:t>
      </w:r>
      <w:r>
        <w:rPr>
          <w:b/>
        </w:rPr>
        <w:t xml:space="preserve">Pub date: </w:t>
      </w:r>
      <w:r>
        <w:t>2026-04-23 00:00:00+00:00</w:t>
      </w:r>
      <w:r>
        <w:t xml:space="preserve">    </w:t>
      </w:r>
      <w:r>
        <w:rPr>
          <w:b/>
        </w:rPr>
        <w:t xml:space="preserve">DOI: </w:t>
      </w:r>
      <w:hyperlink r:id="rId970">
        <w:r>
          <w:rPr>
            <w:color w:val="1155CC"/>
            <w:u w:val="single"/>
          </w:rPr>
          <w:t>10.1038/s41586-026-10503-w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971">
        <w:r>
          <w:rPr>
            <w:color w:val="1155CC"/>
            <w:u w:val="single"/>
          </w:rPr>
          <w:t>通过动态转印的量子点显示器</w:t>
        </w:r>
      </w:hyperlink>
    </w:p>
    <w:p>
      <w:pPr>
        <w:spacing w:before="0" w:after="80"/>
      </w:pPr>
      <w:r>
        <w:rPr>
          <w:i/>
          <w:sz w:val="20"/>
        </w:rPr>
        <w:t>EN: Quantum dot displays by dynamic transfer printing</w:t>
      </w:r>
    </w:p>
    <w:p>
      <w:pPr>
        <w:spacing w:before="0" w:after="120"/>
      </w:pPr>
      <w:r>
        <w:rPr>
          <w:b/>
        </w:rPr>
        <w:t xml:space="preserve">Source: </w:t>
      </w:r>
      <w:r>
        <w:t>Nature Electronics</w:t>
      </w:r>
      <w:r>
        <w:t xml:space="preserve">    </w:t>
      </w:r>
      <w:r>
        <w:rPr>
          <w:b/>
        </w:rPr>
        <w:t xml:space="preserve">Pub date: </w:t>
      </w:r>
      <w:r>
        <w:t>2026-04-23 00:00:00+00:00</w:t>
      </w:r>
      <w:r>
        <w:t xml:space="preserve">    </w:t>
      </w:r>
      <w:r>
        <w:rPr>
          <w:b/>
        </w:rPr>
        <w:t xml:space="preserve">DOI: </w:t>
      </w:r>
      <w:hyperlink r:id="rId972">
        <w:r>
          <w:rPr>
            <w:color w:val="1155CC"/>
            <w:u w:val="single"/>
          </w:rPr>
          <w:t>10.1038/s41928-026-01629-w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973">
        <w:r>
          <w:rPr>
            <w:color w:val="1155CC"/>
            <w:u w:val="single"/>
          </w:rPr>
          <w:t>通过HAT实现位点选择性B─H活化，向作为有机硫化硼簇稳定前体的Xanthyl‐closo‐Carboranes</w:t>
        </w:r>
      </w:hyperlink>
    </w:p>
    <w:p>
      <w:pPr>
        <w:spacing w:before="0" w:after="80"/>
      </w:pPr>
      <w:r>
        <w:rPr>
          <w:i/>
          <w:sz w:val="20"/>
        </w:rPr>
        <w:t>EN: Site‐Selective B─H Activation via HAT Toward Xanthyl‐closo‐Carboranes as Bench‐Stable Precursors of Organosulfur Boron Clusters</w:t>
      </w:r>
    </w:p>
    <w:p>
      <w:pPr>
        <w:spacing w:before="0" w:after="120"/>
      </w:pPr>
      <w:r>
        <w:rPr>
          <w:b/>
        </w:rPr>
        <w:t xml:space="preserve">Source: </w:t>
      </w:r>
      <w:r>
        <w:t>Wiley: Angewandte Chemie International Edition: Table of Contents</w:t>
      </w:r>
      <w:r>
        <w:t xml:space="preserve">    </w:t>
      </w:r>
      <w:r>
        <w:rPr>
          <w:b/>
        </w:rPr>
        <w:t xml:space="preserve">Pub date: </w:t>
      </w:r>
      <w:r>
        <w:t>2026-04-23 04:21:42+00:00</w:t>
      </w:r>
      <w:r>
        <w:t xml:space="preserve">    </w:t>
      </w:r>
      <w:r>
        <w:rPr>
          <w:b/>
        </w:rPr>
        <w:t xml:space="preserve">DOI: </w:t>
      </w:r>
      <w:hyperlink r:id="rId974">
        <w:r>
          <w:rPr>
            <w:color w:val="1155CC"/>
            <w:u w:val="single"/>
          </w:rPr>
          <w:t>10.1002/anie.7686382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工作中，描述了一种通过氮中心自由基（NCR）介导的氢原子转移（HAT）过程实现未探索的xanthyl‐closo‐碳硼烷的光介导直接区域选择性B─H官能化。直接活化具有非常相似电子性质的10个B─H键的二十面体碳硼烷中的一个B─H键是一个具有挑战性的目标。该反应应用于几种单取代和双取代的o‐和m‐碳硼烷，提供离散到良好产率的硼基黄原酸酯，这些化合物作为功能化含硫碳硼烷笼的新型稳定且多功能平台。</w:t>
      </w:r>
    </w:p>
    <w:p>
      <w:pPr>
        <w:spacing w:before="0" w:after="200" w:lineRule="auto" w:line="276"/>
      </w:pPr>
      <w:r>
        <w:rPr>
          <w:b/>
        </w:rPr>
        <w:t xml:space="preserve">Abstract (EN): </w:t>
      </w:r>
      <w:r>
        <w:t>In this work, a light mediated direct regioselective B─H functionalization to afford unexplored xanthyl‐</w:t>
      </w:r>
      <w:r>
        <w:t xml:space="preserve"> </w:t>
      </w:r>
      <w:r>
        <w:t>closo</w:t>
      </w:r>
      <w:r>
        <w:t xml:space="preserve"> </w:t>
      </w:r>
      <w:r>
        <w:t>‐carboranes is described by a nitrogen‐centered radical (NCR)‐mediated hydrogen atom transfer (HAT) process. To directly activate a B─H bond in an icosahedral carborane, which contains 10 B─H with very similar electronic properties, represents a challenging goal. The reaction is applied to several mono and disubstituted</w:t>
      </w:r>
      <w:r>
        <w:t xml:space="preserve"> </w:t>
      </w:r>
      <w:r>
        <w:t>o</w:t>
      </w:r>
      <w:r>
        <w:t xml:space="preserve"> </w:t>
      </w:r>
      <w:r>
        <w:t>‐ and</w:t>
      </w:r>
      <w:r>
        <w:t xml:space="preserve"> </w:t>
      </w:r>
      <w:r>
        <w:t>m</w:t>
      </w:r>
      <w:r>
        <w:t xml:space="preserve"> </w:t>
      </w:r>
      <w:r>
        <w:t>‐carboranes affording, in discrete to good yields, boryl xanthates which act as novel bench‐stable and versatile platforms for the functionalization of the carborane cage with sulfur‐containing functionalities: alkyl‐ and aryl sulfides, thiols, thioesters and sulfonyl chlorides are readily obtained. The reaction has also been scaled up and an analogue of the pesticide Chlorbenside has been synthesized. EPR studies, additionally to deuteration experiments, confirm the formation of an NCR as the promoter of a HAT process to the most electron‐rich boron vertex with the lowest B─H bond dissociation energy (BDE), to produce a B(9)‐centered radical. A deep computational study contributes to the mechanism proposal.</w:t>
      </w:r>
    </w:p>
    <w:p>
      <w:pPr>
        <w:spacing w:before="120" w:after="120"/>
      </w:pPr>
      <w:r>
        <w:rPr>
          <w:sz w:val="18"/>
        </w:rPr>
        <w:t>——————————————————————————————————————————————————————————————————————</w:t>
      </w:r>
    </w:p>
    <w:p>
      <w:pPr>
        <w:spacing w:before="160" w:after="40" w:line="240" w:lineRule="auto"/>
      </w:pPr>
      <w:r>
        <w:rPr>
          <w:b/>
        </w:rPr>
        <w:t xml:space="preserve">[400] </w:t>
      </w:r>
      <w:hyperlink r:id="rId975">
        <w:r>
          <w:rPr>
            <w:color w:val="1155CC"/>
            <w:u w:val="single"/>
          </w:rPr>
          <w:t>通过可编程的基于DNA的茎环发夹报告器调整、扩展和缩小无细胞转录生物传感器的有用动态范围</w:t>
        </w:r>
      </w:hyperlink>
    </w:p>
    <w:p>
      <w:pPr>
        <w:spacing w:before="0" w:after="80"/>
      </w:pPr>
      <w:r>
        <w:rPr>
          <w:i/>
          <w:sz w:val="20"/>
        </w:rPr>
        <w:t>EN: Tune, Extend, and Narrow the Useful Dynamic Range of Cell‐Free Transcription Biosensors Through Programmable DNA‐Based Stem‐Loop Hairpin Reporters</w:t>
      </w:r>
    </w:p>
    <w:p>
      <w:pPr>
        <w:spacing w:before="0" w:after="120"/>
      </w:pPr>
      <w:r>
        <w:rPr>
          <w:b/>
        </w:rPr>
        <w:t xml:space="preserve">Source: </w:t>
      </w:r>
      <w:r>
        <w:t>Wiley: Angewandte Chemie International Edition: Table of Contents</w:t>
      </w:r>
      <w:r>
        <w:t xml:space="preserve">    </w:t>
      </w:r>
      <w:r>
        <w:rPr>
          <w:b/>
        </w:rPr>
        <w:t xml:space="preserve">Pub date: </w:t>
      </w:r>
      <w:r>
        <w:t>2026-04-23 04:24:18+00:00</w:t>
      </w:r>
      <w:r>
        <w:t xml:space="preserve">    </w:t>
      </w:r>
      <w:r>
        <w:rPr>
          <w:b/>
        </w:rPr>
        <w:t xml:space="preserve">DOI: </w:t>
      </w:r>
      <w:hyperlink r:id="rId976">
        <w:r>
          <w:rPr>
            <w:color w:val="1155CC"/>
            <w:u w:val="single"/>
          </w:rPr>
          <w:t>10.1002/anie.8143908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工作中，我们提出了一种通用的模块化策略，通过将可编程的结构转换DNA茎环报告基因整合到体外转录（IVT）电路中，以调节、扩展和缩小无细胞转录生物传感平台的动态范围。为此，我们设计了一组茎环DNA报告基因，其检测特定RNA输出的动态范围可以通过调整其转换平衡常数（K</w:t>
      </w:r>
      <w:r>
        <w:t xml:space="preserve"> </w:t>
      </w:r>
      <w:r>
        <w:t>S</w:t>
      </w:r>
      <w:r>
        <w:t xml:space="preserve"> </w:t>
      </w:r>
      <w:r>
        <w:t>）来精确控制。这种简单的方法使得模型无细胞转录生物传感器的动态范围可以在两个数量级以上进行编程（观察到的亲和力K</w:t>
      </w:r>
      <w:r>
        <w:t xml:space="preserve"> </w:t>
      </w:r>
      <w:r>
        <w:t>D</w:t>
      </w:r>
      <w:r>
        <w:t xml:space="preserve"> </w:t>
      </w:r>
      <w:r>
        <w:t>）。</w:t>
      </w:r>
    </w:p>
    <w:p>
      <w:pPr>
        <w:spacing w:before="0" w:after="200" w:lineRule="auto" w:line="276"/>
      </w:pPr>
      <w:r>
        <w:rPr>
          <w:b/>
        </w:rPr>
        <w:t xml:space="preserve">Abstract (EN): </w:t>
      </w:r>
      <w:r>
        <w:t>In this work, we present a general, modular strategy to tune, extend, and narrow the dynamic range of cell‐free transcription biosensing platforms by integrating programmable, structure‐switching DNA stem‐loop reporters into in vitro transcription (IVT) circuits. To do so, we engineered a set of stem‐loop DNA reporters whose dynamic range for detecting a specific RNA output can be precisely controlled by adjusting their switching equilibrium constant (</w:t>
      </w:r>
      <w:r>
        <w:t xml:space="preserve"> </w:t>
      </w:r>
      <w:r>
        <w:t>K</w:t>
      </w:r>
      <w:r>
        <w:t xml:space="preserve"> </w:t>
      </w:r>
      <w:r>
        <w:t>S</w:t>
      </w:r>
      <w:r>
        <w:t xml:space="preserve"> </w:t>
      </w:r>
      <w:r>
        <w:t>). This straightforward approach enables the dynamic range of a model cell‐free transcription biosensor to be programmed across more than two orders of magnitude (observed affinity</w:t>
      </w:r>
      <w:r>
        <w:t xml:space="preserve"> </w:t>
      </w:r>
      <w:r>
        <w:t>K</w:t>
      </w:r>
      <w:r>
        <w:t xml:space="preserve"> </w:t>
      </w:r>
      <w:r>
        <w:t>D</w:t>
      </w:r>
      <w:r>
        <w:t xml:space="preserve"> </w:t>
      </w:r>
      <w:r>
        <w:t>obs</w:t>
      </w:r>
      <w:r>
        <w:t xml:space="preserve"> </w:t>
      </w:r>
      <w:r>
        <w:t>from 0.16 ± 0.02 nM up to 23 ± 4 nM). By combining DNA‐based reporters with differing affinities, we further expanded the dynamic range of a cell‐free transcription biosensor well beyond the conventional two orders of magnitude, achieving up to 10</w:t>
      </w:r>
      <w:r>
        <w:rPr>
          <w:vertAlign w:val="subscript"/>
        </w:rPr>
        <w:t>4</w:t>
      </w:r>
      <w:r>
        <w:t>‐fold coverage. We also demonstrate two‐step dynamic responses by mixing hairpin reporters with highly distinct affinities. Finally, integration of signaling and non‐signaling stem‐loop reporters allowed us to compress the dynamic range of a model transcription biosensor to as little as three‐fold enabling heightened sensitivity. Overall, this modular framework enables the customization of cell‐free transcription biosensor sensitivity and response profiles, overcoming key limitations inherent to single‐site transcriptional reporter designs.</w:t>
      </w:r>
    </w:p>
    <w:p>
      <w:pPr>
        <w:spacing w:before="120" w:after="120"/>
      </w:pPr>
      <w:r>
        <w:rPr>
          <w:sz w:val="18"/>
        </w:rPr>
        <w:t>——————————————————————————————————————————————————————————————————————</w:t>
      </w:r>
    </w:p>
    <w:p>
      <w:pPr>
        <w:spacing w:before="160" w:after="40" w:line="240" w:lineRule="auto"/>
      </w:pPr>
      <w:r>
        <w:rPr>
          <w:b/>
        </w:rPr>
        <w:t xml:space="preserve">[401] </w:t>
      </w:r>
      <w:hyperlink r:id="rId977">
        <w:r>
          <w:rPr>
            <w:color w:val="1155CC"/>
            <w:u w:val="single"/>
          </w:rPr>
          <w:t>通过调整CoOOH上的非共价相互作用来提升碱性氧气演化动力学</w:t>
        </w:r>
      </w:hyperlink>
    </w:p>
    <w:p>
      <w:pPr>
        <w:spacing w:before="0" w:after="80"/>
      </w:pPr>
      <w:r>
        <w:rPr>
          <w:i/>
          <w:sz w:val="20"/>
        </w:rPr>
        <w:t>EN: Boosting Alkaline Oxygen Evolution Kinetics by Tailoring the Noncovalent Interaction on CoOOH</w:t>
      </w:r>
    </w:p>
    <w:p>
      <w:pPr>
        <w:spacing w:before="0" w:after="120"/>
      </w:pPr>
      <w:r>
        <w:rPr>
          <w:b/>
        </w:rPr>
        <w:t xml:space="preserve">Source: </w:t>
      </w:r>
      <w:r>
        <w:t>Wiley: Angewandte Chemie International Edition: Table of Contents</w:t>
      </w:r>
      <w:r>
        <w:t xml:space="preserve">    </w:t>
      </w:r>
      <w:r>
        <w:rPr>
          <w:b/>
        </w:rPr>
        <w:t xml:space="preserve">Pub date: </w:t>
      </w:r>
      <w:r>
        <w:t>2026-04-23 04:26:05+00:00</w:t>
      </w:r>
      <w:r>
        <w:t xml:space="preserve">    </w:t>
      </w:r>
      <w:r>
        <w:rPr>
          <w:b/>
        </w:rPr>
        <w:t xml:space="preserve">DOI: </w:t>
      </w:r>
      <w:hyperlink r:id="rId978">
        <w:r>
          <w:rPr>
            <w:color w:val="1155CC"/>
            <w:u w:val="single"/>
          </w:rPr>
          <w:t>10.1002/anie.8433540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中间体在极化催化剂‐电解质界面的非共价相互作用的影响是改善电催化反应动力学的关键。在此，我们采用氧羟化钴（CoOOH）作为模型催化剂，选择羧酸盐基添加剂以战略性地调节界面电子双层（EDL），并研究羧酸盐阴离子在碱性介质下对氧析出反应（OER）动力学的影响。我们证明了羧酸盐阴离子中的‐COO</w:t>
      </w:r>
      <w:r>
        <w:t xml:space="preserve"> </w:t>
      </w:r>
      <w:r>
        <w:t>−</w:t>
      </w:r>
      <w:r>
        <w:t>片段的氧原子与界面H</w:t>
      </w:r>
      <w:r>
        <w:rPr>
          <w:vertAlign w:val="subscript"/>
        </w:rPr>
        <w:t>2</w:t>
      </w:r>
      <w:r>
        <w:t>O分子之间形成的氢键可以破坏水合壳层的排列。</w:t>
      </w:r>
    </w:p>
    <w:p>
      <w:pPr>
        <w:spacing w:before="0" w:after="200" w:lineRule="auto" w:line="276"/>
      </w:pPr>
      <w:r>
        <w:rPr>
          <w:b/>
        </w:rPr>
        <w:t xml:space="preserve">Abstract (EN): </w:t>
      </w:r>
      <w:r>
        <w:t>Understanding the effect of noncovalent interactions of intermediates at the polarized catalyst‐electrolyte interface is key to improving the kinetics of electrocatalytic reactions. Herein, we employ cobalt oxyhydroxide (CoOOH) as a model catalyst, select carboxylate‐based additives to strategically modulate the interfacial electronic double layer (EDL), and investigate the effect of carboxylate anions on the oxygen evolution reaction (OER) kinetics under alkaline media. We demonstrate that the hydrogen bonds formed between oxygen atoms within ‐COO</w:t>
      </w:r>
      <w:r>
        <w:t xml:space="preserve"> </w:t>
      </w:r>
      <w:r>
        <w:t>−</w:t>
      </w:r>
      <w:r>
        <w:t>fragments of carboxylate anions and interfacial H</w:t>
      </w:r>
      <w:r>
        <w:rPr>
          <w:vertAlign w:val="subscript"/>
        </w:rPr>
        <w:t>2</w:t>
      </w:r>
      <w:r>
        <w:t>O molecules can disrupt the arrangement of the hydration shell around K</w:t>
      </w:r>
      <w:r>
        <w:t xml:space="preserve"> </w:t>
      </w:r>
      <w:r>
        <w:t>+</w:t>
      </w:r>
      <w:r>
        <w:t xml:space="preserve"> </w:t>
      </w:r>
      <w:r>
        <w:t>, leading to fast migration of OH</w:t>
      </w:r>
      <w:r>
        <w:t xml:space="preserve"> </w:t>
      </w:r>
      <w:r>
        <w:t>−</w:t>
      </w:r>
      <w:r>
        <w:t>to the CoOOH surface. Experimental results, including rotating ring‐disk electrode (RRDE) measurements, in situ X‐ray absorption spectroscopy (XAS), in situ attenuated total reflectance surface‐enhanced infrared absorption spectroscopy (ATR‐SEIRAS), and ab initio molecular dynamics (AIMD) theory simulations, reveal that the negative electrostatic potential on the oxygen atom in the ‐COO</w:t>
      </w:r>
      <w:r>
        <w:t xml:space="preserve"> </w:t>
      </w:r>
      <w:r>
        <w:t>−</w:t>
      </w:r>
      <w:r>
        <w:t>fragments can partially neutralize the localized electric field generated by hydrated K</w:t>
      </w:r>
      <w:r>
        <w:t xml:space="preserve"> </w:t>
      </w:r>
      <w:r>
        <w:t>+</w:t>
      </w:r>
      <w:r>
        <w:t xml:space="preserve"> </w:t>
      </w:r>
      <w:r>
        <w:t>ions in the electrolyte, which sufficiently destabilizes the adsorbed oxygenated intermediates and accelerates the deprotonation process, thereby leading to promoted charge accumulation and accelerated alkaline OER kinetics.</w:t>
      </w:r>
    </w:p>
    <w:p>
      <w:pPr>
        <w:spacing w:before="120" w:after="120"/>
      </w:pPr>
      <w:r>
        <w:rPr>
          <w:sz w:val="18"/>
        </w:rPr>
        <w:t>——————————————————————————————————————————————————————————————————————</w:t>
      </w:r>
    </w:p>
    <w:p>
      <w:pPr>
        <w:spacing w:before="160" w:after="40" w:line="240" w:lineRule="auto"/>
      </w:pPr>
      <w:r>
        <w:rPr>
          <w:b/>
        </w:rPr>
        <w:t xml:space="preserve">[402] </w:t>
      </w:r>
      <w:hyperlink r:id="rId979">
        <w:r>
          <w:rPr>
            <w:color w:val="1155CC"/>
            <w:u w:val="single"/>
          </w:rPr>
          <w:t>卡车大小的章鱼在白垩纪海洋中游荡</w:t>
        </w:r>
      </w:hyperlink>
    </w:p>
    <w:p>
      <w:pPr>
        <w:spacing w:before="0" w:after="80"/>
      </w:pPr>
      <w:r>
        <w:rPr>
          <w:i/>
          <w:sz w:val="20"/>
        </w:rPr>
        <w:t>EN: Truck-size octopuses stalked Cretaceous seas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80">
        <w:r>
          <w:rPr>
            <w:color w:val="1155CC"/>
            <w:u w:val="single"/>
          </w:rPr>
          <w:t>10.1126/science.aei2485</w:t>
        </w:r>
      </w:hyperlink>
    </w:p>
    <w:p>
      <w:pPr>
        <w:spacing w:before="0" w:after="120"/>
      </w:pPr>
      <w:r>
        <w:rPr>
          <w:b/>
        </w:rPr>
        <w:t xml:space="preserve">Notes: </w:t>
      </w:r>
      <w:r>
        <w:t>abstract_source=crossref</w:t>
      </w:r>
    </w:p>
    <w:p>
      <w:pPr>
        <w:spacing w:before="0" w:after="80" w:lineRule="auto" w:line="276"/>
      </w:pPr>
      <w:r>
        <w:rPr>
          <w:b/>
        </w:rPr>
        <w:t xml:space="preserve">摘要（ZH）: </w:t>
      </w:r>
      <w:r>
        <w:t>这些巨型生物可能与海洋爬行动物竞争成为顶级掠食者</w:t>
      </w:r>
    </w:p>
    <w:p>
      <w:pPr>
        <w:spacing w:before="0" w:after="200" w:lineRule="auto" w:line="276"/>
      </w:pPr>
      <w:r>
        <w:rPr>
          <w:b/>
        </w:rPr>
        <w:t xml:space="preserve">Abstract (EN): </w:t>
      </w:r>
      <w:r>
        <w:t>These giants may have rivaled marine reptiles as apex predators</w:t>
      </w:r>
    </w:p>
    <w:p>
      <w:pPr>
        <w:spacing w:before="120" w:after="120"/>
      </w:pPr>
      <w:r>
        <w:rPr>
          <w:sz w:val="18"/>
        </w:rPr>
        <w:t>——————————————————————————————————————————————————————————————————————</w:t>
      </w:r>
    </w:p>
    <w:p>
      <w:pPr>
        <w:spacing w:before="160" w:after="40" w:line="240" w:lineRule="auto"/>
      </w:pPr>
      <w:r>
        <w:rPr>
          <w:b/>
        </w:rPr>
        <w:t xml:space="preserve">[403] </w:t>
      </w:r>
      <w:hyperlink r:id="rId981">
        <w:r>
          <w:rPr>
            <w:color w:val="1155CC"/>
            <w:u w:val="single"/>
          </w:rPr>
          <w:t>心脏对癌症生长施加压力</w:t>
        </w:r>
      </w:hyperlink>
    </w:p>
    <w:p>
      <w:pPr>
        <w:spacing w:before="0" w:after="80"/>
      </w:pPr>
      <w:r>
        <w:rPr>
          <w:i/>
          <w:sz w:val="20"/>
        </w:rPr>
        <w:t>EN: The heart puts pressure on cancer growth</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82">
        <w:r>
          <w:rPr>
            <w:color w:val="1155CC"/>
            <w:u w:val="single"/>
          </w:rPr>
          <w:t>10.1126/science.aeg8798</w:t>
        </w:r>
      </w:hyperlink>
    </w:p>
    <w:p>
      <w:pPr>
        <w:spacing w:before="0" w:after="120"/>
      </w:pPr>
      <w:r>
        <w:rPr>
          <w:b/>
        </w:rPr>
        <w:t xml:space="preserve">Notes: </w:t>
      </w:r>
      <w:r>
        <w:t>abstract_source=crossref</w:t>
      </w:r>
    </w:p>
    <w:p>
      <w:pPr>
        <w:spacing w:before="0" w:after="80" w:lineRule="auto" w:line="276"/>
      </w:pPr>
      <w:r>
        <w:rPr>
          <w:b/>
        </w:rPr>
        <w:t xml:space="preserve">摘要（ZH）: </w:t>
      </w:r>
      <w:r>
        <w:t>心脏中的机械力可以防止小鼠肿瘤扩展</w:t>
      </w:r>
    </w:p>
    <w:p>
      <w:pPr>
        <w:spacing w:before="0" w:after="200" w:lineRule="auto" w:line="276"/>
      </w:pPr>
      <w:r>
        <w:rPr>
          <w:b/>
        </w:rPr>
        <w:t xml:space="preserve">Abstract (EN): </w:t>
      </w:r>
      <w:r>
        <w:t>Mechanical forces in the heart prevent tumor expansion in mice</w:t>
      </w:r>
    </w:p>
    <w:p>
      <w:pPr>
        <w:spacing w:before="120" w:after="120"/>
      </w:pPr>
      <w:r>
        <w:rPr>
          <w:sz w:val="18"/>
        </w:rPr>
        <w:t>——————————————————————————————————————————————————————————————————————</w:t>
      </w:r>
    </w:p>
    <w:p>
      <w:pPr>
        <w:spacing w:before="160" w:after="40" w:line="240" w:lineRule="auto"/>
      </w:pPr>
      <w:r>
        <w:rPr>
          <w:b/>
        </w:rPr>
        <w:t xml:space="preserve">[404] </w:t>
      </w:r>
      <w:hyperlink r:id="rId983">
        <w:r>
          <w:rPr>
            <w:color w:val="1155CC"/>
            <w:u w:val="single"/>
          </w:rPr>
          <w:t>能源和气候韧性的新的需求目标</w:t>
        </w:r>
      </w:hyperlink>
    </w:p>
    <w:p>
      <w:pPr>
        <w:spacing w:before="0" w:after="80"/>
      </w:pPr>
      <w:r>
        <w:rPr>
          <w:i/>
          <w:sz w:val="20"/>
        </w:rPr>
        <w:t>EN: New demand goals for energy and climate resilience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84">
        <w:r>
          <w:rPr>
            <w:color w:val="1155CC"/>
            <w:u w:val="single"/>
          </w:rPr>
          <w:t>10.1126/science.adz3492</w:t>
        </w:r>
      </w:hyperlink>
    </w:p>
    <w:p>
      <w:pPr>
        <w:spacing w:before="0" w:after="120"/>
      </w:pPr>
      <w:r>
        <w:rPr>
          <w:b/>
        </w:rPr>
        <w:t xml:space="preserve">Notes: </w:t>
      </w:r>
      <w:r>
        <w:t>abstract_source=crossref</w:t>
      </w:r>
    </w:p>
    <w:p>
      <w:pPr>
        <w:spacing w:before="0" w:after="80" w:lineRule="auto" w:line="276"/>
      </w:pPr>
      <w:r>
        <w:rPr>
          <w:b/>
        </w:rPr>
        <w:t xml:space="preserve">摘要（ZH）: </w:t>
      </w:r>
      <w:r>
        <w:t>当前的气候目标主要集中在能源供应上，应该通过针对需求来加以补充</w:t>
      </w:r>
    </w:p>
    <w:p>
      <w:pPr>
        <w:spacing w:before="0" w:after="200" w:lineRule="auto" w:line="276"/>
      </w:pPr>
      <w:r>
        <w:rPr>
          <w:b/>
        </w:rPr>
        <w:t xml:space="preserve">Abstract (EN): </w:t>
      </w:r>
      <w:r>
        <w:t>Current climate goals, largely focused on energy supply, should be complemented by targeting demand</w:t>
      </w:r>
    </w:p>
    <w:p>
      <w:pPr>
        <w:spacing w:before="120" w:after="120"/>
      </w:pPr>
      <w:r>
        <w:rPr>
          <w:sz w:val="18"/>
        </w:rPr>
        <w:t>——————————————————————————————————————————————————————————————————————</w:t>
      </w:r>
    </w:p>
    <w:p>
      <w:pPr>
        <w:spacing w:before="160" w:after="40" w:line="240" w:lineRule="auto"/>
      </w:pPr>
      <w:r>
        <w:rPr>
          <w:b/>
        </w:rPr>
        <w:t xml:space="preserve">[405] </w:t>
      </w:r>
      <w:hyperlink r:id="rId985">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86">
        <w:r>
          <w:rPr>
            <w:color w:val="1155CC"/>
            <w:u w:val="single"/>
          </w:rPr>
          <w:t>10.1126/science.aei2038</w:t>
        </w:r>
      </w:hyperlink>
    </w:p>
    <w:p>
      <w:pPr>
        <w:spacing w:before="0" w:after="120"/>
      </w:pPr>
      <w:r>
        <w:rPr>
          <w:b/>
        </w:rPr>
        <w:t xml:space="preserve">Notes: </w:t>
      </w:r>
      <w:r>
        <w:t>abstract_source=crossref</w:t>
      </w:r>
    </w:p>
    <w:p>
      <w:pPr>
        <w:spacing w:before="0" w:after="80" w:lineRule="auto" w:line="276"/>
      </w:pPr>
      <w:r>
        <w:rPr>
          <w:b/>
        </w:rPr>
        <w:t xml:space="preserve">摘要（ZH）: </w:t>
      </w:r>
      <w:r>
        <w:t>来自科学期刊家族的亮点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[406] </w:t>
      </w:r>
      <w:hyperlink r:id="rId987">
        <w:r>
          <w:rPr>
            <w:color w:val="1155CC"/>
            <w:u w:val="single"/>
          </w:rPr>
          <w:t>研究发现数千个广告承诺轻松成为作者</w:t>
        </w:r>
      </w:hyperlink>
    </w:p>
    <w:p>
      <w:pPr>
        <w:spacing w:before="0" w:after="80"/>
      </w:pPr>
      <w:r>
        <w:rPr>
          <w:i/>
          <w:sz w:val="20"/>
        </w:rPr>
        <w:t>EN: Study finds thousands of ads promising effortless authorship</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88">
        <w:r>
          <w:rPr>
            <w:color w:val="1155CC"/>
            <w:u w:val="single"/>
          </w:rPr>
          <w:t>10.1126/science.aei2482</w:t>
        </w:r>
      </w:hyperlink>
    </w:p>
    <w:p>
      <w:pPr>
        <w:spacing w:before="0" w:after="120"/>
      </w:pPr>
      <w:r>
        <w:rPr>
          <w:b/>
        </w:rPr>
        <w:t xml:space="preserve">Notes: </w:t>
      </w:r>
      <w:r>
        <w:t>abstract_source=crossref</w:t>
      </w:r>
    </w:p>
    <w:p>
      <w:pPr>
        <w:spacing w:before="0" w:after="80" w:lineRule="auto" w:line="276"/>
      </w:pPr>
      <w:r>
        <w:rPr>
          <w:b/>
        </w:rPr>
        <w:t xml:space="preserve">摘要（ZH）: </w:t>
      </w:r>
      <w:r>
        <w:t>对论文工厂广告的新调查为这种可疑做法提供了数据</w:t>
      </w:r>
    </w:p>
    <w:p>
      <w:pPr>
        <w:spacing w:before="0" w:after="200" w:lineRule="auto" w:line="276"/>
      </w:pPr>
      <w:r>
        <w:rPr>
          <w:b/>
        </w:rPr>
        <w:t xml:space="preserve">Abstract (EN): </w:t>
      </w:r>
      <w:r>
        <w:t>New investigation of ads for paper mills puts numbers to shady practice</w:t>
      </w:r>
    </w:p>
    <w:p>
      <w:pPr>
        <w:spacing w:before="120" w:after="120"/>
      </w:pPr>
      <w:r>
        <w:rPr>
          <w:sz w:val="18"/>
        </w:rPr>
        <w:t>——————————————————————————————————————————————————————————————————————</w:t>
      </w:r>
    </w:p>
    <w:p>
      <w:pPr>
        <w:spacing w:before="160" w:after="40" w:line="240" w:lineRule="auto"/>
      </w:pPr>
      <w:r>
        <w:rPr>
          <w:b/>
        </w:rPr>
        <w:t xml:space="preserve">[407] </w:t>
      </w:r>
      <w:hyperlink r:id="rId989">
        <w:r>
          <w:rPr>
            <w:color w:val="1155CC"/>
            <w:u w:val="single"/>
          </w:rPr>
          <w:t>海冰被人为加厚，但这一概念可能无法扩展</w:t>
        </w:r>
      </w:hyperlink>
    </w:p>
    <w:p>
      <w:pPr>
        <w:spacing w:before="0" w:after="80"/>
      </w:pPr>
      <w:r>
        <w:rPr>
          <w:i/>
          <w:sz w:val="20"/>
        </w:rPr>
        <w:t>EN: Sea ice artificially thickened, but concept may not scale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90">
        <w:r>
          <w:rPr>
            <w:color w:val="1155CC"/>
            <w:u w:val="single"/>
          </w:rPr>
          <w:t>10.1126/science.aei2481</w:t>
        </w:r>
      </w:hyperlink>
    </w:p>
    <w:p>
      <w:pPr>
        <w:spacing w:before="0" w:after="120"/>
      </w:pPr>
      <w:r>
        <w:rPr>
          <w:b/>
        </w:rPr>
        <w:t xml:space="preserve">Notes: </w:t>
      </w:r>
      <w:r>
        <w:t>abstract_source=crossref</w:t>
      </w:r>
    </w:p>
    <w:p>
      <w:pPr>
        <w:spacing w:before="0" w:after="80" w:lineRule="auto" w:line="276"/>
      </w:pPr>
      <w:r>
        <w:rPr>
          <w:b/>
        </w:rPr>
        <w:t xml:space="preserve">摘要（ZH）: </w:t>
      </w:r>
      <w:r>
        <w:t>气候修复的首次北极试验显示，抽取的海水增加并使冰层变亮，但效果未能持久</w:t>
      </w:r>
    </w:p>
    <w:p>
      <w:pPr>
        <w:spacing w:before="0" w:after="200" w:lineRule="auto" w:line="276"/>
      </w:pPr>
      <w:r>
        <w:rPr>
          <w:b/>
        </w:rPr>
        <w:t xml:space="preserve">Abstract (EN): </w:t>
      </w:r>
      <w:r>
        <w:t>First Arctic trials of climate fix show pumped seawater adds and brightens ice, but gains did not last</w:t>
      </w:r>
    </w:p>
    <w:p>
      <w:pPr>
        <w:spacing w:before="120" w:after="120"/>
      </w:pPr>
      <w:r>
        <w:rPr>
          <w:sz w:val="18"/>
        </w:rPr>
        <w:t>——————————————————————————————————————————————————————————————————————</w:t>
      </w:r>
    </w:p>
    <w:p>
      <w:pPr>
        <w:spacing w:before="160" w:after="40" w:line="240" w:lineRule="auto"/>
      </w:pPr>
      <w:r>
        <w:rPr>
          <w:b/>
        </w:rPr>
        <w:t xml:space="preserve">[408] </w:t>
      </w:r>
      <w:hyperlink r:id="rId991">
        <w:r>
          <w:rPr>
            <w:color w:val="1155CC"/>
            <w:u w:val="single"/>
          </w:rPr>
          <w:t>法国必须在农药之上保护传粉者</w:t>
        </w:r>
      </w:hyperlink>
    </w:p>
    <w:p>
      <w:pPr>
        <w:spacing w:before="0" w:after="80"/>
      </w:pPr>
      <w:r>
        <w:rPr>
          <w:i/>
          <w:sz w:val="20"/>
        </w:rPr>
        <w:t>EN: France must protect pollinators over pesticides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92">
        <w:r>
          <w:rPr>
            <w:color w:val="1155CC"/>
            <w:u w:val="single"/>
          </w:rPr>
          <w:t>10.1126/science.aeg6003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[409] </w:t>
      </w:r>
      <w:hyperlink r:id="rId993">
        <w:r>
          <w:rPr>
            <w:color w:val="1155CC"/>
            <w:u w:val="single"/>
          </w:rPr>
          <w:t>韩国的风能威胁到候鸟迁徙路线</w:t>
        </w:r>
      </w:hyperlink>
    </w:p>
    <w:p>
      <w:pPr>
        <w:spacing w:before="0" w:after="80"/>
      </w:pPr>
      <w:r>
        <w:rPr>
          <w:i/>
          <w:sz w:val="20"/>
        </w:rPr>
        <w:t>EN: South Korea’s wind energy threatens flyway</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94">
        <w:r>
          <w:rPr>
            <w:color w:val="1155CC"/>
            <w:u w:val="single"/>
          </w:rPr>
          <w:t>10.1126/science.aeg7121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[410] </w:t>
      </w:r>
      <w:hyperlink r:id="rId995">
        <w:r>
          <w:rPr>
            <w:color w:val="1155CC"/>
            <w:u w:val="single"/>
          </w:rPr>
          <w:t>有机化学中的银热</w:t>
        </w:r>
      </w:hyperlink>
    </w:p>
    <w:p>
      <w:pPr>
        <w:spacing w:before="0" w:after="80"/>
      </w:pPr>
      <w:r>
        <w:rPr>
          <w:i/>
          <w:sz w:val="20"/>
        </w:rPr>
        <w:t>EN: A silver rush in organic chemistry</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96">
        <w:r>
          <w:rPr>
            <w:color w:val="1155CC"/>
            <w:u w:val="single"/>
          </w:rPr>
          <w:t>10.1126/science.aeg5987</w:t>
        </w:r>
      </w:hyperlink>
    </w:p>
    <w:p>
      <w:pPr>
        <w:spacing w:before="0" w:after="120"/>
      </w:pPr>
      <w:r>
        <w:rPr>
          <w:b/>
        </w:rPr>
        <w:t xml:space="preserve">Notes: </w:t>
      </w:r>
      <w:r>
        <w:t>abstract_source=crossref</w:t>
      </w:r>
    </w:p>
    <w:p>
      <w:pPr>
        <w:spacing w:before="0" w:after="80" w:lineRule="auto" w:line="276"/>
      </w:pPr>
      <w:r>
        <w:rPr>
          <w:b/>
        </w:rPr>
        <w:t xml:space="preserve">摘要（ZH）: </w:t>
      </w:r>
      <w:r>
        <w:t>银配合物催化形成工业相关化合物中的碳氮键</w:t>
      </w:r>
    </w:p>
    <w:p>
      <w:pPr>
        <w:spacing w:before="0" w:after="200" w:lineRule="auto" w:line="276"/>
      </w:pPr>
      <w:r>
        <w:rPr>
          <w:b/>
        </w:rPr>
        <w:t xml:space="preserve">Abstract (EN): </w:t>
      </w:r>
      <w:r>
        <w:t>A silver complex catalyzes formation of carbon-nitrogen bonds in compounds of industrial interest</w:t>
      </w:r>
    </w:p>
    <w:p>
      <w:pPr>
        <w:spacing w:before="120" w:after="120"/>
      </w:pPr>
      <w:r>
        <w:rPr>
          <w:sz w:val="18"/>
        </w:rPr>
        <w:t>——————————————————————————————————————————————————————————————————————</w:t>
      </w:r>
    </w:p>
    <w:p>
      <w:pPr>
        <w:spacing w:before="160" w:after="40" w:line="240" w:lineRule="auto"/>
      </w:pPr>
      <w:r>
        <w:rPr>
          <w:b/>
        </w:rPr>
        <w:t xml:space="preserve">[411] </w:t>
      </w:r>
      <w:hyperlink r:id="rId997">
        <w:r>
          <w:rPr>
            <w:color w:val="1155CC"/>
            <w:u w:val="single"/>
          </w:rPr>
          <w:t>专家发现甜甜圈电池的夸大之处</w:t>
        </w:r>
      </w:hyperlink>
    </w:p>
    <w:p>
      <w:pPr>
        <w:spacing w:before="0" w:after="80"/>
      </w:pPr>
      <w:r>
        <w:rPr>
          <w:i/>
          <w:sz w:val="20"/>
        </w:rPr>
        <w:t>EN: Experts find holes in Donut battery boasts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998">
        <w:r>
          <w:rPr>
            <w:color w:val="1155CC"/>
            <w:u w:val="single"/>
          </w:rPr>
          <w:t>10.1126/science.aei2480</w:t>
        </w:r>
      </w:hyperlink>
    </w:p>
    <w:p>
      <w:pPr>
        <w:spacing w:before="0" w:after="120"/>
      </w:pPr>
      <w:r>
        <w:rPr>
          <w:b/>
        </w:rPr>
        <w:t xml:space="preserve">Notes: </w:t>
      </w:r>
      <w:r>
        <w:t>abstract_source=crossref</w:t>
      </w:r>
    </w:p>
    <w:p>
      <w:pPr>
        <w:spacing w:before="0" w:after="80" w:lineRule="auto" w:line="276"/>
      </w:pPr>
      <w:r>
        <w:rPr>
          <w:b/>
        </w:rPr>
        <w:t xml:space="preserve">摘要（ZH）: </w:t>
      </w:r>
      <w:r>
        <w:t>举报者称芬兰初创公司所宣称的固态电池并非如其所说</w:t>
      </w:r>
    </w:p>
    <w:p>
      <w:pPr>
        <w:spacing w:before="0" w:after="200" w:lineRule="auto" w:line="276"/>
      </w:pPr>
      <w:r>
        <w:rPr>
          <w:b/>
        </w:rPr>
        <w:t xml:space="preserve">Abstract (EN): </w:t>
      </w:r>
      <w:r>
        <w:t>Whistleblower alleges Finnish startup’s vaunted solid-state battery isn’t what it claims</w:t>
      </w:r>
    </w:p>
    <w:p>
      <w:pPr>
        <w:spacing w:before="120" w:after="120"/>
      </w:pPr>
      <w:r>
        <w:rPr>
          <w:sz w:val="18"/>
        </w:rPr>
        <w:t>——————————————————————————————————————————————————————————————————————</w:t>
      </w:r>
    </w:p>
    <w:p>
      <w:pPr>
        <w:spacing w:before="160" w:after="40" w:line="240" w:lineRule="auto"/>
      </w:pPr>
      <w:r>
        <w:rPr>
          <w:b/>
        </w:rPr>
        <w:t xml:space="preserve">[412] </w:t>
      </w:r>
      <w:hyperlink r:id="rId999">
        <w:r>
          <w:rPr>
            <w:color w:val="1155CC"/>
            <w:u w:val="single"/>
          </w:rPr>
          <w:t>唐氏综合症基因组的早期动态</w:t>
        </w:r>
      </w:hyperlink>
    </w:p>
    <w:p>
      <w:pPr>
        <w:spacing w:before="0" w:after="80"/>
      </w:pPr>
      <w:r>
        <w:rPr>
          <w:i/>
          <w:sz w:val="20"/>
        </w:rPr>
        <w:t>EN: Early dynamics of the genome in Down syndrome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00">
        <w:r>
          <w:rPr>
            <w:color w:val="1155CC"/>
            <w:u w:val="single"/>
          </w:rPr>
          <w:t>10.1126/science.aeh0065</w:t>
        </w:r>
      </w:hyperlink>
    </w:p>
    <w:p>
      <w:pPr>
        <w:spacing w:before="0" w:after="120"/>
      </w:pPr>
      <w:r>
        <w:rPr>
          <w:b/>
        </w:rPr>
        <w:t xml:space="preserve">Notes: </w:t>
      </w:r>
      <w:r>
        <w:t>abstract_source=crossref</w:t>
      </w:r>
    </w:p>
    <w:p>
      <w:pPr>
        <w:spacing w:before="0" w:after="80" w:lineRule="auto" w:line="276"/>
      </w:pPr>
      <w:r>
        <w:rPr>
          <w:b/>
        </w:rPr>
        <w:t xml:space="preserve">摘要（ZH）: </w:t>
      </w:r>
      <w:r>
        <w:t>揭示唐氏综合症的细胞类型特异性早期标志</w:t>
      </w:r>
    </w:p>
    <w:p>
      <w:pPr>
        <w:spacing w:before="0" w:after="200" w:lineRule="auto" w:line="276"/>
      </w:pPr>
      <w:r>
        <w:rPr>
          <w:b/>
        </w:rPr>
        <w:t xml:space="preserve">Abstract (EN): </w:t>
      </w:r>
      <w:r>
        <w:t>Cell type–specific early hallmarks of Down syndrome are uncovered</w:t>
      </w:r>
    </w:p>
    <w:p>
      <w:pPr>
        <w:spacing w:before="120" w:after="120"/>
      </w:pPr>
      <w:r>
        <w:rPr>
          <w:sz w:val="18"/>
        </w:rPr>
        <w:t>——————————————————————————————————————————————————————————————————————</w:t>
      </w:r>
    </w:p>
    <w:p>
      <w:pPr>
        <w:spacing w:before="160" w:after="40" w:line="240" w:lineRule="auto"/>
      </w:pPr>
      <w:r>
        <w:rPr>
          <w:b/>
        </w:rPr>
        <w:t xml:space="preserve">[413] </w:t>
      </w:r>
      <w:hyperlink r:id="rId1001">
        <w:r>
          <w:rPr>
            <w:color w:val="1155CC"/>
            <w:u w:val="single"/>
          </w:rPr>
          <w:t>欧盟的冰冻圈生物多样性盲点</w:t>
        </w:r>
      </w:hyperlink>
    </w:p>
    <w:p>
      <w:pPr>
        <w:spacing w:before="0" w:after="80"/>
      </w:pPr>
      <w:r>
        <w:rPr>
          <w:i/>
          <w:sz w:val="20"/>
        </w:rPr>
        <w:t>EN: The EU’s cryosphere biodiversity blind spot</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02">
        <w:r>
          <w:rPr>
            <w:color w:val="1155CC"/>
            <w:u w:val="single"/>
          </w:rPr>
          <w:t>10.1126/science.aeg3085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1003">
        <w:r>
          <w:rPr>
            <w:color w:val="1155CC"/>
            <w:u w:val="single"/>
          </w:rPr>
          <w:t>最早的章鱼是白垩纪海洋中的巨大顶级掠食者</w:t>
        </w:r>
      </w:hyperlink>
    </w:p>
    <w:p>
      <w:pPr>
        <w:spacing w:before="0" w:after="80"/>
      </w:pPr>
      <w:r>
        <w:rPr>
          <w:i/>
          <w:sz w:val="20"/>
        </w:rPr>
        <w:t>EN: Earliest octopuses were giant top predators in Cretaceous oceans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04">
        <w:r>
          <w:rPr>
            <w:color w:val="1155CC"/>
            <w:u w:val="single"/>
          </w:rPr>
          <w:t>10.1126/science.aea6285</w:t>
        </w:r>
      </w:hyperlink>
    </w:p>
    <w:p>
      <w:pPr>
        <w:spacing w:before="0" w:after="120"/>
      </w:pPr>
      <w:r>
        <w:rPr>
          <w:b/>
        </w:rPr>
        <w:t xml:space="preserve">Notes: </w:t>
      </w:r>
      <w:r>
        <w:t>abstract_source=crossref</w:t>
      </w:r>
    </w:p>
    <w:p>
      <w:pPr>
        <w:spacing w:before="0" w:after="80" w:lineRule="auto" w:line="276"/>
      </w:pPr>
      <w:r>
        <w:rPr>
          <w:b/>
        </w:rPr>
        <w:t xml:space="preserve">摘要（ZH）: </w:t>
      </w:r>
      <w:r>
        <w:t>顶级捕食者驱动生态系统结构的变化。在过去约3.7亿年中，大型脊椎动物一直主导着海洋食物链的顶端，而无脊椎动物则作为较小的猎物。在此，我们描述了来自这个“脊椎动物时代”的无脊椎顶级捕食者，即晚白垩纪沉积物（约1亿到7200万年前）中最早的有鳍章鱼（Cirrata），其鉴定基于巨大的、保存极好的化石颚及其磨损。这种广泛的磨损表明了对硬骨架的动态粉碎。非对称的磨损模式进一步表明了侧向化行为，暗示了高级智力。计算出的总长度约为7到19米，这些章鱼可能是迄今描述的最大无脊椎动物，与同时期的巨型海洋爬行动物相媲美。</w:t>
      </w:r>
    </w:p>
    <w:p>
      <w:pPr>
        <w:spacing w:before="0" w:after="200" w:lineRule="auto" w:line="276"/>
      </w:pPr>
      <w:r>
        <w:rPr>
          <w:b/>
        </w:rPr>
        <w:t xml:space="preserve">Abstract (EN): </w:t>
      </w:r>
      <w:r>
        <w:t>Top predators drive changes in ecosystem structure. For the last ~370 million years, large-sized vertebrates have dominated the apex of the marine food chain, while invertebrates have served as smaller prey. Here we describe invertebrate top predators from this “age of vertebrates,” the earliest finned octopuses (Cirrata) from Late Cretaceous sediments (~100 to 72 million years ago), as identified based on huge, exceptionally well-preserved fossil jaws and their wear. This extensive wear suggests dynamic crushing of hard skeletons. Asymmetric wear patterns further indicate lateralized behavior, suggesting advanced intelligence. With a calculated total length of ~7 to 19 meters, these octopuses may represent the largest invertebrates thus described, rivaling contemporaneous giant marine reptiles. Our findings show that powerful jaws, and the loss of superficial skeletons, convergently transformed cephalopods and marine vertebrates into huge, intelligent predators.</w:t>
      </w:r>
    </w:p>
    <w:p>
      <w:pPr>
        <w:spacing w:before="120" w:after="120"/>
      </w:pPr>
      <w:r>
        <w:rPr>
          <w:sz w:val="18"/>
        </w:rPr>
        <w:t>——————————————————————————————————————————————————————————————————————</w:t>
      </w:r>
    </w:p>
    <w:p>
      <w:pPr>
        <w:spacing w:before="160" w:after="40" w:line="240" w:lineRule="auto"/>
      </w:pPr>
      <w:r>
        <w:rPr>
          <w:b/>
        </w:rPr>
        <w:t xml:space="preserve">[415] </w:t>
      </w:r>
      <w:hyperlink r:id="rId1005">
        <w:r>
          <w:rPr>
            <w:color w:val="1155CC"/>
            <w:u w:val="single"/>
          </w:rPr>
          <w:t>当关系解体时</w:t>
        </w:r>
      </w:hyperlink>
    </w:p>
    <w:p>
      <w:pPr>
        <w:spacing w:before="0" w:after="80"/>
      </w:pPr>
      <w:r>
        <w:rPr>
          <w:i/>
          <w:sz w:val="20"/>
        </w:rPr>
        <w:t>EN: When ties unravel</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06">
        <w:r>
          <w:rPr>
            <w:color w:val="1155CC"/>
            <w:u w:val="single"/>
          </w:rPr>
          <w:t>10.1126/science.aei2040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[416] </w:t>
      </w:r>
      <w:hyperlink r:id="rId1007">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08">
        <w:r>
          <w:rPr>
            <w:color w:val="1155CC"/>
            <w:u w:val="single"/>
          </w:rPr>
          <w:t>10.1126/science.aei2039</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[417] </w:t>
      </w:r>
      <w:hyperlink r:id="rId1009">
        <w:r>
          <w:rPr>
            <w:color w:val="1155CC"/>
            <w:u w:val="single"/>
          </w:rPr>
          <w:t>编程含羞草结拓扑以实现快速多样的跳跃和飞行运动</w:t>
        </w:r>
      </w:hyperlink>
    </w:p>
    <w:p>
      <w:pPr>
        <w:spacing w:before="0" w:after="80"/>
      </w:pPr>
      <w:r>
        <w:rPr>
          <w:i/>
          <w:sz w:val="20"/>
        </w:rPr>
        <w:t>EN: Programming touch-me-not knot topologies for rapid and diverse leaping and flying motions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10">
        <w:r>
          <w:rPr>
            <w:color w:val="1155CC"/>
            <w:u w:val="single"/>
          </w:rPr>
          <w:t>10.1126/science.aed0434</w:t>
        </w:r>
      </w:hyperlink>
    </w:p>
    <w:p>
      <w:pPr>
        <w:spacing w:before="0" w:after="120"/>
      </w:pPr>
      <w:r>
        <w:rPr>
          <w:b/>
        </w:rPr>
        <w:t xml:space="preserve">Notes: </w:t>
      </w:r>
      <w:r>
        <w:t>abstract_source=crossref</w:t>
      </w:r>
    </w:p>
    <w:p>
      <w:pPr>
        <w:spacing w:before="0" w:after="80" w:lineRule="auto" w:line="276"/>
      </w:pPr>
      <w:r>
        <w:rPr>
          <w:b/>
        </w:rPr>
        <w:t xml:space="preserve">摘要（ZH）: </w:t>
      </w:r>
      <w:r>
        <w:t>微型跳跃机器人需要执行快速、可编程和多功能的运动。在这项研究中，我们展示了利用加热凯夫拉增强液晶弹性体（LCE）复合纤维制成的毫米级结触发的冲击解结过程的方法。具有扭曲介晶的LCE外壳经历扭转变形，产生的驱动力克服摩擦，将储存的弹性能量转化为动能，实现高而快速的跳跃，且根据结的拓扑结构产生多样的起飞后运动。通过操控弯曲-扭转耦合和解结数，我们实现了翻转、旋转和连续的空中体操运动。我们进一步编程了起飞后的飞行，包括自我返回和垂直运动。</w:t>
      </w:r>
    </w:p>
    <w:p>
      <w:pPr>
        <w:spacing w:before="0" w:after="200" w:lineRule="auto" w:line="276"/>
      </w:pPr>
      <w:r>
        <w:rPr>
          <w:b/>
        </w:rPr>
        <w:t xml:space="preserve">Abstract (EN): </w:t>
      </w:r>
      <w:r>
        <w:t>Miniature leaping robots are desired to perform fast, programmable, and versatile motions. In this study, we present our approach for harnessing the impulsive unknotting process triggered upon heating millimeter-sized knots made from Kevlar-reinforced liquid crystal elastomer (LCE) composite fibers. The LCE shell with twisted mesogens undergoes torsional deformation, generating an actuation force that overcomes friction, converting the stored elastic energy into kinetic energy for launching tall and rapid leaps with diverse posttakeoff motions depending on the knot topology. By manipulating the bending-twisting coupling and the unknotting numbers, we realize flipping, spinning, and sequential gymnastic in-air motions. We further program posttakeoff flight, including self-return and vertical descent by integrating a wing. Encoding topology and anisotropy provides a rich design space to program soft robots for rapid, agile, and highly efficient motions.</w:t>
      </w:r>
    </w:p>
    <w:p>
      <w:pPr>
        <w:spacing w:before="120" w:after="120"/>
      </w:pPr>
      <w:r>
        <w:rPr>
          <w:sz w:val="18"/>
        </w:rPr>
        <w:t>——————————————————————————————————————————————————————————————————————</w:t>
      </w:r>
    </w:p>
    <w:p>
      <w:pPr>
        <w:spacing w:before="160" w:after="40" w:line="240" w:lineRule="auto"/>
      </w:pPr>
      <w:r>
        <w:rPr>
          <w:b/>
        </w:rPr>
        <w:t xml:space="preserve">[418] </w:t>
      </w:r>
      <w:hyperlink r:id="rId1011">
        <w:r>
          <w:rPr>
            <w:color w:val="1155CC"/>
            <w:u w:val="single"/>
          </w:rPr>
          <w:t>手性S(VI)平台统一了复杂分子和烷烃原料的选择性C–H胺化</w:t>
        </w:r>
      </w:hyperlink>
    </w:p>
    <w:p>
      <w:pPr>
        <w:spacing w:before="0" w:after="80"/>
      </w:pPr>
      <w:r>
        <w:rPr>
          <w:i/>
          <w:sz w:val="20"/>
        </w:rPr>
        <w:t>EN: Chiral S(VI) platform unifies selective C–H amination of complex molecules and alkane feedstocks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12">
        <w:r>
          <w:rPr>
            <w:color w:val="1155CC"/>
            <w:u w:val="single"/>
          </w:rPr>
          <w:t>10.1126/science.aee3321</w:t>
        </w:r>
      </w:hyperlink>
    </w:p>
    <w:p>
      <w:pPr>
        <w:spacing w:before="0" w:after="120"/>
      </w:pPr>
      <w:r>
        <w:rPr>
          <w:b/>
        </w:rPr>
        <w:t xml:space="preserve">Notes: </w:t>
      </w:r>
      <w:r>
        <w:t>abstract_source=crossref</w:t>
      </w:r>
    </w:p>
    <w:p>
      <w:pPr>
        <w:spacing w:before="0" w:after="80" w:lineRule="auto" w:line="276"/>
      </w:pPr>
      <w:r>
        <w:rPr>
          <w:b/>
        </w:rPr>
        <w:t xml:space="preserve">摘要（ZH）: </w:t>
      </w:r>
      <w:r>
        <w:t>复杂分子和简单烷烃在催化剂控制的碳-氢（C–H）官能化中提出了不同的挑战。密集官能化的骨架需要在多个反应位点中精确定位，同时耐受敏感的官能团，而缺乏导向基团的未活化底物则需要选择性地活化极其惰性、几乎相同的C–H键。在这项工作中，我们通过重新利用经典的手性辅助体，开发出一个统一、选择性和可预测的C–H胺化平台，该平台由银催化和手性硫（VI）亚胺前体介导。该系统能够在水相条件下实现活化C–H键的立体发散、后期胺化，具有广泛的官能团耐受性和兼容性。</w:t>
      </w:r>
    </w:p>
    <w:p>
      <w:pPr>
        <w:spacing w:before="0" w:after="200" w:lineRule="auto" w:line="276"/>
      </w:pPr>
      <w:r>
        <w:rPr>
          <w:b/>
        </w:rPr>
        <w:t xml:space="preserve">Abstract (EN): </w:t>
      </w:r>
      <w:r>
        <w:t>Complex molecules and simple alkanes pose distinct challenges for catalyst-controlled carbon-hydrogen (C–H) functionalizations. Whereas densely functionalized scaffolds require precise targeting among multiple reactive sites while tolerating sensitive functionalities, unactivated substrates that lack directing groups require selective activation of exceptionally inert, nearly identical C–H bonds. In this work, we addressed both challenges by repurposing a classic chiral auxiliary into a unified, selective, and predictable C–H amination platform mediated by silver catalysis and chiral sulfur(VI) nitrene precursors. This system enables stereodivergent, late-stage aminations of activated C–H bonds with broad functional group tolerance and compatibility with aqueous conditions while also mediating mild, selective aminations of chemical feedstocks. The sulfur(VI) motif functions as a modular, stereodefined, and medicinally relevant synthetic linchpin for rapid library diversification, enabling both target- and diversity-oriented synthesis.</w:t>
      </w:r>
    </w:p>
    <w:p>
      <w:pPr>
        <w:spacing w:before="120" w:after="120"/>
      </w:pPr>
      <w:r>
        <w:rPr>
          <w:sz w:val="18"/>
        </w:rPr>
        <w:t>——————————————————————————————————————————————————————————————————————</w:t>
      </w:r>
    </w:p>
    <w:p>
      <w:pPr>
        <w:spacing w:before="160" w:after="40" w:line="240" w:lineRule="auto"/>
      </w:pPr>
      <w:r>
        <w:rPr>
          <w:b/>
        </w:rPr>
        <w:t xml:space="preserve">[419] </w:t>
      </w:r>
      <w:hyperlink r:id="rId1013">
        <w:r>
          <w:rPr>
            <w:color w:val="1155CC"/>
            <w:u w:val="single"/>
          </w:rPr>
          <w:t>[Os(η5-B5H10)2]：一种无碳的二茂铁类似物</w:t>
        </w:r>
      </w:hyperlink>
    </w:p>
    <w:p>
      <w:pPr>
        <w:spacing w:before="0" w:after="80"/>
      </w:pPr>
      <w:r>
        <w:rPr>
          <w:i/>
          <w:sz w:val="20"/>
        </w:rPr>
        <w:t>EN: [Os(η5-B5H10)2]: A carbon-free analog of ferrocene</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14">
        <w:r>
          <w:rPr>
            <w:color w:val="1155CC"/>
            <w:u w:val="single"/>
          </w:rPr>
          <w:t>10.1126/science.aed9192</w:t>
        </w:r>
      </w:hyperlink>
    </w:p>
    <w:p>
      <w:pPr>
        <w:spacing w:before="0" w:after="120"/>
      </w:pPr>
      <w:r>
        <w:rPr>
          <w:b/>
        </w:rPr>
        <w:t xml:space="preserve">Notes: </w:t>
      </w:r>
      <w:r>
        <w:t>abstract_source=crossref</w:t>
      </w:r>
    </w:p>
    <w:p>
      <w:pPr>
        <w:spacing w:before="0" w:after="80" w:lineRule="auto" w:line="276"/>
      </w:pPr>
      <w:r>
        <w:rPr>
          <w:b/>
        </w:rPr>
        <w:t xml:space="preserve">摘要（ZH）: </w:t>
      </w:r>
      <w:r>
        <w:t>在无机化学中，合成无碳类似物的二茂铁一直是一个长期目标。我们在此报告了无碳夹心配合物[Os(η5-B5H10)2]的制备和晶体学表征，其在结构和键合上与二茂铁定性相似。在[Os(η5-B5H10)2]中，金属-环键合更强，这归因于桥接B-H-B氢原子带来的π分子轨道的重新杂化。</w:t>
      </w:r>
    </w:p>
    <w:p>
      <w:pPr>
        <w:spacing w:before="0" w:after="200" w:lineRule="auto" w:line="276"/>
      </w:pPr>
      <w:r>
        <w:rPr>
          <w:b/>
        </w:rPr>
        <w:t xml:space="preserve">Abstract (EN): </w:t>
      </w:r>
      <w:r>
        <w:t>The synthesis of a carbon-free analog of ferrocene has been a long-standing goal in inorganic chemistry. We report here the preparation and crystallographic characterization of the carbon-free sandwich complex [Os(η</w:t>
      </w:r>
      <w:r>
        <w:rPr>
          <w:vertAlign w:val="subscript"/>
        </w:rPr>
        <w:t>5</w:t>
      </w:r>
      <w:r>
        <w:t>-B</w:t>
      </w:r>
      <w:r>
        <w:rPr>
          <w:vertAlign w:val="subscript"/>
        </w:rPr>
        <w:t>5</w:t>
      </w:r>
      <w:r>
        <w:t>H</w:t>
      </w:r>
      <w:r>
        <w:rPr>
          <w:vertAlign w:val="subscript"/>
        </w:rPr>
        <w:t>10</w:t>
      </w:r>
      <w:r>
        <w:t>)</w:t>
      </w:r>
      <w:r>
        <w:rPr>
          <w:vertAlign w:val="subscript"/>
        </w:rPr>
        <w:t>2</w:t>
      </w:r>
      <w:r>
        <w:t>], which is qualitatively similar to ferrocene in structure and bonding. The metal-ring bonding is much stronger in [Os(η</w:t>
      </w:r>
      <w:r>
        <w:rPr>
          <w:vertAlign w:val="subscript"/>
        </w:rPr>
        <w:t>5</w:t>
      </w:r>
      <w:r>
        <w:t>-B</w:t>
      </w:r>
      <w:r>
        <w:rPr>
          <w:vertAlign w:val="subscript"/>
        </w:rPr>
        <w:t>5</w:t>
      </w:r>
      <w:r>
        <w:t>H</w:t>
      </w:r>
      <w:r>
        <w:rPr>
          <w:vertAlign w:val="subscript"/>
        </w:rPr>
        <w:t>10</w:t>
      </w:r>
      <w:r>
        <w:t>)</w:t>
      </w:r>
      <w:r>
        <w:rPr>
          <w:vertAlign w:val="subscript"/>
        </w:rPr>
        <w:t>2</w:t>
      </w:r>
      <w:r>
        <w:t>], owing to rehybridization of the π molecular orbitals brought in by the bridging B-H-B hydrogens and the bent B-H</w:t>
      </w:r>
      <w:r>
        <w:t xml:space="preserve"> </w:t>
      </w:r>
      <w:r>
        <w:t>t</w:t>
      </w:r>
      <w:r>
        <w:t xml:space="preserve"> </w:t>
      </w:r>
      <w:r>
        <w:t>bonds of the larger B</w:t>
      </w:r>
      <w:r>
        <w:rPr>
          <w:vertAlign w:val="subscript"/>
        </w:rPr>
        <w:t>5</w:t>
      </w:r>
      <w:r>
        <w:t>H</w:t>
      </w:r>
      <w:r>
        <w:rPr>
          <w:vertAlign w:val="subscript"/>
        </w:rPr>
        <w:t>10</w:t>
      </w:r>
      <w:r>
        <w:t>ring (where B-H</w:t>
      </w:r>
      <w:r>
        <w:t xml:space="preserve"> </w:t>
      </w:r>
      <w:r>
        <w:t>t</w:t>
      </w:r>
      <w:r>
        <w:t xml:space="preserve"> </w:t>
      </w:r>
      <w:r>
        <w:t>is the terminal B-H bond). This also leads to an unusually short ring-ring separation of 3.071 angstroms and a staggered conformation. The isomeric [Os(η</w:t>
      </w:r>
      <w:r>
        <w:rPr>
          <w:vertAlign w:val="subscript"/>
        </w:rPr>
        <w:t>5</w:t>
      </w:r>
      <w:r>
        <w:t>-B</w:t>
      </w:r>
      <w:r>
        <w:rPr>
          <w:vertAlign w:val="subscript"/>
        </w:rPr>
        <w:t>5</w:t>
      </w:r>
      <w:r>
        <w:t>H</w:t>
      </w:r>
      <w:r>
        <w:rPr>
          <w:vertAlign w:val="subscript"/>
        </w:rPr>
        <w:t>10</w:t>
      </w:r>
      <w:r>
        <w:t>)(η</w:t>
      </w:r>
      <w:r>
        <w:rPr>
          <w:vertAlign w:val="subscript"/>
        </w:rPr>
        <w:t>3</w:t>
      </w:r>
      <w:r>
        <w:t>-B</w:t>
      </w:r>
      <w:r>
        <w:rPr>
          <w:vertAlign w:val="subscript"/>
        </w:rPr>
        <w:t>5</w:t>
      </w:r>
      <w:r>
        <w:t>H</w:t>
      </w:r>
      <w:r>
        <w:rPr>
          <w:vertAlign w:val="subscript"/>
        </w:rPr>
        <w:t>10</w:t>
      </w:r>
      <w:r>
        <w:t>)], which features a coordination mode unknown for ferrocene, has also been isolated. A similar attempt for [Ru(η</w:t>
      </w:r>
      <w:r>
        <w:rPr>
          <w:vertAlign w:val="subscript"/>
        </w:rPr>
        <w:t>5</w:t>
      </w:r>
      <w:r>
        <w:t>-B</w:t>
      </w:r>
      <w:r>
        <w:rPr>
          <w:vertAlign w:val="subscript"/>
        </w:rPr>
        <w:t>5</w:t>
      </w:r>
      <w:r>
        <w:t>H</w:t>
      </w:r>
      <w:r>
        <w:rPr>
          <w:vertAlign w:val="subscript"/>
        </w:rPr>
        <w:t>10</w:t>
      </w:r>
      <w:r>
        <w:t>)</w:t>
      </w:r>
      <w:r>
        <w:rPr>
          <w:vertAlign w:val="subscript"/>
        </w:rPr>
        <w:t>2</w:t>
      </w:r>
      <w:r>
        <w:t>] resulted only in [Ru(η</w:t>
      </w:r>
      <w:r>
        <w:rPr>
          <w:vertAlign w:val="subscript"/>
        </w:rPr>
        <w:t>5</w:t>
      </w:r>
      <w:r>
        <w:t>-B</w:t>
      </w:r>
      <w:r>
        <w:rPr>
          <w:vertAlign w:val="subscript"/>
        </w:rPr>
        <w:t>5</w:t>
      </w:r>
      <w:r>
        <w:t>H</w:t>
      </w:r>
      <w:r>
        <w:rPr>
          <w:vertAlign w:val="subscript"/>
        </w:rPr>
        <w:t>10</w:t>
      </w:r>
      <w:r>
        <w:t>)(η</w:t>
      </w:r>
      <w:r>
        <w:rPr>
          <w:vertAlign w:val="subscript"/>
        </w:rPr>
        <w:t>3</w:t>
      </w:r>
      <w:r>
        <w:t>-B</w:t>
      </w:r>
      <w:r>
        <w:rPr>
          <w:vertAlign w:val="subscript"/>
        </w:rPr>
        <w:t>5</w:t>
      </w:r>
      <w:r>
        <w:t>H</w:t>
      </w:r>
      <w:r>
        <w:rPr>
          <w:vertAlign w:val="subscript"/>
        </w:rPr>
        <w:t>10</w:t>
      </w:r>
      <w:r>
        <w:t>)].</w:t>
      </w:r>
    </w:p>
    <w:p>
      <w:pPr>
        <w:spacing w:before="120" w:after="120"/>
      </w:pPr>
      <w:r>
        <w:rPr>
          <w:sz w:val="18"/>
        </w:rPr>
        <w:t>——————————————————————————————————————————————————————————————————————</w:t>
      </w:r>
    </w:p>
    <w:p>
      <w:pPr>
        <w:spacing w:before="160" w:after="40" w:line="240" w:lineRule="auto"/>
      </w:pPr>
      <w:r>
        <w:rPr>
          <w:b/>
        </w:rPr>
        <w:t xml:space="preserve">[420] </w:t>
      </w:r>
      <w:hyperlink r:id="rId1015">
        <w:r>
          <w:rPr>
            <w:color w:val="1155CC"/>
            <w:u w:val="single"/>
          </w:rPr>
          <w:t>性行为通过清除搭便车负荷减少地方适应的多效性成本</w:t>
        </w:r>
      </w:hyperlink>
    </w:p>
    <w:p>
      <w:pPr>
        <w:spacing w:before="0" w:after="80"/>
      </w:pPr>
      <w:r>
        <w:rPr>
          <w:i/>
          <w:sz w:val="20"/>
        </w:rPr>
        <w:t>EN: Sex decreases the pleiotropic costs of local adaptation by purging hitchhiking load</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16">
        <w:r>
          <w:rPr>
            <w:color w:val="1155CC"/>
            <w:u w:val="single"/>
          </w:rPr>
          <w:t>10.1126/science.aec9708</w:t>
        </w:r>
      </w:hyperlink>
    </w:p>
    <w:p>
      <w:pPr>
        <w:spacing w:before="0" w:after="120"/>
      </w:pPr>
      <w:r>
        <w:rPr>
          <w:b/>
        </w:rPr>
        <w:t xml:space="preserve">Notes: </w:t>
      </w:r>
      <w:r>
        <w:t>abstract_source=crossref</w:t>
      </w:r>
    </w:p>
    <w:p>
      <w:pPr>
        <w:spacing w:before="0" w:after="80" w:lineRule="auto" w:line="276"/>
      </w:pPr>
      <w:r>
        <w:rPr>
          <w:b/>
        </w:rPr>
        <w:t xml:space="preserve">摘要（ZH）: </w:t>
      </w:r>
      <w:r>
        <w:t>理解尽管性行为有直接成本，但仍然维持性的进化机制是一个长期挑战。先前的研究表明，性重组可以加速适应，部分原因是它可以将有益突变与有害搭便车者分开。然而，早期研究集中在恒定环境中性的影响。我们表明，在变化条件下，重组通过减少由局部适应引起的多效性成本，在促进广义表型进化中提供了优势。利用酿酒酵母（Saccharomyces cerevisiae）的实验室进化，我们表明搭便车负荷导致多效性成本，因此在无性但非有性谱系中对局部适应的反应产生专业化。这提供了证据</w:t>
      </w:r>
    </w:p>
    <w:p>
      <w:pPr>
        <w:spacing w:before="0" w:after="200" w:lineRule="auto" w:line="276"/>
      </w:pPr>
      <w:r>
        <w:rPr>
          <w:b/>
        </w:rPr>
        <w:t xml:space="preserve">Abstract (EN): </w:t>
      </w:r>
      <w:r>
        <w:t>Understanding the evolutionary mechanisms that maintain sex despite its direct costs is a long-standing challenge. Previous work has shown that sexual recombination can accelerate adaptation, in part by separating beneficial mutations from deleterious hitchhikers. However, earlier studies focused on effects of sex in a constant environment. We show that recombination provides an advantage during changing conditions in promoting the evolution of generalist phenotypes by reducing pleiotropic costs caused by local adaptation. Using laboratory evolution in</w:t>
      </w:r>
      <w:r>
        <w:t xml:space="preserve"> </w:t>
      </w:r>
      <w:r>
        <w:t>Saccharomyces cerevisiae</w:t>
      </w:r>
      <w:r>
        <w:t xml:space="preserve"> </w:t>
      </w:r>
      <w:r>
        <w:t>, we show that hitchhiking load leads to pleiotropic costs and hence specialization in response to local adaptation in asexual but not sexual lineages. This provides evidence that sex can be maintained over long evolutionary timescales because it enables lineages to persist in the face of environmental change.</w:t>
      </w:r>
    </w:p>
    <w:p>
      <w:pPr>
        <w:spacing w:before="120" w:after="120"/>
      </w:pPr>
      <w:r>
        <w:rPr>
          <w:sz w:val="18"/>
        </w:rPr>
        <w:t>——————————————————————————————————————————————————————————————————————</w:t>
      </w:r>
    </w:p>
    <w:p>
      <w:pPr>
        <w:spacing w:before="160" w:after="40" w:line="240" w:lineRule="auto"/>
      </w:pPr>
      <w:r>
        <w:rPr>
          <w:b/>
        </w:rPr>
        <w:t xml:space="preserve">[421] </w:t>
      </w:r>
      <w:hyperlink r:id="rId1017">
        <w:r>
          <w:rPr>
            <w:color w:val="1155CC"/>
            <w:u w:val="single"/>
          </w:rPr>
          <w:t>插层碳纳米管纤维具有高比电导率</w:t>
        </w:r>
      </w:hyperlink>
    </w:p>
    <w:p>
      <w:pPr>
        <w:spacing w:before="0" w:after="80"/>
      </w:pPr>
      <w:r>
        <w:rPr>
          <w:i/>
          <w:sz w:val="20"/>
        </w:rPr>
        <w:t>EN: Intercalated carbon nanotube fibers with high specific electrical conductivity</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18">
        <w:r>
          <w:rPr>
            <w:color w:val="1155CC"/>
            <w:u w:val="single"/>
          </w:rPr>
          <w:t>10.1126/science.aeb0673</w:t>
        </w:r>
      </w:hyperlink>
    </w:p>
    <w:p>
      <w:pPr>
        <w:spacing w:before="0" w:after="120"/>
      </w:pPr>
      <w:r>
        <w:rPr>
          <w:b/>
        </w:rPr>
        <w:t xml:space="preserve">Notes: </w:t>
      </w:r>
      <w:r>
        <w:t>abstract_source=crossref</w:t>
      </w:r>
    </w:p>
    <w:p>
      <w:pPr>
        <w:spacing w:before="0" w:after="80" w:lineRule="auto" w:line="276"/>
      </w:pPr>
      <w:r>
        <w:rPr>
          <w:b/>
        </w:rPr>
        <w:t xml:space="preserve">摘要（ZH）: </w:t>
      </w:r>
      <w:r>
        <w:t>将单个碳纳米管的导电性转化为实用的宏观导体仍然是一个挑战。我们报告了高度对齐的双壁碳纳米管纤维，其在管间通道中插入了四氯铝酸根阴离子（AlCl4−）链。AlCl4−插层物作为非共价掺杂剂，接受每个阴离子0.65个电子，主要来自外层纳米管层。结合17%的插层物体积分数，它使室温导电率提高到高达24.5兆西门子每米，相当于铜的41%。比导电率值达到17,345西门子-米平方每千克，</w:t>
      </w:r>
    </w:p>
    <w:p>
      <w:pPr>
        <w:spacing w:before="0" w:after="200" w:lineRule="auto" w:line="276"/>
      </w:pPr>
      <w:r>
        <w:rPr>
          <w:b/>
        </w:rPr>
        <w:t xml:space="preserve">Abstract (EN): </w:t>
      </w:r>
      <w:r>
        <w:t>Translating the conductivity of individual carbon nanotubes into practical, macroscopic conductors remains a challenge. We report highly aligned fibers of double-walled carbon nanotubes intercalated with chains of tetrachloroaluminate anions (AlCl</w:t>
      </w:r>
      <w:r>
        <w:rPr>
          <w:vertAlign w:val="subscript"/>
        </w:rPr>
        <w:t>4</w:t>
      </w:r>
      <w:r>
        <w:t>−</w:t>
      </w:r>
      <w:r>
        <w:t>) in the intertube channels. The AlCl</w:t>
      </w:r>
      <w:r>
        <w:rPr>
          <w:vertAlign w:val="subscript"/>
        </w:rPr>
        <w:t>4</w:t>
      </w:r>
      <w:r>
        <w:t>−</w:t>
      </w:r>
      <w:r>
        <w:t>intercalant acts as a noncovalent dopant, accepting 0.65 electrons per anion, mostly from the outer nanotube layer. Combined with a 17% intercalant volume fraction, it produces an increase in room-temperature conductivity to values as high as 24.5 mega-Siemens per meter, which is 41% of that of copper. Specific conductivity values reach 17,345 Siemens-meter squared per kilogram, which is superior to that of metals. These fibers are five times stronger and half the weight of conventional overhead cables while remaining stable in dry conditions and retaining 80% of their conductivity protected from moisture by a cable polymer sheath.</w:t>
      </w:r>
    </w:p>
    <w:p>
      <w:pPr>
        <w:spacing w:before="120" w:after="120"/>
      </w:pPr>
      <w:r>
        <w:rPr>
          <w:sz w:val="18"/>
        </w:rPr>
        <w:t>——————————————————————————————————————————————————————————————————————</w:t>
      </w:r>
    </w:p>
    <w:p>
      <w:pPr>
        <w:spacing w:before="160" w:after="40" w:line="240" w:lineRule="auto"/>
      </w:pPr>
      <w:r>
        <w:rPr>
          <w:b/>
        </w:rPr>
        <w:t xml:space="preserve">[422] </w:t>
      </w:r>
      <w:hyperlink r:id="rId1019">
        <w:r>
          <w:rPr>
            <w:color w:val="1155CC"/>
            <w:u w:val="single"/>
          </w:rPr>
          <w:t>研究表明，疟疾可能导致长期脑部缺陷</w:t>
        </w:r>
      </w:hyperlink>
    </w:p>
    <w:p>
      <w:pPr>
        <w:spacing w:before="0" w:after="80"/>
      </w:pPr>
      <w:r>
        <w:rPr>
          <w:i/>
          <w:sz w:val="20"/>
        </w:rPr>
        <w:t>EN: Malaria may cause long-term brain deficits, study shows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20">
        <w:r>
          <w:rPr>
            <w:color w:val="1155CC"/>
            <w:u w:val="single"/>
          </w:rPr>
          <w:t>10.1126/science.aei2483</w:t>
        </w:r>
      </w:hyperlink>
    </w:p>
    <w:p>
      <w:pPr>
        <w:spacing w:before="0" w:after="120"/>
      </w:pPr>
      <w:r>
        <w:rPr>
          <w:b/>
        </w:rPr>
        <w:t xml:space="preserve">Notes: </w:t>
      </w:r>
      <w:r>
        <w:t>abstract_source=crossref</w:t>
      </w:r>
    </w:p>
    <w:p>
      <w:pPr>
        <w:spacing w:before="0" w:after="80" w:lineRule="auto" w:line="276"/>
      </w:pPr>
      <w:r>
        <w:rPr>
          <w:b/>
        </w:rPr>
        <w:t xml:space="preserve">摘要（ZH）: </w:t>
      </w:r>
      <w:r>
        <w:t>乌干达儿童在经历严重感染多年后在认知测试中表现较差</w:t>
      </w:r>
    </w:p>
    <w:p>
      <w:pPr>
        <w:spacing w:before="0" w:after="200" w:lineRule="auto" w:line="276"/>
      </w:pPr>
      <w:r>
        <w:rPr>
          <w:b/>
        </w:rPr>
        <w:t xml:space="preserve">Abstract (EN): </w:t>
      </w:r>
      <w:r>
        <w:t>Ugandan children who survived a severe infection do worse on cognitive tests many years later</w:t>
      </w:r>
    </w:p>
    <w:p>
      <w:pPr>
        <w:spacing w:before="120" w:after="120"/>
      </w:pPr>
      <w:r>
        <w:rPr>
          <w:sz w:val="18"/>
        </w:rPr>
        <w:t>——————————————————————————————————————————————————————————————————————</w:t>
      </w:r>
    </w:p>
    <w:p>
      <w:pPr>
        <w:spacing w:before="160" w:after="40" w:line="240" w:lineRule="auto"/>
      </w:pPr>
      <w:r>
        <w:rPr>
          <w:b/>
        </w:rPr>
        <w:t xml:space="preserve">[423] </w:t>
      </w:r>
      <w:hyperlink r:id="rId1021">
        <w:r>
          <w:rPr>
            <w:color w:val="1155CC"/>
            <w:u w:val="single"/>
          </w:rPr>
          <w:t>一种细胞非自主的血红素获取途径在压力下促进红细胞血红蛋白化</w:t>
        </w:r>
      </w:hyperlink>
    </w:p>
    <w:p>
      <w:pPr>
        <w:spacing w:before="0" w:after="80"/>
      </w:pPr>
      <w:r>
        <w:rPr>
          <w:i/>
          <w:sz w:val="20"/>
        </w:rPr>
        <w:t>EN: A cell-nonautonomous heme acquisition pathway enables erythroid hemoglobinization under stress</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22">
        <w:r>
          <w:rPr>
            <w:color w:val="1155CC"/>
            <w:u w:val="single"/>
          </w:rPr>
          <w:t>10.1126/science.aea0552</w:t>
        </w:r>
      </w:hyperlink>
    </w:p>
    <w:p>
      <w:pPr>
        <w:spacing w:before="0" w:after="120"/>
      </w:pPr>
      <w:r>
        <w:rPr>
          <w:b/>
        </w:rPr>
        <w:t xml:space="preserve">Notes: </w:t>
      </w:r>
      <w:r>
        <w:t>abstract_source=crossref</w:t>
      </w:r>
    </w:p>
    <w:p>
      <w:pPr>
        <w:spacing w:before="0" w:after="80" w:lineRule="auto" w:line="276"/>
      </w:pPr>
      <w:r>
        <w:rPr>
          <w:b/>
        </w:rPr>
        <w:t xml:space="preserve">摘要（ZH）: </w:t>
      </w:r>
      <w:r>
        <w:t>血红素是一种含铁的辅因子，通过八种酶的途径在线粒体中合成。尽管细胞被认为可以自主管理血红素，但有超过1000种蛋白质参与其生产、运输和调节。在终末红细胞分化过程中，线粒体被丢弃，但血红蛋白的生产仍在继续，这意味着细胞非自主的血红素供应。我们表明，在压力下，红细胞母细胞通过定位于质膜的通透酶血红素响应基因1（HRG1）进口血红素，并在压力红细胞生成过程中积累，这是扩展红细胞产出的紧急程序。HRG1的缺失会损害血红素的摄取，抑制终末红细胞分化，并导致贫血。在β-地中海贫血小鼠中，部分HRG1缺失会减少无效的红细胞生成</w:t>
      </w:r>
    </w:p>
    <w:p>
      <w:pPr>
        <w:spacing w:before="0" w:after="200" w:lineRule="auto" w:line="276"/>
      </w:pPr>
      <w:r>
        <w:rPr>
          <w:b/>
        </w:rPr>
        <w:t xml:space="preserve">Abstract (EN): </w:t>
      </w:r>
      <w:r>
        <w:t>Heme, an iron-containing cofactor, is synthesized in mitochondria by an eight-enzyme pathway. Although cells were thought to manage heme autonomously, more than 1000 proteins contribute to its production, transport, and regulation. During terminal erythroid differentiation, mitochondria are discarded, yet hemoglobin production continues, which implies a cell-nonautonomous heme supply. We show that, under stress, erythroblasts import heme through the permease heme-responsive gene 1 (HRG1), which localizes to the plasma membrane and accumulates during stress erythropoiesis, the emergency program that expands red cell output. HRG1 loss impaired heme uptake, inhibited terminal erythroid differentiation, and caused anemia. In β-thalassemic mice, partial HRG1 loss reduces ineffective erythropoiesis, underscoring the importance of balanced heme import. These findings reveal intercellular heme sharing and identify HRG1 as a potential therapeutic target in hemoglobinopathies.</w:t>
      </w:r>
    </w:p>
    <w:p>
      <w:pPr>
        <w:spacing w:before="120" w:after="120"/>
      </w:pPr>
      <w:r>
        <w:rPr>
          <w:sz w:val="18"/>
        </w:rPr>
        <w:t>——————————————————————————————————————————————————————————————————————</w:t>
      </w:r>
    </w:p>
    <w:p>
      <w:pPr>
        <w:spacing w:before="160" w:after="40" w:line="240" w:lineRule="auto"/>
      </w:pPr>
      <w:r>
        <w:rPr>
          <w:b/>
        </w:rPr>
        <w:t xml:space="preserve">[424] </w:t>
      </w:r>
      <w:hyperlink r:id="rId1023">
        <w:r>
          <w:rPr>
            <w:color w:val="1155CC"/>
            <w:u w:val="single"/>
          </w:rPr>
          <w:t>亚马逊森林损失：一种全天空生物物理大气顶冷却反馈</w:t>
        </w:r>
      </w:hyperlink>
    </w:p>
    <w:p>
      <w:pPr>
        <w:spacing w:before="0" w:after="80"/>
      </w:pPr>
      <w:r>
        <w:rPr>
          <w:i/>
          <w:sz w:val="20"/>
        </w:rPr>
        <w:t>EN: Amazon forest loss: An all-sky biophysical top-of-atmosphere cooling feedback</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24">
        <w:r>
          <w:rPr>
            <w:color w:val="1155CC"/>
            <w:u w:val="single"/>
          </w:rPr>
          <w:t>10.1126/science.adz8296</w:t>
        </w:r>
      </w:hyperlink>
    </w:p>
    <w:p>
      <w:pPr>
        <w:spacing w:before="0" w:after="120"/>
      </w:pPr>
      <w:r>
        <w:rPr>
          <w:b/>
        </w:rPr>
        <w:t xml:space="preserve">Notes: </w:t>
      </w:r>
      <w:r>
        <w:t>abstract_source=crossref</w:t>
      </w:r>
    </w:p>
    <w:p>
      <w:pPr>
        <w:spacing w:before="0" w:after="80" w:lineRule="auto" w:line="276"/>
      </w:pPr>
      <w:r>
        <w:rPr>
          <w:b/>
        </w:rPr>
        <w:t xml:space="preserve">摘要（ZH）: </w:t>
      </w:r>
      <w:r>
        <w:t>亚马逊雨林在调节地球的能量和水循环中起着至关重要的作用。森林砍伐的全部生物物理影响，特别是在云的介导下，仍然难以捉摸。利用二十年的多源卫星观测，我们分离出森林损失的生物物理信号，并展示了整合地表和大气效应的全天空生物物理反馈的观测。我们发现，大气顶（TOA）的短波和长波通量冷却与森林损失比例成比例，短波占主导。在高损失区域，短波TOA冷却达到6.8 ± 0.6瓦每平方米，云驱动的反照率增加使效果相对于仅地表增亮翻倍。这些发现强调了在估计中的云响应的重要性</w:t>
      </w:r>
    </w:p>
    <w:p>
      <w:pPr>
        <w:spacing w:before="0" w:after="200" w:lineRule="auto" w:line="276"/>
      </w:pPr>
      <w:r>
        <w:rPr>
          <w:b/>
        </w:rPr>
        <w:t xml:space="preserve">Abstract (EN): </w:t>
      </w:r>
      <w:r>
        <w:t>The Amazon rainforest plays a crucial role in regulating Earth’s energy and water cycles. The full biophysical impact of deforestation, particularly when mediated by clouds, remains elusive. Using two decades of multisource satellite observations, we isolate biophysical signals of forest loss and present an observation of the all-sky biophysical feedback that integrates surface and atmospheric effects. We find that top-of-atmosphere (TOA) cooling in shortwave and longwave fluxes scales with forest loss fraction, with shortwave dominating. In high-loss areas, shortwave TOA cooling reaches 6.8 ± 0.6 watts per square meter, with cloud-driven albedo increases doubling the effect relative to surface brightening alone. These findings underscore the importance of cloud responses in estimating the climatic impact of forest cover change and support their integration into climate models and land-management policies.</w:t>
      </w:r>
    </w:p>
    <w:p>
      <w:pPr>
        <w:spacing w:before="120" w:after="120"/>
      </w:pPr>
      <w:r>
        <w:rPr>
          <w:sz w:val="18"/>
        </w:rPr>
        <w:t>——————————————————————————————————————————————————————————————————————</w:t>
      </w:r>
    </w:p>
    <w:p>
      <w:pPr>
        <w:spacing w:before="160" w:after="40" w:line="240" w:lineRule="auto"/>
      </w:pPr>
      <w:r>
        <w:rPr>
          <w:b/>
        </w:rPr>
        <w:t xml:space="preserve">[425] </w:t>
      </w:r>
      <w:hyperlink r:id="rId1025">
        <w:r>
          <w:rPr>
            <w:color w:val="1155CC"/>
            <w:u w:val="single"/>
          </w:rPr>
          <w:t>书写彩虹</w:t>
        </w:r>
      </w:hyperlink>
    </w:p>
    <w:p>
      <w:pPr>
        <w:spacing w:before="0" w:after="80"/>
      </w:pPr>
      <w:r>
        <w:rPr>
          <w:i/>
          <w:sz w:val="20"/>
        </w:rPr>
        <w:t>EN: Writing the rainbow</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26">
        <w:r>
          <w:rPr>
            <w:color w:val="1155CC"/>
            <w:u w:val="single"/>
          </w:rPr>
          <w:t>10.1126/science.aeg5562</w:t>
        </w:r>
      </w:hyperlink>
    </w:p>
    <w:p>
      <w:pPr>
        <w:spacing w:before="0" w:after="120"/>
      </w:pPr>
      <w:r>
        <w:rPr>
          <w:b/>
        </w:rPr>
        <w:t xml:space="preserve">Notes: </w:t>
      </w:r>
      <w:r>
        <w:t>abstract_source=crossref</w:t>
      </w:r>
    </w:p>
    <w:p>
      <w:pPr>
        <w:spacing w:before="0" w:after="80" w:lineRule="auto" w:line="276"/>
      </w:pPr>
      <w:r>
        <w:rPr>
          <w:b/>
        </w:rPr>
        <w:t xml:space="preserve">摘要（ZH）: </w:t>
      </w:r>
      <w:r>
        <w:t>颜色难以用简单的语言描述——这并没有阻止词典编纂者的尝试</w:t>
      </w:r>
    </w:p>
    <w:p>
      <w:pPr>
        <w:spacing w:before="0" w:after="200" w:lineRule="auto" w:line="276"/>
      </w:pPr>
      <w:r>
        <w:rPr>
          <w:b/>
        </w:rPr>
        <w:t xml:space="preserve">Abstract (EN): </w:t>
      </w:r>
      <w:r>
        <w:t>Color resists simple description—that has not stopped dictionary lexicographers from trying</w:t>
      </w:r>
    </w:p>
    <w:p>
      <w:pPr>
        <w:spacing w:before="120" w:after="120"/>
      </w:pPr>
      <w:r>
        <w:rPr>
          <w:sz w:val="18"/>
        </w:rPr>
        <w:t>——————————————————————————————————————————————————————————————————————</w:t>
      </w:r>
    </w:p>
    <w:p>
      <w:pPr>
        <w:spacing w:before="160" w:after="40" w:line="240" w:lineRule="auto"/>
      </w:pPr>
      <w:r>
        <w:rPr>
          <w:b/>
        </w:rPr>
        <w:t xml:space="preserve">[426] </w:t>
      </w:r>
      <w:hyperlink r:id="rId1027">
        <w:r>
          <w:rPr>
            <w:color w:val="1155CC"/>
            <w:u w:val="single"/>
          </w:rPr>
          <w:t>第一个基因组加载到量子计算机上</w:t>
        </w:r>
      </w:hyperlink>
    </w:p>
    <w:p>
      <w:pPr>
        <w:spacing w:before="0" w:after="80"/>
      </w:pPr>
      <w:r>
        <w:rPr>
          <w:i/>
          <w:sz w:val="20"/>
        </w:rPr>
        <w:t>EN: First genome loaded on a quantum computer</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28">
        <w:r>
          <w:rPr>
            <w:color w:val="1155CC"/>
            <w:u w:val="single"/>
          </w:rPr>
          <w:t>10.1126/science.aei2484</w:t>
        </w:r>
      </w:hyperlink>
    </w:p>
    <w:p>
      <w:pPr>
        <w:spacing w:before="0" w:after="120"/>
      </w:pPr>
      <w:r>
        <w:rPr>
          <w:b/>
        </w:rPr>
        <w:t xml:space="preserve">Notes: </w:t>
      </w:r>
      <w:r>
        <w:t>abstract_source=crossref</w:t>
      </w:r>
    </w:p>
    <w:p>
      <w:pPr>
        <w:spacing w:before="0" w:after="80" w:lineRule="auto" w:line="276"/>
      </w:pPr>
      <w:r>
        <w:rPr>
          <w:b/>
        </w:rPr>
        <w:t xml:space="preserve">摘要（ZH）: </w:t>
      </w:r>
      <w:r>
        <w:t>研究人员在朝“量子基因组学”迈出的早期步骤中编码了微小的丁型肝炎病毒</w:t>
      </w:r>
    </w:p>
    <w:p>
      <w:pPr>
        <w:spacing w:before="0" w:after="200" w:lineRule="auto" w:line="276"/>
      </w:pPr>
      <w:r>
        <w:rPr>
          <w:b/>
        </w:rPr>
        <w:t xml:space="preserve">Abstract (EN): </w:t>
      </w:r>
      <w:r>
        <w:t>Researchers encode the tiny hepatitis D virus in an early step toward “quantum genomics”</w:t>
      </w:r>
    </w:p>
    <w:p>
      <w:pPr>
        <w:spacing w:before="120" w:after="120"/>
      </w:pPr>
      <w:r>
        <w:rPr>
          <w:sz w:val="18"/>
        </w:rPr>
        <w:t>——————————————————————————————————————————————————————————————————————</w:t>
      </w:r>
    </w:p>
    <w:p>
      <w:pPr>
        <w:spacing w:before="160" w:after="40" w:line="240" w:lineRule="auto"/>
      </w:pPr>
      <w:r>
        <w:rPr>
          <w:b/>
        </w:rPr>
        <w:t xml:space="preserve">[427] </w:t>
      </w:r>
      <w:hyperlink r:id="rId1029">
        <w:r>
          <w:rPr>
            <w:color w:val="1155CC"/>
            <w:u w:val="single"/>
          </w:rPr>
          <w:t>云层调节亚马逊森林砍伐的气候效应</w:t>
        </w:r>
      </w:hyperlink>
    </w:p>
    <w:p>
      <w:pPr>
        <w:spacing w:before="0" w:after="80"/>
      </w:pPr>
      <w:r>
        <w:rPr>
          <w:i/>
          <w:sz w:val="20"/>
        </w:rPr>
        <w:t>EN: Clouds moderate Amazon deforestation’s climate effect</w:t>
      </w:r>
    </w:p>
    <w:p>
      <w:pPr>
        <w:spacing w:before="0" w:after="120"/>
      </w:pPr>
      <w:r>
        <w:rPr>
          <w:b/>
        </w:rPr>
        <w:t xml:space="preserve">Source: </w:t>
      </w:r>
      <w:r>
        <w:t>AAAS: Science: Table of Contents</w:t>
      </w:r>
      <w:r>
        <w:t xml:space="preserve">    </w:t>
      </w:r>
      <w:r>
        <w:rPr>
          <w:b/>
        </w:rPr>
        <w:t xml:space="preserve">Pub date: </w:t>
      </w:r>
      <w:r>
        <w:t>2026-04-23 05:59:15+00:00</w:t>
      </w:r>
      <w:r>
        <w:t xml:space="preserve">    </w:t>
      </w:r>
      <w:r>
        <w:rPr>
          <w:b/>
        </w:rPr>
        <w:t xml:space="preserve">DOI: </w:t>
      </w:r>
      <w:hyperlink r:id="rId1030">
        <w:r>
          <w:rPr>
            <w:color w:val="1155CC"/>
            <w:u w:val="single"/>
          </w:rPr>
          <w:t>10.1126/science.aeg5991</w:t>
        </w:r>
      </w:hyperlink>
    </w:p>
    <w:p>
      <w:pPr>
        <w:spacing w:before="0" w:after="120"/>
      </w:pPr>
      <w:r>
        <w:rPr>
          <w:b/>
        </w:rPr>
        <w:t xml:space="preserve">Notes: </w:t>
      </w:r>
      <w:r>
        <w:t>abstract_source=crossref</w:t>
      </w:r>
    </w:p>
    <w:p>
      <w:pPr>
        <w:spacing w:before="0" w:after="80" w:lineRule="auto" w:line="276"/>
      </w:pPr>
      <w:r>
        <w:rPr>
          <w:b/>
        </w:rPr>
        <w:t xml:space="preserve">摘要（ZH）: </w:t>
      </w:r>
      <w:r>
        <w:t>云层覆盖的意外增加部分减少了由二氧化碳释放引起的变暖</w:t>
      </w:r>
    </w:p>
    <w:p>
      <w:pPr>
        <w:spacing w:before="0" w:after="200" w:lineRule="auto" w:line="276"/>
      </w:pPr>
      <w:r>
        <w:rPr>
          <w:b/>
        </w:rPr>
        <w:t xml:space="preserve">Abstract (EN): </w:t>
      </w:r>
      <w:r>
        <w:t>An unexpected increase in cloud cover partially reduces warming caused by carbon dioxide release</w:t>
      </w:r>
    </w:p>
    <w:p>
      <w:pPr>
        <w:spacing w:before="120" w:after="120"/>
      </w:pPr>
      <w:r>
        <w:rPr>
          <w:sz w:val="18"/>
        </w:rPr>
        <w:t>——————————————————————————————————————————————————————————————————————</w:t>
      </w:r>
    </w:p>
    <w:p>
      <w:pPr>
        <w:spacing w:before="160" w:after="40" w:line="240" w:lineRule="auto"/>
      </w:pPr>
      <w:r>
        <w:rPr>
          <w:b/>
        </w:rPr>
        <w:t xml:space="preserve">[428] </w:t>
      </w:r>
      <w:hyperlink r:id="rId1031">
        <w:r>
          <w:rPr>
            <w:color w:val="1155CC"/>
            <w:u w:val="single"/>
          </w:rPr>
          <w:t>骨靶向纳米颗粒通过抑制cGAS乳酸化实现代谢重编程，以恢复骨肉瘤的化疗敏感性和抗肿瘤免疫</w:t>
        </w:r>
      </w:hyperlink>
    </w:p>
    <w:p>
      <w:pPr>
        <w:spacing w:before="0" w:after="80"/>
      </w:pPr>
      <w:r>
        <w:rPr>
          <w:i/>
          <w:sz w:val="20"/>
        </w:rPr>
        <w:t>EN: Bone‐Targeted Nanoparticles Enable Metabolic Reprogramming via cGAS Lactylation Suppression to Restore Chemosensitivity and Antitumor Immunity in Osteosarcoma</w:t>
      </w:r>
    </w:p>
    <w:p>
      <w:pPr>
        <w:spacing w:before="0" w:after="120"/>
      </w:pPr>
      <w:r>
        <w:rPr>
          <w:b/>
        </w:rPr>
        <w:t xml:space="preserve">Source: </w:t>
      </w:r>
      <w:r>
        <w:t>Wiley: Advanced Materials: Table of Contents</w:t>
      </w:r>
      <w:r>
        <w:t xml:space="preserve">    </w:t>
      </w:r>
      <w:r>
        <w:rPr>
          <w:b/>
        </w:rPr>
        <w:t xml:space="preserve">Pub date: </w:t>
      </w:r>
      <w:r>
        <w:t>2026-04-23 06:43:38+00:00</w:t>
      </w:r>
      <w:r>
        <w:t xml:space="preserve">    </w:t>
      </w:r>
      <w:r>
        <w:rPr>
          <w:b/>
        </w:rPr>
        <w:t xml:space="preserve">DOI: </w:t>
      </w:r>
      <w:hyperlink r:id="rId1032">
        <w:r>
          <w:rPr>
            <w:color w:val="1155CC"/>
            <w:u w:val="single"/>
          </w:rPr>
          <w:t>10.1002/adma.73147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抗性和免疫抑制在骨肉瘤（OS）中普遍存在，严重限制了顺铂的疗效。异常的糖酵解和过量的乳酸积累不仅促进了肿瘤抗性，还与抗肿瘤免疫受损有关，部分通过cGAS乳酸化，这是一种与乳酸相关的cGAS翻译后修饰，与减弱的cGAS-STING信号传导有关。在此，我们开发了一种骨靶向纳米治疗剂MALss</w:t>
      </w:r>
      <w:r>
        <w:t xml:space="preserve"> </w:t>
      </w:r>
      <w:r>
        <w:t>Gi/A</w:t>
      </w:r>
      <w:r>
        <w:t xml:space="preserve"> </w:t>
      </w:r>
      <w:r>
        <w:t>@Mi，联合加载GLUT1抑制剂WZB117和MCT1抑制剂BAY8002，以恢复OS中的免疫代谢平衡。MALss</w:t>
      </w:r>
      <w:r>
        <w:t xml:space="preserve"> </w:t>
      </w:r>
      <w:r>
        <w:t>Gi/A</w:t>
      </w:r>
      <w:r>
        <w:t xml:space="preserve"> </w:t>
      </w:r>
      <w:r>
        <w:t>@Mi在还原性肿瘤中实现谷胱甘肽响应释放</w:t>
      </w:r>
    </w:p>
    <w:p>
      <w:pPr>
        <w:spacing w:before="0" w:after="200" w:lineRule="auto" w:line="276"/>
      </w:pPr>
      <w:r>
        <w:rPr>
          <w:b/>
        </w:rPr>
        <w:t xml:space="preserve">Abstract (EN): </w:t>
      </w:r>
      <w:r>
        <w:t>Chemoresistance and immune suppression are pervasive in osteosarcoma (OS), severely limiting the efficacy of cisplatin. Aberrant glycolysis and excessive lactate accumulation not only promote tumor resistance but are also associated with impaired antitumor immunity, in part through cGAS lactylation, a lactate‐associated post‐translational modification of cGAS linked to attenuated cGAS–STING signaling. Here, we have developed a bone‐targeted nanotherapeutic, MALss</w:t>
      </w:r>
      <w:r>
        <w:t xml:space="preserve"> </w:t>
      </w:r>
      <w:r>
        <w:t>Gi/A</w:t>
      </w:r>
      <w:r>
        <w:t xml:space="preserve"> </w:t>
      </w:r>
      <w:r>
        <w:t>@Mi, co‐loaded with the GLUT1 inhibitor WZB117 and the MCT1 inhibitor BAY8002, to restore immunometabolic balance in OS. MALss</w:t>
      </w:r>
      <w:r>
        <w:t xml:space="preserve"> </w:t>
      </w:r>
      <w:r>
        <w:t>Gi/A</w:t>
      </w:r>
      <w:r>
        <w:t xml:space="preserve"> </w:t>
      </w:r>
      <w:r>
        <w:t>@Mi enables glutathione‐responsive release in the reductive tumor microenvironment and simultaneously inhibits the overexpression of GLUT1 and MCT1, leading to coordinated suppression of lactate production and transport. This material‐mediated metabolic reprogramming alleviates cGAS lactylation, promotes restoration of cGAS–STING signaling, and enhances antitumor immune responses. Both in vitro and in vivo studies demonstrate that MALss</w:t>
      </w:r>
      <w:r>
        <w:t xml:space="preserve"> </w:t>
      </w:r>
      <w:r>
        <w:t>Gi/A</w:t>
      </w:r>
      <w:r>
        <w:t xml:space="preserve"> </w:t>
      </w:r>
      <w:r>
        <w:t>@Mi markedly sensitizes OS to cisplatin, remodels the immunosuppressive tumor microenvironment, and suppresses tumor growth. Importantly, robust therapeutic efficacy is further validated in a patient‐derived xenograft model established from post‐chemotherapy recurrent OS, highlighting its translational potential. Collectively, this work presents a nanomaterial‐enabled strategy to overcome chemoresistance through modulation of the metabolic–immune axis.</w:t>
      </w:r>
    </w:p>
    <w:p>
      <w:pPr>
        <w:spacing w:before="120" w:after="120"/>
      </w:pPr>
      <w:r>
        <w:rPr>
          <w:sz w:val="18"/>
        </w:rPr>
        <w:t>——————————————————————————————————————————————————————————————————————</w:t>
      </w:r>
    </w:p>
    <w:p>
      <w:pPr>
        <w:spacing w:before="160" w:after="40" w:line="240" w:lineRule="auto"/>
      </w:pPr>
      <w:r>
        <w:rPr>
          <w:b/>
        </w:rPr>
        <w:t xml:space="preserve">[429] </w:t>
      </w:r>
      <w:hyperlink r:id="rId1033">
        <w:r>
          <w:rPr>
            <w:color w:val="1155CC"/>
            <w:u w:val="single"/>
          </w:rPr>
          <w:t>机械空间嵌合纤维蛋白组装实现血管整合的肌肉重建，用于体积性肌肉损失修复</w:t>
        </w:r>
      </w:hyperlink>
    </w:p>
    <w:p>
      <w:pPr>
        <w:spacing w:before="0" w:after="80"/>
      </w:pPr>
      <w:r>
        <w:rPr>
          <w:i/>
          <w:sz w:val="20"/>
        </w:rPr>
        <w:t>EN: Mechanically Spatio‐Chimeric Fibrin Assembly Enables Vascular‐Integrated Muscle Reconstruction for Volumetric Muscle Loss Repair</w:t>
      </w:r>
    </w:p>
    <w:p>
      <w:pPr>
        <w:spacing w:before="0" w:after="120"/>
      </w:pPr>
      <w:r>
        <w:rPr>
          <w:b/>
        </w:rPr>
        <w:t xml:space="preserve">Source: </w:t>
      </w:r>
      <w:r>
        <w:t>Wiley: Advanced Materials: Table of Contents</w:t>
      </w:r>
      <w:r>
        <w:t xml:space="preserve">    </w:t>
      </w:r>
      <w:r>
        <w:rPr>
          <w:b/>
        </w:rPr>
        <w:t xml:space="preserve">Pub date: </w:t>
      </w:r>
      <w:r>
        <w:t>2026-04-23 06:44:22+00:00</w:t>
      </w:r>
      <w:r>
        <w:t xml:space="preserve">    </w:t>
      </w:r>
      <w:r>
        <w:rPr>
          <w:b/>
        </w:rPr>
        <w:t xml:space="preserve">DOI: </w:t>
      </w:r>
      <w:hyperlink r:id="rId1034">
        <w:r>
          <w:rPr>
            <w:color w:val="1155CC"/>
            <w:u w:val="single"/>
          </w:rPr>
          <w:t>10.1002/adma.202523542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体积性肌肉损失（VML）是一种涉及不可逆的肌肉组织和血管丧失的严重损伤，对临床可行的肌肉移植物的发展构成了重大障碍。功能恢复需要能够重建收缩和血管成分并能与宿主血管功能整合的工程构造。在此，我们介绍了SPARC（空间嵌合、基于血浆、各向异性和剪切响应构造），这是一种通过剪切引导组装血浆纤维蛋白以重建原生肌肉的结构和机械异质性的机械双模态纤维蛋白水凝胶。受控的微流体剪切生成对齐的纤维束和空间梯度双模态刚度结构，建立</w:t>
      </w:r>
    </w:p>
    <w:p>
      <w:pPr>
        <w:spacing w:before="0" w:after="200" w:lineRule="auto" w:line="276"/>
      </w:pPr>
      <w:r>
        <w:rPr>
          <w:b/>
        </w:rPr>
        <w:t xml:space="preserve">Abstract (EN): </w:t>
      </w:r>
      <w:r>
        <w:t>Volumetric muscle loss (VML), a severe injury involving irreversible loss of both muscle tissue and vasculature, poses a major barrier to the development of clinically viable muscle grafts. Functional restoration requires engineered constructs capable of reconstructing both contractile and vascular components that can functionally integrate with the host vasculature. Here, we introduce SPARC (spatio‐chimeric, plasma‐based, anisotropic, and shear‐responsive construct), a mechanically bimodal fibrin hydrogel engineered via shear‐guided assembly of plasma fibrin to recreate the structural and mechanical heterogeneity of native muscle. Controlled microfluidic shear generates aligned fibrillar bundles and a spatially graded bimodal stiffness architecture, establishing stiff, bundle‐dense regions that favor myogenic differentiation and compliant regions that promote endothelial morphogenesis. When co‐cultured with myoblasts and endothelial cells, the resulting anisotropic matrix directs spatially organized myogenic maturation and endothelial morphogenesis. In vivo evaluation in a murine VML model shows that vascularized muscle SPARC grafts restore muscle architecture and function, promoting neovascularization, myofiber regeneration, and enhanced motor recovery. Through its spatially mechano‐programmed design, SPARC enables coordinated myogenic and endothelial organization within a single construct, establishing a scalable biofabrication strategy for functional repair of extensive muscle defects.</w:t>
      </w:r>
    </w:p>
    <w:p>
      <w:pPr>
        <w:spacing w:before="120" w:after="120"/>
      </w:pPr>
      <w:r>
        <w:rPr>
          <w:sz w:val="18"/>
        </w:rPr>
        <w:t>——————————————————————————————————————————————————————————————————————</w:t>
      </w:r>
    </w:p>
    <w:p>
      <w:pPr>
        <w:spacing w:before="160" w:after="40" w:line="240" w:lineRule="auto"/>
      </w:pPr>
      <w:r>
        <w:rPr>
          <w:b/>
        </w:rPr>
        <w:t xml:space="preserve">[430] </w:t>
      </w:r>
      <w:hyperlink r:id="rId1035">
        <w:r>
          <w:rPr>
            <w:color w:val="1155CC"/>
            <w:u w:val="single"/>
          </w:rPr>
          <w:t>Leaftronics：来自叶脉的生物分形支架用于低废电子产品</w:t>
        </w:r>
      </w:hyperlink>
    </w:p>
    <w:p>
      <w:pPr>
        <w:spacing w:before="0" w:after="80"/>
      </w:pPr>
      <w:r>
        <w:rPr>
          <w:i/>
          <w:sz w:val="20"/>
        </w:rPr>
        <w:t>EN: Leaftronics: Bio‐Fractal Scaffolds From Leaf Venation for Low‐Waste Electronics</w:t>
      </w:r>
    </w:p>
    <w:p>
      <w:pPr>
        <w:spacing w:before="0" w:after="120"/>
      </w:pPr>
      <w:r>
        <w:rPr>
          <w:b/>
        </w:rPr>
        <w:t xml:space="preserve">Source: </w:t>
      </w:r>
      <w:r>
        <w:t>Wiley: Advanced Materials: Table of Contents</w:t>
      </w:r>
      <w:r>
        <w:t xml:space="preserve">    </w:t>
      </w:r>
      <w:r>
        <w:rPr>
          <w:b/>
        </w:rPr>
        <w:t xml:space="preserve">Pub date: </w:t>
      </w:r>
      <w:r>
        <w:t>2026-04-23 06:47:17+00:00</w:t>
      </w:r>
      <w:r>
        <w:t xml:space="preserve">    </w:t>
      </w:r>
      <w:r>
        <w:rPr>
          <w:b/>
        </w:rPr>
        <w:t xml:space="preserve">DOI: </w:t>
      </w:r>
      <w:hyperlink r:id="rId1036">
        <w:r>
          <w:rPr>
            <w:color w:val="1155CC"/>
            <w:u w:val="single"/>
          </w:rPr>
          <w:t>10.1002/adma.202523663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废物的增加，预计到2030年每年将超过8200万吨，突显了在电子产品中使用可持续材料的必要性。继续依赖不可分解的基板（玻璃、FR4-环氧树脂层压板、塑料薄膜等）和稀缺的透明导体作为电极只会加剧污染和高排放制造。与回流焊接和薄膜器件制造兼容的可分解平台可以解决这些问题。在此，新兴的“Leaftronics”领域通过从叶片中提取准分形木质纤维素脉络来形成坚固的支架，整合溶液加工的生物聚合物以形成高性能基板，或在金属化时，作为光电透明电极。</w:t>
      </w:r>
    </w:p>
    <w:p>
      <w:pPr>
        <w:spacing w:before="0" w:after="200" w:lineRule="auto" w:line="276"/>
      </w:pPr>
      <w:r>
        <w:rPr>
          <w:b/>
        </w:rPr>
        <w:t xml:space="preserve">Abstract (EN): </w:t>
      </w:r>
      <w:r>
        <w:t>The rising levels of electronic waste, projected to surpass 82 million metric tons annually by 2030, highlight the need for sustainable materials in electronics. Continued reliance on non‐decomposable substrates (glass, FR4‐epoxy laminates, plastic foils, etc.) and scarce transparent conductors as electrodes will only intensify pollution and high‐emission manufacturing. A decomposable platform compatible with reflow soldering and thin‐film device fabrication could address these gaps. Here, the emerging field of “Leaftronics” offers a solution by extracting quasi‐fractal lignocellulosic venation from leaves to form robust scaffolds that integrate solution‐processed biopolymers into high‐performance substrates or, when metallized, transparent electrodes for optoelectronics. We discuss how leaf‐derived structures help to fabricate flexible, transparent substrates with &amp;lt;1 nm surface roughness, support reflow‐soldered circuits, vapor‐deposited devices, printed transistors, and batteries. The approach demonstrates full decomposability, component recovery, and &amp;gt;90% reduced carbon footprint (cradle‐to‐gate) versus conventional approaches. Recent advances in fractal metallization for superior transparent electrodes are reviewed, suggesting leaf venation as a model for enhancing bio‐composites using natural hierarchies. Pathways to translation and future research horizons are outlined. By merging evolutionary designs with biopolymers, “Leaftronics” paves a scalable path to low‐waste electronics, inspiring interdisciplinary investigations in biomimetic materials and sustainable device architectures.</w:t>
      </w:r>
    </w:p>
    <w:p>
      <w:pPr>
        <w:spacing w:before="120" w:after="120"/>
      </w:pPr>
      <w:r>
        <w:rPr>
          <w:sz w:val="18"/>
        </w:rPr>
        <w:t>——————————————————————————————————————————————————————————————————————</w:t>
      </w:r>
    </w:p>
    <w:p>
      <w:pPr>
        <w:spacing w:before="160" w:after="40" w:line="240" w:lineRule="auto"/>
      </w:pPr>
      <w:r>
        <w:rPr>
          <w:b/>
        </w:rPr>
        <w:t xml:space="preserve">[431] </w:t>
      </w:r>
      <w:hyperlink r:id="rId1037">
        <w:r>
          <w:rPr>
            <w:color w:val="1155CC"/>
            <w:u w:val="single"/>
          </w:rPr>
          <w:t>从生物界面材料到神经整合：由水凝胶驱动的下一代脑机接口</w:t>
        </w:r>
      </w:hyperlink>
    </w:p>
    <w:p>
      <w:pPr>
        <w:spacing w:before="0" w:after="80"/>
      </w:pPr>
      <w:r>
        <w:rPr>
          <w:i/>
          <w:sz w:val="20"/>
        </w:rPr>
        <w:t>EN: From Bio‐Interface Materials to Neural Integration: The Next‐Generation Brain–Machine Interfaces Powered by Hydrogels</w:t>
      </w:r>
    </w:p>
    <w:p>
      <w:pPr>
        <w:spacing w:before="0" w:after="120"/>
      </w:pPr>
      <w:r>
        <w:rPr>
          <w:b/>
        </w:rPr>
        <w:t xml:space="preserve">Source: </w:t>
      </w:r>
      <w:r>
        <w:t>Wiley: Advanced Materials: Table of Contents</w:t>
      </w:r>
      <w:r>
        <w:t xml:space="preserve">    </w:t>
      </w:r>
      <w:r>
        <w:rPr>
          <w:b/>
        </w:rPr>
        <w:t xml:space="preserve">Pub date: </w:t>
      </w:r>
      <w:r>
        <w:t>2026-04-23 06:49:41+00:00</w:t>
      </w:r>
      <w:r>
        <w:t xml:space="preserve">    </w:t>
      </w:r>
      <w:r>
        <w:rPr>
          <w:b/>
        </w:rPr>
        <w:t xml:space="preserve">DOI: </w:t>
      </w:r>
      <w:hyperlink r:id="rId1038">
        <w:r>
          <w:rPr>
            <w:color w:val="1155CC"/>
            <w:u w:val="single"/>
          </w:rPr>
          <w:t>10.1002/adma.202523422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脑机接口（BMIs）作为神经记录、调节和康复的革命性工具，其性能高度依赖于电极材料的生物相容性和机械适应性。尽管传统金属电极具有优良的导电性，但其固有的刚性与柔软的神经组织存在显著的机械不匹配，导致慢性炎症反应和较差的长期稳定性。水凝胶电极的出现为这一基本限制提供了突破性的解决方案。水凝胶以其柔软性、高离子导电性和类组织的顺应性为特征，提供了一种可行的解决方案来缓解这些问题。本综述系统地探讨了水凝胶的材料特性。</w:t>
      </w:r>
    </w:p>
    <w:p>
      <w:pPr>
        <w:spacing w:before="0" w:after="200" w:lineRule="auto" w:line="276"/>
      </w:pPr>
      <w:r>
        <w:rPr>
          <w:b/>
        </w:rPr>
        <w:t xml:space="preserve">Abstract (EN): </w:t>
      </w:r>
      <w:r>
        <w:t>Brain–machine interfaces (BMIs), which serve as revolutionary tools for neural recording, modulation, and rehabilitation, are highly dependent on the biocompatibility and mechanical suitability of their electrode materials. Although traditional metal electrodes possess excellent conductivity, their inherent rigidity causes a substantial mechanical mismatch with soft neural tissue, leading to chronic inflammatory responses and poor long‐term stability. The emergence of hydrogel electrodes has provided a breakthrough solution to this fundamental limitation. Hydrogels, characterized by their softness, high ionic conductivity, and tissue‐like compliance, offer a viable solution to mitigate these issues. This review systematically explores the material properties of hydrogel‐integrated BMIs, providing an in‐depth investigation of key hydrogel characteristics, including toughness, adhesion, conductivity, and biocompatibility. Additionally, hydrogel‐based BMIs are categorized into non‐invasive and invasive systems, each defined by its characteristic operational principles and signal‐acquisition mechanisms. The study further reviews critical issues, including surgical implantation strategies, multimodal data fusion, integration of artificial intelligence, as well as system integration and clinical translation. From a therapeutic perspective, this work highlights the application of BMIs in treating neurological disorders such as Alzheimer's disease, Parkinson's disease, epilepsy, stroke, neuropathic pain, and depression. Furthermore, this review critically examines the persistent challenges faced by hydrogel‐based BMIs and proposes innovative strategies for future development. Ultimately, it outlines a developmental roadmap for next‐generation hydrogel‐based biotherapeutic technologies aimed at achieving high‐fidelity, stable and clinically translatable BMI systems.</w:t>
      </w:r>
    </w:p>
    <w:p>
      <w:pPr>
        <w:spacing w:before="120" w:after="120"/>
      </w:pPr>
      <w:r>
        <w:rPr>
          <w:sz w:val="18"/>
        </w:rPr>
        <w:t>——————————————————————————————————————————————————————————————————————</w:t>
      </w:r>
    </w:p>
    <w:p>
      <w:pPr>
        <w:spacing w:before="160" w:after="40" w:line="240" w:lineRule="auto"/>
      </w:pPr>
      <w:r>
        <w:rPr>
          <w:b/>
        </w:rPr>
        <w:t xml:space="preserve">[432] </w:t>
      </w:r>
      <w:hyperlink r:id="rId1039">
        <w:r>
          <w:rPr>
            <w:color w:val="1155CC"/>
            <w:u w:val="single"/>
          </w:rPr>
          <w:t>具有毛细作用介导的动态键交换自发颗粒吸附的超粘附性空气过滤器</w:t>
        </w:r>
      </w:hyperlink>
    </w:p>
    <w:p>
      <w:pPr>
        <w:spacing w:before="0" w:after="80"/>
      </w:pPr>
      <w:r>
        <w:rPr>
          <w:i/>
          <w:sz w:val="20"/>
        </w:rPr>
        <w:t>EN: A Super‐Adhesive Air Filter With Capillarity‐Mediated Spontaneous Particle Absorption via Dynamic Bond Exchange</w:t>
      </w:r>
    </w:p>
    <w:p>
      <w:pPr>
        <w:spacing w:before="0" w:after="120"/>
      </w:pPr>
      <w:r>
        <w:rPr>
          <w:b/>
        </w:rPr>
        <w:t xml:space="preserve">Source: </w:t>
      </w:r>
      <w:r>
        <w:t>Wiley: Advanced Materials: Table of Contents</w:t>
      </w:r>
      <w:r>
        <w:t xml:space="preserve">    </w:t>
      </w:r>
      <w:r>
        <w:rPr>
          <w:b/>
        </w:rPr>
        <w:t xml:space="preserve">Pub date: </w:t>
      </w:r>
      <w:r>
        <w:t>2026-04-23 06:52:58+00:00</w:t>
      </w:r>
      <w:r>
        <w:t xml:space="preserve">    </w:t>
      </w:r>
      <w:r>
        <w:rPr>
          <w:b/>
        </w:rPr>
        <w:t xml:space="preserve">DOI: </w:t>
      </w:r>
      <w:hyperlink r:id="rId1040">
        <w:r>
          <w:rPr>
            <w:color w:val="1155CC"/>
            <w:u w:val="single"/>
          </w:rPr>
          <w:t>10.1002/adma.202600006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基底上涂覆一层薄液膜的策略通过毛细力实现强颗粒粘附。然而，液膜的实际应用受到固有流体不稳定性的限制，包括普拉托-瑞利不稳定性、界面去湿和排水。在此，我们引入动态交联的粘合膜，保持弹性网络以确保结构完整性，同时实现粘性、毛细力驱动的颗粒粘附。应用具有亚胺交联网络的聚二甲基硅氧烷作为粘弹性粘合剂。虽然弹性特性允许形成稳定且厚的膜，但其粘性足以在颗粒接触时形成弯月面，从而产生微牛顿级的强毛细力。当应用于空气中时。</w:t>
      </w:r>
    </w:p>
    <w:p>
      <w:pPr>
        <w:spacing w:before="0" w:after="200" w:lineRule="auto" w:line="276"/>
      </w:pPr>
      <w:r>
        <w:rPr>
          <w:b/>
        </w:rPr>
        <w:t xml:space="preserve">Abstract (EN): </w:t>
      </w:r>
      <w:r>
        <w:t>A strategy to coat a thin liquid film over substrates enables strong particle adhesion via capillary force. However, the practical utility of a liquid film is hindered by inherent fluid instabilities, including the Plateau‐Rayleigh instability, interfacial dewetting, and drainage. Here, we introduce dynamically crosslinked adhesive films that maintain an elastic network to ensure structural integrity while enabling viscous, capillarity‐driven particle adhesion. Polydimethylsiloxane with an imine crosslinked network is applied as a viscoelastic adhesive. While the elastic nature allows for stable and thick films, it remains sufficiently viscous to form a meniscus upon particle contact; this generates a micro‐Newton scale, strong capillary force. When applied to air filters, which typically rely on nano‐Newton scale van der Waals adhesion, the dynamically crosslinked adhesive improves filtration performance and suppresses particle resuspension. Rather than only retaining particles on the surface, the adhesive layer with dynamic imine bonds actively absorbs particles into the matrix, which then exposes a fresh sticky surface for sustained filtering and prolongs the increase in pressure drop by filtering. Therefore, operational lifetime of the filter is extended compared to conventional filters, even with more effective filtration. These unique particle capturing characteristics of a stable dynamic bond adhesive layer not only exhibits outstanding filtration performances, but also proposes a new paradigm of air purification technologies.</w:t>
      </w:r>
    </w:p>
    <w:p>
      <w:pPr>
        <w:spacing w:before="120" w:after="120"/>
      </w:pPr>
      <w:r>
        <w:rPr>
          <w:sz w:val="18"/>
        </w:rPr>
        <w:t>——————————————————————————————————————————————————————————————————————</w:t>
      </w:r>
    </w:p>
    <w:p>
      <w:pPr>
        <w:spacing w:before="160" w:after="40" w:line="240" w:lineRule="auto"/>
      </w:pPr>
      <w:r>
        <w:rPr>
          <w:b/>
        </w:rPr>
        <w:t xml:space="preserve">[433] </w:t>
      </w:r>
      <w:hyperlink r:id="rId1041">
        <w:r>
          <w:rPr>
            <w:color w:val="1155CC"/>
            <w:u w:val="single"/>
          </w:rPr>
          <w:t>使用体内功能增益Perturb-seq绘制星形胶质细胞中转录因子功能图谱</w:t>
        </w:r>
      </w:hyperlink>
    </w:p>
    <w:p>
      <w:pPr>
        <w:spacing w:before="0" w:after="80"/>
      </w:pPr>
      <w:r>
        <w:rPr>
          <w:i/>
          <w:sz w:val="20"/>
        </w:rPr>
        <w:t>EN: Mapping transcription factor functions in astrocytes using in vivo gain-of-function Perturb-seq</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42">
        <w:r>
          <w:rPr>
            <w:color w:val="1155CC"/>
            <w:u w:val="single"/>
          </w:rPr>
          <w:t>10.1126/science.adw2156</w:t>
        </w:r>
      </w:hyperlink>
    </w:p>
    <w:p>
      <w:pPr>
        <w:spacing w:before="0" w:after="120"/>
      </w:pPr>
      <w:r>
        <w:rPr>
          <w:b/>
        </w:rPr>
        <w:t xml:space="preserve">Notes: </w:t>
      </w:r>
      <w:r>
        <w:t>abstract_source=crossref</w:t>
      </w:r>
    </w:p>
    <w:p>
      <w:pPr>
        <w:spacing w:before="0" w:after="80" w:lineRule="auto" w:line="276"/>
      </w:pPr>
      <w:r>
        <w:rPr>
          <w:b/>
        </w:rPr>
        <w:t xml:space="preserve">摘要（ZH）: </w:t>
      </w:r>
      <w:r>
        <w:t>一种结合高通量筛选与细胞类型特异性读数的体内方法可以阐明复杂组织中的基因型-表型关系。我们开发了一种体内功能增益Perturb-seq平台，称为iGOF-Perturb-seq，用于构建星形胶质细胞中约1000个转录因子（TFs）的功能图谱，星形胶质细胞是许多脑功能的重要细胞类型。然后，我们识别了共功能模块，注释了未表征的TFs，并预测了与疾病相关的TF簇。此外，在小鼠神经炎症模型中进行的iGOF-Perturb-seq识别出Ferd3l作为治疗候选者，并且星形胶质细胞特异性过表达Ferd3l缓解了小鼠的阿尔茨海默病症状。</w:t>
      </w:r>
    </w:p>
    <w:p>
      <w:pPr>
        <w:spacing w:before="0" w:after="200" w:lineRule="auto" w:line="276"/>
      </w:pPr>
      <w:r>
        <w:rPr>
          <w:b/>
        </w:rPr>
        <w:t xml:space="preserve">Abstract (EN): </w:t>
      </w:r>
      <w:r>
        <w:t>An in vivo approach combining high-throughput screening with cell type–specific readouts could enable elucidation of genotype-phenotype relationships in complex tissues. We developed an in vivo gain-of-function Perturb-seq platform, termed iGOF–Perturb-seq, to build a functional atlas of ~1000 transcription factors (TFs) in astrocytes, a cell type essential to many brain functions. We then identified cofunctional modules, annotated uncharacterized TFs, and predicted disease-associated TF clusters. Furthermore, iGOF–Perturb-seq performed in a mouse neuroinflammatory model identified</w:t>
      </w:r>
      <w:r>
        <w:t xml:space="preserve"> </w:t>
      </w:r>
      <w:r>
        <w:t>Ferd3l</w:t>
      </w:r>
      <w:r>
        <w:t xml:space="preserve"> </w:t>
      </w:r>
      <w:r>
        <w:t>as a therapeutic candidate, and astrocyte-specific overexpression of</w:t>
      </w:r>
      <w:r>
        <w:t xml:space="preserve"> </w:t>
      </w:r>
      <w:r>
        <w:t>Ferd3l</w:t>
      </w:r>
      <w:r>
        <w:t xml:space="preserve"> </w:t>
      </w:r>
      <w:r>
        <w:t>alleviated Alzheimer’s disease symptoms in mice. This study provides resources for understanding gene regulation and disease mechanisms in vivo and for identifying potential therapeutic targets for different brain diseases.</w:t>
      </w:r>
    </w:p>
    <w:p>
      <w:pPr>
        <w:spacing w:before="120" w:after="120"/>
      </w:pPr>
      <w:r>
        <w:rPr>
          <w:sz w:val="18"/>
        </w:rPr>
        <w:t>——————————————————————————————————————————————————————————————————————</w:t>
      </w:r>
    </w:p>
    <w:p>
      <w:pPr>
        <w:spacing w:before="160" w:after="40" w:line="240" w:lineRule="auto"/>
      </w:pPr>
      <w:r>
        <w:rPr>
          <w:b/>
        </w:rPr>
        <w:t xml:space="preserve">[434] </w:t>
      </w:r>
      <w:hyperlink r:id="rId1043">
        <w:r>
          <w:rPr>
            <w:color w:val="1155CC"/>
            <w:u w:val="single"/>
          </w:rPr>
          <w:t>机械负荷抑制小鼠和人类心脏中的癌症生长</w:t>
        </w:r>
      </w:hyperlink>
    </w:p>
    <w:p>
      <w:pPr>
        <w:spacing w:before="0" w:after="80"/>
      </w:pPr>
      <w:r>
        <w:rPr>
          <w:i/>
          <w:sz w:val="20"/>
        </w:rPr>
        <w:t>EN: Mechanical load inhibits cancer growth in mouse and human hearts</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44">
        <w:r>
          <w:rPr>
            <w:color w:val="1155CC"/>
            <w:u w:val="single"/>
          </w:rPr>
          <w:t>10.1126/science.ads9412</w:t>
        </w:r>
      </w:hyperlink>
    </w:p>
    <w:p>
      <w:pPr>
        <w:spacing w:before="0" w:after="120"/>
      </w:pPr>
      <w:r>
        <w:rPr>
          <w:b/>
        </w:rPr>
        <w:t xml:space="preserve">Notes: </w:t>
      </w:r>
      <w:r>
        <w:t>abstract_source=crossref</w:t>
      </w:r>
    </w:p>
    <w:p>
      <w:pPr>
        <w:spacing w:before="0" w:after="80" w:lineRule="auto" w:line="276"/>
      </w:pPr>
      <w:r>
        <w:rPr>
          <w:b/>
        </w:rPr>
        <w:t xml:space="preserve">摘要（ZH）: </w:t>
      </w:r>
      <w:r>
        <w:t>心脏很少发展成癌症，同时，它缺乏再生能力，因为心肌细胞在出生后停止增殖。这表明限制心脏再生的机制也可能对抗癌症。在这项工作中，我们研究了机械负荷的作用，并使用体内癌症模型和体外工程心脏组织显示机械负荷减少心肌中的癌细胞增殖。人类心脏转移的空间转录组学揭示了组蛋白甲基化和染色质压缩的减少。这些变化影响了增殖相关位点的染色质可及性，Nesprin-2被确定为关键的机械传感器。我们的结果揭示了机械力如何保护心脏免受癌症侵害，并提出了潜在的癌症策略。</w:t>
      </w:r>
    </w:p>
    <w:p>
      <w:pPr>
        <w:spacing w:before="0" w:after="200" w:lineRule="auto" w:line="276"/>
      </w:pPr>
      <w:r>
        <w:rPr>
          <w:b/>
        </w:rPr>
        <w:t xml:space="preserve">Abstract (EN): </w:t>
      </w:r>
      <w:r>
        <w:t>The heart rarely develops cancer, and, at the same time, it lacks regenerative capacity, as cardiomyocytes stop proliferating after birth. This suggests that mechanisms limiting cardiac regeneration may also protect against cancer. In this work, we investigated the role of mechanical load and used in vivo cancer models and ex vivo engineered heart tissues to show that mechanical load reduces cancer cell proliferation in the myocardium. Spatial transcriptomics of human cardiac metastases revealed decreased histone methylation and chromatin compaction. These changes affect chromatin accessibility at proliferation-related loci, with Nesprin-2 identified as a key mechanosensor. Our results uncover how mechanical forces protect the heart from cancer and suggest potential strategies for cancer therapy based on mechanical stimulation.</w:t>
      </w:r>
    </w:p>
    <w:p>
      <w:pPr>
        <w:spacing w:before="120" w:after="120"/>
      </w:pPr>
      <w:r>
        <w:rPr>
          <w:sz w:val="18"/>
        </w:rPr>
        <w:t>——————————————————————————————————————————————————————————————————————</w:t>
      </w:r>
    </w:p>
    <w:p>
      <w:pPr>
        <w:spacing w:before="160" w:after="40" w:line="240" w:lineRule="auto"/>
      </w:pPr>
      <w:r>
        <w:rPr>
          <w:b/>
        </w:rPr>
        <w:t xml:space="preserve">[435] </w:t>
      </w:r>
      <w:hyperlink r:id="rId1045">
        <w:r>
          <w:rPr>
            <w:color w:val="1155CC"/>
            <w:u w:val="single"/>
          </w:rPr>
          <w:t>在早期出生后唐氏综合症前额叶皮层中被破坏的分子和细胞过程</w:t>
        </w:r>
      </w:hyperlink>
    </w:p>
    <w:p>
      <w:pPr>
        <w:spacing w:before="0" w:after="80"/>
      </w:pPr>
      <w:r>
        <w:rPr>
          <w:i/>
          <w:sz w:val="20"/>
        </w:rPr>
        <w:t>EN: Molecular and cellular processes disrupted in the early postnatal Down syndrome prefrontal cortex</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46">
        <w:r>
          <w:rPr>
            <w:color w:val="1155CC"/>
            <w:u w:val="single"/>
          </w:rPr>
          <w:t>10.1126/science.aea1549</w:t>
        </w:r>
      </w:hyperlink>
    </w:p>
    <w:p>
      <w:pPr>
        <w:spacing w:before="0" w:after="120"/>
      </w:pPr>
      <w:r>
        <w:rPr>
          <w:b/>
        </w:rPr>
        <w:t xml:space="preserve">Notes: </w:t>
      </w:r>
      <w:r>
        <w:t>abstract_source=crossref</w:t>
      </w:r>
    </w:p>
    <w:p>
      <w:pPr>
        <w:spacing w:before="0" w:after="80" w:lineRule="auto" w:line="276"/>
      </w:pPr>
      <w:r>
        <w:rPr>
          <w:b/>
        </w:rPr>
        <w:t xml:space="preserve">摘要（ZH）: </w:t>
      </w:r>
      <w:r>
        <w:t>唐氏综合症是一种导致智力障碍的遗传疾病，其特征是运动、认知和语言发展的早发延迟。这些神经发育障碍的分子机制仍然知之甚少。我们使用单核多组学测序同时分析唐氏综合症早期出生后发育期间前额叶皮层的基因表达和染色质可及性，这是突触发生、神经成熟和发育性神经免疫相互作用的关键时期。我们的研究结果揭示了染色质可及性和基因表达的广泛失调，缺陷涉及代谢和突触通路、少突胶质细胞谱系进展以及显著的神经炎症特征。我们提出了一种分子</w:t>
      </w:r>
    </w:p>
    <w:p>
      <w:pPr>
        <w:spacing w:before="0" w:after="200" w:lineRule="auto" w:line="276"/>
      </w:pPr>
      <w:r>
        <w:rPr>
          <w:b/>
        </w:rPr>
        <w:t xml:space="preserve">Abstract (EN): </w:t>
      </w:r>
      <w:r>
        <w:t>Down syndrome is a genetic condition that causes intellectual disability and is characterized by early-onset delays in motor, cognitive, and language development. The molecular mechanisms underlying these neurodevelopmental impairments remain poorly understood. We used single-nucleus multiomic sequencing to simultaneously profile gene expression and chromatin accessibility in the Down syndrome prefrontal cortex during early postnatal development, a critical period for synaptogenesis, neural maturation, and developmental neuroimmune interactions. Our findings reveal widespread dysregulation of chromatin accessibility and gene expression, with deficits spanning metabolic and synaptic pathways, oligodendrocyte lineage progression, and a pronounced neuroinflammatory signature. We present a molecular atlas of Down syndrome neuropathology at a critical stage of brain development, highlighting convergent neurodevelopmental and neurodegenerative pathways and informing potential targeted therapies for Down syndrome–associated neuroinflammation.</w:t>
      </w:r>
    </w:p>
    <w:p>
      <w:pPr>
        <w:spacing w:before="120" w:after="120"/>
      </w:pPr>
      <w:r>
        <w:rPr>
          <w:sz w:val="18"/>
        </w:rPr>
        <w:t>——————————————————————————————————————————————————————————————————————</w:t>
      </w:r>
    </w:p>
    <w:p>
      <w:pPr>
        <w:spacing w:before="160" w:after="40" w:line="240" w:lineRule="auto"/>
      </w:pPr>
      <w:r>
        <w:rPr>
          <w:b/>
        </w:rPr>
        <w:t xml:space="preserve">[436] </w:t>
      </w:r>
      <w:hyperlink r:id="rId1047">
        <w:r>
          <w:rPr>
            <w:color w:val="1155CC"/>
            <w:u w:val="single"/>
          </w:rPr>
          <w:t>在低平流层中未被识别的小颗粒模式</w:t>
        </w:r>
      </w:hyperlink>
    </w:p>
    <w:p>
      <w:pPr>
        <w:spacing w:before="0" w:after="80"/>
      </w:pPr>
      <w:r>
        <w:rPr>
          <w:i/>
          <w:sz w:val="20"/>
        </w:rPr>
        <w:t>EN: An unrecognized mode of small particles in the lower stratosphere</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48">
        <w:r>
          <w:rPr>
            <w:color w:val="1155CC"/>
            <w:u w:val="single"/>
          </w:rPr>
          <w:t>10.1126/science.adw8939</w:t>
        </w:r>
      </w:hyperlink>
    </w:p>
    <w:p>
      <w:pPr>
        <w:spacing w:before="0" w:after="120"/>
      </w:pPr>
      <w:r>
        <w:rPr>
          <w:b/>
        </w:rPr>
        <w:t xml:space="preserve">Notes: </w:t>
      </w:r>
      <w:r>
        <w:t>abstract_source=crossref</w:t>
      </w:r>
    </w:p>
    <w:p>
      <w:pPr>
        <w:spacing w:before="0" w:after="80" w:lineRule="auto" w:line="276"/>
      </w:pPr>
      <w:r>
        <w:rPr>
          <w:b/>
        </w:rPr>
        <w:t xml:space="preserve">摘要（ZH）: </w:t>
      </w:r>
      <w:r>
        <w:t>对最近原位数据的分析显示，在一氧化二氮（N</w:t>
      </w:r>
      <w:r>
        <w:rPr>
          <w:vertAlign w:val="subscript"/>
        </w:rPr>
        <w:t>2</w:t>
      </w:r>
      <w:r>
        <w:t>O）&gt; 270 ppbv 的情况下，19公里以下平流层中存在一种持久的富有机气溶胶颗粒模式，其数量几何平均直径约为0.03至0.11 μm（表面为0.08至0.2 μm，体积为0.11至0.3 μm）。这种模式主要由从对流层输送来的富有机颗粒组成，卫星和大多数气球载光学测量设备难以探测到，但在异质反应的表面积和可凝结蒸气的汇中占主导地位。这些小颗粒在与较老的平流层空气混合时会增大并减少浓度。全球化学气候模型未能复制这些颗粒的特征。</w:t>
      </w:r>
    </w:p>
    <w:p>
      <w:pPr>
        <w:spacing w:before="0" w:after="200" w:lineRule="auto" w:line="276"/>
      </w:pPr>
      <w:r>
        <w:rPr>
          <w:b/>
        </w:rPr>
        <w:t xml:space="preserve">Abstract (EN): </w:t>
      </w:r>
      <w:r>
        <w:t>Analysis of recent in situ data reveals a persistent mode of organic-rich aerosol particles in the stratosphere below 19 kilometers at nitrous oxide (N</w:t>
      </w:r>
      <w:r>
        <w:rPr>
          <w:vertAlign w:val="subscript"/>
        </w:rPr>
        <w:t>2</w:t>
      </w:r>
      <w:r>
        <w:t>O) &amp;gt; 270 parts per billion by volume, with a number geometric mean diameter of ~0.03 to 0.11 μm (0.08 to 0.2 μm in surface and 0.11 to 0.3 μm in volume). This mode, composed mostly of organic-rich particles transported from the troposphere, is poorly sensed by satellites and most balloon-borne optical measurements but dominates the surface area for heterogeneous reactions and the sink for condensable vapors. These small particles grow in size and decrease in concentration as they mix with older stratospheric air. A global chemistry-climate model fails to replicate the characteristics of these particles, suggesting that model improvements are necessary for accurate assessment of proposed geoengineering efforts.</w:t>
      </w:r>
    </w:p>
    <w:p>
      <w:pPr>
        <w:spacing w:before="120" w:after="120"/>
      </w:pPr>
      <w:r>
        <w:rPr>
          <w:sz w:val="18"/>
        </w:rPr>
        <w:t>——————————————————————————————————————————————————————————————————————</w:t>
      </w:r>
    </w:p>
    <w:p>
      <w:pPr>
        <w:spacing w:before="160" w:after="40" w:line="240" w:lineRule="auto"/>
      </w:pPr>
      <w:r>
        <w:rPr>
          <w:b/>
        </w:rPr>
        <w:t xml:space="preserve">[437] </w:t>
      </w:r>
      <w:hyperlink r:id="rId1049">
        <w:r>
          <w:rPr>
            <w:color w:val="1155CC"/>
            <w:u w:val="single"/>
          </w:rPr>
          <w:t>单细胞多组学分析识别出在发育中的唐氏综合症新皮层中失调的分子和基因调控机制</w:t>
        </w:r>
      </w:hyperlink>
    </w:p>
    <w:p>
      <w:pPr>
        <w:spacing w:before="0" w:after="80"/>
      </w:pPr>
      <w:r>
        <w:rPr>
          <w:i/>
          <w:sz w:val="20"/>
        </w:rPr>
        <w:t>EN: A single-cell multiomic analysis identifies molecular and gene-regulatory mechanisms dysregulated in developing Down syndrome neocortex</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50">
        <w:r>
          <w:rPr>
            <w:color w:val="1155CC"/>
            <w:u w:val="single"/>
          </w:rPr>
          <w:t>10.1126/science.aea1259</w:t>
        </w:r>
      </w:hyperlink>
    </w:p>
    <w:p>
      <w:pPr>
        <w:spacing w:before="0" w:after="120"/>
      </w:pPr>
      <w:r>
        <w:rPr>
          <w:b/>
        </w:rPr>
        <w:t xml:space="preserve">Notes: </w:t>
      </w:r>
      <w:r>
        <w:t>abstract_source=crossref</w:t>
      </w:r>
    </w:p>
    <w:p>
      <w:pPr>
        <w:spacing w:before="0" w:after="80" w:lineRule="auto" w:line="276"/>
      </w:pPr>
      <w:r>
        <w:rPr>
          <w:b/>
        </w:rPr>
        <w:t xml:space="preserve">摘要（ZH）: </w:t>
      </w:r>
      <w:r>
        <w:t>唐氏综合征（DS）是智力障碍最常见的遗传原因，但驱动这种发育障碍的细胞和分子机制仍不清楚。在这项研究中，我们通过snMultiomics对26位供体的人类中期妊娠新皮质进行了分析。我们观察到神经祖细胞和皮质丘脑神经元的减少以及内侧脑神经元的增加，伴随着加速的神经元特化。我们发现了影响神经发生、特化和成熟的基因表达、染色质可及性和细胞相互作用网络的广泛变化；以及指导这些过程的基因调控网络，包括人类21号染色体（HSA21）编码基因的下游基因。我们识别出与其他神经发育障碍共享的细胞特异性分子通路。</w:t>
      </w:r>
    </w:p>
    <w:p>
      <w:pPr>
        <w:spacing w:before="0" w:after="200" w:lineRule="auto" w:line="276"/>
      </w:pPr>
      <w:r>
        <w:rPr>
          <w:b/>
        </w:rPr>
        <w:t xml:space="preserve">Abstract (EN): </w:t>
      </w:r>
      <w:r>
        <w:t>Down syndrome (DS) is the most common genetic cause of intellectual disability, yet the cellular and molecular mechanisms driving this developmental disorder remain unclear. In this study, we profiled human mid-gestation neocortex with snMultiomics across 26 donors. We observed a reduction in neural progenitors and corticothalamic neurons and an increase of intratelencephalic neurons, accompanied by accelerated neuronal specification. We uncovered widespread changes in gene expression, chromatin accessibility, and cell interaction networks affecting neurogenesis, specification, and maturation; and in gene-regulatory networks directing these processes, including those downstream of human chromosome 21 (HSA21)–encoded genes. We identified cell-specific molecular pathways shared with other neurodevelopmental disorders and enrichment of genome-wide association study signals in DS-altered chromatin. Together, our data revealed a cascade of molecular dysregulation outlining the earliest steps in DS, providing a foundation for future therapeutic targets.</w:t>
      </w:r>
    </w:p>
    <w:p>
      <w:pPr>
        <w:spacing w:before="120" w:after="120"/>
      </w:pPr>
      <w:r>
        <w:rPr>
          <w:sz w:val="18"/>
        </w:rPr>
        <w:t>——————————————————————————————————————————————————————————————————————</w:t>
      </w:r>
    </w:p>
    <w:p>
      <w:pPr>
        <w:spacing w:before="160" w:after="40" w:line="240" w:lineRule="auto"/>
      </w:pPr>
      <w:r>
        <w:rPr>
          <w:b/>
        </w:rPr>
        <w:t xml:space="preserve">[438] </w:t>
      </w:r>
      <w:hyperlink r:id="rId1051">
        <w:r>
          <w:rPr>
            <w:color w:val="1155CC"/>
            <w:u w:val="single"/>
          </w:rPr>
          <w:t>表观遗传学对健康和残疾的影响</w:t>
        </w:r>
      </w:hyperlink>
    </w:p>
    <w:p>
      <w:pPr>
        <w:spacing w:before="0" w:after="80"/>
      </w:pPr>
      <w:r>
        <w:rPr>
          <w:i/>
          <w:sz w:val="20"/>
        </w:rPr>
        <w:t>EN: The impact of epigenetics on health and disability</w:t>
      </w:r>
    </w:p>
    <w:p>
      <w:pPr>
        <w:spacing w:before="0" w:after="120"/>
      </w:pPr>
      <w:r>
        <w:rPr>
          <w:b/>
        </w:rPr>
        <w:t xml:space="preserve">Source: </w:t>
      </w:r>
      <w:r>
        <w:t>AAAS: Science: Table of Contents</w:t>
      </w:r>
      <w:r>
        <w:t xml:space="preserve">    </w:t>
      </w:r>
      <w:r>
        <w:rPr>
          <w:b/>
        </w:rPr>
        <w:t xml:space="preserve">Pub date: </w:t>
      </w:r>
      <w:r>
        <w:t>2026-04-23 07:00:00+00:00</w:t>
      </w:r>
      <w:r>
        <w:t xml:space="preserve">    </w:t>
      </w:r>
      <w:r>
        <w:rPr>
          <w:b/>
        </w:rPr>
        <w:t xml:space="preserve">DOI: </w:t>
      </w:r>
      <w:hyperlink r:id="rId1052">
        <w:r>
          <w:rPr>
            <w:color w:val="1155CC"/>
            <w:u w:val="single"/>
          </w:rPr>
          <w:t>10.1126/science.aeh1105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[439] </w:t>
      </w:r>
      <w:hyperlink r:id="rId1053">
        <w:r>
          <w:rPr>
            <w:color w:val="1155CC"/>
            <w:u w:val="single"/>
          </w:rPr>
          <w:t>电子激发驱动的β‐Ga2O3亚稳态转变和自组织机制：β→κ/γ/δ相（Adv. Mater. 23/2026）</w:t>
        </w:r>
      </w:hyperlink>
    </w:p>
    <w:p>
      <w:pPr>
        <w:spacing w:before="0" w:after="80"/>
      </w:pPr>
      <w:r>
        <w:rPr>
          <w:i/>
          <w:sz w:val="20"/>
        </w:rPr>
        <w:t>EN: Electronic Excitation‐Driven β‐Ga2O3 Metastability Transformation and Self‐Organization Mechanism: β→κ/γ/δ Phases (Adv. Mater. 23/2026)</w:t>
      </w:r>
    </w:p>
    <w:p>
      <w:pPr>
        <w:spacing w:before="0" w:after="120"/>
      </w:pPr>
      <w:r>
        <w:rPr>
          <w:b/>
        </w:rPr>
        <w:t xml:space="preserve">Source: </w:t>
      </w:r>
      <w:r>
        <w:t>Wiley: Advanced Materials: Table of Contents</w:t>
      </w:r>
      <w:r>
        <w:t xml:space="preserve">    </w:t>
      </w:r>
      <w:r>
        <w:rPr>
          <w:b/>
        </w:rPr>
        <w:t xml:space="preserve">Pub date: </w:t>
      </w:r>
      <w:r>
        <w:t>2026-04-23 07:02:28+00:00</w:t>
      </w:r>
      <w:r>
        <w:t xml:space="preserve">    </w:t>
      </w:r>
      <w:r>
        <w:rPr>
          <w:b/>
        </w:rPr>
        <w:t xml:space="preserve">DOI: </w:t>
      </w:r>
      <w:hyperlink r:id="rId1054">
        <w:r>
          <w:rPr>
            <w:color w:val="1155CC"/>
            <w:u w:val="single"/>
          </w:rPr>
          <w:t>10.1002/adma.73053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[440] </w:t>
      </w:r>
      <w:hyperlink r:id="rId1055">
        <w:r>
          <w:rPr>
            <w:color w:val="1155CC"/>
            <w:u w:val="single"/>
          </w:rPr>
          <w:t>分子工程忆阻器用于可重构神经形态功能（Adv. Mater. 23/2026）</w:t>
        </w:r>
      </w:hyperlink>
    </w:p>
    <w:p>
      <w:pPr>
        <w:spacing w:before="0" w:after="80"/>
      </w:pPr>
      <w:r>
        <w:rPr>
          <w:i/>
          <w:sz w:val="20"/>
        </w:rPr>
        <w:t>EN: Molecularly Engineered Memristors for Reconfigurable Neuromorphic Functionalities (Adv. Mater. 23/2026)</w:t>
      </w:r>
    </w:p>
    <w:p>
      <w:pPr>
        <w:spacing w:before="0" w:after="120"/>
      </w:pPr>
      <w:r>
        <w:rPr>
          <w:b/>
        </w:rPr>
        <w:t xml:space="preserve">Source: </w:t>
      </w:r>
      <w:r>
        <w:t>Wiley: Advanced Materials: Table of Contents</w:t>
      </w:r>
      <w:r>
        <w:t xml:space="preserve">    </w:t>
      </w:r>
      <w:r>
        <w:rPr>
          <w:b/>
        </w:rPr>
        <w:t xml:space="preserve">Pub date: </w:t>
      </w:r>
      <w:r>
        <w:t>2026-04-23 07:02:28+00:00</w:t>
      </w:r>
      <w:r>
        <w:t xml:space="preserve">    </w:t>
      </w:r>
      <w:r>
        <w:rPr>
          <w:b/>
        </w:rPr>
        <w:t xml:space="preserve">DOI: </w:t>
      </w:r>
      <w:hyperlink r:id="rId1056">
        <w:r>
          <w:rPr>
            <w:color w:val="1155CC"/>
            <w:u w:val="single"/>
          </w:rPr>
          <w:t>10.1002/adma.73055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[441] </w:t>
      </w:r>
      <w:hyperlink r:id="rId1057">
        <w:r>
          <w:rPr>
            <w:color w:val="1155CC"/>
            <w:u w:val="single"/>
          </w:rPr>
          <w:t>用于机器人体现能量的光化学燃料载体分子（Adv. Mater. 23/2026）</w:t>
        </w:r>
      </w:hyperlink>
    </w:p>
    <w:p>
      <w:pPr>
        <w:spacing w:before="0" w:after="80"/>
      </w:pPr>
      <w:r>
        <w:rPr>
          <w:i/>
          <w:sz w:val="20"/>
        </w:rPr>
        <w:t>EN: Photochemical Fuel Carrier Molecules for Robotic Embodied Energy (Adv. Mater. 23/2026)</w:t>
      </w:r>
    </w:p>
    <w:p>
      <w:pPr>
        <w:spacing w:before="0" w:after="120"/>
      </w:pPr>
      <w:r>
        <w:rPr>
          <w:b/>
        </w:rPr>
        <w:t xml:space="preserve">Source: </w:t>
      </w:r>
      <w:r>
        <w:t>Wiley: Advanced Materials: Table of Contents</w:t>
      </w:r>
      <w:r>
        <w:t xml:space="preserve">    </w:t>
      </w:r>
      <w:r>
        <w:rPr>
          <w:b/>
        </w:rPr>
        <w:t xml:space="preserve">Pub date: </w:t>
      </w:r>
      <w:r>
        <w:t>2026-04-23 07:02:28+00:00</w:t>
      </w:r>
      <w:r>
        <w:t xml:space="preserve">    </w:t>
      </w:r>
      <w:r>
        <w:rPr>
          <w:b/>
        </w:rPr>
        <w:t xml:space="preserve">DOI: </w:t>
      </w:r>
      <w:hyperlink r:id="rId1058">
        <w:r>
          <w:rPr>
            <w:color w:val="1155CC"/>
            <w:u w:val="single"/>
          </w:rPr>
          <w:t>10.1002/adma.73050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1059">
        <w:r>
          <w:rPr>
            <w:color w:val="1155CC"/>
            <w:u w:val="single"/>
          </w:rPr>
          <w:t>仿生TPMS结构基缠结水凝胶用于高效太阳能驱动的大气水收集（Adv. Mater. 23/2026）</w:t>
        </w:r>
      </w:hyperlink>
    </w:p>
    <w:p>
      <w:pPr>
        <w:spacing w:before="0" w:after="80"/>
      </w:pPr>
      <w:r>
        <w:rPr>
          <w:i/>
          <w:sz w:val="20"/>
        </w:rPr>
        <w:t>EN: Biomimetic TPMS Structure‐Based Entangled Hydrogel for Efficient Solar‐Driven Atmospheric Water Harvesting (Adv. Mater. 23/2026)</w:t>
      </w:r>
    </w:p>
    <w:p>
      <w:pPr>
        <w:spacing w:before="0" w:after="120"/>
      </w:pPr>
      <w:r>
        <w:rPr>
          <w:b/>
        </w:rPr>
        <w:t xml:space="preserve">Source: </w:t>
      </w:r>
      <w:r>
        <w:t>Wiley: Advanced Materials: Table of Contents</w:t>
      </w:r>
      <w:r>
        <w:t xml:space="preserve">    </w:t>
      </w:r>
      <w:r>
        <w:rPr>
          <w:b/>
        </w:rPr>
        <w:t xml:space="preserve">Pub date: </w:t>
      </w:r>
      <w:r>
        <w:t>2026-04-23 07:02:28+00:00</w:t>
      </w:r>
      <w:r>
        <w:t xml:space="preserve">    </w:t>
      </w:r>
      <w:r>
        <w:rPr>
          <w:b/>
        </w:rPr>
        <w:t xml:space="preserve">DOI: </w:t>
      </w:r>
      <w:hyperlink r:id="rId1060">
        <w:r>
          <w:rPr>
            <w:color w:val="1155CC"/>
            <w:u w:val="single"/>
          </w:rPr>
          <w:t>10.1002/adma.73051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61">
        <w:r>
          <w:rPr>
            <w:color w:val="1155CC"/>
            <w:u w:val="single"/>
          </w:rPr>
          <w:t>时间依赖性尖峰神经网络：具有光电活性范德华键突触的板级硬件实现（Adv. Mater. 23/2026）</w:t>
        </w:r>
      </w:hyperlink>
    </w:p>
    <w:p>
      <w:pPr>
        <w:spacing w:before="0" w:after="80"/>
      </w:pPr>
      <w:r>
        <w:rPr>
          <w:i/>
          <w:sz w:val="20"/>
        </w:rPr>
        <w:t>EN: Timing‐Dependent Spiking Neural Network: Board‐Level Hardware Implementation with Photoelectroactive Van der Waals Synapses (Adv. Mater. 23/2026)</w:t>
      </w:r>
    </w:p>
    <w:p>
      <w:pPr>
        <w:spacing w:before="0" w:after="120"/>
      </w:pPr>
      <w:r>
        <w:rPr>
          <w:b/>
        </w:rPr>
        <w:t xml:space="preserve">Source: </w:t>
      </w:r>
      <w:r>
        <w:t>Wiley: Advanced Materials: Table of Contents</w:t>
      </w:r>
      <w:r>
        <w:t xml:space="preserve">    </w:t>
      </w:r>
      <w:r>
        <w:rPr>
          <w:b/>
        </w:rPr>
        <w:t xml:space="preserve">Pub date: </w:t>
      </w:r>
      <w:r>
        <w:t>2026-04-23 07:02:28+00:00</w:t>
      </w:r>
      <w:r>
        <w:t xml:space="preserve">    </w:t>
      </w:r>
      <w:r>
        <w:rPr>
          <w:b/>
        </w:rPr>
        <w:t xml:space="preserve">DOI: </w:t>
      </w:r>
      <w:hyperlink r:id="rId1062">
        <w:r>
          <w:rPr>
            <w:color w:val="1155CC"/>
            <w:u w:val="single"/>
          </w:rPr>
          <w:t>10.1002/adma.73052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[444] </w:t>
      </w:r>
      <w:hyperlink r:id="rId1063">
        <w:r>
          <w:rPr>
            <w:color w:val="1155CC"/>
            <w:u w:val="single"/>
          </w:rPr>
          <w:t>[ASAP] 具有二加二电子转换化学的锌-碘电池：重点综述</w:t>
        </w:r>
      </w:hyperlink>
    </w:p>
    <w:p>
      <w:pPr>
        <w:spacing w:before="0" w:after="80"/>
      </w:pPr>
      <w:r>
        <w:rPr>
          <w:i/>
          <w:sz w:val="20"/>
        </w:rPr>
        <w:t>EN: [ASAP] Zinc–Iodine Batteries with Two-Plus-Two Electron Conversion Chemistry: A Focus Review</w:t>
      </w:r>
    </w:p>
    <w:p>
      <w:pPr>
        <w:spacing w:before="0" w:after="120"/>
      </w:pPr>
      <w:r>
        <w:rPr>
          <w:b/>
        </w:rPr>
        <w:t xml:space="preserve">Source: </w:t>
      </w:r>
      <w:r>
        <w:t>ACS Energy Letters: Latest Articles (ACS Publications)</w:t>
      </w:r>
      <w:r>
        <w:t xml:space="preserve">    </w:t>
      </w:r>
      <w:r>
        <w:rPr>
          <w:b/>
        </w:rPr>
        <w:t xml:space="preserve">Pub date: </w:t>
      </w:r>
      <w:r>
        <w:t>2026-04-23 09:32:57+00:00</w:t>
      </w:r>
      <w:r>
        <w:t xml:space="preserve">    </w:t>
      </w:r>
      <w:r>
        <w:rPr>
          <w:b/>
        </w:rPr>
        <w:t xml:space="preserve">DOI: </w:t>
      </w:r>
      <w:hyperlink r:id="rId1064">
        <w:r>
          <w:rPr>
            <w:color w:val="1155CC"/>
            <w:u w:val="single"/>
          </w:rPr>
          <w:t>10.1021/acsenergylett.6c00528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5507?dgcid=rss_sd_all" TargetMode="External"/><Relationship Id="rId10" Type="http://schemas.openxmlformats.org/officeDocument/2006/relationships/hyperlink" Target="https://www.sciencedirect.com/science/article/pii/S0306261926004964?dgcid=rss_sd_all" TargetMode="External"/><Relationship Id="rId11" Type="http://schemas.openxmlformats.org/officeDocument/2006/relationships/hyperlink" Target="https://www.sciencedirect.com/science/article/pii/S0306261926005039?dgcid=rss_sd_all" TargetMode="External"/><Relationship Id="rId12" Type="http://schemas.openxmlformats.org/officeDocument/2006/relationships/hyperlink" Target="https://onlinelibrary.wiley.com/doi/10.1002/anie.3596437?af=R" TargetMode="External"/><Relationship Id="rId13" Type="http://schemas.openxmlformats.org/officeDocument/2006/relationships/hyperlink" Target="https://doi.org/10.1002/anie.3596437" TargetMode="External"/><Relationship Id="rId14" Type="http://schemas.openxmlformats.org/officeDocument/2006/relationships/hyperlink" Target="https://www.sciencedirect.com/science/article/pii/S030626192600526X?dgcid=rss_sd_all" TargetMode="External"/><Relationship Id="rId15" Type="http://schemas.openxmlformats.org/officeDocument/2006/relationships/hyperlink" Target="https://www.sciencedirect.com/science/article/pii/S0306261926005374?dgcid=rss_sd_all" TargetMode="External"/><Relationship Id="rId16" Type="http://schemas.openxmlformats.org/officeDocument/2006/relationships/hyperlink" Target="https://www.sciencedirect.com/science/article/pii/S0306261926005404?dgcid=rss_sd_all" TargetMode="External"/><Relationship Id="rId17" Type="http://schemas.openxmlformats.org/officeDocument/2006/relationships/hyperlink" Target="https://onlinelibrary.wiley.com/doi/10.1002/adma.73161?af=R" TargetMode="External"/><Relationship Id="rId18" Type="http://schemas.openxmlformats.org/officeDocument/2006/relationships/hyperlink" Target="https://doi.org/10.1002/adma.73161" TargetMode="External"/><Relationship Id="rId19" Type="http://schemas.openxmlformats.org/officeDocument/2006/relationships/hyperlink" Target="https://onlinelibrary.wiley.com/doi/10.1002/adma.73056?af=R" TargetMode="External"/><Relationship Id="rId20" Type="http://schemas.openxmlformats.org/officeDocument/2006/relationships/hyperlink" Target="https://doi.org/10.1002/adma.73056" TargetMode="External"/><Relationship Id="rId21" Type="http://schemas.openxmlformats.org/officeDocument/2006/relationships/hyperlink" Target="https://pericles.pericles-prod.literatumonline.com/doi/10.1002/aenm.70972?af=R" TargetMode="External"/><Relationship Id="rId22" Type="http://schemas.openxmlformats.org/officeDocument/2006/relationships/hyperlink" Target="https://doi.org/10.1002/aenm.70972" TargetMode="External"/><Relationship Id="rId23" Type="http://schemas.openxmlformats.org/officeDocument/2006/relationships/hyperlink" Target="http://pubs.rsc.org/en/Content/ArticleLanding/2026/CS/D5CS00964B" TargetMode="External"/><Relationship Id="rId24" Type="http://schemas.openxmlformats.org/officeDocument/2006/relationships/hyperlink" Target="https://www.nature.com/articles/d41586-026-01149-9" TargetMode="External"/><Relationship Id="rId25" Type="http://schemas.openxmlformats.org/officeDocument/2006/relationships/hyperlink" Target="https://doi.org/10.1038/d41586-026-01149-9" TargetMode="External"/><Relationship Id="rId26" Type="http://schemas.openxmlformats.org/officeDocument/2006/relationships/hyperlink" Target="https://www.sciencedirect.com/science/article/pii/S0306261926003958?dgcid=rss_sd_all" TargetMode="External"/><Relationship Id="rId27" Type="http://schemas.openxmlformats.org/officeDocument/2006/relationships/hyperlink" Target="https://onlinelibrary.wiley.com/doi/10.1002/adma.72995?af=R" TargetMode="External"/><Relationship Id="rId28" Type="http://schemas.openxmlformats.org/officeDocument/2006/relationships/hyperlink" Target="https://doi.org/10.1002/adma.72995" TargetMode="External"/><Relationship Id="rId29" Type="http://schemas.openxmlformats.org/officeDocument/2006/relationships/hyperlink" Target="http://dx.doi.org/10.1021/acsenergylett.6c00432" TargetMode="External"/><Relationship Id="rId30" Type="http://schemas.openxmlformats.org/officeDocument/2006/relationships/hyperlink" Target="https://doi.org/10.1021/acsenergylett.6c00432" TargetMode="External"/><Relationship Id="rId31" Type="http://schemas.openxmlformats.org/officeDocument/2006/relationships/hyperlink" Target="http://pubs.rsc.org/en/Content/ArticleLanding/2026/EE/D6EE00103C" TargetMode="External"/><Relationship Id="rId32" Type="http://schemas.openxmlformats.org/officeDocument/2006/relationships/hyperlink" Target="https://www.sciencedirect.com/science/article/pii/S0306261926005532?dgcid=rss_sd_all" TargetMode="External"/><Relationship Id="rId33" Type="http://schemas.openxmlformats.org/officeDocument/2006/relationships/hyperlink" Target="https://www.cell.com/joule/fulltext/S2542-4351(26)00117-0?rss=yes" TargetMode="External"/><Relationship Id="rId34" Type="http://schemas.openxmlformats.org/officeDocument/2006/relationships/hyperlink" Target="https://doi.org/10.1016/j.joule.2026.102433" TargetMode="External"/><Relationship Id="rId35" Type="http://schemas.openxmlformats.org/officeDocument/2006/relationships/hyperlink" Target="https://www.sciencedirect.com/science/article/pii/S0306261926005957?dgcid=rss_sd_all" TargetMode="External"/><Relationship Id="rId36" Type="http://schemas.openxmlformats.org/officeDocument/2006/relationships/hyperlink" Target="https://www.science.org/doi/abs/10.1126/sciadv.aed7732?af=R" TargetMode="External"/><Relationship Id="rId37" Type="http://schemas.openxmlformats.org/officeDocument/2006/relationships/hyperlink" Target="https://doi.org/10.1126/sciadv.aed7732" TargetMode="External"/><Relationship Id="rId38" Type="http://schemas.openxmlformats.org/officeDocument/2006/relationships/hyperlink" Target="https://advanced.onlinelibrary.wiley.com/doi/10.1002/aenm.70986?af=R" TargetMode="External"/><Relationship Id="rId39" Type="http://schemas.openxmlformats.org/officeDocument/2006/relationships/hyperlink" Target="https://doi.org/10.1002/aenm.70986" TargetMode="External"/><Relationship Id="rId40" Type="http://schemas.openxmlformats.org/officeDocument/2006/relationships/hyperlink" Target="https://www.cell.com/joule/fulltext/S2542-4351(26)00115-7?rss=yes" TargetMode="External"/><Relationship Id="rId41" Type="http://schemas.openxmlformats.org/officeDocument/2006/relationships/hyperlink" Target="https://doi.org/10.1016/j.joule.2026.102431" TargetMode="External"/><Relationship Id="rId42" Type="http://schemas.openxmlformats.org/officeDocument/2006/relationships/hyperlink" Target="https://www.sciencedirect.com/science/article/pii/S0306261926005738?dgcid=rss_sd_all" TargetMode="External"/><Relationship Id="rId43" Type="http://schemas.openxmlformats.org/officeDocument/2006/relationships/hyperlink" Target="https://advanced.onlinelibrary.wiley.com/doi/10.1002/adma.202520696?af=R" TargetMode="External"/><Relationship Id="rId44" Type="http://schemas.openxmlformats.org/officeDocument/2006/relationships/hyperlink" Target="https://doi.org/10.1002/adma.202520696" TargetMode="External"/><Relationship Id="rId45" Type="http://schemas.openxmlformats.org/officeDocument/2006/relationships/hyperlink" Target="https://onlinelibrary.wiley.com/doi/10.1002/anie.9794577?af=R" TargetMode="External"/><Relationship Id="rId46" Type="http://schemas.openxmlformats.org/officeDocument/2006/relationships/hyperlink" Target="https://doi.org/10.1002/anie.9794577" TargetMode="External"/><Relationship Id="rId47" Type="http://schemas.openxmlformats.org/officeDocument/2006/relationships/hyperlink" Target="https://onlinelibrary.wiley.com/doi/10.1002/anie.1423966?af=R" TargetMode="External"/><Relationship Id="rId48" Type="http://schemas.openxmlformats.org/officeDocument/2006/relationships/hyperlink" Target="https://doi.org/10.1002/anie.1423966" TargetMode="External"/><Relationship Id="rId49" Type="http://schemas.openxmlformats.org/officeDocument/2006/relationships/hyperlink" Target="https://advanced.onlinelibrary.wiley.com/doi/10.1002/adma.73107?af=R" TargetMode="External"/><Relationship Id="rId50" Type="http://schemas.openxmlformats.org/officeDocument/2006/relationships/hyperlink" Target="https://doi.org/10.1002/adma.73107" TargetMode="External"/><Relationship Id="rId51" Type="http://schemas.openxmlformats.org/officeDocument/2006/relationships/hyperlink" Target="https://onlinelibrary.wiley.com/doi/10.1002/adma.73081?af=R" TargetMode="External"/><Relationship Id="rId52" Type="http://schemas.openxmlformats.org/officeDocument/2006/relationships/hyperlink" Target="https://doi.org/10.1002/adma.73081" TargetMode="External"/><Relationship Id="rId53" Type="http://schemas.openxmlformats.org/officeDocument/2006/relationships/hyperlink" Target="https://onlinelibrary.wiley.com/doi/10.1002/anie.6009112?af=R" TargetMode="External"/><Relationship Id="rId54" Type="http://schemas.openxmlformats.org/officeDocument/2006/relationships/hyperlink" Target="https://doi.org/10.1002/anie.6009112" TargetMode="External"/><Relationship Id="rId55" Type="http://schemas.openxmlformats.org/officeDocument/2006/relationships/hyperlink" Target="http://dx.doi.org/10.1021/acsenergylett.6c00551" TargetMode="External"/><Relationship Id="rId56" Type="http://schemas.openxmlformats.org/officeDocument/2006/relationships/hyperlink" Target="https://doi.org/10.1021/acsenergylett.6c00551" TargetMode="External"/><Relationship Id="rId57" Type="http://schemas.openxmlformats.org/officeDocument/2006/relationships/hyperlink" Target="https://advanced.onlinelibrary.wiley.com/doi/10.1002/adma.73149?af=R" TargetMode="External"/><Relationship Id="rId58" Type="http://schemas.openxmlformats.org/officeDocument/2006/relationships/hyperlink" Target="https://doi.org/10.1002/adma.73149" TargetMode="External"/><Relationship Id="rId59" Type="http://schemas.openxmlformats.org/officeDocument/2006/relationships/hyperlink" Target="https://advanced.onlinelibrary.wiley.com/doi/10.1002/aenm.70965?af=R" TargetMode="External"/><Relationship Id="rId60" Type="http://schemas.openxmlformats.org/officeDocument/2006/relationships/hyperlink" Target="https://doi.org/10.1002/aenm.70965" TargetMode="External"/><Relationship Id="rId61" Type="http://schemas.openxmlformats.org/officeDocument/2006/relationships/hyperlink" Target="https://advanced.onlinelibrary.wiley.com/doi/10.1002/aenm.70976?af=R" TargetMode="External"/><Relationship Id="rId62" Type="http://schemas.openxmlformats.org/officeDocument/2006/relationships/hyperlink" Target="https://doi.org/10.1002/aenm.70976" TargetMode="External"/><Relationship Id="rId63" Type="http://schemas.openxmlformats.org/officeDocument/2006/relationships/hyperlink" Target="https://www.nature.com/articles/s41565-026-02152-x" TargetMode="External"/><Relationship Id="rId64" Type="http://schemas.openxmlformats.org/officeDocument/2006/relationships/hyperlink" Target="https://doi.org/10.1038/s41565-026-02152-x" TargetMode="External"/><Relationship Id="rId65" Type="http://schemas.openxmlformats.org/officeDocument/2006/relationships/hyperlink" Target="https://onlinelibrary.wiley.com/doi/10.1002/anie.202525050?af=R" TargetMode="External"/><Relationship Id="rId66" Type="http://schemas.openxmlformats.org/officeDocument/2006/relationships/hyperlink" Target="https://doi.org/10.1002/anie.202525050" TargetMode="External"/><Relationship Id="rId67" Type="http://schemas.openxmlformats.org/officeDocument/2006/relationships/hyperlink" Target="https://pericles.pericles-prod.literatumonline.com/doi/10.1002/aenm.70969?af=R" TargetMode="External"/><Relationship Id="rId68" Type="http://schemas.openxmlformats.org/officeDocument/2006/relationships/hyperlink" Target="https://doi.org/10.1002/aenm.70969" TargetMode="External"/><Relationship Id="rId69" Type="http://schemas.openxmlformats.org/officeDocument/2006/relationships/hyperlink" Target="https://pericles.pericles-prod.literatumonline.com/doi/10.1002/aenm.70971?af=R" TargetMode="External"/><Relationship Id="rId70" Type="http://schemas.openxmlformats.org/officeDocument/2006/relationships/hyperlink" Target="https://doi.org/10.1002/aenm.70971" TargetMode="External"/><Relationship Id="rId71" Type="http://schemas.openxmlformats.org/officeDocument/2006/relationships/hyperlink" Target="https://onlinelibrary.wiley.com/doi/10.1002/anie.7744713?af=R" TargetMode="External"/><Relationship Id="rId72" Type="http://schemas.openxmlformats.org/officeDocument/2006/relationships/hyperlink" Target="https://doi.org/10.1002/anie.7744713" TargetMode="External"/><Relationship Id="rId73" Type="http://schemas.openxmlformats.org/officeDocument/2006/relationships/hyperlink" Target="https://pericles.pericles-prod.literatumonline.com/doi/10.1002/aenm.70973?af=R" TargetMode="External"/><Relationship Id="rId74" Type="http://schemas.openxmlformats.org/officeDocument/2006/relationships/hyperlink" Target="https://doi.org/10.1002/aenm.70973" TargetMode="External"/><Relationship Id="rId75" Type="http://schemas.openxmlformats.org/officeDocument/2006/relationships/hyperlink" Target="http://pubs.rsc.org/en/Content/ArticleLanding/2026/EE/D6EE00708B" TargetMode="External"/><Relationship Id="rId76" Type="http://schemas.openxmlformats.org/officeDocument/2006/relationships/hyperlink" Target="https://onlinelibrary.wiley.com/doi/10.1002/anie.6003046?af=R" TargetMode="External"/><Relationship Id="rId77" Type="http://schemas.openxmlformats.org/officeDocument/2006/relationships/hyperlink" Target="https://doi.org/10.1002/anie.6003046" TargetMode="External"/><Relationship Id="rId78" Type="http://schemas.openxmlformats.org/officeDocument/2006/relationships/hyperlink" Target="https://onlinelibrary.wiley.com/doi/10.1002/anie.5283649?af=R" TargetMode="External"/><Relationship Id="rId79" Type="http://schemas.openxmlformats.org/officeDocument/2006/relationships/hyperlink" Target="https://doi.org/10.1002/anie.5283649" TargetMode="External"/><Relationship Id="rId80" Type="http://schemas.openxmlformats.org/officeDocument/2006/relationships/hyperlink" Target="https://advanced.onlinelibrary.wiley.com/doi/10.1002/aenm.70981?af=R" TargetMode="External"/><Relationship Id="rId81" Type="http://schemas.openxmlformats.org/officeDocument/2006/relationships/hyperlink" Target="https://doi.org/10.1002/aenm.70981" TargetMode="External"/><Relationship Id="rId82" Type="http://schemas.openxmlformats.org/officeDocument/2006/relationships/hyperlink" Target="http://dx.doi.org/10.1021/acsenergylett.6c00752" TargetMode="External"/><Relationship Id="rId83" Type="http://schemas.openxmlformats.org/officeDocument/2006/relationships/hyperlink" Target="https://doi.org/10.1021/acsenergylett.6c00752" TargetMode="External"/><Relationship Id="rId84" Type="http://schemas.openxmlformats.org/officeDocument/2006/relationships/hyperlink" Target="https://onlinelibrary.wiley.com/doi/10.1002/anie.202524846?af=R" TargetMode="External"/><Relationship Id="rId85" Type="http://schemas.openxmlformats.org/officeDocument/2006/relationships/hyperlink" Target="https://doi.org/10.1002/anie.202524846" TargetMode="External"/><Relationship Id="rId86" Type="http://schemas.openxmlformats.org/officeDocument/2006/relationships/hyperlink" Target="https://onlinelibrary.wiley.com/doi/10.1002/anie.4883105?af=R" TargetMode="External"/><Relationship Id="rId87" Type="http://schemas.openxmlformats.org/officeDocument/2006/relationships/hyperlink" Target="https://doi.org/10.1002/anie.4883105" TargetMode="External"/><Relationship Id="rId88" Type="http://schemas.openxmlformats.org/officeDocument/2006/relationships/hyperlink" Target="http://dx.doi.org/10.1021/acsenergylett.6c00120" TargetMode="External"/><Relationship Id="rId89" Type="http://schemas.openxmlformats.org/officeDocument/2006/relationships/hyperlink" Target="https://doi.org/10.1021/acsenergylett.6c00120" TargetMode="External"/><Relationship Id="rId90" Type="http://schemas.openxmlformats.org/officeDocument/2006/relationships/hyperlink" Target="https://pericles.pericles-prod.literatumonline.com/doi/10.1002/aenm.70963?af=R" TargetMode="External"/><Relationship Id="rId91" Type="http://schemas.openxmlformats.org/officeDocument/2006/relationships/hyperlink" Target="https://doi.org/10.1002/aenm.70963" TargetMode="External"/><Relationship Id="rId92" Type="http://schemas.openxmlformats.org/officeDocument/2006/relationships/hyperlink" Target="https://pericles.pericles-prod.literatumonline.com/doi/10.1002/aenm.70974?af=R" TargetMode="External"/><Relationship Id="rId93" Type="http://schemas.openxmlformats.org/officeDocument/2006/relationships/hyperlink" Target="https://doi.org/10.1002/aenm.70974" TargetMode="External"/><Relationship Id="rId94" Type="http://schemas.openxmlformats.org/officeDocument/2006/relationships/hyperlink" Target="https://pericles.pericles-prod.literatumonline.com/doi/10.1002/aenm.70970?af=R" TargetMode="External"/><Relationship Id="rId95" Type="http://schemas.openxmlformats.org/officeDocument/2006/relationships/hyperlink" Target="https://doi.org/10.1002/aenm.70970" TargetMode="External"/><Relationship Id="rId96" Type="http://schemas.openxmlformats.org/officeDocument/2006/relationships/hyperlink" Target="https://onlinelibrary.wiley.com/doi/10.1002/anie.3996345?af=R" TargetMode="External"/><Relationship Id="rId97" Type="http://schemas.openxmlformats.org/officeDocument/2006/relationships/hyperlink" Target="https://doi.org/10.1002/anie.3996345" TargetMode="External"/><Relationship Id="rId98" Type="http://schemas.openxmlformats.org/officeDocument/2006/relationships/hyperlink" Target="http://dx.doi.org/10.1021/jacs.6c03577" TargetMode="External"/><Relationship Id="rId99" Type="http://schemas.openxmlformats.org/officeDocument/2006/relationships/hyperlink" Target="https://doi.org/10.1021/jacs.6c03577" TargetMode="External"/><Relationship Id="rId100" Type="http://schemas.openxmlformats.org/officeDocument/2006/relationships/hyperlink" Target="https://pericles.pericles-prod.literatumonline.com/doi/10.1002/aenm.202504652?af=R" TargetMode="External"/><Relationship Id="rId101" Type="http://schemas.openxmlformats.org/officeDocument/2006/relationships/hyperlink" Target="https://doi.org/10.1002/aenm.202504652" TargetMode="External"/><Relationship Id="rId102" Type="http://schemas.openxmlformats.org/officeDocument/2006/relationships/hyperlink" Target="https://onlinelibrary.wiley.com/doi/10.1002/adma.73110?af=R" TargetMode="External"/><Relationship Id="rId103" Type="http://schemas.openxmlformats.org/officeDocument/2006/relationships/hyperlink" Target="https://doi.org/10.1002/adma.73110" TargetMode="External"/><Relationship Id="rId104" Type="http://schemas.openxmlformats.org/officeDocument/2006/relationships/hyperlink" Target="http://pubs.rsc.org/en/Content/ArticleLanding/2026/EE/D5EE07336G" TargetMode="External"/><Relationship Id="rId105" Type="http://schemas.openxmlformats.org/officeDocument/2006/relationships/hyperlink" Target="https://www.nature.com/articles/s41586-026-10415-9" TargetMode="External"/><Relationship Id="rId106" Type="http://schemas.openxmlformats.org/officeDocument/2006/relationships/hyperlink" Target="https://doi.org/10.1038/s41586-026-10415-9" TargetMode="External"/><Relationship Id="rId107" Type="http://schemas.openxmlformats.org/officeDocument/2006/relationships/hyperlink" Target="https://academic.oup.com/nsr/advance-article/doi/10.1093/nsr/nwag239/8660960?rss=1" TargetMode="External"/><Relationship Id="rId108" Type="http://schemas.openxmlformats.org/officeDocument/2006/relationships/hyperlink" Target="https://doi.org/10.1093/nsr/nwag239" TargetMode="External"/><Relationship Id="rId109" Type="http://schemas.openxmlformats.org/officeDocument/2006/relationships/hyperlink" Target="https://academic.oup.com/nsr/advance-article/doi/10.1093/nsr/nwag209/8660961?rss=1" TargetMode="External"/><Relationship Id="rId110" Type="http://schemas.openxmlformats.org/officeDocument/2006/relationships/hyperlink" Target="https://doi.org/10.1093/nsr/nwag209" TargetMode="External"/><Relationship Id="rId111" Type="http://schemas.openxmlformats.org/officeDocument/2006/relationships/hyperlink" Target="https://www.nature.com/articles/s41560-026-02038-1" TargetMode="External"/><Relationship Id="rId112" Type="http://schemas.openxmlformats.org/officeDocument/2006/relationships/hyperlink" Target="https://doi.org/10.1038/s41560-026-02038-1" TargetMode="External"/><Relationship Id="rId113" Type="http://schemas.openxmlformats.org/officeDocument/2006/relationships/hyperlink" Target="https://advanced.onlinelibrary.wiley.com/doi/10.1002/aenm.70984?af=R" TargetMode="External"/><Relationship Id="rId114" Type="http://schemas.openxmlformats.org/officeDocument/2006/relationships/hyperlink" Target="https://doi.org/10.1002/aenm.70984" TargetMode="External"/><Relationship Id="rId115" Type="http://schemas.openxmlformats.org/officeDocument/2006/relationships/hyperlink" Target="http://pubs.rsc.org/en/Content/ArticleLanding/2026/EE/D6EE00376A" TargetMode="External"/><Relationship Id="rId116" Type="http://schemas.openxmlformats.org/officeDocument/2006/relationships/hyperlink" Target="https://www.sciencedirect.com/science/article/pii/S0306261926005805?dgcid=rss_sd_all" TargetMode="External"/><Relationship Id="rId117" Type="http://schemas.openxmlformats.org/officeDocument/2006/relationships/hyperlink" Target="http://dx.doi.org/10.1021/jacs.5c18889" TargetMode="External"/><Relationship Id="rId118" Type="http://schemas.openxmlformats.org/officeDocument/2006/relationships/hyperlink" Target="https://doi.org/10.1021/jacs.5c18889" TargetMode="External"/><Relationship Id="rId119" Type="http://schemas.openxmlformats.org/officeDocument/2006/relationships/hyperlink" Target="https://advanced.onlinelibrary.wiley.com/doi/10.1002/adma.73124?af=R" TargetMode="External"/><Relationship Id="rId120" Type="http://schemas.openxmlformats.org/officeDocument/2006/relationships/hyperlink" Target="https://doi.org/10.1002/adma.73124" TargetMode="External"/><Relationship Id="rId121" Type="http://schemas.openxmlformats.org/officeDocument/2006/relationships/hyperlink" Target="https://www.sciencedirect.com/science/article/pii/S030626192600512X?dgcid=rss_sd_all" TargetMode="External"/><Relationship Id="rId122" Type="http://schemas.openxmlformats.org/officeDocument/2006/relationships/hyperlink" Target="https://advanced.onlinelibrary.wiley.com/doi/10.1002/adma.73097?af=R" TargetMode="External"/><Relationship Id="rId123" Type="http://schemas.openxmlformats.org/officeDocument/2006/relationships/hyperlink" Target="https://doi.org/10.1002/adma.73097" TargetMode="External"/><Relationship Id="rId124" Type="http://schemas.openxmlformats.org/officeDocument/2006/relationships/hyperlink" Target="https://onlinelibrary.wiley.com/doi/10.1002/anie.3832443?af=R" TargetMode="External"/><Relationship Id="rId125" Type="http://schemas.openxmlformats.org/officeDocument/2006/relationships/hyperlink" Target="https://doi.org/10.1002/anie.3832443" TargetMode="External"/><Relationship Id="rId126" Type="http://schemas.openxmlformats.org/officeDocument/2006/relationships/hyperlink" Target="http://pubs.rsc.org/en/Content/ArticleLanding/2026/EE/D6EE00030D" TargetMode="External"/><Relationship Id="rId127" Type="http://schemas.openxmlformats.org/officeDocument/2006/relationships/hyperlink" Target="https://onlinelibrary.wiley.com/doi/10.1002/anie.2048229?af=R" TargetMode="External"/><Relationship Id="rId128" Type="http://schemas.openxmlformats.org/officeDocument/2006/relationships/hyperlink" Target="https://doi.org/10.1002/anie.2048229" TargetMode="External"/><Relationship Id="rId129" Type="http://schemas.openxmlformats.org/officeDocument/2006/relationships/hyperlink" Target="https://academic.oup.com/nsr/advance-article/doi/10.1093/nsr/nwag236/8660962?rss=1" TargetMode="External"/><Relationship Id="rId130" Type="http://schemas.openxmlformats.org/officeDocument/2006/relationships/hyperlink" Target="https://doi.org/10.1093/nsr/nwag236" TargetMode="External"/><Relationship Id="rId131" Type="http://schemas.openxmlformats.org/officeDocument/2006/relationships/hyperlink" Target="https://advanced.onlinelibrary.wiley.com/doi/10.1002/adma.202515392?af=R" TargetMode="External"/><Relationship Id="rId132" Type="http://schemas.openxmlformats.org/officeDocument/2006/relationships/hyperlink" Target="https://doi.org/10.1002/adma.202515392" TargetMode="External"/><Relationship Id="rId133" Type="http://schemas.openxmlformats.org/officeDocument/2006/relationships/hyperlink" Target="https://advanced.onlinelibrary.wiley.com/doi/10.1002/adma.73130?af=R" TargetMode="External"/><Relationship Id="rId134" Type="http://schemas.openxmlformats.org/officeDocument/2006/relationships/hyperlink" Target="https://doi.org/10.1002/adma.73130" TargetMode="External"/><Relationship Id="rId135" Type="http://schemas.openxmlformats.org/officeDocument/2006/relationships/hyperlink" Target="http://pubs.rsc.org/en/Content/ArticleLanding/2026/EE/D6EE00836D" TargetMode="External"/><Relationship Id="rId136" Type="http://schemas.openxmlformats.org/officeDocument/2006/relationships/hyperlink" Target="http://pubs.rsc.org/en/Content/ArticleLanding/2026/EE/D6EE00769D" TargetMode="External"/><Relationship Id="rId137" Type="http://schemas.openxmlformats.org/officeDocument/2006/relationships/hyperlink" Target="https://advanced.onlinelibrary.wiley.com/doi/10.1002/aenm.70860?af=R" TargetMode="External"/><Relationship Id="rId138" Type="http://schemas.openxmlformats.org/officeDocument/2006/relationships/hyperlink" Target="https://doi.org/10.1002/aenm.70860" TargetMode="External"/><Relationship Id="rId139" Type="http://schemas.openxmlformats.org/officeDocument/2006/relationships/hyperlink" Target="https://www.sciencedirect.com/science/article/pii/S0306261926005192?dgcid=rss_sd_all" TargetMode="External"/><Relationship Id="rId140" Type="http://schemas.openxmlformats.org/officeDocument/2006/relationships/hyperlink" Target="https://www.sciencedirect.com/science/article/pii/S0306261926005301?dgcid=rss_sd_all" TargetMode="External"/><Relationship Id="rId141" Type="http://schemas.openxmlformats.org/officeDocument/2006/relationships/hyperlink" Target="https://advanced.onlinelibrary.wiley.com/doi/10.1002/adma.73115?af=R" TargetMode="External"/><Relationship Id="rId142" Type="http://schemas.openxmlformats.org/officeDocument/2006/relationships/hyperlink" Target="https://doi.org/10.1002/adma.73115" TargetMode="External"/><Relationship Id="rId143" Type="http://schemas.openxmlformats.org/officeDocument/2006/relationships/hyperlink" Target="https://www.sciencedirect.com/science/article/pii/S0306261926004137?dgcid=rss_sd_all" TargetMode="External"/><Relationship Id="rId144" Type="http://schemas.openxmlformats.org/officeDocument/2006/relationships/hyperlink" Target="https://www.pnas.org/doi/abs/10.1073/pnas.2534684123?mi=eymic2&amp;af=R&amp;access=on&amp;content=articlesChapters&amp;publication=pnas&amp;sortBy=Earliest&amp;target=default" TargetMode="External"/><Relationship Id="rId145" Type="http://schemas.openxmlformats.org/officeDocument/2006/relationships/hyperlink" Target="https://doi.org/10.1073/pnas.2534684123" TargetMode="External"/><Relationship Id="rId146" Type="http://schemas.openxmlformats.org/officeDocument/2006/relationships/hyperlink" Target="https://onlinelibrary.wiley.com/doi/10.1002/adma.73098?af=R" TargetMode="External"/><Relationship Id="rId147" Type="http://schemas.openxmlformats.org/officeDocument/2006/relationships/hyperlink" Target="https://doi.org/10.1002/adma.73098" TargetMode="External"/><Relationship Id="rId148" Type="http://schemas.openxmlformats.org/officeDocument/2006/relationships/hyperlink" Target="https://pericles.pericles-prod.literatumonline.com/doi/10.1002/aenm.202505258?af=R" TargetMode="External"/><Relationship Id="rId149" Type="http://schemas.openxmlformats.org/officeDocument/2006/relationships/hyperlink" Target="https://doi.org/10.1002/aenm.202505258" TargetMode="External"/><Relationship Id="rId150" Type="http://schemas.openxmlformats.org/officeDocument/2006/relationships/hyperlink" Target="http://pubs.rsc.org/en/Content/ArticleLanding/2026/EE/D6EE01371F" TargetMode="External"/><Relationship Id="rId151" Type="http://schemas.openxmlformats.org/officeDocument/2006/relationships/hyperlink" Target="https://www.nature.com/articles/s41928-026-01628-x" TargetMode="External"/><Relationship Id="rId152" Type="http://schemas.openxmlformats.org/officeDocument/2006/relationships/hyperlink" Target="https://doi.org/10.1038/s41928-026-01628-x" TargetMode="External"/><Relationship Id="rId153" Type="http://schemas.openxmlformats.org/officeDocument/2006/relationships/hyperlink" Target="https://onlinelibrary.wiley.com/doi/10.1002/anie.1702104?af=R" TargetMode="External"/><Relationship Id="rId154" Type="http://schemas.openxmlformats.org/officeDocument/2006/relationships/hyperlink" Target="https://doi.org/10.1002/anie.1702104" TargetMode="External"/><Relationship Id="rId155" Type="http://schemas.openxmlformats.org/officeDocument/2006/relationships/hyperlink" Target="https://www.science.org/doi/abs/10.1126/science.aec6413?af=R" TargetMode="External"/><Relationship Id="rId156" Type="http://schemas.openxmlformats.org/officeDocument/2006/relationships/hyperlink" Target="https://doi.org/10.1126/science.aec6413" TargetMode="External"/><Relationship Id="rId157" Type="http://schemas.openxmlformats.org/officeDocument/2006/relationships/hyperlink" Target="https://www.nature.com/articles/d41586-026-01255-8" TargetMode="External"/><Relationship Id="rId158" Type="http://schemas.openxmlformats.org/officeDocument/2006/relationships/hyperlink" Target="https://doi.org/10.1038/d41586-026-01255-8" TargetMode="External"/><Relationship Id="rId159" Type="http://schemas.openxmlformats.org/officeDocument/2006/relationships/hyperlink" Target="https://www.science.org/doi/abs/10.1126/science.aei2477?af=R" TargetMode="External"/><Relationship Id="rId160" Type="http://schemas.openxmlformats.org/officeDocument/2006/relationships/hyperlink" Target="https://doi.org/10.1126/science.aei2477" TargetMode="External"/><Relationship Id="rId161" Type="http://schemas.openxmlformats.org/officeDocument/2006/relationships/hyperlink" Target="https://www.science.org/doi/abs/10.1126/science.aei0907?af=R" TargetMode="External"/><Relationship Id="rId162" Type="http://schemas.openxmlformats.org/officeDocument/2006/relationships/hyperlink" Target="https://doi.org/10.1126/science.aei0907" TargetMode="External"/><Relationship Id="rId163" Type="http://schemas.openxmlformats.org/officeDocument/2006/relationships/hyperlink" Target="https://www.sciencedirect.com/science/article/pii/S0306261926005155?dgcid=rss_sd_all" TargetMode="External"/><Relationship Id="rId164" Type="http://schemas.openxmlformats.org/officeDocument/2006/relationships/hyperlink" Target="https://www.sciencedirect.com/science/article/pii/S0301421526002302?dgcid=rss_sd_all" TargetMode="External"/><Relationship Id="rId165" Type="http://schemas.openxmlformats.org/officeDocument/2006/relationships/hyperlink" Target="https://www.sciencedirect.com/science/article/pii/S0306261926004435?dgcid=rss_sd_all" TargetMode="External"/><Relationship Id="rId166" Type="http://schemas.openxmlformats.org/officeDocument/2006/relationships/hyperlink" Target="https://www.sciencedirect.com/science/article/pii/S0306261926005295?dgcid=rss_sd_all" TargetMode="External"/><Relationship Id="rId167" Type="http://schemas.openxmlformats.org/officeDocument/2006/relationships/hyperlink" Target="https://onlinelibrary.wiley.com/doi/10.1002/anie.3220743?af=R" TargetMode="External"/><Relationship Id="rId168" Type="http://schemas.openxmlformats.org/officeDocument/2006/relationships/hyperlink" Target="https://doi.org/10.1002/anie.3220743" TargetMode="External"/><Relationship Id="rId169" Type="http://schemas.openxmlformats.org/officeDocument/2006/relationships/hyperlink" Target="https://www.sciencedirect.com/science/article/pii/S0301421526002296?dgcid=rss_sd_all" TargetMode="External"/><Relationship Id="rId170" Type="http://schemas.openxmlformats.org/officeDocument/2006/relationships/hyperlink" Target="https://www.sciencedirect.com/science/article/pii/S0306261926005271?dgcid=rss_sd_all" TargetMode="External"/><Relationship Id="rId171" Type="http://schemas.openxmlformats.org/officeDocument/2006/relationships/hyperlink" Target="https://www.sciencedirect.com/science/article/pii/S0301421526002314?dgcid=rss_sd_all" TargetMode="External"/><Relationship Id="rId172" Type="http://schemas.openxmlformats.org/officeDocument/2006/relationships/hyperlink" Target="https://www.nature.com/articles/s41565-026-02160-x" TargetMode="External"/><Relationship Id="rId173" Type="http://schemas.openxmlformats.org/officeDocument/2006/relationships/hyperlink" Target="https://doi.org/10.1038/s41565-026-02160-x" TargetMode="External"/><Relationship Id="rId174" Type="http://schemas.openxmlformats.org/officeDocument/2006/relationships/hyperlink" Target="https://www.cell.com/joule/fulltext/S2542-4351(26)00113-3?rss=yes" TargetMode="External"/><Relationship Id="rId175" Type="http://schemas.openxmlformats.org/officeDocument/2006/relationships/hyperlink" Target="https://doi.org/10.1016/j.joule.2026.102429" TargetMode="External"/><Relationship Id="rId176" Type="http://schemas.openxmlformats.org/officeDocument/2006/relationships/hyperlink" Target="https://www.sciencedirect.com/science/article/pii/S0306261926005349?dgcid=rss_sd_all" TargetMode="External"/><Relationship Id="rId177" Type="http://schemas.openxmlformats.org/officeDocument/2006/relationships/hyperlink" Target="https://www.sciencedirect.com/science/article/pii/S0306261926005696?dgcid=rss_sd_all" TargetMode="External"/><Relationship Id="rId178" Type="http://schemas.openxmlformats.org/officeDocument/2006/relationships/hyperlink" Target="https://pericles.pericles-prod.literatumonline.com/doi/10.1002/aenm.202506766?af=R" TargetMode="External"/><Relationship Id="rId179" Type="http://schemas.openxmlformats.org/officeDocument/2006/relationships/hyperlink" Target="https://doi.org/10.1002/aenm.202506766" TargetMode="External"/><Relationship Id="rId180" Type="http://schemas.openxmlformats.org/officeDocument/2006/relationships/hyperlink" Target="https://pericles.pericles-prod.literatumonline.com/doi/10.1002/aenm.70895?af=R" TargetMode="External"/><Relationship Id="rId181" Type="http://schemas.openxmlformats.org/officeDocument/2006/relationships/hyperlink" Target="https://doi.org/10.1002/aenm.70895" TargetMode="External"/><Relationship Id="rId182" Type="http://schemas.openxmlformats.org/officeDocument/2006/relationships/hyperlink" Target="https://www.sciencedirect.com/science/article/pii/S0306261926005441?dgcid=rss_sd_all" TargetMode="External"/><Relationship Id="rId183" Type="http://schemas.openxmlformats.org/officeDocument/2006/relationships/hyperlink" Target="https://www.sciencedirect.com/science/article/pii/S0306261926005726?dgcid=rss_sd_all" TargetMode="External"/><Relationship Id="rId184" Type="http://schemas.openxmlformats.org/officeDocument/2006/relationships/hyperlink" Target="https://onlinelibrary.wiley.com/doi/10.1002/anie.4155022?af=R" TargetMode="External"/><Relationship Id="rId185" Type="http://schemas.openxmlformats.org/officeDocument/2006/relationships/hyperlink" Target="https://doi.org/10.1002/anie.4155022" TargetMode="External"/><Relationship Id="rId186" Type="http://schemas.openxmlformats.org/officeDocument/2006/relationships/hyperlink" Target="http://pubs.rsc.org/en/Content/ArticleLanding/2026/EE/D6EE00855K" TargetMode="External"/><Relationship Id="rId187" Type="http://schemas.openxmlformats.org/officeDocument/2006/relationships/hyperlink" Target="https://academic.oup.com/nsr/advance-article/doi/10.1093/nsr/nwag242/8660959?rss=1" TargetMode="External"/><Relationship Id="rId188" Type="http://schemas.openxmlformats.org/officeDocument/2006/relationships/hyperlink" Target="https://doi.org/10.1093/nsr/nwag242" TargetMode="External"/><Relationship Id="rId189" Type="http://schemas.openxmlformats.org/officeDocument/2006/relationships/hyperlink" Target="https://www.sciencedirect.com/science/article/pii/S0306261926005866?dgcid=rss_sd_all" TargetMode="External"/><Relationship Id="rId190" Type="http://schemas.openxmlformats.org/officeDocument/2006/relationships/hyperlink" Target="https://www.nature.com/articles/s44359-026-00164-3" TargetMode="External"/><Relationship Id="rId191" Type="http://schemas.openxmlformats.org/officeDocument/2006/relationships/hyperlink" Target="https://doi.org/10.1038/s44359-026-00164-3" TargetMode="External"/><Relationship Id="rId192" Type="http://schemas.openxmlformats.org/officeDocument/2006/relationships/hyperlink" Target="https://advanced.onlinelibrary.wiley.com/doi/10.1002/aenm.70968?af=R" TargetMode="External"/><Relationship Id="rId193" Type="http://schemas.openxmlformats.org/officeDocument/2006/relationships/hyperlink" Target="https://doi.org/10.1002/aenm.70968" TargetMode="External"/><Relationship Id="rId194" Type="http://schemas.openxmlformats.org/officeDocument/2006/relationships/hyperlink" Target="https://www.cell.com/chem/fulltext/S2451-9294(26)00128-2?rss=yes" TargetMode="External"/><Relationship Id="rId195" Type="http://schemas.openxmlformats.org/officeDocument/2006/relationships/hyperlink" Target="https://doi.org/10.1016/j.chempr.2026.103062" TargetMode="External"/><Relationship Id="rId196" Type="http://schemas.openxmlformats.org/officeDocument/2006/relationships/hyperlink" Target="https://www.sciencedirect.com/science/article/pii/S0306261926006112?dgcid=rss_sd_all" TargetMode="External"/><Relationship Id="rId197" Type="http://schemas.openxmlformats.org/officeDocument/2006/relationships/hyperlink" Target="https://www.sciencedirect.com/science/article/pii/S0306261926005702?dgcid=rss_sd_all" TargetMode="External"/><Relationship Id="rId198" Type="http://schemas.openxmlformats.org/officeDocument/2006/relationships/hyperlink" Target="https://www.sciencedirect.com/science/article/pii/S0301421526002697?dgcid=rss_sd_all" TargetMode="External"/><Relationship Id="rId199" Type="http://schemas.openxmlformats.org/officeDocument/2006/relationships/hyperlink" Target="https://www.nature.com/articles/s41893-026-01817-8" TargetMode="External"/><Relationship Id="rId200" Type="http://schemas.openxmlformats.org/officeDocument/2006/relationships/hyperlink" Target="https://doi.org/10.1038/s41893-026-01817-8" TargetMode="External"/><Relationship Id="rId201" Type="http://schemas.openxmlformats.org/officeDocument/2006/relationships/hyperlink" Target="https://onlinelibrary.wiley.com/doi/10.1002/anie.7136576?af=R" TargetMode="External"/><Relationship Id="rId202" Type="http://schemas.openxmlformats.org/officeDocument/2006/relationships/hyperlink" Target="https://doi.org/10.1002/anie.7136576" TargetMode="External"/><Relationship Id="rId203" Type="http://schemas.openxmlformats.org/officeDocument/2006/relationships/hyperlink" Target="https://onlinelibrary.wiley.com/doi/10.1002/anie.8893584?af=R" TargetMode="External"/><Relationship Id="rId204" Type="http://schemas.openxmlformats.org/officeDocument/2006/relationships/hyperlink" Target="https://doi.org/10.1002/anie.8893584" TargetMode="External"/><Relationship Id="rId205" Type="http://schemas.openxmlformats.org/officeDocument/2006/relationships/hyperlink" Target="http://dx.doi.org/10.1021/acs.chemrev.5c00361" TargetMode="External"/><Relationship Id="rId206" Type="http://schemas.openxmlformats.org/officeDocument/2006/relationships/hyperlink" Target="https://doi.org/10.1021/acs.chemrev.5c00361" TargetMode="External"/><Relationship Id="rId207" Type="http://schemas.openxmlformats.org/officeDocument/2006/relationships/hyperlink" Target="https://www.nature.com/articles/s44286-026-00378-z" TargetMode="External"/><Relationship Id="rId208" Type="http://schemas.openxmlformats.org/officeDocument/2006/relationships/hyperlink" Target="https://doi.org/10.1038/s44286-026-00378-z" TargetMode="External"/><Relationship Id="rId209" Type="http://schemas.openxmlformats.org/officeDocument/2006/relationships/hyperlink" Target="https://onlinelibrary.wiley.com/doi/10.1002/anie.202515715?af=R" TargetMode="External"/><Relationship Id="rId210" Type="http://schemas.openxmlformats.org/officeDocument/2006/relationships/hyperlink" Target="https://doi.org/10.1002/anie.202515715" TargetMode="External"/><Relationship Id="rId211" Type="http://schemas.openxmlformats.org/officeDocument/2006/relationships/hyperlink" Target="http://dx.doi.org/10.1021/acsenergylett.6c00640" TargetMode="External"/><Relationship Id="rId212" Type="http://schemas.openxmlformats.org/officeDocument/2006/relationships/hyperlink" Target="https://doi.org/10.1021/acsenergylett.6c00640" TargetMode="External"/><Relationship Id="rId213" Type="http://schemas.openxmlformats.org/officeDocument/2006/relationships/hyperlink" Target="http://dx.doi.org/10.1021/jacs.6c02735" TargetMode="External"/><Relationship Id="rId214" Type="http://schemas.openxmlformats.org/officeDocument/2006/relationships/hyperlink" Target="https://doi.org/10.1021/jacs.6c02735" TargetMode="External"/><Relationship Id="rId215" Type="http://schemas.openxmlformats.org/officeDocument/2006/relationships/hyperlink" Target="https://onlinelibrary.wiley.com/doi/10.1002/anie.3692505?af=R" TargetMode="External"/><Relationship Id="rId216" Type="http://schemas.openxmlformats.org/officeDocument/2006/relationships/hyperlink" Target="https://doi.org/10.1002/anie.3692505" TargetMode="External"/><Relationship Id="rId217" Type="http://schemas.openxmlformats.org/officeDocument/2006/relationships/hyperlink" Target="http://dx.doi.org/10.1021/jacs.6c03466" TargetMode="External"/><Relationship Id="rId218" Type="http://schemas.openxmlformats.org/officeDocument/2006/relationships/hyperlink" Target="https://doi.org/10.1021/jacs.6c03466" TargetMode="External"/><Relationship Id="rId219" Type="http://schemas.openxmlformats.org/officeDocument/2006/relationships/hyperlink" Target="https://onlinelibrary.wiley.com/doi/10.1002/anie.9945235?af=R" TargetMode="External"/><Relationship Id="rId220" Type="http://schemas.openxmlformats.org/officeDocument/2006/relationships/hyperlink" Target="https://doi.org/10.1002/anie.9945235" TargetMode="External"/><Relationship Id="rId221" Type="http://schemas.openxmlformats.org/officeDocument/2006/relationships/hyperlink" Target="https://www.sciencedirect.com/science/article/pii/S0306261926005222?dgcid=rss_sd_all" TargetMode="External"/><Relationship Id="rId222" Type="http://schemas.openxmlformats.org/officeDocument/2006/relationships/hyperlink" Target="https://www.nature.com/articles/s41467-026-71140-5" TargetMode="External"/><Relationship Id="rId223" Type="http://schemas.openxmlformats.org/officeDocument/2006/relationships/hyperlink" Target="https://doi.org/10.1038/s41467-026-71140-5" TargetMode="External"/><Relationship Id="rId224" Type="http://schemas.openxmlformats.org/officeDocument/2006/relationships/hyperlink" Target="https://www.sciencedirect.com/science/article/pii/S0306261926005350?dgcid=rss_sd_all" TargetMode="External"/><Relationship Id="rId225" Type="http://schemas.openxmlformats.org/officeDocument/2006/relationships/hyperlink" Target="https://www.sciencedirect.com/science/article/pii/S0306261926005283?dgcid=rss_sd_all" TargetMode="External"/><Relationship Id="rId226" Type="http://schemas.openxmlformats.org/officeDocument/2006/relationships/hyperlink" Target="https://www.nature.com/articles/s41467-026-72039-x" TargetMode="External"/><Relationship Id="rId227" Type="http://schemas.openxmlformats.org/officeDocument/2006/relationships/hyperlink" Target="https://doi.org/10.1038/s41467-026-72039-x" TargetMode="External"/><Relationship Id="rId228" Type="http://schemas.openxmlformats.org/officeDocument/2006/relationships/hyperlink" Target="https://www.nature.com/articles/s41467-026-71960-5" TargetMode="External"/><Relationship Id="rId229" Type="http://schemas.openxmlformats.org/officeDocument/2006/relationships/hyperlink" Target="https://doi.org/10.1038/s41467-026-71960-5" TargetMode="External"/><Relationship Id="rId230" Type="http://schemas.openxmlformats.org/officeDocument/2006/relationships/hyperlink" Target="https://www.nature.com/articles/d41586-026-01014-9" TargetMode="External"/><Relationship Id="rId231" Type="http://schemas.openxmlformats.org/officeDocument/2006/relationships/hyperlink" Target="https://doi.org/10.1038/d41586-026-01014-9" TargetMode="External"/><Relationship Id="rId232" Type="http://schemas.openxmlformats.org/officeDocument/2006/relationships/hyperlink" Target="https://www.nature.com/articles/s41467-026-72107-2" TargetMode="External"/><Relationship Id="rId233" Type="http://schemas.openxmlformats.org/officeDocument/2006/relationships/hyperlink" Target="https://doi.org/10.1038/s41467-026-72107-2" TargetMode="External"/><Relationship Id="rId234" Type="http://schemas.openxmlformats.org/officeDocument/2006/relationships/hyperlink" Target="https://www.nature.com/articles/s41467-026-71950-7" TargetMode="External"/><Relationship Id="rId235" Type="http://schemas.openxmlformats.org/officeDocument/2006/relationships/hyperlink" Target="https://doi.org/10.1038/s41467-026-71950-7" TargetMode="External"/><Relationship Id="rId236" Type="http://schemas.openxmlformats.org/officeDocument/2006/relationships/hyperlink" Target="https://www.sciencedirect.com/science/article/pii/S0306261926005167?dgcid=rss_sd_all" TargetMode="External"/><Relationship Id="rId237" Type="http://schemas.openxmlformats.org/officeDocument/2006/relationships/hyperlink" Target="https://www.sciencedirect.com/science/article/pii/S0306261926005209?dgcid=rss_sd_all" TargetMode="External"/><Relationship Id="rId238" Type="http://schemas.openxmlformats.org/officeDocument/2006/relationships/hyperlink" Target="https://www.sciencedirect.com/science/article/pii/S0306261926005143?dgcid=rss_sd_all" TargetMode="External"/><Relationship Id="rId239" Type="http://schemas.openxmlformats.org/officeDocument/2006/relationships/hyperlink" Target="https://www.sciencedirect.com/science/article/pii/S0306261926005416?dgcid=rss_sd_all" TargetMode="External"/><Relationship Id="rId240" Type="http://schemas.openxmlformats.org/officeDocument/2006/relationships/hyperlink" Target="https://www.sciencedirect.com/science/article/pii/S0301421526001801?dgcid=rss_sd_all" TargetMode="External"/><Relationship Id="rId241" Type="http://schemas.openxmlformats.org/officeDocument/2006/relationships/hyperlink" Target="https://www.sciencedirect.com/science/article/pii/S0306261926005325?dgcid=rss_sd_all" TargetMode="External"/><Relationship Id="rId242" Type="http://schemas.openxmlformats.org/officeDocument/2006/relationships/hyperlink" Target="https://www.sciencedirect.com/science/article/pii/S0306261926005258?dgcid=rss_sd_all" TargetMode="External"/><Relationship Id="rId243" Type="http://schemas.openxmlformats.org/officeDocument/2006/relationships/hyperlink" Target="https://www.sciencedirect.com/science/article/pii/S0306261926004307?dgcid=rss_sd_all" TargetMode="External"/><Relationship Id="rId244" Type="http://schemas.openxmlformats.org/officeDocument/2006/relationships/hyperlink" Target="https://www.sciencedirect.com/science/article/pii/S0306261926004812?dgcid=rss_sd_all" TargetMode="External"/><Relationship Id="rId245" Type="http://schemas.openxmlformats.org/officeDocument/2006/relationships/hyperlink" Target="https://www.sciencedirect.com/science/article/pii/S0306261926004769?dgcid=rss_sd_all" TargetMode="External"/><Relationship Id="rId246" Type="http://schemas.openxmlformats.org/officeDocument/2006/relationships/hyperlink" Target="https://onlinelibrary.wiley.com/doi/10.1002/anie.202522926?af=R" TargetMode="External"/><Relationship Id="rId247" Type="http://schemas.openxmlformats.org/officeDocument/2006/relationships/hyperlink" Target="https://doi.org/10.1002/anie.202522926" TargetMode="External"/><Relationship Id="rId248" Type="http://schemas.openxmlformats.org/officeDocument/2006/relationships/hyperlink" Target="https://onlinelibrary.wiley.com/doi/10.1002/anie.202526012?af=R" TargetMode="External"/><Relationship Id="rId249" Type="http://schemas.openxmlformats.org/officeDocument/2006/relationships/hyperlink" Target="https://doi.org/10.1002/anie.202526012" TargetMode="External"/><Relationship Id="rId250" Type="http://schemas.openxmlformats.org/officeDocument/2006/relationships/hyperlink" Target="https://advanced.onlinelibrary.wiley.com/doi/10.1002/adma.73106?af=R" TargetMode="External"/><Relationship Id="rId251" Type="http://schemas.openxmlformats.org/officeDocument/2006/relationships/hyperlink" Target="https://doi.org/10.1002/adma.73106" TargetMode="External"/><Relationship Id="rId252" Type="http://schemas.openxmlformats.org/officeDocument/2006/relationships/hyperlink" Target="https://onlinelibrary.wiley.com/doi/10.1002/anie.1471995?af=R" TargetMode="External"/><Relationship Id="rId253" Type="http://schemas.openxmlformats.org/officeDocument/2006/relationships/hyperlink" Target="https://doi.org/10.1002/anie.1471995" TargetMode="External"/><Relationship Id="rId254" Type="http://schemas.openxmlformats.org/officeDocument/2006/relationships/hyperlink" Target="https://advanced.onlinelibrary.wiley.com/doi/10.1002/adma.73126?af=R" TargetMode="External"/><Relationship Id="rId255" Type="http://schemas.openxmlformats.org/officeDocument/2006/relationships/hyperlink" Target="https://doi.org/10.1002/adma.73126" TargetMode="External"/><Relationship Id="rId256" Type="http://schemas.openxmlformats.org/officeDocument/2006/relationships/hyperlink" Target="https://advanced.onlinelibrary.wiley.com/doi/10.1002/adma.202523052?af=R" TargetMode="External"/><Relationship Id="rId257" Type="http://schemas.openxmlformats.org/officeDocument/2006/relationships/hyperlink" Target="https://doi.org/10.1002/adma.202523052" TargetMode="External"/><Relationship Id="rId258" Type="http://schemas.openxmlformats.org/officeDocument/2006/relationships/hyperlink" Target="https://advanced.onlinelibrary.wiley.com/doi/10.1002/adma.202523328?af=R" TargetMode="External"/><Relationship Id="rId259" Type="http://schemas.openxmlformats.org/officeDocument/2006/relationships/hyperlink" Target="https://doi.org/10.1002/adma.202523328" TargetMode="External"/><Relationship Id="rId260" Type="http://schemas.openxmlformats.org/officeDocument/2006/relationships/hyperlink" Target="https://advanced.onlinelibrary.wiley.com/doi/10.1002/adma.202516569?af=R" TargetMode="External"/><Relationship Id="rId261" Type="http://schemas.openxmlformats.org/officeDocument/2006/relationships/hyperlink" Target="https://doi.org/10.1002/adma.202516569" TargetMode="External"/><Relationship Id="rId262" Type="http://schemas.openxmlformats.org/officeDocument/2006/relationships/hyperlink" Target="https://advanced.onlinelibrary.wiley.com/doi/10.1002/adma.73102?af=R" TargetMode="External"/><Relationship Id="rId263" Type="http://schemas.openxmlformats.org/officeDocument/2006/relationships/hyperlink" Target="https://doi.org/10.1002/adma.73102" TargetMode="External"/><Relationship Id="rId264" Type="http://schemas.openxmlformats.org/officeDocument/2006/relationships/hyperlink" Target="https://advanced.onlinelibrary.wiley.com/doi/10.1002/adma.73111?af=R" TargetMode="External"/><Relationship Id="rId265" Type="http://schemas.openxmlformats.org/officeDocument/2006/relationships/hyperlink" Target="https://doi.org/10.1002/adma.73111" TargetMode="External"/><Relationship Id="rId266" Type="http://schemas.openxmlformats.org/officeDocument/2006/relationships/hyperlink" Target="https://advanced.onlinelibrary.wiley.com/doi/10.1002/adma.73122?af=R" TargetMode="External"/><Relationship Id="rId267" Type="http://schemas.openxmlformats.org/officeDocument/2006/relationships/hyperlink" Target="https://doi.org/10.1002/adma.73122" TargetMode="External"/><Relationship Id="rId268" Type="http://schemas.openxmlformats.org/officeDocument/2006/relationships/hyperlink" Target="https://advanced.onlinelibrary.wiley.com/doi/10.1002/adma.73080?af=R" TargetMode="External"/><Relationship Id="rId269" Type="http://schemas.openxmlformats.org/officeDocument/2006/relationships/hyperlink" Target="https://doi.org/10.1002/adma.73080" TargetMode="External"/><Relationship Id="rId270" Type="http://schemas.openxmlformats.org/officeDocument/2006/relationships/hyperlink" Target="https://advanced.onlinelibrary.wiley.com/doi/10.1002/adma.202520134?af=R" TargetMode="External"/><Relationship Id="rId271" Type="http://schemas.openxmlformats.org/officeDocument/2006/relationships/hyperlink" Target="https://doi.org/10.1002/adma.202520134" TargetMode="External"/><Relationship Id="rId272" Type="http://schemas.openxmlformats.org/officeDocument/2006/relationships/hyperlink" Target="https://onlinelibrary.wiley.com/doi/10.1002/anie.4512481?af=R" TargetMode="External"/><Relationship Id="rId273" Type="http://schemas.openxmlformats.org/officeDocument/2006/relationships/hyperlink" Target="https://doi.org/10.1002/anie.4512481" TargetMode="External"/><Relationship Id="rId274" Type="http://schemas.openxmlformats.org/officeDocument/2006/relationships/hyperlink" Target="https://onlinelibrary.wiley.com/doi/10.1002/anie.1613184?af=R" TargetMode="External"/><Relationship Id="rId275" Type="http://schemas.openxmlformats.org/officeDocument/2006/relationships/hyperlink" Target="https://doi.org/10.1002/anie.1613184" TargetMode="External"/><Relationship Id="rId276" Type="http://schemas.openxmlformats.org/officeDocument/2006/relationships/hyperlink" Target="https://onlinelibrary.wiley.com/doi/10.1002/anie.9878440?af=R" TargetMode="External"/><Relationship Id="rId277" Type="http://schemas.openxmlformats.org/officeDocument/2006/relationships/hyperlink" Target="https://doi.org/10.1002/anie.9878440" TargetMode="External"/><Relationship Id="rId278" Type="http://schemas.openxmlformats.org/officeDocument/2006/relationships/hyperlink" Target="https://onlinelibrary.wiley.com/doi/10.1002/anie.7271500?af=R" TargetMode="External"/><Relationship Id="rId279" Type="http://schemas.openxmlformats.org/officeDocument/2006/relationships/hyperlink" Target="https://doi.org/10.1002/anie.7271500" TargetMode="External"/><Relationship Id="rId280" Type="http://schemas.openxmlformats.org/officeDocument/2006/relationships/hyperlink" Target="https://onlinelibrary.wiley.com/doi/10.1002/anie.6835315?af=R" TargetMode="External"/><Relationship Id="rId281" Type="http://schemas.openxmlformats.org/officeDocument/2006/relationships/hyperlink" Target="https://doi.org/10.1002/anie.6835315" TargetMode="External"/><Relationship Id="rId282" Type="http://schemas.openxmlformats.org/officeDocument/2006/relationships/hyperlink" Target="https://onlinelibrary.wiley.com/doi/10.1002/anie.1180643?af=R" TargetMode="External"/><Relationship Id="rId283" Type="http://schemas.openxmlformats.org/officeDocument/2006/relationships/hyperlink" Target="https://doi.org/10.1002/anie.1180643" TargetMode="External"/><Relationship Id="rId284" Type="http://schemas.openxmlformats.org/officeDocument/2006/relationships/hyperlink" Target="http://dx.doi.org/10.1021/jacs.6c01370" TargetMode="External"/><Relationship Id="rId285" Type="http://schemas.openxmlformats.org/officeDocument/2006/relationships/hyperlink" Target="https://doi.org/10.1021/jacs.6c01370" TargetMode="External"/><Relationship Id="rId286" Type="http://schemas.openxmlformats.org/officeDocument/2006/relationships/hyperlink" Target="https://www.sciencedirect.com/science/article/pii/S0306261926005568?dgcid=rss_sd_all" TargetMode="External"/><Relationship Id="rId287" Type="http://schemas.openxmlformats.org/officeDocument/2006/relationships/hyperlink" Target="https://www.sciencedirect.com/science/article/pii/S0306261926004022?dgcid=rss_sd_all" TargetMode="External"/><Relationship Id="rId288" Type="http://schemas.openxmlformats.org/officeDocument/2006/relationships/hyperlink" Target="https://www.sciencedirect.com/science/article/pii/S0306261926005131?dgcid=rss_sd_all" TargetMode="External"/><Relationship Id="rId289" Type="http://schemas.openxmlformats.org/officeDocument/2006/relationships/hyperlink" Target="https://www.sciencedirect.com/science/article/pii/S0306261926005180?dgcid=rss_sd_all" TargetMode="External"/><Relationship Id="rId290" Type="http://schemas.openxmlformats.org/officeDocument/2006/relationships/hyperlink" Target="https://www.sciencedirect.com/science/article/pii/S0301421526002466?dgcid=rss_sd_all" TargetMode="External"/><Relationship Id="rId291" Type="http://schemas.openxmlformats.org/officeDocument/2006/relationships/hyperlink" Target="https://www.sciencedirect.com/science/article/pii/S0301421526002260?dgcid=rss_sd_all" TargetMode="External"/><Relationship Id="rId292" Type="http://schemas.openxmlformats.org/officeDocument/2006/relationships/hyperlink" Target="https://www.sciencedirect.com/science/article/pii/S0301421526002120?dgcid=rss_sd_all" TargetMode="External"/><Relationship Id="rId293" Type="http://schemas.openxmlformats.org/officeDocument/2006/relationships/hyperlink" Target="https://www.sciencedirect.com/science/article/pii/S0306261926005362?dgcid=rss_sd_all" TargetMode="External"/><Relationship Id="rId294" Type="http://schemas.openxmlformats.org/officeDocument/2006/relationships/hyperlink" Target="https://www.sciencedirect.com/science/article/pii/S0306261926005428?dgcid=rss_sd_all" TargetMode="External"/><Relationship Id="rId295" Type="http://schemas.openxmlformats.org/officeDocument/2006/relationships/hyperlink" Target="http://dx.doi.org/10.1021/jacs.6c02702" TargetMode="External"/><Relationship Id="rId296" Type="http://schemas.openxmlformats.org/officeDocument/2006/relationships/hyperlink" Target="https://doi.org/10.1021/jacs.6c02702" TargetMode="External"/><Relationship Id="rId297" Type="http://schemas.openxmlformats.org/officeDocument/2006/relationships/hyperlink" Target="http://dx.doi.org/10.1021/jacs.6c04074" TargetMode="External"/><Relationship Id="rId298" Type="http://schemas.openxmlformats.org/officeDocument/2006/relationships/hyperlink" Target="https://doi.org/10.1021/jacs.6c04074" TargetMode="External"/><Relationship Id="rId299" Type="http://schemas.openxmlformats.org/officeDocument/2006/relationships/hyperlink" Target="http://dx.doi.org/10.1021/jacs.6c03836" TargetMode="External"/><Relationship Id="rId300" Type="http://schemas.openxmlformats.org/officeDocument/2006/relationships/hyperlink" Target="https://doi.org/10.1021/jacs.6c03836" TargetMode="External"/><Relationship Id="rId301" Type="http://schemas.openxmlformats.org/officeDocument/2006/relationships/hyperlink" Target="http://pubs.rsc.org/en/Content/ArticleLanding/2026/CS/D6CS00069J" TargetMode="External"/><Relationship Id="rId302" Type="http://schemas.openxmlformats.org/officeDocument/2006/relationships/hyperlink" Target="http://pubs.rsc.org/en/Content/ArticleLanding/2026/CS/D5CS00144G" TargetMode="External"/><Relationship Id="rId303" Type="http://schemas.openxmlformats.org/officeDocument/2006/relationships/hyperlink" Target="https://www.nature.com/articles/s41467-026-72156-7" TargetMode="External"/><Relationship Id="rId304" Type="http://schemas.openxmlformats.org/officeDocument/2006/relationships/hyperlink" Target="https://doi.org/10.1038/s41467-026-72156-7" TargetMode="External"/><Relationship Id="rId305" Type="http://schemas.openxmlformats.org/officeDocument/2006/relationships/hyperlink" Target="https://www.nature.com/articles/s41467-026-72291-1" TargetMode="External"/><Relationship Id="rId306" Type="http://schemas.openxmlformats.org/officeDocument/2006/relationships/hyperlink" Target="https://doi.org/10.1038/s41467-026-72291-1" TargetMode="External"/><Relationship Id="rId307" Type="http://schemas.openxmlformats.org/officeDocument/2006/relationships/hyperlink" Target="https://www.nature.com/articles/s44286-026-00385-0" TargetMode="External"/><Relationship Id="rId308" Type="http://schemas.openxmlformats.org/officeDocument/2006/relationships/hyperlink" Target="https://doi.org/10.1038/s44286-026-00385-0" TargetMode="External"/><Relationship Id="rId309" Type="http://schemas.openxmlformats.org/officeDocument/2006/relationships/hyperlink" Target="https://www.nature.com/articles/d41586-026-01259-4" TargetMode="External"/><Relationship Id="rId310" Type="http://schemas.openxmlformats.org/officeDocument/2006/relationships/hyperlink" Target="https://doi.org/10.1038/d41586-026-01259-4" TargetMode="External"/><Relationship Id="rId311" Type="http://schemas.openxmlformats.org/officeDocument/2006/relationships/hyperlink" Target="https://www.nature.com/articles/s41565-026-02144-x" TargetMode="External"/><Relationship Id="rId312" Type="http://schemas.openxmlformats.org/officeDocument/2006/relationships/hyperlink" Target="https://doi.org/10.1038/s41565-026-02144-x" TargetMode="External"/><Relationship Id="rId313" Type="http://schemas.openxmlformats.org/officeDocument/2006/relationships/hyperlink" Target="https://www.nature.com/articles/s41565-026-02145-w" TargetMode="External"/><Relationship Id="rId314" Type="http://schemas.openxmlformats.org/officeDocument/2006/relationships/hyperlink" Target="https://doi.org/10.1038/s41565-026-02145-w" TargetMode="External"/><Relationship Id="rId315" Type="http://schemas.openxmlformats.org/officeDocument/2006/relationships/hyperlink" Target="https://www.nature.com/articles/s41560-026-02064-z" TargetMode="External"/><Relationship Id="rId316" Type="http://schemas.openxmlformats.org/officeDocument/2006/relationships/hyperlink" Target="https://doi.org/10.1038/s41560-026-02064-z" TargetMode="External"/><Relationship Id="rId317" Type="http://schemas.openxmlformats.org/officeDocument/2006/relationships/hyperlink" Target="https://www.nature.com/articles/s41565-026-02163-8" TargetMode="External"/><Relationship Id="rId318" Type="http://schemas.openxmlformats.org/officeDocument/2006/relationships/hyperlink" Target="https://doi.org/10.1038/s41565-026-02163-8" TargetMode="External"/><Relationship Id="rId319" Type="http://schemas.openxmlformats.org/officeDocument/2006/relationships/hyperlink" Target="https://www.nature.com/articles/d41586-026-01258-5" TargetMode="External"/><Relationship Id="rId320" Type="http://schemas.openxmlformats.org/officeDocument/2006/relationships/hyperlink" Target="https://doi.org/10.1038/d41586-026-01258-5" TargetMode="External"/><Relationship Id="rId321" Type="http://schemas.openxmlformats.org/officeDocument/2006/relationships/hyperlink" Target="https://www.nature.com/articles/s41565-026-02166-5" TargetMode="External"/><Relationship Id="rId322" Type="http://schemas.openxmlformats.org/officeDocument/2006/relationships/hyperlink" Target="https://doi.org/10.1038/s41565-026-02166-5" TargetMode="External"/><Relationship Id="rId323" Type="http://schemas.openxmlformats.org/officeDocument/2006/relationships/hyperlink" Target="https://www.nature.com/articles/d41586-026-01261-w" TargetMode="External"/><Relationship Id="rId324" Type="http://schemas.openxmlformats.org/officeDocument/2006/relationships/hyperlink" Target="https://doi.org/10.1038/d41586-026-01261-w" TargetMode="External"/><Relationship Id="rId325" Type="http://schemas.openxmlformats.org/officeDocument/2006/relationships/hyperlink" Target="https://www.nature.com/articles/d41586-026-01278-1" TargetMode="External"/><Relationship Id="rId326" Type="http://schemas.openxmlformats.org/officeDocument/2006/relationships/hyperlink" Target="https://doi.org/10.1038/d41586-026-01278-1" TargetMode="External"/><Relationship Id="rId327" Type="http://schemas.openxmlformats.org/officeDocument/2006/relationships/hyperlink" Target="https://www.nature.com/articles/d41586-026-00990-2" TargetMode="External"/><Relationship Id="rId328" Type="http://schemas.openxmlformats.org/officeDocument/2006/relationships/hyperlink" Target="https://doi.org/10.1038/d41586-026-00990-2" TargetMode="External"/><Relationship Id="rId329" Type="http://schemas.openxmlformats.org/officeDocument/2006/relationships/hyperlink" Target="https://www.cell.com/chem/fulltext/S2451-9294(26)00100-2?rss=yes" TargetMode="External"/><Relationship Id="rId330" Type="http://schemas.openxmlformats.org/officeDocument/2006/relationships/hyperlink" Target="https://doi.org/10.1016/j.chempr.2026.103034" TargetMode="External"/><Relationship Id="rId331" Type="http://schemas.openxmlformats.org/officeDocument/2006/relationships/hyperlink" Target="https://www.nature.com/articles/s41893-026-01802-1" TargetMode="External"/><Relationship Id="rId332" Type="http://schemas.openxmlformats.org/officeDocument/2006/relationships/hyperlink" Target="https://doi.org/10.1038/s41893-026-01802-1" TargetMode="External"/><Relationship Id="rId333" Type="http://schemas.openxmlformats.org/officeDocument/2006/relationships/hyperlink" Target="https://www.nature.com/articles/d41586-026-01291-4" TargetMode="External"/><Relationship Id="rId334" Type="http://schemas.openxmlformats.org/officeDocument/2006/relationships/hyperlink" Target="https://doi.org/10.1038/d41586-026-01291-4" TargetMode="External"/><Relationship Id="rId335" Type="http://schemas.openxmlformats.org/officeDocument/2006/relationships/hyperlink" Target="https://www.nature.com/articles/s41467-026-72031-5" TargetMode="External"/><Relationship Id="rId336" Type="http://schemas.openxmlformats.org/officeDocument/2006/relationships/hyperlink" Target="https://doi.org/10.1038/s41467-026-72031-5" TargetMode="External"/><Relationship Id="rId337" Type="http://schemas.openxmlformats.org/officeDocument/2006/relationships/hyperlink" Target="https://www.nature.com/articles/s41467-026-71998-5" TargetMode="External"/><Relationship Id="rId338" Type="http://schemas.openxmlformats.org/officeDocument/2006/relationships/hyperlink" Target="https://doi.org/10.1038/s41467-026-71998-5" TargetMode="External"/><Relationship Id="rId339" Type="http://schemas.openxmlformats.org/officeDocument/2006/relationships/hyperlink" Target="https://www.nature.com/articles/d41586-026-01262-9" TargetMode="External"/><Relationship Id="rId340" Type="http://schemas.openxmlformats.org/officeDocument/2006/relationships/hyperlink" Target="https://doi.org/10.1038/d41586-026-01262-9" TargetMode="External"/><Relationship Id="rId341" Type="http://schemas.openxmlformats.org/officeDocument/2006/relationships/hyperlink" Target="https://www.nature.com/articles/s41467-026-71953-4" TargetMode="External"/><Relationship Id="rId342" Type="http://schemas.openxmlformats.org/officeDocument/2006/relationships/hyperlink" Target="https://doi.org/10.1038/s41467-026-71953-4" TargetMode="External"/><Relationship Id="rId343" Type="http://schemas.openxmlformats.org/officeDocument/2006/relationships/hyperlink" Target="https://www.nature.com/articles/s41467-026-72234-w" TargetMode="External"/><Relationship Id="rId344" Type="http://schemas.openxmlformats.org/officeDocument/2006/relationships/hyperlink" Target="https://doi.org/10.1038/s41467-026-72234-w" TargetMode="External"/><Relationship Id="rId345" Type="http://schemas.openxmlformats.org/officeDocument/2006/relationships/hyperlink" Target="https://www.nature.com/articles/s41557-026-02123-8" TargetMode="External"/><Relationship Id="rId346" Type="http://schemas.openxmlformats.org/officeDocument/2006/relationships/hyperlink" Target="https://doi.org/10.1038/s41557-026-02123-8" TargetMode="External"/><Relationship Id="rId347" Type="http://schemas.openxmlformats.org/officeDocument/2006/relationships/hyperlink" Target="https://academic.oup.com/nsr/advance-article/doi/10.1093/nsr/nwag224/8659298?rss=1" TargetMode="External"/><Relationship Id="rId348" Type="http://schemas.openxmlformats.org/officeDocument/2006/relationships/hyperlink" Target="https://doi.org/10.1093/nsr/nwag224" TargetMode="External"/><Relationship Id="rId349" Type="http://schemas.openxmlformats.org/officeDocument/2006/relationships/hyperlink" Target="https://academic.oup.com/nsr/advance-article/doi/10.1093/nsr/nwag228/8659309?rss=1" TargetMode="External"/><Relationship Id="rId350" Type="http://schemas.openxmlformats.org/officeDocument/2006/relationships/hyperlink" Target="https://doi.org/10.1093/nsr/nwag228" TargetMode="External"/><Relationship Id="rId351" Type="http://schemas.openxmlformats.org/officeDocument/2006/relationships/hyperlink" Target="https://www.nature.com/articles/s41928-026-01618-z" TargetMode="External"/><Relationship Id="rId352" Type="http://schemas.openxmlformats.org/officeDocument/2006/relationships/hyperlink" Target="https://doi.org/10.1038/s41928-026-01618-z" TargetMode="External"/><Relationship Id="rId353" Type="http://schemas.openxmlformats.org/officeDocument/2006/relationships/hyperlink" Target="https://academic.oup.com/nsr/advance-article/doi/10.1093/nsr/nwag227/8659310?rss=1" TargetMode="External"/><Relationship Id="rId354" Type="http://schemas.openxmlformats.org/officeDocument/2006/relationships/hyperlink" Target="https://doi.org/10.1093/nsr/nwag227" TargetMode="External"/><Relationship Id="rId355" Type="http://schemas.openxmlformats.org/officeDocument/2006/relationships/hyperlink" Target="https://www.sciencedirect.com/science/article/pii/S0306261926005714?dgcid=rss_sd_all" TargetMode="External"/><Relationship Id="rId356" Type="http://schemas.openxmlformats.org/officeDocument/2006/relationships/hyperlink" Target="https://academic.oup.com/nsr/advance-article/doi/10.1093/nsr/nwag208/8659311?rss=1" TargetMode="External"/><Relationship Id="rId357" Type="http://schemas.openxmlformats.org/officeDocument/2006/relationships/hyperlink" Target="https://doi.org/10.1093/nsr/nwag208" TargetMode="External"/><Relationship Id="rId358" Type="http://schemas.openxmlformats.org/officeDocument/2006/relationships/hyperlink" Target="https://www.nature.com/articles/d41586-026-01260-x" TargetMode="External"/><Relationship Id="rId359" Type="http://schemas.openxmlformats.org/officeDocument/2006/relationships/hyperlink" Target="https://doi.org/10.1038/d41586-026-01260-x" TargetMode="External"/><Relationship Id="rId360" Type="http://schemas.openxmlformats.org/officeDocument/2006/relationships/hyperlink" Target="https://www.nature.com/articles/s41578-026-00915-5" TargetMode="External"/><Relationship Id="rId361" Type="http://schemas.openxmlformats.org/officeDocument/2006/relationships/hyperlink" Target="https://doi.org/10.1038/s41578-026-00915-5" TargetMode="External"/><Relationship Id="rId362" Type="http://schemas.openxmlformats.org/officeDocument/2006/relationships/hyperlink" Target="https://www.nature.com/articles/s41563-026-02583-w" TargetMode="External"/><Relationship Id="rId363" Type="http://schemas.openxmlformats.org/officeDocument/2006/relationships/hyperlink" Target="https://doi.org/10.1038/s41563-026-02583-w" TargetMode="External"/><Relationship Id="rId364" Type="http://schemas.openxmlformats.org/officeDocument/2006/relationships/hyperlink" Target="https://www.nature.com/articles/s41467-026-72220-2" TargetMode="External"/><Relationship Id="rId365" Type="http://schemas.openxmlformats.org/officeDocument/2006/relationships/hyperlink" Target="https://doi.org/10.1038/s41467-026-72220-2" TargetMode="External"/><Relationship Id="rId366" Type="http://schemas.openxmlformats.org/officeDocument/2006/relationships/hyperlink" Target="https://www.nature.com/articles/s41467-026-72067-7" TargetMode="External"/><Relationship Id="rId367" Type="http://schemas.openxmlformats.org/officeDocument/2006/relationships/hyperlink" Target="https://doi.org/10.1038/s41467-026-72067-7" TargetMode="External"/><Relationship Id="rId368" Type="http://schemas.openxmlformats.org/officeDocument/2006/relationships/hyperlink" Target="https://www.nature.com/articles/s41565-026-02177-2" TargetMode="External"/><Relationship Id="rId369" Type="http://schemas.openxmlformats.org/officeDocument/2006/relationships/hyperlink" Target="https://doi.org/10.1038/s41565-026-02177-2" TargetMode="External"/><Relationship Id="rId370" Type="http://schemas.openxmlformats.org/officeDocument/2006/relationships/hyperlink" Target="https://advanced.onlinelibrary.wiley.com/doi/10.1002/adma.73119?af=R" TargetMode="External"/><Relationship Id="rId371" Type="http://schemas.openxmlformats.org/officeDocument/2006/relationships/hyperlink" Target="https://doi.org/10.1002/adma.73119" TargetMode="External"/><Relationship Id="rId372" Type="http://schemas.openxmlformats.org/officeDocument/2006/relationships/hyperlink" Target="https://onlinelibrary.wiley.com/doi/10.1002/anie.202525542?af=R" TargetMode="External"/><Relationship Id="rId373" Type="http://schemas.openxmlformats.org/officeDocument/2006/relationships/hyperlink" Target="https://doi.org/10.1002/anie.202525542" TargetMode="External"/><Relationship Id="rId374" Type="http://schemas.openxmlformats.org/officeDocument/2006/relationships/hyperlink" Target="https://advanced.onlinelibrary.wiley.com/doi/10.1002/adma.73103?af=R" TargetMode="External"/><Relationship Id="rId375" Type="http://schemas.openxmlformats.org/officeDocument/2006/relationships/hyperlink" Target="https://doi.org/10.1002/adma.73103" TargetMode="External"/><Relationship Id="rId376" Type="http://schemas.openxmlformats.org/officeDocument/2006/relationships/hyperlink" Target="https://advanced.onlinelibrary.wiley.com/doi/10.1002/adma.202600014?af=R" TargetMode="External"/><Relationship Id="rId377" Type="http://schemas.openxmlformats.org/officeDocument/2006/relationships/hyperlink" Target="https://doi.org/10.1002/adma.202600014" TargetMode="External"/><Relationship Id="rId378" Type="http://schemas.openxmlformats.org/officeDocument/2006/relationships/hyperlink" Target="https://advanced.onlinelibrary.wiley.com/doi/10.1002/adma.202520499?af=R" TargetMode="External"/><Relationship Id="rId379" Type="http://schemas.openxmlformats.org/officeDocument/2006/relationships/hyperlink" Target="https://doi.org/10.1002/adma.202520499" TargetMode="External"/><Relationship Id="rId380" Type="http://schemas.openxmlformats.org/officeDocument/2006/relationships/hyperlink" Target="https://onlinelibrary.wiley.com/doi/10.1002/anie.3352042?af=R" TargetMode="External"/><Relationship Id="rId381" Type="http://schemas.openxmlformats.org/officeDocument/2006/relationships/hyperlink" Target="https://doi.org/10.1002/anie.3352042" TargetMode="External"/><Relationship Id="rId382" Type="http://schemas.openxmlformats.org/officeDocument/2006/relationships/hyperlink" Target="https://advanced.onlinelibrary.wiley.com/doi/10.1002/adma.73120?af=R" TargetMode="External"/><Relationship Id="rId383" Type="http://schemas.openxmlformats.org/officeDocument/2006/relationships/hyperlink" Target="https://doi.org/10.1002/adma.73120" TargetMode="External"/><Relationship Id="rId384" Type="http://schemas.openxmlformats.org/officeDocument/2006/relationships/hyperlink" Target="https://www.pnas.org/doi/abs/10.1073/pnas.2532081123?mi=eymic2&amp;af=R&amp;access=on&amp;content=articlesChapters&amp;publication=pnas&amp;sortBy=Earliest&amp;target=default" TargetMode="External"/><Relationship Id="rId385" Type="http://schemas.openxmlformats.org/officeDocument/2006/relationships/hyperlink" Target="https://doi.org/10.1073/pnas.2532081123" TargetMode="External"/><Relationship Id="rId386" Type="http://schemas.openxmlformats.org/officeDocument/2006/relationships/hyperlink" Target="https://www.pnas.org/doi/abs/10.1073/pnas.2535161123?mi=eymic2&amp;af=R&amp;access=on&amp;content=articlesChapters&amp;publication=pnas&amp;sortBy=Earliest&amp;target=default" TargetMode="External"/><Relationship Id="rId387" Type="http://schemas.openxmlformats.org/officeDocument/2006/relationships/hyperlink" Target="https://doi.org/10.1073/pnas.2535161123" TargetMode="External"/><Relationship Id="rId388" Type="http://schemas.openxmlformats.org/officeDocument/2006/relationships/hyperlink" Target="https://www.pnas.org/doi/abs/10.1073/pnas.2535185123?mi=eymic2&amp;af=R&amp;access=on&amp;content=articlesChapters&amp;publication=pnas&amp;sortBy=Earliest&amp;target=default" TargetMode="External"/><Relationship Id="rId389" Type="http://schemas.openxmlformats.org/officeDocument/2006/relationships/hyperlink" Target="https://doi.org/10.1073/pnas.2535185123" TargetMode="External"/><Relationship Id="rId390" Type="http://schemas.openxmlformats.org/officeDocument/2006/relationships/hyperlink" Target="https://www.pnas.org/doi/abs/10.1073/pnas.2533317123?mi=eymic2&amp;af=R&amp;access=on&amp;content=articlesChapters&amp;publication=pnas&amp;sortBy=Earliest&amp;target=default" TargetMode="External"/><Relationship Id="rId391" Type="http://schemas.openxmlformats.org/officeDocument/2006/relationships/hyperlink" Target="https://doi.org/10.1073/pnas.2533317123" TargetMode="External"/><Relationship Id="rId392" Type="http://schemas.openxmlformats.org/officeDocument/2006/relationships/hyperlink" Target="https://www.pnas.org/doi/abs/10.1073/pnas.2606687123?mi=eymic2&amp;af=R&amp;access=on&amp;content=articlesChapters&amp;publication=pnas&amp;sortBy=Earliest&amp;target=default" TargetMode="External"/><Relationship Id="rId393" Type="http://schemas.openxmlformats.org/officeDocument/2006/relationships/hyperlink" Target="https://doi.org/10.1073/pnas.2606687123" TargetMode="External"/><Relationship Id="rId394" Type="http://schemas.openxmlformats.org/officeDocument/2006/relationships/hyperlink" Target="https://www.pnas.org/doi/abs/10.1073/pnas.2607267123?mi=eymic2&amp;af=R&amp;access=on&amp;content=articlesChapters&amp;publication=pnas&amp;sortBy=Earliest&amp;target=default" TargetMode="External"/><Relationship Id="rId395" Type="http://schemas.openxmlformats.org/officeDocument/2006/relationships/hyperlink" Target="https://doi.org/10.1073/pnas.2607267123" TargetMode="External"/><Relationship Id="rId396" Type="http://schemas.openxmlformats.org/officeDocument/2006/relationships/hyperlink" Target="https://www.pnas.org/doi/abs/10.1073/pnas.2523965123?mi=eymic2&amp;af=R&amp;access=on&amp;content=articlesChapters&amp;publication=pnas&amp;sortBy=Earliest&amp;target=default" TargetMode="External"/><Relationship Id="rId397" Type="http://schemas.openxmlformats.org/officeDocument/2006/relationships/hyperlink" Target="https://doi.org/10.1073/pnas.2523965123" TargetMode="External"/><Relationship Id="rId398" Type="http://schemas.openxmlformats.org/officeDocument/2006/relationships/hyperlink" Target="https://www.pnas.org/doi/abs/10.1073/pnas.2607272123?mi=eymic2&amp;af=R&amp;access=on&amp;content=articlesChapters&amp;publication=pnas&amp;sortBy=Earliest&amp;target=default" TargetMode="External"/><Relationship Id="rId399" Type="http://schemas.openxmlformats.org/officeDocument/2006/relationships/hyperlink" Target="https://doi.org/10.1073/pnas.2607272123" TargetMode="External"/><Relationship Id="rId400" Type="http://schemas.openxmlformats.org/officeDocument/2006/relationships/hyperlink" Target="https://www.pnas.org/doi/abs/10.1073/pnas.2538071123?mi=eymic2&amp;af=R&amp;access=on&amp;content=articlesChapters&amp;publication=pnas&amp;sortBy=Earliest&amp;target=default" TargetMode="External"/><Relationship Id="rId401" Type="http://schemas.openxmlformats.org/officeDocument/2006/relationships/hyperlink" Target="https://doi.org/10.1073/pnas.2538071123" TargetMode="External"/><Relationship Id="rId402" Type="http://schemas.openxmlformats.org/officeDocument/2006/relationships/hyperlink" Target="https://www.pnas.org/doi/abs/10.1073/pnas.2531916123?mi=eymic2&amp;af=R&amp;access=on&amp;content=articlesChapters&amp;publication=pnas&amp;sortBy=Earliest&amp;target=default" TargetMode="External"/><Relationship Id="rId403" Type="http://schemas.openxmlformats.org/officeDocument/2006/relationships/hyperlink" Target="https://doi.org/10.1073/pnas.2531916123" TargetMode="External"/><Relationship Id="rId404" Type="http://schemas.openxmlformats.org/officeDocument/2006/relationships/hyperlink" Target="https://www.pnas.org/doi/abs/10.1073/pnas.2602692123?mi=eymic2&amp;af=R&amp;access=on&amp;content=articlesChapters&amp;publication=pnas&amp;sortBy=Earliest&amp;target=default" TargetMode="External"/><Relationship Id="rId405" Type="http://schemas.openxmlformats.org/officeDocument/2006/relationships/hyperlink" Target="https://doi.org/10.1073/pnas.2602692123" TargetMode="External"/><Relationship Id="rId406" Type="http://schemas.openxmlformats.org/officeDocument/2006/relationships/hyperlink" Target="https://www.pnas.org/doi/abs/10.1073/pnas.2529600123?mi=eymic2&amp;af=R&amp;access=on&amp;content=articlesChapters&amp;publication=pnas&amp;sortBy=Earliest&amp;target=default" TargetMode="External"/><Relationship Id="rId407" Type="http://schemas.openxmlformats.org/officeDocument/2006/relationships/hyperlink" Target="https://doi.org/10.1073/pnas.2529600123" TargetMode="External"/><Relationship Id="rId408" Type="http://schemas.openxmlformats.org/officeDocument/2006/relationships/hyperlink" Target="https://www.pnas.org/doi/abs/10.1073/pnas.2606859123?mi=eymic2&amp;af=R&amp;access=on&amp;content=articlesChapters&amp;publication=pnas&amp;sortBy=Earliest&amp;target=default" TargetMode="External"/><Relationship Id="rId409" Type="http://schemas.openxmlformats.org/officeDocument/2006/relationships/hyperlink" Target="https://doi.org/10.1073/pnas.2606859123" TargetMode="External"/><Relationship Id="rId410" Type="http://schemas.openxmlformats.org/officeDocument/2006/relationships/hyperlink" Target="https://www.pnas.org/doi/abs/10.1073/pnas.2607269123?mi=eymic2&amp;af=R&amp;access=on&amp;content=articlesChapters&amp;publication=pnas&amp;sortBy=Earliest&amp;target=default" TargetMode="External"/><Relationship Id="rId411" Type="http://schemas.openxmlformats.org/officeDocument/2006/relationships/hyperlink" Target="https://doi.org/10.1073/pnas.2607269123" TargetMode="External"/><Relationship Id="rId412" Type="http://schemas.openxmlformats.org/officeDocument/2006/relationships/hyperlink" Target="https://www.pnas.org/doi/abs/10.1073/pnas.2509692123?mi=eymic2&amp;af=R&amp;access=on&amp;content=articlesChapters&amp;publication=pnas&amp;sortBy=Earliest&amp;target=default" TargetMode="External"/><Relationship Id="rId413" Type="http://schemas.openxmlformats.org/officeDocument/2006/relationships/hyperlink" Target="https://doi.org/10.1073/pnas.2509692123" TargetMode="External"/><Relationship Id="rId414" Type="http://schemas.openxmlformats.org/officeDocument/2006/relationships/hyperlink" Target="https://www.pnas.org/doi/abs/10.1073/pnas.2513356123?mi=eymic2&amp;af=R&amp;access=on&amp;content=articlesChapters&amp;publication=pnas&amp;sortBy=Earliest&amp;target=default" TargetMode="External"/><Relationship Id="rId415" Type="http://schemas.openxmlformats.org/officeDocument/2006/relationships/hyperlink" Target="https://doi.org/10.1073/pnas.2513356123" TargetMode="External"/><Relationship Id="rId416" Type="http://schemas.openxmlformats.org/officeDocument/2006/relationships/hyperlink" Target="https://www.pnas.org/doi/abs/10.1073/pnas.2516469123?mi=eymic2&amp;af=R&amp;access=on&amp;content=articlesChapters&amp;publication=pnas&amp;sortBy=Earliest&amp;target=default" TargetMode="External"/><Relationship Id="rId417" Type="http://schemas.openxmlformats.org/officeDocument/2006/relationships/hyperlink" Target="https://doi.org/10.1073/pnas.2516469123" TargetMode="External"/><Relationship Id="rId418" Type="http://schemas.openxmlformats.org/officeDocument/2006/relationships/hyperlink" Target="https://www.pnas.org/doi/abs/10.1073/pnas.2520745123?mi=eymic2&amp;af=R&amp;access=on&amp;content=articlesChapters&amp;publication=pnas&amp;sortBy=Earliest&amp;target=default" TargetMode="External"/><Relationship Id="rId419" Type="http://schemas.openxmlformats.org/officeDocument/2006/relationships/hyperlink" Target="https://doi.org/10.1073/pnas.2520745123" TargetMode="External"/><Relationship Id="rId420" Type="http://schemas.openxmlformats.org/officeDocument/2006/relationships/hyperlink" Target="https://www.pnas.org/doi/abs/10.1073/pnas.2505519123?mi=eymic2&amp;af=R&amp;access=on&amp;content=articlesChapters&amp;publication=pnas&amp;sortBy=Earliest&amp;target=default" TargetMode="External"/><Relationship Id="rId421" Type="http://schemas.openxmlformats.org/officeDocument/2006/relationships/hyperlink" Target="https://doi.org/10.1073/pnas.2505519123" TargetMode="External"/><Relationship Id="rId422" Type="http://schemas.openxmlformats.org/officeDocument/2006/relationships/hyperlink" Target="https://www.pnas.org/doi/abs/10.1073/pnas.2525717123?mi=eymic2&amp;af=R&amp;access=on&amp;content=articlesChapters&amp;publication=pnas&amp;sortBy=Earliest&amp;target=default" TargetMode="External"/><Relationship Id="rId423" Type="http://schemas.openxmlformats.org/officeDocument/2006/relationships/hyperlink" Target="https://doi.org/10.1073/pnas.2525717123" TargetMode="External"/><Relationship Id="rId424" Type="http://schemas.openxmlformats.org/officeDocument/2006/relationships/hyperlink" Target="https://www.pnas.org/doi/abs/10.1073/pnas.2526367123?mi=eymic2&amp;af=R&amp;access=on&amp;content=articlesChapters&amp;publication=pnas&amp;sortBy=Earliest&amp;target=default" TargetMode="External"/><Relationship Id="rId425" Type="http://schemas.openxmlformats.org/officeDocument/2006/relationships/hyperlink" Target="https://doi.org/10.1073/pnas.2526367123" TargetMode="External"/><Relationship Id="rId426" Type="http://schemas.openxmlformats.org/officeDocument/2006/relationships/hyperlink" Target="https://www.pnas.org/doi/abs/10.1073/pnas.2527700123?mi=eymic2&amp;af=R&amp;access=on&amp;content=articlesChapters&amp;publication=pnas&amp;sortBy=Earliest&amp;target=default" TargetMode="External"/><Relationship Id="rId427" Type="http://schemas.openxmlformats.org/officeDocument/2006/relationships/hyperlink" Target="https://doi.org/10.1073/pnas.2527700123" TargetMode="External"/><Relationship Id="rId428" Type="http://schemas.openxmlformats.org/officeDocument/2006/relationships/hyperlink" Target="https://www.pnas.org/doi/abs/10.1073/pnas.2528176123?mi=eymic2&amp;af=R&amp;access=on&amp;content=articlesChapters&amp;publication=pnas&amp;sortBy=Earliest&amp;target=default" TargetMode="External"/><Relationship Id="rId429" Type="http://schemas.openxmlformats.org/officeDocument/2006/relationships/hyperlink" Target="https://doi.org/10.1073/pnas.2528176123" TargetMode="External"/><Relationship Id="rId430" Type="http://schemas.openxmlformats.org/officeDocument/2006/relationships/hyperlink" Target="https://www.pnas.org/doi/abs/10.1073/pnas.2530325123?mi=eymic2&amp;af=R&amp;access=on&amp;content=articlesChapters&amp;publication=pnas&amp;sortBy=Earliest&amp;target=default" TargetMode="External"/><Relationship Id="rId431" Type="http://schemas.openxmlformats.org/officeDocument/2006/relationships/hyperlink" Target="https://doi.org/10.1073/pnas.2530325123" TargetMode="External"/><Relationship Id="rId432" Type="http://schemas.openxmlformats.org/officeDocument/2006/relationships/hyperlink" Target="https://www.pnas.org/doi/abs/10.1073/pnas.2529531123?mi=eymic2&amp;af=R&amp;access=on&amp;content=articlesChapters&amp;publication=pnas&amp;sortBy=Earliest&amp;target=default" TargetMode="External"/><Relationship Id="rId433" Type="http://schemas.openxmlformats.org/officeDocument/2006/relationships/hyperlink" Target="https://doi.org/10.1073/pnas.2529531123" TargetMode="External"/><Relationship Id="rId434" Type="http://schemas.openxmlformats.org/officeDocument/2006/relationships/hyperlink" Target="https://www.pnas.org/doi/abs/10.1073/pnas.2528672123?mi=eymic2&amp;af=R&amp;access=on&amp;content=articlesChapters&amp;publication=pnas&amp;sortBy=Earliest&amp;target=default" TargetMode="External"/><Relationship Id="rId435" Type="http://schemas.openxmlformats.org/officeDocument/2006/relationships/hyperlink" Target="https://doi.org/10.1073/pnas.2528672123" TargetMode="External"/><Relationship Id="rId436" Type="http://schemas.openxmlformats.org/officeDocument/2006/relationships/hyperlink" Target="https://onlinelibrary.wiley.com/doi/10.1002/adma.73132?af=R" TargetMode="External"/><Relationship Id="rId437" Type="http://schemas.openxmlformats.org/officeDocument/2006/relationships/hyperlink" Target="https://doi.org/10.1002/adma.73132" TargetMode="External"/><Relationship Id="rId438" Type="http://schemas.openxmlformats.org/officeDocument/2006/relationships/hyperlink" Target="https://onlinelibrary.wiley.com/doi/10.1002/anie.5101280?af=R" TargetMode="External"/><Relationship Id="rId439" Type="http://schemas.openxmlformats.org/officeDocument/2006/relationships/hyperlink" Target="https://doi.org/10.1002/anie.5101280" TargetMode="External"/><Relationship Id="rId440" Type="http://schemas.openxmlformats.org/officeDocument/2006/relationships/hyperlink" Target="https://onlinelibrary.wiley.com/doi/10.1002/adma.202512910?af=R" TargetMode="External"/><Relationship Id="rId441" Type="http://schemas.openxmlformats.org/officeDocument/2006/relationships/hyperlink" Target="https://doi.org/10.1002/adma.202512910" TargetMode="External"/><Relationship Id="rId442" Type="http://schemas.openxmlformats.org/officeDocument/2006/relationships/hyperlink" Target="https://onlinelibrary.wiley.com/doi/10.1002/anie.8078052?af=R" TargetMode="External"/><Relationship Id="rId443" Type="http://schemas.openxmlformats.org/officeDocument/2006/relationships/hyperlink" Target="https://doi.org/10.1002/anie.8078052" TargetMode="External"/><Relationship Id="rId444" Type="http://schemas.openxmlformats.org/officeDocument/2006/relationships/hyperlink" Target="https://onlinelibrary.wiley.com/doi/10.1002/adma.73112?af=R" TargetMode="External"/><Relationship Id="rId445" Type="http://schemas.openxmlformats.org/officeDocument/2006/relationships/hyperlink" Target="https://doi.org/10.1002/adma.73112" TargetMode="External"/><Relationship Id="rId446" Type="http://schemas.openxmlformats.org/officeDocument/2006/relationships/hyperlink" Target="https://onlinelibrary.wiley.com/doi/10.1002/anie.1016593?af=R" TargetMode="External"/><Relationship Id="rId447" Type="http://schemas.openxmlformats.org/officeDocument/2006/relationships/hyperlink" Target="https://doi.org/10.1002/anie.1016593" TargetMode="External"/><Relationship Id="rId448" Type="http://schemas.openxmlformats.org/officeDocument/2006/relationships/hyperlink" Target="https://onlinelibrary.wiley.com/doi/10.1002/adma.73129?af=R" TargetMode="External"/><Relationship Id="rId449" Type="http://schemas.openxmlformats.org/officeDocument/2006/relationships/hyperlink" Target="https://doi.org/10.1002/adma.73129" TargetMode="External"/><Relationship Id="rId450" Type="http://schemas.openxmlformats.org/officeDocument/2006/relationships/hyperlink" Target="http://dx.doi.org/10.1021/jacs.5c21741" TargetMode="External"/><Relationship Id="rId451" Type="http://schemas.openxmlformats.org/officeDocument/2006/relationships/hyperlink" Target="https://doi.org/10.1021/jacs.5c21741" TargetMode="External"/><Relationship Id="rId452" Type="http://schemas.openxmlformats.org/officeDocument/2006/relationships/hyperlink" Target="http://dx.doi.org/10.1021/jacs.6c03125" TargetMode="External"/><Relationship Id="rId453" Type="http://schemas.openxmlformats.org/officeDocument/2006/relationships/hyperlink" Target="https://doi.org/10.1021/jacs.6c03125" TargetMode="External"/><Relationship Id="rId454" Type="http://schemas.openxmlformats.org/officeDocument/2006/relationships/hyperlink" Target="http://dx.doi.org/10.1021/jacs.6c02380" TargetMode="External"/><Relationship Id="rId455" Type="http://schemas.openxmlformats.org/officeDocument/2006/relationships/hyperlink" Target="https://doi.org/10.1021/jacs.6c02380" TargetMode="External"/><Relationship Id="rId456" Type="http://schemas.openxmlformats.org/officeDocument/2006/relationships/hyperlink" Target="https://onlinelibrary.wiley.com/doi/10.1002/adma.202523133?af=R" TargetMode="External"/><Relationship Id="rId457" Type="http://schemas.openxmlformats.org/officeDocument/2006/relationships/hyperlink" Target="https://doi.org/10.1002/adma.202523133" TargetMode="External"/><Relationship Id="rId458" Type="http://schemas.openxmlformats.org/officeDocument/2006/relationships/hyperlink" Target="https://pericles.pericles-prod.literatumonline.com/doi/10.1002/aenm.70966?af=R" TargetMode="External"/><Relationship Id="rId459" Type="http://schemas.openxmlformats.org/officeDocument/2006/relationships/hyperlink" Target="https://doi.org/10.1002/aenm.70966" TargetMode="External"/><Relationship Id="rId460" Type="http://schemas.openxmlformats.org/officeDocument/2006/relationships/hyperlink" Target="http://dx.doi.org/10.1021/jacs.6c02017" TargetMode="External"/><Relationship Id="rId461" Type="http://schemas.openxmlformats.org/officeDocument/2006/relationships/hyperlink" Target="https://doi.org/10.1021/jacs.6c02017" TargetMode="External"/><Relationship Id="rId462" Type="http://schemas.openxmlformats.org/officeDocument/2006/relationships/hyperlink" Target="https://onlinelibrary.wiley.com/doi/10.1002/anie.4271452?af=R" TargetMode="External"/><Relationship Id="rId463" Type="http://schemas.openxmlformats.org/officeDocument/2006/relationships/hyperlink" Target="https://doi.org/10.1002/anie.4271452" TargetMode="External"/><Relationship Id="rId464" Type="http://schemas.openxmlformats.org/officeDocument/2006/relationships/hyperlink" Target="https://onlinelibrary.wiley.com/doi/10.1002/anie.202522372?af=R" TargetMode="External"/><Relationship Id="rId465" Type="http://schemas.openxmlformats.org/officeDocument/2006/relationships/hyperlink" Target="https://doi.org/10.1002/anie.202522372" TargetMode="External"/><Relationship Id="rId466" Type="http://schemas.openxmlformats.org/officeDocument/2006/relationships/hyperlink" Target="https://pericles.pericles-prod.literatumonline.com/doi/10.1002/aenm.70967?af=R" TargetMode="External"/><Relationship Id="rId467" Type="http://schemas.openxmlformats.org/officeDocument/2006/relationships/hyperlink" Target="https://doi.org/10.1002/aenm.70967" TargetMode="External"/><Relationship Id="rId468" Type="http://schemas.openxmlformats.org/officeDocument/2006/relationships/hyperlink" Target="https://onlinelibrary.wiley.com/doi/10.1002/anie.3863987?af=R" TargetMode="External"/><Relationship Id="rId469" Type="http://schemas.openxmlformats.org/officeDocument/2006/relationships/hyperlink" Target="https://doi.org/10.1002/anie.3863987" TargetMode="External"/><Relationship Id="rId470" Type="http://schemas.openxmlformats.org/officeDocument/2006/relationships/hyperlink" Target="https://onlinelibrary.wiley.com/doi/10.1002/anie.5954994?af=R" TargetMode="External"/><Relationship Id="rId471" Type="http://schemas.openxmlformats.org/officeDocument/2006/relationships/hyperlink" Target="https://doi.org/10.1002/anie.5954994" TargetMode="External"/><Relationship Id="rId472" Type="http://schemas.openxmlformats.org/officeDocument/2006/relationships/hyperlink" Target="https://onlinelibrary.wiley.com/doi/10.1002/anie.7025421?af=R" TargetMode="External"/><Relationship Id="rId473" Type="http://schemas.openxmlformats.org/officeDocument/2006/relationships/hyperlink" Target="https://doi.org/10.1002/anie.7025421" TargetMode="External"/><Relationship Id="rId474" Type="http://schemas.openxmlformats.org/officeDocument/2006/relationships/hyperlink" Target="https://onlinelibrary.wiley.com/doi/10.1002/anie.2319269?af=R" TargetMode="External"/><Relationship Id="rId475" Type="http://schemas.openxmlformats.org/officeDocument/2006/relationships/hyperlink" Target="https://doi.org/10.1002/anie.2319269" TargetMode="External"/><Relationship Id="rId476" Type="http://schemas.openxmlformats.org/officeDocument/2006/relationships/hyperlink" Target="https://onlinelibrary.wiley.com/doi/10.1002/anie.5931335?af=R" TargetMode="External"/><Relationship Id="rId477" Type="http://schemas.openxmlformats.org/officeDocument/2006/relationships/hyperlink" Target="https://doi.org/10.1002/anie.5931335" TargetMode="External"/><Relationship Id="rId478" Type="http://schemas.openxmlformats.org/officeDocument/2006/relationships/hyperlink" Target="https://onlinelibrary.wiley.com/doi/10.1002/anie.4468205?af=R" TargetMode="External"/><Relationship Id="rId479" Type="http://schemas.openxmlformats.org/officeDocument/2006/relationships/hyperlink" Target="https://doi.org/10.1002/anie.4468205" TargetMode="External"/><Relationship Id="rId480" Type="http://schemas.openxmlformats.org/officeDocument/2006/relationships/hyperlink" Target="https://onlinelibrary.wiley.com/doi/10.1002/anie.202520304?af=R" TargetMode="External"/><Relationship Id="rId481" Type="http://schemas.openxmlformats.org/officeDocument/2006/relationships/hyperlink" Target="https://doi.org/10.1002/anie.202520304" TargetMode="External"/><Relationship Id="rId482" Type="http://schemas.openxmlformats.org/officeDocument/2006/relationships/hyperlink" Target="http://dx.doi.org/10.1021/jacs.5c21832" TargetMode="External"/><Relationship Id="rId483" Type="http://schemas.openxmlformats.org/officeDocument/2006/relationships/hyperlink" Target="https://doi.org/10.1021/jacs.5c21832" TargetMode="External"/><Relationship Id="rId484" Type="http://schemas.openxmlformats.org/officeDocument/2006/relationships/hyperlink" Target="http://dx.doi.org/10.1021/jacs.6c02716" TargetMode="External"/><Relationship Id="rId485" Type="http://schemas.openxmlformats.org/officeDocument/2006/relationships/hyperlink" Target="https://doi.org/10.1021/jacs.6c02716" TargetMode="External"/><Relationship Id="rId486" Type="http://schemas.openxmlformats.org/officeDocument/2006/relationships/hyperlink" Target="https://onlinelibrary.wiley.com/doi/10.1002/anie.4717774?af=R" TargetMode="External"/><Relationship Id="rId487" Type="http://schemas.openxmlformats.org/officeDocument/2006/relationships/hyperlink" Target="https://doi.org/10.1002/anie.4717774" TargetMode="External"/><Relationship Id="rId488" Type="http://schemas.openxmlformats.org/officeDocument/2006/relationships/hyperlink" Target="https://onlinelibrary.wiley.com/doi/10.1002/anie.7480690?af=R" TargetMode="External"/><Relationship Id="rId489" Type="http://schemas.openxmlformats.org/officeDocument/2006/relationships/hyperlink" Target="https://doi.org/10.1002/anie.7480690" TargetMode="External"/><Relationship Id="rId490" Type="http://schemas.openxmlformats.org/officeDocument/2006/relationships/hyperlink" Target="http://dx.doi.org/10.1021/jacs.6c01648" TargetMode="External"/><Relationship Id="rId491" Type="http://schemas.openxmlformats.org/officeDocument/2006/relationships/hyperlink" Target="https://doi.org/10.1021/jacs.6c01648" TargetMode="External"/><Relationship Id="rId492" Type="http://schemas.openxmlformats.org/officeDocument/2006/relationships/hyperlink" Target="https://onlinelibrary.wiley.com/doi/10.1002/anie.7903390?af=R" TargetMode="External"/><Relationship Id="rId493" Type="http://schemas.openxmlformats.org/officeDocument/2006/relationships/hyperlink" Target="https://doi.org/10.1002/anie.7903390" TargetMode="External"/><Relationship Id="rId494" Type="http://schemas.openxmlformats.org/officeDocument/2006/relationships/hyperlink" Target="https://onlinelibrary.wiley.com/doi/10.1002/adma.73151?af=R" TargetMode="External"/><Relationship Id="rId495" Type="http://schemas.openxmlformats.org/officeDocument/2006/relationships/hyperlink" Target="https://doi.org/10.1002/adma.73151" TargetMode="External"/><Relationship Id="rId496" Type="http://schemas.openxmlformats.org/officeDocument/2006/relationships/hyperlink" Target="https://onlinelibrary.wiley.com/doi/10.1002/adma.202522706?af=R" TargetMode="External"/><Relationship Id="rId497" Type="http://schemas.openxmlformats.org/officeDocument/2006/relationships/hyperlink" Target="https://doi.org/10.1002/adma.202522706" TargetMode="External"/><Relationship Id="rId498" Type="http://schemas.openxmlformats.org/officeDocument/2006/relationships/hyperlink" Target="https://onlinelibrary.wiley.com/doi/10.1002/anie.7924702?af=R" TargetMode="External"/><Relationship Id="rId499" Type="http://schemas.openxmlformats.org/officeDocument/2006/relationships/hyperlink" Target="https://doi.org/10.1002/anie.7924702" TargetMode="External"/><Relationship Id="rId500" Type="http://schemas.openxmlformats.org/officeDocument/2006/relationships/hyperlink" Target="https://onlinelibrary.wiley.com/doi/10.1002/anie.4772250?af=R" TargetMode="External"/><Relationship Id="rId501" Type="http://schemas.openxmlformats.org/officeDocument/2006/relationships/hyperlink" Target="https://doi.org/10.1002/anie.4772250" TargetMode="External"/><Relationship Id="rId502" Type="http://schemas.openxmlformats.org/officeDocument/2006/relationships/hyperlink" Target="http://dx.doi.org/10.1021/jacs.6c01171" TargetMode="External"/><Relationship Id="rId503" Type="http://schemas.openxmlformats.org/officeDocument/2006/relationships/hyperlink" Target="https://doi.org/10.1021/jacs.6c01171" TargetMode="External"/><Relationship Id="rId504" Type="http://schemas.openxmlformats.org/officeDocument/2006/relationships/hyperlink" Target="http://dx.doi.org/10.1021/jacs.6c02180" TargetMode="External"/><Relationship Id="rId505" Type="http://schemas.openxmlformats.org/officeDocument/2006/relationships/hyperlink" Target="https://doi.org/10.1021/jacs.6c02180" TargetMode="External"/><Relationship Id="rId506" Type="http://schemas.openxmlformats.org/officeDocument/2006/relationships/hyperlink" Target="http://dx.doi.org/10.1021/jacs.5c22975" TargetMode="External"/><Relationship Id="rId507" Type="http://schemas.openxmlformats.org/officeDocument/2006/relationships/hyperlink" Target="https://doi.org/10.1021/jacs.5c22975" TargetMode="External"/><Relationship Id="rId508" Type="http://schemas.openxmlformats.org/officeDocument/2006/relationships/hyperlink" Target="http://dx.doi.org/10.1021/jacs.5c22985" TargetMode="External"/><Relationship Id="rId509" Type="http://schemas.openxmlformats.org/officeDocument/2006/relationships/hyperlink" Target="https://doi.org/10.1021/jacs.5c22985" TargetMode="External"/><Relationship Id="rId510" Type="http://schemas.openxmlformats.org/officeDocument/2006/relationships/hyperlink" Target="http://dx.doi.org/10.1021/jacs.6c01874" TargetMode="External"/><Relationship Id="rId511" Type="http://schemas.openxmlformats.org/officeDocument/2006/relationships/hyperlink" Target="https://doi.org/10.1021/jacs.6c01874" TargetMode="External"/><Relationship Id="rId512" Type="http://schemas.openxmlformats.org/officeDocument/2006/relationships/hyperlink" Target="http://dx.doi.org/10.1021/jacs.6c01470" TargetMode="External"/><Relationship Id="rId513" Type="http://schemas.openxmlformats.org/officeDocument/2006/relationships/hyperlink" Target="https://doi.org/10.1021/jacs.6c01470" TargetMode="External"/><Relationship Id="rId514" Type="http://schemas.openxmlformats.org/officeDocument/2006/relationships/hyperlink" Target="http://dx.doi.org/10.1021/jacs.6c03508" TargetMode="External"/><Relationship Id="rId515" Type="http://schemas.openxmlformats.org/officeDocument/2006/relationships/hyperlink" Target="https://doi.org/10.1021/jacs.6c03508" TargetMode="External"/><Relationship Id="rId516" Type="http://schemas.openxmlformats.org/officeDocument/2006/relationships/hyperlink" Target="http://pubs.rsc.org/en/Content/ArticleLanding/2026/EE/D6EE00488A" TargetMode="External"/><Relationship Id="rId517" Type="http://schemas.openxmlformats.org/officeDocument/2006/relationships/hyperlink" Target="https://www.cell.com/chem/fulltext/S2451-9294(26)00104-X?rss=yes" TargetMode="External"/><Relationship Id="rId518" Type="http://schemas.openxmlformats.org/officeDocument/2006/relationships/hyperlink" Target="https://doi.org/10.1016/j.chempr.2026.103038" TargetMode="External"/><Relationship Id="rId519" Type="http://schemas.openxmlformats.org/officeDocument/2006/relationships/hyperlink" Target="https://www.nature.com/articles/d41586-026-01257-6" TargetMode="External"/><Relationship Id="rId520" Type="http://schemas.openxmlformats.org/officeDocument/2006/relationships/hyperlink" Target="https://doi.org/10.1038/d41586-026-01257-6" TargetMode="External"/><Relationship Id="rId521" Type="http://schemas.openxmlformats.org/officeDocument/2006/relationships/hyperlink" Target="https://www.nature.com/articles/d41586-026-01243-y" TargetMode="External"/><Relationship Id="rId522" Type="http://schemas.openxmlformats.org/officeDocument/2006/relationships/hyperlink" Target="https://doi.org/10.1038/d41586-026-01243-y" TargetMode="External"/><Relationship Id="rId523" Type="http://schemas.openxmlformats.org/officeDocument/2006/relationships/hyperlink" Target="https://www.nature.com/articles/d41586-026-01331-z" TargetMode="External"/><Relationship Id="rId524" Type="http://schemas.openxmlformats.org/officeDocument/2006/relationships/hyperlink" Target="https://doi.org/10.1038/d41586-026-01331-z" TargetMode="External"/><Relationship Id="rId525" Type="http://schemas.openxmlformats.org/officeDocument/2006/relationships/hyperlink" Target="https://academic.oup.com/nsr/advance-article/doi/10.1093/nsr/nwag234/8660078?rss=1" TargetMode="External"/><Relationship Id="rId526" Type="http://schemas.openxmlformats.org/officeDocument/2006/relationships/hyperlink" Target="https://doi.org/10.1093/nsr/nwag234" TargetMode="External"/><Relationship Id="rId527" Type="http://schemas.openxmlformats.org/officeDocument/2006/relationships/hyperlink" Target="https://www.nature.com/articles/d41586-026-01286-1" TargetMode="External"/><Relationship Id="rId528" Type="http://schemas.openxmlformats.org/officeDocument/2006/relationships/hyperlink" Target="https://doi.org/10.1038/d41586-026-01286-1" TargetMode="External"/><Relationship Id="rId529" Type="http://schemas.openxmlformats.org/officeDocument/2006/relationships/hyperlink" Target="https://www.nature.com/articles/d41586-026-01253-w" TargetMode="External"/><Relationship Id="rId530" Type="http://schemas.openxmlformats.org/officeDocument/2006/relationships/hyperlink" Target="https://doi.org/10.1038/d41586-026-01253-w" TargetMode="External"/><Relationship Id="rId531" Type="http://schemas.openxmlformats.org/officeDocument/2006/relationships/hyperlink" Target="https://www.nature.com/articles/d41586-026-01284-3" TargetMode="External"/><Relationship Id="rId532" Type="http://schemas.openxmlformats.org/officeDocument/2006/relationships/hyperlink" Target="https://doi.org/10.1038/d41586-026-01284-3" TargetMode="External"/><Relationship Id="rId533" Type="http://schemas.openxmlformats.org/officeDocument/2006/relationships/hyperlink" Target="https://www.cell.com/matter/fulltext/S2590-2385(26)00160-8?rss=yes" TargetMode="External"/><Relationship Id="rId534" Type="http://schemas.openxmlformats.org/officeDocument/2006/relationships/hyperlink" Target="https://doi.org/10.1016/j.matt.2026.102797" TargetMode="External"/><Relationship Id="rId535" Type="http://schemas.openxmlformats.org/officeDocument/2006/relationships/hyperlink" Target="https://academic.oup.com/nsr/advance-article/doi/10.1093/nsr/nwag237/8660110?rss=1" TargetMode="External"/><Relationship Id="rId536" Type="http://schemas.openxmlformats.org/officeDocument/2006/relationships/hyperlink" Target="https://doi.org/10.1093/nsr/nwag237" TargetMode="External"/><Relationship Id="rId537" Type="http://schemas.openxmlformats.org/officeDocument/2006/relationships/hyperlink" Target="https://www.nature.com/articles/d41586-026-00915-z" TargetMode="External"/><Relationship Id="rId538" Type="http://schemas.openxmlformats.org/officeDocument/2006/relationships/hyperlink" Target="https://doi.org/10.1038/d41586-026-00915-z" TargetMode="External"/><Relationship Id="rId539" Type="http://schemas.openxmlformats.org/officeDocument/2006/relationships/hyperlink" Target="https://academic.oup.com/nsr/advance-article/doi/10.1093/nsr/nwag235/8660086?rss=1" TargetMode="External"/><Relationship Id="rId540" Type="http://schemas.openxmlformats.org/officeDocument/2006/relationships/hyperlink" Target="https://doi.org/10.1093/nsr/nwag235" TargetMode="External"/><Relationship Id="rId541" Type="http://schemas.openxmlformats.org/officeDocument/2006/relationships/hyperlink" Target="https://www.sciencedirect.com/science/article/pii/S0306261926005684?dgcid=rss_sd_all" TargetMode="External"/><Relationship Id="rId542" Type="http://schemas.openxmlformats.org/officeDocument/2006/relationships/hyperlink" Target="https://www.sciencedirect.com/science/article/pii/S0306261926005660?dgcid=rss_sd_all" TargetMode="External"/><Relationship Id="rId543" Type="http://schemas.openxmlformats.org/officeDocument/2006/relationships/hyperlink" Target="https://www.nature.com/articles/s41557-026-02149-y" TargetMode="External"/><Relationship Id="rId544" Type="http://schemas.openxmlformats.org/officeDocument/2006/relationships/hyperlink" Target="https://doi.org/10.1038/s41557-026-02149-y" TargetMode="External"/><Relationship Id="rId545" Type="http://schemas.openxmlformats.org/officeDocument/2006/relationships/hyperlink" Target="https://onlinelibrary.wiley.com/doi/10.1002/anie.5302087?af=R" TargetMode="External"/><Relationship Id="rId546" Type="http://schemas.openxmlformats.org/officeDocument/2006/relationships/hyperlink" Target="https://doi.org/10.1002/anie.5302087" TargetMode="External"/><Relationship Id="rId547" Type="http://schemas.openxmlformats.org/officeDocument/2006/relationships/hyperlink" Target="https://onlinelibrary.wiley.com/doi/10.1002/anie.7358043?af=R" TargetMode="External"/><Relationship Id="rId548" Type="http://schemas.openxmlformats.org/officeDocument/2006/relationships/hyperlink" Target="https://doi.org/10.1002/anie.7358043" TargetMode="External"/><Relationship Id="rId549" Type="http://schemas.openxmlformats.org/officeDocument/2006/relationships/hyperlink" Target="https://onlinelibrary.wiley.com/doi/10.1002/anie.4011249?af=R" TargetMode="External"/><Relationship Id="rId550" Type="http://schemas.openxmlformats.org/officeDocument/2006/relationships/hyperlink" Target="https://doi.org/10.1002/anie.4011249" TargetMode="External"/><Relationship Id="rId551" Type="http://schemas.openxmlformats.org/officeDocument/2006/relationships/hyperlink" Target="https://onlinelibrary.wiley.com/doi/10.1002/anie.4448961?af=R" TargetMode="External"/><Relationship Id="rId552" Type="http://schemas.openxmlformats.org/officeDocument/2006/relationships/hyperlink" Target="https://doi.org/10.1002/anie.4448961" TargetMode="External"/><Relationship Id="rId553" Type="http://schemas.openxmlformats.org/officeDocument/2006/relationships/hyperlink" Target="https://onlinelibrary.wiley.com/doi/10.1002/anie.5670116?af=R" TargetMode="External"/><Relationship Id="rId554" Type="http://schemas.openxmlformats.org/officeDocument/2006/relationships/hyperlink" Target="https://doi.org/10.1002/anie.5670116" TargetMode="External"/><Relationship Id="rId555" Type="http://schemas.openxmlformats.org/officeDocument/2006/relationships/hyperlink" Target="https://onlinelibrary.wiley.com/doi/10.1002/anie.202524447?af=R" TargetMode="External"/><Relationship Id="rId556" Type="http://schemas.openxmlformats.org/officeDocument/2006/relationships/hyperlink" Target="https://doi.org/10.1002/anie.202524447" TargetMode="External"/><Relationship Id="rId557" Type="http://schemas.openxmlformats.org/officeDocument/2006/relationships/hyperlink" Target="https://www.pnas.org/doi/abs/10.1073/pnas.2535044123?mi=eymic2&amp;af=R&amp;access=on&amp;content=articlesChapters&amp;publication=pnas&amp;sortBy=Earliest&amp;target=default" TargetMode="External"/><Relationship Id="rId558" Type="http://schemas.openxmlformats.org/officeDocument/2006/relationships/hyperlink" Target="https://doi.org/10.1073/pnas.2535044123" TargetMode="External"/><Relationship Id="rId559" Type="http://schemas.openxmlformats.org/officeDocument/2006/relationships/hyperlink" Target="https://www.pnas.org/doi/abs/10.1073/pnas.2527937123?mi=eymic2&amp;af=R&amp;access=on&amp;content=articlesChapters&amp;publication=pnas&amp;sortBy=Earliest&amp;target=default" TargetMode="External"/><Relationship Id="rId560" Type="http://schemas.openxmlformats.org/officeDocument/2006/relationships/hyperlink" Target="https://doi.org/10.1073/pnas.2527937123" TargetMode="External"/><Relationship Id="rId561" Type="http://schemas.openxmlformats.org/officeDocument/2006/relationships/hyperlink" Target="https://www.pnas.org/doi/abs/10.1073/pnas.2528396123?mi=eymic2&amp;af=R&amp;access=on&amp;content=articlesChapters&amp;publication=pnas&amp;sortBy=Earliest&amp;target=default" TargetMode="External"/><Relationship Id="rId562" Type="http://schemas.openxmlformats.org/officeDocument/2006/relationships/hyperlink" Target="https://doi.org/10.1073/pnas.2528396123" TargetMode="External"/><Relationship Id="rId563" Type="http://schemas.openxmlformats.org/officeDocument/2006/relationships/hyperlink" Target="https://www.pnas.org/doi/abs/10.1073/pnas.2530454123?mi=eymic2&amp;af=R&amp;access=on&amp;content=articlesChapters&amp;publication=pnas&amp;sortBy=Earliest&amp;target=default" TargetMode="External"/><Relationship Id="rId564" Type="http://schemas.openxmlformats.org/officeDocument/2006/relationships/hyperlink" Target="https://doi.org/10.1073/pnas.2530454123" TargetMode="External"/><Relationship Id="rId565" Type="http://schemas.openxmlformats.org/officeDocument/2006/relationships/hyperlink" Target="https://www.pnas.org/doi/abs/10.1073/pnas.2530862123?mi=eymic2&amp;af=R&amp;access=on&amp;content=articlesChapters&amp;publication=pnas&amp;sortBy=Earliest&amp;target=default" TargetMode="External"/><Relationship Id="rId566" Type="http://schemas.openxmlformats.org/officeDocument/2006/relationships/hyperlink" Target="https://doi.org/10.1073/pnas.2530862123" TargetMode="External"/><Relationship Id="rId567" Type="http://schemas.openxmlformats.org/officeDocument/2006/relationships/hyperlink" Target="https://www.pnas.org/doi/abs/10.1073/pnas.2532437123?mi=eymic2&amp;af=R&amp;access=on&amp;content=articlesChapters&amp;publication=pnas&amp;sortBy=Earliest&amp;target=default" TargetMode="External"/><Relationship Id="rId568" Type="http://schemas.openxmlformats.org/officeDocument/2006/relationships/hyperlink" Target="https://doi.org/10.1073/pnas.2532437123" TargetMode="External"/><Relationship Id="rId569" Type="http://schemas.openxmlformats.org/officeDocument/2006/relationships/hyperlink" Target="https://www.pnas.org/doi/abs/10.1073/pnas.2532988123?mi=eymic2&amp;af=R&amp;access=on&amp;content=articlesChapters&amp;publication=pnas&amp;sortBy=Earliest&amp;target=default" TargetMode="External"/><Relationship Id="rId570" Type="http://schemas.openxmlformats.org/officeDocument/2006/relationships/hyperlink" Target="https://doi.org/10.1073/pnas.2532988123" TargetMode="External"/><Relationship Id="rId571" Type="http://schemas.openxmlformats.org/officeDocument/2006/relationships/hyperlink" Target="https://www.pnas.org/doi/abs/10.1073/pnas.2533705123?mi=eymic2&amp;af=R&amp;access=on&amp;content=articlesChapters&amp;publication=pnas&amp;sortBy=Earliest&amp;target=default" TargetMode="External"/><Relationship Id="rId572" Type="http://schemas.openxmlformats.org/officeDocument/2006/relationships/hyperlink" Target="https://doi.org/10.1073/pnas.2533705123" TargetMode="External"/><Relationship Id="rId573" Type="http://schemas.openxmlformats.org/officeDocument/2006/relationships/hyperlink" Target="https://www.pnas.org/doi/abs/10.1073/pnas.2534610123?mi=eymic2&amp;af=R&amp;access=on&amp;content=articlesChapters&amp;publication=pnas&amp;sortBy=Earliest&amp;target=default" TargetMode="External"/><Relationship Id="rId574" Type="http://schemas.openxmlformats.org/officeDocument/2006/relationships/hyperlink" Target="https://doi.org/10.1073/pnas.2534610123" TargetMode="External"/><Relationship Id="rId575" Type="http://schemas.openxmlformats.org/officeDocument/2006/relationships/hyperlink" Target="https://www.pnas.org/doi/abs/10.1073/pnas.2534432123?mi=eymic2&amp;af=R&amp;access=on&amp;content=articlesChapters&amp;publication=pnas&amp;sortBy=Earliest&amp;target=default" TargetMode="External"/><Relationship Id="rId576" Type="http://schemas.openxmlformats.org/officeDocument/2006/relationships/hyperlink" Target="https://doi.org/10.1073/pnas.2534432123" TargetMode="External"/><Relationship Id="rId577" Type="http://schemas.openxmlformats.org/officeDocument/2006/relationships/hyperlink" Target="https://www.pnas.org/doi/abs/10.1073/pnas.2523032123?mi=eymic2&amp;af=R&amp;access=on&amp;content=articlesChapters&amp;publication=pnas&amp;sortBy=Earliest&amp;target=default" TargetMode="External"/><Relationship Id="rId578" Type="http://schemas.openxmlformats.org/officeDocument/2006/relationships/hyperlink" Target="https://doi.org/10.1073/pnas.2523032123" TargetMode="External"/><Relationship Id="rId579" Type="http://schemas.openxmlformats.org/officeDocument/2006/relationships/hyperlink" Target="https://www.pnas.org/doi/abs/10.1073/pnas.2602504123?mi=eymic2&amp;af=R&amp;access=on&amp;content=articlesChapters&amp;publication=pnas&amp;sortBy=Earliest&amp;target=default" TargetMode="External"/><Relationship Id="rId580" Type="http://schemas.openxmlformats.org/officeDocument/2006/relationships/hyperlink" Target="https://doi.org/10.1073/pnas.2602504123" TargetMode="External"/><Relationship Id="rId581" Type="http://schemas.openxmlformats.org/officeDocument/2006/relationships/hyperlink" Target="https://www.pnas.org/doi/abs/10.1073/pnas.2524626123?mi=eymic2&amp;af=R&amp;access=on&amp;content=articlesChapters&amp;publication=pnas&amp;sortBy=Earliest&amp;target=default" TargetMode="External"/><Relationship Id="rId582" Type="http://schemas.openxmlformats.org/officeDocument/2006/relationships/hyperlink" Target="https://doi.org/10.1073/pnas.2524626123" TargetMode="External"/><Relationship Id="rId583" Type="http://schemas.openxmlformats.org/officeDocument/2006/relationships/hyperlink" Target="https://www.pnas.org/doi/abs/10.1073/pnas.2602824123?mi=eymic2&amp;af=R&amp;access=on&amp;content=articlesChapters&amp;publication=pnas&amp;sortBy=Earliest&amp;target=default" TargetMode="External"/><Relationship Id="rId584" Type="http://schemas.openxmlformats.org/officeDocument/2006/relationships/hyperlink" Target="https://doi.org/10.1073/pnas.2602824123" TargetMode="External"/><Relationship Id="rId585" Type="http://schemas.openxmlformats.org/officeDocument/2006/relationships/hyperlink" Target="https://www.pnas.org/doi/abs/10.1073/pnas.2520332123?mi=eymic2&amp;af=R&amp;access=on&amp;content=articlesChapters&amp;publication=pnas&amp;sortBy=Earliest&amp;target=default" TargetMode="External"/><Relationship Id="rId586" Type="http://schemas.openxmlformats.org/officeDocument/2006/relationships/hyperlink" Target="https://doi.org/10.1073/pnas.2520332123" TargetMode="External"/><Relationship Id="rId587" Type="http://schemas.openxmlformats.org/officeDocument/2006/relationships/hyperlink" Target="https://www.pnas.org/doi/abs/10.1073/pnas.2500506123?mi=eymic2&amp;af=R&amp;access=on&amp;content=articlesChapters&amp;publication=pnas&amp;sortBy=Earliest&amp;target=default" TargetMode="External"/><Relationship Id="rId588" Type="http://schemas.openxmlformats.org/officeDocument/2006/relationships/hyperlink" Target="https://doi.org/10.1073/pnas.2500506123" TargetMode="External"/><Relationship Id="rId589" Type="http://schemas.openxmlformats.org/officeDocument/2006/relationships/hyperlink" Target="https://www.pnas.org/doi/abs/10.1073/iti1626123?mi=eymic2&amp;af=R&amp;access=on&amp;content=articlesChapters&amp;publication=pnas&amp;sortBy=Earliest&amp;target=default" TargetMode="External"/><Relationship Id="rId590" Type="http://schemas.openxmlformats.org/officeDocument/2006/relationships/hyperlink" Target="https://doi.org/10.1073/iti1626123" TargetMode="External"/><Relationship Id="rId591" Type="http://schemas.openxmlformats.org/officeDocument/2006/relationships/hyperlink" Target="https://www.pnas.org/doi/abs/10.1073/pnas.2533752123?mi=eymic2&amp;af=R&amp;access=on&amp;content=articlesChapters&amp;publication=pnas&amp;sortBy=Earliest&amp;target=default" TargetMode="External"/><Relationship Id="rId592" Type="http://schemas.openxmlformats.org/officeDocument/2006/relationships/hyperlink" Target="https://doi.org/10.1073/pnas.2533752123" TargetMode="External"/><Relationship Id="rId593" Type="http://schemas.openxmlformats.org/officeDocument/2006/relationships/hyperlink" Target="https://www.pnas.org/doi/abs/10.1073/pnas.2513674123?mi=eymic2&amp;af=R&amp;access=on&amp;content=articlesChapters&amp;publication=pnas&amp;sortBy=Earliest&amp;target=default" TargetMode="External"/><Relationship Id="rId594" Type="http://schemas.openxmlformats.org/officeDocument/2006/relationships/hyperlink" Target="https://doi.org/10.1073/pnas.2513674123" TargetMode="External"/><Relationship Id="rId595" Type="http://schemas.openxmlformats.org/officeDocument/2006/relationships/hyperlink" Target="http://dx.doi.org/10.1021/jacs.5c23313" TargetMode="External"/><Relationship Id="rId596" Type="http://schemas.openxmlformats.org/officeDocument/2006/relationships/hyperlink" Target="https://doi.org/10.1021/jacs.5c23313" TargetMode="External"/><Relationship Id="rId597" Type="http://schemas.openxmlformats.org/officeDocument/2006/relationships/hyperlink" Target="http://dx.doi.org/10.1021/jacs.6c01919" TargetMode="External"/><Relationship Id="rId598" Type="http://schemas.openxmlformats.org/officeDocument/2006/relationships/hyperlink" Target="https://doi.org/10.1021/jacs.6c01919" TargetMode="External"/><Relationship Id="rId599" Type="http://schemas.openxmlformats.org/officeDocument/2006/relationships/hyperlink" Target="http://dx.doi.org/10.1021/jacs.6c04229" TargetMode="External"/><Relationship Id="rId600" Type="http://schemas.openxmlformats.org/officeDocument/2006/relationships/hyperlink" Target="https://doi.org/10.1021/jacs.6c04229" TargetMode="External"/><Relationship Id="rId601" Type="http://schemas.openxmlformats.org/officeDocument/2006/relationships/hyperlink" Target="https://onlinelibrary.wiley.com/doi/10.1002/adma.73163?af=R" TargetMode="External"/><Relationship Id="rId602" Type="http://schemas.openxmlformats.org/officeDocument/2006/relationships/hyperlink" Target="https://doi.org/10.1002/adma.73163" TargetMode="External"/><Relationship Id="rId603" Type="http://schemas.openxmlformats.org/officeDocument/2006/relationships/hyperlink" Target="https://onlinelibrary.wiley.com/doi/10.1002/adma.202518525?af=R" TargetMode="External"/><Relationship Id="rId604" Type="http://schemas.openxmlformats.org/officeDocument/2006/relationships/hyperlink" Target="https://doi.org/10.1002/adma.202518525" TargetMode="External"/><Relationship Id="rId605" Type="http://schemas.openxmlformats.org/officeDocument/2006/relationships/hyperlink" Target="http://dx.doi.org/10.1021/jacs.6c04539" TargetMode="External"/><Relationship Id="rId606" Type="http://schemas.openxmlformats.org/officeDocument/2006/relationships/hyperlink" Target="https://doi.org/10.1021/jacs.6c04539" TargetMode="External"/><Relationship Id="rId607" Type="http://schemas.openxmlformats.org/officeDocument/2006/relationships/hyperlink" Target="https://onlinelibrary.wiley.com/doi/10.1002/adma.73167?af=R" TargetMode="External"/><Relationship Id="rId608" Type="http://schemas.openxmlformats.org/officeDocument/2006/relationships/hyperlink" Target="https://doi.org/10.1002/adma.73167" TargetMode="External"/><Relationship Id="rId609" Type="http://schemas.openxmlformats.org/officeDocument/2006/relationships/hyperlink" Target="https://onlinelibrary.wiley.com/doi/10.1002/anie.3901040?af=R" TargetMode="External"/><Relationship Id="rId610" Type="http://schemas.openxmlformats.org/officeDocument/2006/relationships/hyperlink" Target="https://doi.org/10.1002/anie.3901040" TargetMode="External"/><Relationship Id="rId611" Type="http://schemas.openxmlformats.org/officeDocument/2006/relationships/hyperlink" Target="https://onlinelibrary.wiley.com/doi/10.1002/adma.202523302?af=R" TargetMode="External"/><Relationship Id="rId612" Type="http://schemas.openxmlformats.org/officeDocument/2006/relationships/hyperlink" Target="https://doi.org/10.1002/adma.202523302" TargetMode="External"/><Relationship Id="rId613" Type="http://schemas.openxmlformats.org/officeDocument/2006/relationships/hyperlink" Target="https://onlinelibrary.wiley.com/doi/10.1002/adma.202516328?af=R" TargetMode="External"/><Relationship Id="rId614" Type="http://schemas.openxmlformats.org/officeDocument/2006/relationships/hyperlink" Target="https://doi.org/10.1002/adma.202516328" TargetMode="External"/><Relationship Id="rId615" Type="http://schemas.openxmlformats.org/officeDocument/2006/relationships/hyperlink" Target="https://onlinelibrary.wiley.com/doi/10.1002/adma.202519122?af=R" TargetMode="External"/><Relationship Id="rId616" Type="http://schemas.openxmlformats.org/officeDocument/2006/relationships/hyperlink" Target="https://doi.org/10.1002/adma.202519122" TargetMode="External"/><Relationship Id="rId617" Type="http://schemas.openxmlformats.org/officeDocument/2006/relationships/hyperlink" Target="https://onlinelibrary.wiley.com/doi/10.1002/anie.7684555?af=R" TargetMode="External"/><Relationship Id="rId618" Type="http://schemas.openxmlformats.org/officeDocument/2006/relationships/hyperlink" Target="https://doi.org/10.1002/anie.7684555" TargetMode="External"/><Relationship Id="rId619" Type="http://schemas.openxmlformats.org/officeDocument/2006/relationships/hyperlink" Target="https://pericles.pericles-prod.literatumonline.com/doi/10.1002/aenm.70975?af=R" TargetMode="External"/><Relationship Id="rId620" Type="http://schemas.openxmlformats.org/officeDocument/2006/relationships/hyperlink" Target="https://doi.org/10.1002/aenm.70975" TargetMode="External"/><Relationship Id="rId621" Type="http://schemas.openxmlformats.org/officeDocument/2006/relationships/hyperlink" Target="https://onlinelibrary.wiley.com/doi/10.1002/adma.73128?af=R" TargetMode="External"/><Relationship Id="rId622" Type="http://schemas.openxmlformats.org/officeDocument/2006/relationships/hyperlink" Target="https://doi.org/10.1002/adma.73128" TargetMode="External"/><Relationship Id="rId623" Type="http://schemas.openxmlformats.org/officeDocument/2006/relationships/hyperlink" Target="https://onlinelibrary.wiley.com/doi/10.1002/adma.202600018?af=R" TargetMode="External"/><Relationship Id="rId624" Type="http://schemas.openxmlformats.org/officeDocument/2006/relationships/hyperlink" Target="https://doi.org/10.1002/adma.202600018" TargetMode="External"/><Relationship Id="rId625" Type="http://schemas.openxmlformats.org/officeDocument/2006/relationships/hyperlink" Target="https://onlinelibrary.wiley.com/doi/10.1002/anie.6839352?af=R" TargetMode="External"/><Relationship Id="rId626" Type="http://schemas.openxmlformats.org/officeDocument/2006/relationships/hyperlink" Target="https://doi.org/10.1002/anie.6839352" TargetMode="External"/><Relationship Id="rId627" Type="http://schemas.openxmlformats.org/officeDocument/2006/relationships/hyperlink" Target="http://dx.doi.org/10.1021/jacs.6c02191" TargetMode="External"/><Relationship Id="rId628" Type="http://schemas.openxmlformats.org/officeDocument/2006/relationships/hyperlink" Target="https://doi.org/10.1021/jacs.6c02191" TargetMode="External"/><Relationship Id="rId629" Type="http://schemas.openxmlformats.org/officeDocument/2006/relationships/hyperlink" Target="http://dx.doi.org/10.1021/jacs.6c03327" TargetMode="External"/><Relationship Id="rId630" Type="http://schemas.openxmlformats.org/officeDocument/2006/relationships/hyperlink" Target="https://doi.org/10.1021/jacs.6c03327" TargetMode="External"/><Relationship Id="rId631" Type="http://schemas.openxmlformats.org/officeDocument/2006/relationships/hyperlink" Target="http://dx.doi.org/10.1021/jacs.6c04062" TargetMode="External"/><Relationship Id="rId632" Type="http://schemas.openxmlformats.org/officeDocument/2006/relationships/hyperlink" Target="https://doi.org/10.1021/jacs.6c04062" TargetMode="External"/><Relationship Id="rId633" Type="http://schemas.openxmlformats.org/officeDocument/2006/relationships/hyperlink" Target="http://dx.doi.org/10.1021/jacs.6c02970" TargetMode="External"/><Relationship Id="rId634" Type="http://schemas.openxmlformats.org/officeDocument/2006/relationships/hyperlink" Target="https://doi.org/10.1021/jacs.6c02970" TargetMode="External"/><Relationship Id="rId635" Type="http://schemas.openxmlformats.org/officeDocument/2006/relationships/hyperlink" Target="http://dx.doi.org/10.1021/jacs.6c03617" TargetMode="External"/><Relationship Id="rId636" Type="http://schemas.openxmlformats.org/officeDocument/2006/relationships/hyperlink" Target="https://doi.org/10.1021/jacs.6c03617" TargetMode="External"/><Relationship Id="rId637" Type="http://schemas.openxmlformats.org/officeDocument/2006/relationships/hyperlink" Target="http://dx.doi.org/10.1021/jacs.6c03704" TargetMode="External"/><Relationship Id="rId638" Type="http://schemas.openxmlformats.org/officeDocument/2006/relationships/hyperlink" Target="https://doi.org/10.1021/jacs.6c03704" TargetMode="External"/><Relationship Id="rId639" Type="http://schemas.openxmlformats.org/officeDocument/2006/relationships/hyperlink" Target="http://dx.doi.org/10.1021/jacs.5c22842" TargetMode="External"/><Relationship Id="rId640" Type="http://schemas.openxmlformats.org/officeDocument/2006/relationships/hyperlink" Target="https://doi.org/10.1021/jacs.5c22842" TargetMode="External"/><Relationship Id="rId641" Type="http://schemas.openxmlformats.org/officeDocument/2006/relationships/hyperlink" Target="http://dx.doi.org/10.1021/jacs.5c22716" TargetMode="External"/><Relationship Id="rId642" Type="http://schemas.openxmlformats.org/officeDocument/2006/relationships/hyperlink" Target="https://doi.org/10.1021/jacs.5c22716" TargetMode="External"/><Relationship Id="rId643" Type="http://schemas.openxmlformats.org/officeDocument/2006/relationships/hyperlink" Target="http://dx.doi.org/10.1021/jacs.6c00778" TargetMode="External"/><Relationship Id="rId644" Type="http://schemas.openxmlformats.org/officeDocument/2006/relationships/hyperlink" Target="https://doi.org/10.1021/jacs.6c00778" TargetMode="External"/><Relationship Id="rId645" Type="http://schemas.openxmlformats.org/officeDocument/2006/relationships/hyperlink" Target="http://dx.doi.org/10.1021/jacs.6c06545" TargetMode="External"/><Relationship Id="rId646" Type="http://schemas.openxmlformats.org/officeDocument/2006/relationships/hyperlink" Target="https://doi.org/10.1021/jacs.6c06545" TargetMode="External"/><Relationship Id="rId647" Type="http://schemas.openxmlformats.org/officeDocument/2006/relationships/hyperlink" Target="http://dx.doi.org/10.1021/acs.chemrev.5c00897" TargetMode="External"/><Relationship Id="rId648" Type="http://schemas.openxmlformats.org/officeDocument/2006/relationships/hyperlink" Target="https://doi.org/10.1021/acs.chemrev.5c00897" TargetMode="External"/><Relationship Id="rId649" Type="http://schemas.openxmlformats.org/officeDocument/2006/relationships/hyperlink" Target="http://dx.doi.org/10.1021/jacs.6c02694" TargetMode="External"/><Relationship Id="rId650" Type="http://schemas.openxmlformats.org/officeDocument/2006/relationships/hyperlink" Target="https://doi.org/10.1021/jacs.6c02694" TargetMode="External"/><Relationship Id="rId651" Type="http://schemas.openxmlformats.org/officeDocument/2006/relationships/hyperlink" Target="http://dx.doi.org/10.1021/jacs.6c04446" TargetMode="External"/><Relationship Id="rId652" Type="http://schemas.openxmlformats.org/officeDocument/2006/relationships/hyperlink" Target="https://doi.org/10.1021/jacs.6c04446" TargetMode="External"/><Relationship Id="rId653" Type="http://schemas.openxmlformats.org/officeDocument/2006/relationships/hyperlink" Target="http://dx.doi.org/10.1021/jacs.6c02857" TargetMode="External"/><Relationship Id="rId654" Type="http://schemas.openxmlformats.org/officeDocument/2006/relationships/hyperlink" Target="https://doi.org/10.1021/jacs.6c02857" TargetMode="External"/><Relationship Id="rId655" Type="http://schemas.openxmlformats.org/officeDocument/2006/relationships/hyperlink" Target="http://pubs.rsc.org/en/Content/ArticleLanding/2026/CS/D5CS01487E" TargetMode="External"/><Relationship Id="rId656" Type="http://schemas.openxmlformats.org/officeDocument/2006/relationships/hyperlink" Target="http://pubs.rsc.org/en/Content/ArticleLanding/2026/CS/D5CS01179E" TargetMode="External"/><Relationship Id="rId657" Type="http://schemas.openxmlformats.org/officeDocument/2006/relationships/hyperlink" Target="http://pubs.rsc.org/en/Content/ArticleLanding/2026/CS/D5CS01237F" TargetMode="External"/><Relationship Id="rId658" Type="http://schemas.openxmlformats.org/officeDocument/2006/relationships/hyperlink" Target="https://www.nature.com/articles/d41586-026-01069-8" TargetMode="External"/><Relationship Id="rId659" Type="http://schemas.openxmlformats.org/officeDocument/2006/relationships/hyperlink" Target="https://doi.org/10.1038/d41586-026-01069-8" TargetMode="External"/><Relationship Id="rId660" Type="http://schemas.openxmlformats.org/officeDocument/2006/relationships/hyperlink" Target="https://www.nature.com/articles/d41586-026-00908-y" TargetMode="External"/><Relationship Id="rId661" Type="http://schemas.openxmlformats.org/officeDocument/2006/relationships/hyperlink" Target="https://doi.org/10.1038/d41586-026-00908-y" TargetMode="External"/><Relationship Id="rId662" Type="http://schemas.openxmlformats.org/officeDocument/2006/relationships/hyperlink" Target="https://www.nature.com/articles/d41586-026-01045-2" TargetMode="External"/><Relationship Id="rId663" Type="http://schemas.openxmlformats.org/officeDocument/2006/relationships/hyperlink" Target="https://doi.org/10.1038/d41586-026-01045-2" TargetMode="External"/><Relationship Id="rId664" Type="http://schemas.openxmlformats.org/officeDocument/2006/relationships/hyperlink" Target="https://www.nature.com/articles/d41586-026-01049-y" TargetMode="External"/><Relationship Id="rId665" Type="http://schemas.openxmlformats.org/officeDocument/2006/relationships/hyperlink" Target="https://doi.org/10.1038/d41586-026-01049-y" TargetMode="External"/><Relationship Id="rId666" Type="http://schemas.openxmlformats.org/officeDocument/2006/relationships/hyperlink" Target="https://www.nature.com/articles/d41586-026-01285-2" TargetMode="External"/><Relationship Id="rId667" Type="http://schemas.openxmlformats.org/officeDocument/2006/relationships/hyperlink" Target="https://doi.org/10.1038/d41586-026-01285-2" TargetMode="External"/><Relationship Id="rId668" Type="http://schemas.openxmlformats.org/officeDocument/2006/relationships/hyperlink" Target="https://www.nature.com/articles/d41586-026-01198-0" TargetMode="External"/><Relationship Id="rId669" Type="http://schemas.openxmlformats.org/officeDocument/2006/relationships/hyperlink" Target="https://doi.org/10.1038/d41586-026-01198-0" TargetMode="External"/><Relationship Id="rId670" Type="http://schemas.openxmlformats.org/officeDocument/2006/relationships/hyperlink" Target="https://www.nature.com/articles/d41586-026-01104-8" TargetMode="External"/><Relationship Id="rId671" Type="http://schemas.openxmlformats.org/officeDocument/2006/relationships/hyperlink" Target="https://doi.org/10.1038/d41586-026-01104-8" TargetMode="External"/><Relationship Id="rId672" Type="http://schemas.openxmlformats.org/officeDocument/2006/relationships/hyperlink" Target="https://www.nature.com/articles/d41586-026-00627-4" TargetMode="External"/><Relationship Id="rId673" Type="http://schemas.openxmlformats.org/officeDocument/2006/relationships/hyperlink" Target="https://doi.org/10.1038/d41586-026-00627-4" TargetMode="External"/><Relationship Id="rId674" Type="http://schemas.openxmlformats.org/officeDocument/2006/relationships/hyperlink" Target="https://www.nature.com/articles/d41586-026-01043-4" TargetMode="External"/><Relationship Id="rId675" Type="http://schemas.openxmlformats.org/officeDocument/2006/relationships/hyperlink" Target="https://doi.org/10.1038/d41586-026-01043-4" TargetMode="External"/><Relationship Id="rId676" Type="http://schemas.openxmlformats.org/officeDocument/2006/relationships/hyperlink" Target="https://academic.oup.com/nsr/advance-article/doi/10.1093/nsr/nwag241/8660963?rss=1" TargetMode="External"/><Relationship Id="rId677" Type="http://schemas.openxmlformats.org/officeDocument/2006/relationships/hyperlink" Target="https://doi.org/10.1093/nsr/nwag241" TargetMode="External"/><Relationship Id="rId678" Type="http://schemas.openxmlformats.org/officeDocument/2006/relationships/hyperlink" Target="https://www.nature.com/articles/d41586-026-01048-z" TargetMode="External"/><Relationship Id="rId679" Type="http://schemas.openxmlformats.org/officeDocument/2006/relationships/hyperlink" Target="https://doi.org/10.1038/d41586-026-01048-z" TargetMode="External"/><Relationship Id="rId680" Type="http://schemas.openxmlformats.org/officeDocument/2006/relationships/hyperlink" Target="https://www.nature.com/articles/d41586-026-01046-1" TargetMode="External"/><Relationship Id="rId681" Type="http://schemas.openxmlformats.org/officeDocument/2006/relationships/hyperlink" Target="https://doi.org/10.1038/d41586-026-01046-1" TargetMode="External"/><Relationship Id="rId682" Type="http://schemas.openxmlformats.org/officeDocument/2006/relationships/hyperlink" Target="https://www.nature.com/articles/s41557-026-02130-9" TargetMode="External"/><Relationship Id="rId683" Type="http://schemas.openxmlformats.org/officeDocument/2006/relationships/hyperlink" Target="https://doi.org/10.1038/s41557-026-02130-9" TargetMode="External"/><Relationship Id="rId684" Type="http://schemas.openxmlformats.org/officeDocument/2006/relationships/hyperlink" Target="https://www.nature.com/articles/d41586-026-01256-7" TargetMode="External"/><Relationship Id="rId685" Type="http://schemas.openxmlformats.org/officeDocument/2006/relationships/hyperlink" Target="https://doi.org/10.1038/d41586-026-01256-7" TargetMode="External"/><Relationship Id="rId686" Type="http://schemas.openxmlformats.org/officeDocument/2006/relationships/hyperlink" Target="https://www.nature.com/articles/s41578-026-00907-5" TargetMode="External"/><Relationship Id="rId687" Type="http://schemas.openxmlformats.org/officeDocument/2006/relationships/hyperlink" Target="https://doi.org/10.1038/s41578-026-00907-5" TargetMode="External"/><Relationship Id="rId688" Type="http://schemas.openxmlformats.org/officeDocument/2006/relationships/hyperlink" Target="https://www.nature.com/articles/d41586-026-01338-6" TargetMode="External"/><Relationship Id="rId689" Type="http://schemas.openxmlformats.org/officeDocument/2006/relationships/hyperlink" Target="https://doi.org/10.1038/d41586-026-01338-6" TargetMode="External"/><Relationship Id="rId690" Type="http://schemas.openxmlformats.org/officeDocument/2006/relationships/hyperlink" Target="https://www.nature.com/articles/d41586-026-01274-5" TargetMode="External"/><Relationship Id="rId691" Type="http://schemas.openxmlformats.org/officeDocument/2006/relationships/hyperlink" Target="https://doi.org/10.1038/d41586-026-01274-5" TargetMode="External"/><Relationship Id="rId692" Type="http://schemas.openxmlformats.org/officeDocument/2006/relationships/hyperlink" Target="https://www.nature.com/articles/s41586-026-10396-9" TargetMode="External"/><Relationship Id="rId693" Type="http://schemas.openxmlformats.org/officeDocument/2006/relationships/hyperlink" Target="https://doi.org/10.1038/s41586-026-10396-9" TargetMode="External"/><Relationship Id="rId694" Type="http://schemas.openxmlformats.org/officeDocument/2006/relationships/hyperlink" Target="https://www.nature.com/articles/s41586-026-10409-7" TargetMode="External"/><Relationship Id="rId695" Type="http://schemas.openxmlformats.org/officeDocument/2006/relationships/hyperlink" Target="https://doi.org/10.1038/s41586-026-10409-7" TargetMode="External"/><Relationship Id="rId696" Type="http://schemas.openxmlformats.org/officeDocument/2006/relationships/hyperlink" Target="https://www.nature.com/articles/d41586-026-01347-5" TargetMode="External"/><Relationship Id="rId697" Type="http://schemas.openxmlformats.org/officeDocument/2006/relationships/hyperlink" Target="https://doi.org/10.1038/d41586-026-01347-5" TargetMode="External"/><Relationship Id="rId698" Type="http://schemas.openxmlformats.org/officeDocument/2006/relationships/hyperlink" Target="https://www.nature.com/articles/s41586-026-10548-x" TargetMode="External"/><Relationship Id="rId699" Type="http://schemas.openxmlformats.org/officeDocument/2006/relationships/hyperlink" Target="https://doi.org/10.1038/s41586-026-10548-x" TargetMode="External"/><Relationship Id="rId700" Type="http://schemas.openxmlformats.org/officeDocument/2006/relationships/hyperlink" Target="https://www.nature.com/articles/s41586-026-10420-y" TargetMode="External"/><Relationship Id="rId701" Type="http://schemas.openxmlformats.org/officeDocument/2006/relationships/hyperlink" Target="https://doi.org/10.1038/s41586-026-10420-y" TargetMode="External"/><Relationship Id="rId702" Type="http://schemas.openxmlformats.org/officeDocument/2006/relationships/hyperlink" Target="https://www.nature.com/articles/s41586-026-10449-z" TargetMode="External"/><Relationship Id="rId703" Type="http://schemas.openxmlformats.org/officeDocument/2006/relationships/hyperlink" Target="https://doi.org/10.1038/s41586-026-10449-z" TargetMode="External"/><Relationship Id="rId704" Type="http://schemas.openxmlformats.org/officeDocument/2006/relationships/hyperlink" Target="https://www.nature.com/articles/s41586-026-10338-5" TargetMode="External"/><Relationship Id="rId705" Type="http://schemas.openxmlformats.org/officeDocument/2006/relationships/hyperlink" Target="https://doi.org/10.1038/s41586-026-10338-5" TargetMode="External"/><Relationship Id="rId706" Type="http://schemas.openxmlformats.org/officeDocument/2006/relationships/hyperlink" Target="https://www.nature.com/articles/s41586-026-10395-w" TargetMode="External"/><Relationship Id="rId707" Type="http://schemas.openxmlformats.org/officeDocument/2006/relationships/hyperlink" Target="https://doi.org/10.1038/s41586-026-10395-w" TargetMode="External"/><Relationship Id="rId708" Type="http://schemas.openxmlformats.org/officeDocument/2006/relationships/hyperlink" Target="https://www.nature.com/articles/s41586-026-10380-3" TargetMode="External"/><Relationship Id="rId709" Type="http://schemas.openxmlformats.org/officeDocument/2006/relationships/hyperlink" Target="https://doi.org/10.1038/s41586-026-10380-3" TargetMode="External"/><Relationship Id="rId710" Type="http://schemas.openxmlformats.org/officeDocument/2006/relationships/hyperlink" Target="https://www.nature.com/articles/s41586-026-10413-x" TargetMode="External"/><Relationship Id="rId711" Type="http://schemas.openxmlformats.org/officeDocument/2006/relationships/hyperlink" Target="https://doi.org/10.1038/s41586-026-10413-x" TargetMode="External"/><Relationship Id="rId712" Type="http://schemas.openxmlformats.org/officeDocument/2006/relationships/hyperlink" Target="https://www.nature.com/articles/s41586-026-10373-2" TargetMode="External"/><Relationship Id="rId713" Type="http://schemas.openxmlformats.org/officeDocument/2006/relationships/hyperlink" Target="https://doi.org/10.1038/s41586-026-10373-2" TargetMode="External"/><Relationship Id="rId714" Type="http://schemas.openxmlformats.org/officeDocument/2006/relationships/hyperlink" Target="https://www.nature.com/articles/s41586-026-10406-w" TargetMode="External"/><Relationship Id="rId715" Type="http://schemas.openxmlformats.org/officeDocument/2006/relationships/hyperlink" Target="https://doi.org/10.1038/s41586-026-10406-w" TargetMode="External"/><Relationship Id="rId716" Type="http://schemas.openxmlformats.org/officeDocument/2006/relationships/hyperlink" Target="https://www.nature.com/articles/s41586-026-10399-6" TargetMode="External"/><Relationship Id="rId717" Type="http://schemas.openxmlformats.org/officeDocument/2006/relationships/hyperlink" Target="https://doi.org/10.1038/s41586-026-10399-6" TargetMode="External"/><Relationship Id="rId718" Type="http://schemas.openxmlformats.org/officeDocument/2006/relationships/hyperlink" Target="https://www.nature.com/articles/s41586-026-10401-1" TargetMode="External"/><Relationship Id="rId719" Type="http://schemas.openxmlformats.org/officeDocument/2006/relationships/hyperlink" Target="https://doi.org/10.1038/s41586-026-10401-1" TargetMode="External"/><Relationship Id="rId720" Type="http://schemas.openxmlformats.org/officeDocument/2006/relationships/hyperlink" Target="https://www.nature.com/articles/s41586-026-10394-x" TargetMode="External"/><Relationship Id="rId721" Type="http://schemas.openxmlformats.org/officeDocument/2006/relationships/hyperlink" Target="https://doi.org/10.1038/s41586-026-10394-x" TargetMode="External"/><Relationship Id="rId722" Type="http://schemas.openxmlformats.org/officeDocument/2006/relationships/hyperlink" Target="https://www.nature.com/articles/s41586-026-10390-1" TargetMode="External"/><Relationship Id="rId723" Type="http://schemas.openxmlformats.org/officeDocument/2006/relationships/hyperlink" Target="https://doi.org/10.1038/s41586-026-10390-1" TargetMode="External"/><Relationship Id="rId724" Type="http://schemas.openxmlformats.org/officeDocument/2006/relationships/hyperlink" Target="https://www.nature.com/articles/s41586-026-10408-8" TargetMode="External"/><Relationship Id="rId725" Type="http://schemas.openxmlformats.org/officeDocument/2006/relationships/hyperlink" Target="https://doi.org/10.1038/s41586-026-10408-8" TargetMode="External"/><Relationship Id="rId726" Type="http://schemas.openxmlformats.org/officeDocument/2006/relationships/hyperlink" Target="https://www.nature.com/articles/s41557-026-02137-2" TargetMode="External"/><Relationship Id="rId727" Type="http://schemas.openxmlformats.org/officeDocument/2006/relationships/hyperlink" Target="https://doi.org/10.1038/s41557-026-02137-2" TargetMode="External"/><Relationship Id="rId728" Type="http://schemas.openxmlformats.org/officeDocument/2006/relationships/hyperlink" Target="https://www.nature.com/articles/s41586-026-10430-w" TargetMode="External"/><Relationship Id="rId729" Type="http://schemas.openxmlformats.org/officeDocument/2006/relationships/hyperlink" Target="https://doi.org/10.1038/s41586-026-10430-w" TargetMode="External"/><Relationship Id="rId730" Type="http://schemas.openxmlformats.org/officeDocument/2006/relationships/hyperlink" Target="https://www.nature.com/articles/d41586-026-00810-7" TargetMode="External"/><Relationship Id="rId731" Type="http://schemas.openxmlformats.org/officeDocument/2006/relationships/hyperlink" Target="https://doi.org/10.1038/d41586-026-00810-7" TargetMode="External"/><Relationship Id="rId732" Type="http://schemas.openxmlformats.org/officeDocument/2006/relationships/hyperlink" Target="https://www.sciencedirect.com/science/article/pii/S0306261926005477?dgcid=rss_sd_all" TargetMode="External"/><Relationship Id="rId733" Type="http://schemas.openxmlformats.org/officeDocument/2006/relationships/hyperlink" Target="https://www.cell.com/joule/fulltext/S2542-4351(26)00114-5?rss=yes" TargetMode="External"/><Relationship Id="rId734" Type="http://schemas.openxmlformats.org/officeDocument/2006/relationships/hyperlink" Target="https://doi.org/10.1016/j.joule.2026.102430" TargetMode="External"/><Relationship Id="rId735" Type="http://schemas.openxmlformats.org/officeDocument/2006/relationships/hyperlink" Target="https://www.nature.com/articles/s41586-026-10257-5" TargetMode="External"/><Relationship Id="rId736" Type="http://schemas.openxmlformats.org/officeDocument/2006/relationships/hyperlink" Target="https://doi.org/10.1038/s41586-026-10257-5" TargetMode="External"/><Relationship Id="rId737" Type="http://schemas.openxmlformats.org/officeDocument/2006/relationships/hyperlink" Target="https://www.nature.com/articles/s41586-026-10436-4" TargetMode="External"/><Relationship Id="rId738" Type="http://schemas.openxmlformats.org/officeDocument/2006/relationships/hyperlink" Target="https://doi.org/10.1038/s41586-026-10436-4" TargetMode="External"/><Relationship Id="rId739" Type="http://schemas.openxmlformats.org/officeDocument/2006/relationships/hyperlink" Target="https://www.nature.com/articles/d41586-026-01148-w" TargetMode="External"/><Relationship Id="rId740" Type="http://schemas.openxmlformats.org/officeDocument/2006/relationships/hyperlink" Target="https://doi.org/10.1038/d41586-026-01148-w" TargetMode="External"/><Relationship Id="rId741" Type="http://schemas.openxmlformats.org/officeDocument/2006/relationships/hyperlink" Target="https://www.nature.com/articles/s41586-026-10398-7" TargetMode="External"/><Relationship Id="rId742" Type="http://schemas.openxmlformats.org/officeDocument/2006/relationships/hyperlink" Target="https://doi.org/10.1038/s41586-026-10398-7" TargetMode="External"/><Relationship Id="rId743" Type="http://schemas.openxmlformats.org/officeDocument/2006/relationships/hyperlink" Target="https://www.nature.com/articles/s41586-026-10400-2" TargetMode="External"/><Relationship Id="rId744" Type="http://schemas.openxmlformats.org/officeDocument/2006/relationships/hyperlink" Target="https://doi.org/10.1038/s41586-026-10400-2" TargetMode="External"/><Relationship Id="rId745" Type="http://schemas.openxmlformats.org/officeDocument/2006/relationships/hyperlink" Target="https://www.nature.com/articles/s41586-026-10393-y" TargetMode="External"/><Relationship Id="rId746" Type="http://schemas.openxmlformats.org/officeDocument/2006/relationships/hyperlink" Target="https://doi.org/10.1038/s41586-026-10393-y" TargetMode="External"/><Relationship Id="rId747" Type="http://schemas.openxmlformats.org/officeDocument/2006/relationships/hyperlink" Target="https://www.nature.com/articles/s41586-026-10407-9" TargetMode="External"/><Relationship Id="rId748" Type="http://schemas.openxmlformats.org/officeDocument/2006/relationships/hyperlink" Target="https://doi.org/10.1038/s41586-026-10407-9" TargetMode="External"/><Relationship Id="rId749" Type="http://schemas.openxmlformats.org/officeDocument/2006/relationships/hyperlink" Target="https://www.nature.com/articles/s41586-026-10343-8" TargetMode="External"/><Relationship Id="rId750" Type="http://schemas.openxmlformats.org/officeDocument/2006/relationships/hyperlink" Target="https://doi.org/10.1038/s41586-026-10343-8" TargetMode="External"/><Relationship Id="rId751" Type="http://schemas.openxmlformats.org/officeDocument/2006/relationships/hyperlink" Target="https://www.nature.com/articles/s41586-026-10414-w" TargetMode="External"/><Relationship Id="rId752" Type="http://schemas.openxmlformats.org/officeDocument/2006/relationships/hyperlink" Target="https://doi.org/10.1038/s41586-026-10414-w" TargetMode="External"/><Relationship Id="rId753" Type="http://schemas.openxmlformats.org/officeDocument/2006/relationships/hyperlink" Target="https://www.sciencedirect.com/science/article/pii/S0306261926005672?dgcid=rss_sd_all" TargetMode="External"/><Relationship Id="rId754" Type="http://schemas.openxmlformats.org/officeDocument/2006/relationships/hyperlink" Target="https://www.nature.com/articles/d41586-026-01047-0" TargetMode="External"/><Relationship Id="rId755" Type="http://schemas.openxmlformats.org/officeDocument/2006/relationships/hyperlink" Target="https://doi.org/10.1038/d41586-026-01047-0" TargetMode="External"/><Relationship Id="rId756" Type="http://schemas.openxmlformats.org/officeDocument/2006/relationships/hyperlink" Target="https://www.sciencedirect.com/science/article/pii/S0306261926005933?dgcid=rss_sd_all" TargetMode="External"/><Relationship Id="rId757" Type="http://schemas.openxmlformats.org/officeDocument/2006/relationships/hyperlink" Target="https://www.nature.com/articles/s41586-026-10426-6" TargetMode="External"/><Relationship Id="rId758" Type="http://schemas.openxmlformats.org/officeDocument/2006/relationships/hyperlink" Target="https://doi.org/10.1038/s41586-026-10426-6" TargetMode="External"/><Relationship Id="rId759" Type="http://schemas.openxmlformats.org/officeDocument/2006/relationships/hyperlink" Target="https://www.nature.com/articles/d41586-026-01343-9" TargetMode="External"/><Relationship Id="rId760" Type="http://schemas.openxmlformats.org/officeDocument/2006/relationships/hyperlink" Target="https://doi.org/10.1038/d41586-026-01343-9" TargetMode="External"/><Relationship Id="rId761" Type="http://schemas.openxmlformats.org/officeDocument/2006/relationships/hyperlink" Target="https://www.nature.com/articles/s41586-026-10318-9" TargetMode="External"/><Relationship Id="rId762" Type="http://schemas.openxmlformats.org/officeDocument/2006/relationships/hyperlink" Target="https://doi.org/10.1038/s41586-026-10318-9" TargetMode="External"/><Relationship Id="rId763" Type="http://schemas.openxmlformats.org/officeDocument/2006/relationships/hyperlink" Target="https://www.nature.com/articles/d41586-026-01237-w" TargetMode="External"/><Relationship Id="rId764" Type="http://schemas.openxmlformats.org/officeDocument/2006/relationships/hyperlink" Target="https://doi.org/10.1038/d41586-026-01237-w" TargetMode="External"/><Relationship Id="rId765" Type="http://schemas.openxmlformats.org/officeDocument/2006/relationships/hyperlink" Target="https://www.nature.com/articles/s41586-026-10311-2" TargetMode="External"/><Relationship Id="rId766" Type="http://schemas.openxmlformats.org/officeDocument/2006/relationships/hyperlink" Target="https://doi.org/10.1038/s41586-026-10311-2" TargetMode="External"/><Relationship Id="rId767" Type="http://schemas.openxmlformats.org/officeDocument/2006/relationships/hyperlink" Target="https://www.sciencedirect.com/science/article/pii/S030626192600543X?dgcid=rss_sd_all" TargetMode="External"/><Relationship Id="rId768" Type="http://schemas.openxmlformats.org/officeDocument/2006/relationships/hyperlink" Target="https://www.nature.com/articles/s41586-026-10439-1" TargetMode="External"/><Relationship Id="rId769" Type="http://schemas.openxmlformats.org/officeDocument/2006/relationships/hyperlink" Target="https://doi.org/10.1038/s41586-026-10439-1" TargetMode="External"/><Relationship Id="rId770" Type="http://schemas.openxmlformats.org/officeDocument/2006/relationships/hyperlink" Target="https://www.nature.com/articles/s41586-026-10375-0" TargetMode="External"/><Relationship Id="rId771" Type="http://schemas.openxmlformats.org/officeDocument/2006/relationships/hyperlink" Target="https://doi.org/10.1038/s41586-026-10375-0" TargetMode="External"/><Relationship Id="rId772" Type="http://schemas.openxmlformats.org/officeDocument/2006/relationships/hyperlink" Target="https://www.nature.com/articles/s41560-026-02048-z" TargetMode="External"/><Relationship Id="rId773" Type="http://schemas.openxmlformats.org/officeDocument/2006/relationships/hyperlink" Target="https://doi.org/10.1038/s41560-026-02048-z" TargetMode="External"/><Relationship Id="rId774" Type="http://schemas.openxmlformats.org/officeDocument/2006/relationships/hyperlink" Target="https://www.cell.com/matter/fulltext/S2590-2385(26)00183-9?rss=yes" TargetMode="External"/><Relationship Id="rId775" Type="http://schemas.openxmlformats.org/officeDocument/2006/relationships/hyperlink" Target="https://doi.org/10.1016/j.matt.2026.102820" TargetMode="External"/><Relationship Id="rId776" Type="http://schemas.openxmlformats.org/officeDocument/2006/relationships/hyperlink" Target="https://www.nature.com/articles/s41586-026-10366-1" TargetMode="External"/><Relationship Id="rId777" Type="http://schemas.openxmlformats.org/officeDocument/2006/relationships/hyperlink" Target="https://doi.org/10.1038/s41586-026-10366-1" TargetMode="External"/><Relationship Id="rId778" Type="http://schemas.openxmlformats.org/officeDocument/2006/relationships/hyperlink" Target="https://www.cell.com/one-earth/fulltext/S2590-3322(26)00085-0?rss=yes" TargetMode="External"/><Relationship Id="rId779" Type="http://schemas.openxmlformats.org/officeDocument/2006/relationships/hyperlink" Target="https://doi.org/10.1016/j.oneear.2026.101684" TargetMode="External"/><Relationship Id="rId780" Type="http://schemas.openxmlformats.org/officeDocument/2006/relationships/hyperlink" Target="https://www.nature.com/articles/s41928-026-01630-3" TargetMode="External"/><Relationship Id="rId781" Type="http://schemas.openxmlformats.org/officeDocument/2006/relationships/hyperlink" Target="https://doi.org/10.1038/s41928-026-01630-3" TargetMode="External"/><Relationship Id="rId782" Type="http://schemas.openxmlformats.org/officeDocument/2006/relationships/hyperlink" Target="https://www.nature.com/articles/s41893-026-01812-z" TargetMode="External"/><Relationship Id="rId783" Type="http://schemas.openxmlformats.org/officeDocument/2006/relationships/hyperlink" Target="https://doi.org/10.1038/s41893-026-01812-z" TargetMode="External"/><Relationship Id="rId784" Type="http://schemas.openxmlformats.org/officeDocument/2006/relationships/hyperlink" Target="https://www.nature.com/articles/s44286-026-00386-z" TargetMode="External"/><Relationship Id="rId785" Type="http://schemas.openxmlformats.org/officeDocument/2006/relationships/hyperlink" Target="https://doi.org/10.1038/s44286-026-00386-z" TargetMode="External"/><Relationship Id="rId786" Type="http://schemas.openxmlformats.org/officeDocument/2006/relationships/hyperlink" Target="https://www.nature.com/articles/s41586-026-10549-w" TargetMode="External"/><Relationship Id="rId787" Type="http://schemas.openxmlformats.org/officeDocument/2006/relationships/hyperlink" Target="https://doi.org/10.1038/s41586-026-10549-w" TargetMode="External"/><Relationship Id="rId788" Type="http://schemas.openxmlformats.org/officeDocument/2006/relationships/hyperlink" Target="https://www.nature.com/articles/d41586-026-01341-x" TargetMode="External"/><Relationship Id="rId789" Type="http://schemas.openxmlformats.org/officeDocument/2006/relationships/hyperlink" Target="https://doi.org/10.1038/d41586-026-01341-x" TargetMode="External"/><Relationship Id="rId790" Type="http://schemas.openxmlformats.org/officeDocument/2006/relationships/hyperlink" Target="https://advanced.onlinelibrary.wiley.com/doi/10.1002/adma.202517261?af=R" TargetMode="External"/><Relationship Id="rId791" Type="http://schemas.openxmlformats.org/officeDocument/2006/relationships/hyperlink" Target="https://doi.org/10.1002/adma.202517261" TargetMode="External"/><Relationship Id="rId792" Type="http://schemas.openxmlformats.org/officeDocument/2006/relationships/hyperlink" Target="https://onlinelibrary.wiley.com/doi/10.1002/anie.1777088?af=R" TargetMode="External"/><Relationship Id="rId793" Type="http://schemas.openxmlformats.org/officeDocument/2006/relationships/hyperlink" Target="https://doi.org/10.1002/anie.1777088" TargetMode="External"/><Relationship Id="rId794" Type="http://schemas.openxmlformats.org/officeDocument/2006/relationships/hyperlink" Target="https://advanced.onlinelibrary.wiley.com/doi/10.1002/adma.73172?af=R" TargetMode="External"/><Relationship Id="rId795" Type="http://schemas.openxmlformats.org/officeDocument/2006/relationships/hyperlink" Target="https://doi.org/10.1002/adma.73172" TargetMode="External"/><Relationship Id="rId796" Type="http://schemas.openxmlformats.org/officeDocument/2006/relationships/hyperlink" Target="https://advanced.onlinelibrary.wiley.com/doi/10.1002/adma.73146?af=R" TargetMode="External"/><Relationship Id="rId797" Type="http://schemas.openxmlformats.org/officeDocument/2006/relationships/hyperlink" Target="https://doi.org/10.1002/adma.73146" TargetMode="External"/><Relationship Id="rId798" Type="http://schemas.openxmlformats.org/officeDocument/2006/relationships/hyperlink" Target="https://advanced.onlinelibrary.wiley.com/doi/10.1002/adma.202520594?af=R" TargetMode="External"/><Relationship Id="rId799" Type="http://schemas.openxmlformats.org/officeDocument/2006/relationships/hyperlink" Target="https://doi.org/10.1002/adma.202520594" TargetMode="External"/><Relationship Id="rId800" Type="http://schemas.openxmlformats.org/officeDocument/2006/relationships/hyperlink" Target="https://advanced.onlinelibrary.wiley.com/doi/10.1002/adma.202519697?af=R" TargetMode="External"/><Relationship Id="rId801" Type="http://schemas.openxmlformats.org/officeDocument/2006/relationships/hyperlink" Target="https://doi.org/10.1002/adma.202519697" TargetMode="External"/><Relationship Id="rId802" Type="http://schemas.openxmlformats.org/officeDocument/2006/relationships/hyperlink" Target="https://advanced.onlinelibrary.wiley.com/doi/10.1002/adma.202522754?af=R" TargetMode="External"/><Relationship Id="rId803" Type="http://schemas.openxmlformats.org/officeDocument/2006/relationships/hyperlink" Target="https://doi.org/10.1002/adma.202522754" TargetMode="External"/><Relationship Id="rId804" Type="http://schemas.openxmlformats.org/officeDocument/2006/relationships/hyperlink" Target="https://www.science.org/doi/abs/10.1126/sciadv.aee6175?af=R" TargetMode="External"/><Relationship Id="rId805" Type="http://schemas.openxmlformats.org/officeDocument/2006/relationships/hyperlink" Target="https://doi.org/10.1126/sciadv.aee6175" TargetMode="External"/><Relationship Id="rId806" Type="http://schemas.openxmlformats.org/officeDocument/2006/relationships/hyperlink" Target="https://www.science.org/doi/abs/10.1126/sciadv.ady3555?af=R" TargetMode="External"/><Relationship Id="rId807" Type="http://schemas.openxmlformats.org/officeDocument/2006/relationships/hyperlink" Target="https://doi.org/10.1126/sciadv.ady3555" TargetMode="External"/><Relationship Id="rId808" Type="http://schemas.openxmlformats.org/officeDocument/2006/relationships/hyperlink" Target="https://www.science.org/doi/abs/10.1126/sciadv.adz8521?af=R" TargetMode="External"/><Relationship Id="rId809" Type="http://schemas.openxmlformats.org/officeDocument/2006/relationships/hyperlink" Target="https://doi.org/10.1126/sciadv.adz8521" TargetMode="External"/><Relationship Id="rId810" Type="http://schemas.openxmlformats.org/officeDocument/2006/relationships/hyperlink" Target="https://www.science.org/doi/abs/10.1126/sciadv.aee6228?af=R" TargetMode="External"/><Relationship Id="rId811" Type="http://schemas.openxmlformats.org/officeDocument/2006/relationships/hyperlink" Target="https://doi.org/10.1126/sciadv.aee6228" TargetMode="External"/><Relationship Id="rId812" Type="http://schemas.openxmlformats.org/officeDocument/2006/relationships/hyperlink" Target="https://www.science.org/doi/abs/10.1126/sciadv.aed6824?af=R" TargetMode="External"/><Relationship Id="rId813" Type="http://schemas.openxmlformats.org/officeDocument/2006/relationships/hyperlink" Target="https://doi.org/10.1126/sciadv.aed6824" TargetMode="External"/><Relationship Id="rId814" Type="http://schemas.openxmlformats.org/officeDocument/2006/relationships/hyperlink" Target="https://www.science.org/doi/abs/10.1126/sciadv.aec5676?af=R" TargetMode="External"/><Relationship Id="rId815" Type="http://schemas.openxmlformats.org/officeDocument/2006/relationships/hyperlink" Target="https://doi.org/10.1126/sciadv.aec5676" TargetMode="External"/><Relationship Id="rId816" Type="http://schemas.openxmlformats.org/officeDocument/2006/relationships/hyperlink" Target="https://www.science.org/doi/abs/10.1126/sciadv.aec9793?af=R" TargetMode="External"/><Relationship Id="rId817" Type="http://schemas.openxmlformats.org/officeDocument/2006/relationships/hyperlink" Target="https://doi.org/10.1126/sciadv.aec9793" TargetMode="External"/><Relationship Id="rId818" Type="http://schemas.openxmlformats.org/officeDocument/2006/relationships/hyperlink" Target="https://www.science.org/doi/abs/10.1126/sciadv.aec9565?af=R" TargetMode="External"/><Relationship Id="rId819" Type="http://schemas.openxmlformats.org/officeDocument/2006/relationships/hyperlink" Target="https://doi.org/10.1126/sciadv.aec9565" TargetMode="External"/><Relationship Id="rId820" Type="http://schemas.openxmlformats.org/officeDocument/2006/relationships/hyperlink" Target="https://www.science.org/doi/abs/10.1126/sciadv.aec6922?af=R" TargetMode="External"/><Relationship Id="rId821" Type="http://schemas.openxmlformats.org/officeDocument/2006/relationships/hyperlink" Target="https://doi.org/10.1126/sciadv.aec6922" TargetMode="External"/><Relationship Id="rId822" Type="http://schemas.openxmlformats.org/officeDocument/2006/relationships/hyperlink" Target="https://www.science.org/doi/abs/10.1126/sciadv.aec6201?af=R" TargetMode="External"/><Relationship Id="rId823" Type="http://schemas.openxmlformats.org/officeDocument/2006/relationships/hyperlink" Target="https://doi.org/10.1126/sciadv.aec6201" TargetMode="External"/><Relationship Id="rId824" Type="http://schemas.openxmlformats.org/officeDocument/2006/relationships/hyperlink" Target="https://www.science.org/doi/abs/10.1126/sciadv.aec9325?af=R" TargetMode="External"/><Relationship Id="rId825" Type="http://schemas.openxmlformats.org/officeDocument/2006/relationships/hyperlink" Target="https://doi.org/10.1126/sciadv.aec9325" TargetMode="External"/><Relationship Id="rId826" Type="http://schemas.openxmlformats.org/officeDocument/2006/relationships/hyperlink" Target="https://www.science.org/doi/abs/10.1126/sciadv.aed5260?af=R" TargetMode="External"/><Relationship Id="rId827" Type="http://schemas.openxmlformats.org/officeDocument/2006/relationships/hyperlink" Target="https://doi.org/10.1126/sciadv.aed5260" TargetMode="External"/><Relationship Id="rId828" Type="http://schemas.openxmlformats.org/officeDocument/2006/relationships/hyperlink" Target="https://www.science.org/doi/abs/10.1126/sciadv.aec6112?af=R" TargetMode="External"/><Relationship Id="rId829" Type="http://schemas.openxmlformats.org/officeDocument/2006/relationships/hyperlink" Target="https://doi.org/10.1126/sciadv.aec6112" TargetMode="External"/><Relationship Id="rId830" Type="http://schemas.openxmlformats.org/officeDocument/2006/relationships/hyperlink" Target="https://www.science.org/doi/abs/10.1126/sciadv.adz0537?af=R" TargetMode="External"/><Relationship Id="rId831" Type="http://schemas.openxmlformats.org/officeDocument/2006/relationships/hyperlink" Target="https://doi.org/10.1126/sciadv.adz0537" TargetMode="External"/><Relationship Id="rId832" Type="http://schemas.openxmlformats.org/officeDocument/2006/relationships/hyperlink" Target="https://www.science.org/doi/abs/10.1126/sciadv.aee2625?af=R" TargetMode="External"/><Relationship Id="rId833" Type="http://schemas.openxmlformats.org/officeDocument/2006/relationships/hyperlink" Target="https://doi.org/10.1126/sciadv.aee2625" TargetMode="External"/><Relationship Id="rId834" Type="http://schemas.openxmlformats.org/officeDocument/2006/relationships/hyperlink" Target="https://www.science.org/doi/abs/10.1126/sciadv.aeb5599?af=R" TargetMode="External"/><Relationship Id="rId835" Type="http://schemas.openxmlformats.org/officeDocument/2006/relationships/hyperlink" Target="https://doi.org/10.1126/sciadv.aeb5599" TargetMode="External"/><Relationship Id="rId836" Type="http://schemas.openxmlformats.org/officeDocument/2006/relationships/hyperlink" Target="https://www.science.org/doi/abs/10.1126/sciadv.adz5505?af=R" TargetMode="External"/><Relationship Id="rId837" Type="http://schemas.openxmlformats.org/officeDocument/2006/relationships/hyperlink" Target="https://doi.org/10.1126/sciadv.adz5505" TargetMode="External"/><Relationship Id="rId838" Type="http://schemas.openxmlformats.org/officeDocument/2006/relationships/hyperlink" Target="https://www.science.org/doi/abs/10.1126/sciadv.aea9701?af=R" TargetMode="External"/><Relationship Id="rId839" Type="http://schemas.openxmlformats.org/officeDocument/2006/relationships/hyperlink" Target="https://doi.org/10.1126/sciadv.aea9701" TargetMode="External"/><Relationship Id="rId840" Type="http://schemas.openxmlformats.org/officeDocument/2006/relationships/hyperlink" Target="https://www.science.org/doi/abs/10.1126/sciadv.adx2372?af=R" TargetMode="External"/><Relationship Id="rId841" Type="http://schemas.openxmlformats.org/officeDocument/2006/relationships/hyperlink" Target="https://doi.org/10.1126/sciadv.adx2372" TargetMode="External"/><Relationship Id="rId842" Type="http://schemas.openxmlformats.org/officeDocument/2006/relationships/hyperlink" Target="https://www.science.org/doi/abs/10.1126/sciadv.aea7025?af=R" TargetMode="External"/><Relationship Id="rId843" Type="http://schemas.openxmlformats.org/officeDocument/2006/relationships/hyperlink" Target="https://doi.org/10.1126/sciadv.aea7025" TargetMode="External"/><Relationship Id="rId844" Type="http://schemas.openxmlformats.org/officeDocument/2006/relationships/hyperlink" Target="https://www.science.org/doi/abs/10.1126/sciadv.aec2079?af=R" TargetMode="External"/><Relationship Id="rId845" Type="http://schemas.openxmlformats.org/officeDocument/2006/relationships/hyperlink" Target="https://doi.org/10.1126/sciadv.aec2079" TargetMode="External"/><Relationship Id="rId846" Type="http://schemas.openxmlformats.org/officeDocument/2006/relationships/hyperlink" Target="https://www.science.org/doi/abs/10.1126/sciadv.adp3054?af=R" TargetMode="External"/><Relationship Id="rId847" Type="http://schemas.openxmlformats.org/officeDocument/2006/relationships/hyperlink" Target="https://doi.org/10.1126/sciadv.adp3054" TargetMode="External"/><Relationship Id="rId848" Type="http://schemas.openxmlformats.org/officeDocument/2006/relationships/hyperlink" Target="https://www.science.org/doi/abs/10.1126/sciadv.aeb2254?af=R" TargetMode="External"/><Relationship Id="rId849" Type="http://schemas.openxmlformats.org/officeDocument/2006/relationships/hyperlink" Target="https://doi.org/10.1126/sciadv.aeb2254" TargetMode="External"/><Relationship Id="rId850" Type="http://schemas.openxmlformats.org/officeDocument/2006/relationships/hyperlink" Target="https://www.science.org/doi/abs/10.1126/sciadv.ady6364?af=R" TargetMode="External"/><Relationship Id="rId851" Type="http://schemas.openxmlformats.org/officeDocument/2006/relationships/hyperlink" Target="https://doi.org/10.1126/sciadv.ady6364" TargetMode="External"/><Relationship Id="rId852" Type="http://schemas.openxmlformats.org/officeDocument/2006/relationships/hyperlink" Target="https://www.science.org/doi/abs/10.1126/sciadv.aea2020?af=R" TargetMode="External"/><Relationship Id="rId853" Type="http://schemas.openxmlformats.org/officeDocument/2006/relationships/hyperlink" Target="https://doi.org/10.1126/sciadv.aea2020" TargetMode="External"/><Relationship Id="rId854" Type="http://schemas.openxmlformats.org/officeDocument/2006/relationships/hyperlink" Target="https://www.science.org/doi/abs/10.1126/sciadv.aea8737?af=R" TargetMode="External"/><Relationship Id="rId855" Type="http://schemas.openxmlformats.org/officeDocument/2006/relationships/hyperlink" Target="https://doi.org/10.1126/sciadv.aea8737" TargetMode="External"/><Relationship Id="rId856" Type="http://schemas.openxmlformats.org/officeDocument/2006/relationships/hyperlink" Target="https://www.science.org/doi/abs/10.1126/sciadv.aea2316?af=R" TargetMode="External"/><Relationship Id="rId857" Type="http://schemas.openxmlformats.org/officeDocument/2006/relationships/hyperlink" Target="https://doi.org/10.1126/sciadv.aea2316" TargetMode="External"/><Relationship Id="rId858" Type="http://schemas.openxmlformats.org/officeDocument/2006/relationships/hyperlink" Target="https://www.science.org/doi/abs/10.1126/sciadv.aea4657?af=R" TargetMode="External"/><Relationship Id="rId859" Type="http://schemas.openxmlformats.org/officeDocument/2006/relationships/hyperlink" Target="https://doi.org/10.1126/sciadv.aea4657" TargetMode="External"/><Relationship Id="rId860" Type="http://schemas.openxmlformats.org/officeDocument/2006/relationships/hyperlink" Target="https://onlinelibrary.wiley.com/doi/10.1002/anie.202520837?af=R" TargetMode="External"/><Relationship Id="rId861" Type="http://schemas.openxmlformats.org/officeDocument/2006/relationships/hyperlink" Target="https://doi.org/10.1002/anie.202520837" TargetMode="External"/><Relationship Id="rId862" Type="http://schemas.openxmlformats.org/officeDocument/2006/relationships/hyperlink" Target="https://onlinelibrary.wiley.com/doi/10.1002/anie.6024780?af=R" TargetMode="External"/><Relationship Id="rId863" Type="http://schemas.openxmlformats.org/officeDocument/2006/relationships/hyperlink" Target="https://doi.org/10.1002/anie.6024780" TargetMode="External"/><Relationship Id="rId864" Type="http://schemas.openxmlformats.org/officeDocument/2006/relationships/hyperlink" Target="https://onlinelibrary.wiley.com/doi/10.1002/anie.6677973?af=R" TargetMode="External"/><Relationship Id="rId865" Type="http://schemas.openxmlformats.org/officeDocument/2006/relationships/hyperlink" Target="https://doi.org/10.1002/anie.6677973" TargetMode="External"/><Relationship Id="rId866" Type="http://schemas.openxmlformats.org/officeDocument/2006/relationships/hyperlink" Target="https://advanced.onlinelibrary.wiley.com/doi/10.1002/adma.202520839?af=R" TargetMode="External"/><Relationship Id="rId867" Type="http://schemas.openxmlformats.org/officeDocument/2006/relationships/hyperlink" Target="https://doi.org/10.1002/adma.202520839" TargetMode="External"/><Relationship Id="rId868" Type="http://schemas.openxmlformats.org/officeDocument/2006/relationships/hyperlink" Target="https://onlinelibrary.wiley.com/doi/10.1002/anie.3640627?af=R" TargetMode="External"/><Relationship Id="rId869" Type="http://schemas.openxmlformats.org/officeDocument/2006/relationships/hyperlink" Target="https://doi.org/10.1002/anie.3640627" TargetMode="External"/><Relationship Id="rId870" Type="http://schemas.openxmlformats.org/officeDocument/2006/relationships/hyperlink" Target="https://onlinelibrary.wiley.com/doi/10.1002/anie.202525790?af=R" TargetMode="External"/><Relationship Id="rId871" Type="http://schemas.openxmlformats.org/officeDocument/2006/relationships/hyperlink" Target="https://doi.org/10.1002/anie.202525790" TargetMode="External"/><Relationship Id="rId872" Type="http://schemas.openxmlformats.org/officeDocument/2006/relationships/hyperlink" Target="https://advanced.onlinelibrary.wiley.com/doi/10.1002/adma.202522056?af=R" TargetMode="External"/><Relationship Id="rId873" Type="http://schemas.openxmlformats.org/officeDocument/2006/relationships/hyperlink" Target="https://doi.org/10.1002/adma.202522056" TargetMode="External"/><Relationship Id="rId874" Type="http://schemas.openxmlformats.org/officeDocument/2006/relationships/hyperlink" Target="https://advanced.onlinelibrary.wiley.com/doi/10.1002/adma.202523053?af=R" TargetMode="External"/><Relationship Id="rId875" Type="http://schemas.openxmlformats.org/officeDocument/2006/relationships/hyperlink" Target="https://doi.org/10.1002/adma.202523053" TargetMode="External"/><Relationship Id="rId876" Type="http://schemas.openxmlformats.org/officeDocument/2006/relationships/hyperlink" Target="https://onlinelibrary.wiley.com/doi/10.1002/anie.9659580?af=R" TargetMode="External"/><Relationship Id="rId877" Type="http://schemas.openxmlformats.org/officeDocument/2006/relationships/hyperlink" Target="https://doi.org/10.1002/anie.9659580" TargetMode="External"/><Relationship Id="rId878" Type="http://schemas.openxmlformats.org/officeDocument/2006/relationships/hyperlink" Target="http://dx.doi.org/10.1021/jacs.6c00610" TargetMode="External"/><Relationship Id="rId879" Type="http://schemas.openxmlformats.org/officeDocument/2006/relationships/hyperlink" Target="https://doi.org/10.1021/jacs.6c00610" TargetMode="External"/><Relationship Id="rId880" Type="http://schemas.openxmlformats.org/officeDocument/2006/relationships/hyperlink" Target="http://dx.doi.org/10.1021/jacs.6c05307" TargetMode="External"/><Relationship Id="rId881" Type="http://schemas.openxmlformats.org/officeDocument/2006/relationships/hyperlink" Target="https://doi.org/10.1021/jacs.6c05307" TargetMode="External"/><Relationship Id="rId882" Type="http://schemas.openxmlformats.org/officeDocument/2006/relationships/hyperlink" Target="http://dx.doi.org/10.1021/jacs.6c01583" TargetMode="External"/><Relationship Id="rId883" Type="http://schemas.openxmlformats.org/officeDocument/2006/relationships/hyperlink" Target="https://doi.org/10.1021/jacs.6c01583" TargetMode="External"/><Relationship Id="rId884" Type="http://schemas.openxmlformats.org/officeDocument/2006/relationships/hyperlink" Target="http://dx.doi.org/10.1021/jacs.6c05063" TargetMode="External"/><Relationship Id="rId885" Type="http://schemas.openxmlformats.org/officeDocument/2006/relationships/hyperlink" Target="https://doi.org/10.1021/jacs.6c05063" TargetMode="External"/><Relationship Id="rId886" Type="http://schemas.openxmlformats.org/officeDocument/2006/relationships/hyperlink" Target="http://dx.doi.org/10.1021/jacs.5c21333" TargetMode="External"/><Relationship Id="rId887" Type="http://schemas.openxmlformats.org/officeDocument/2006/relationships/hyperlink" Target="https://doi.org/10.1021/jacs.5c21333" TargetMode="External"/><Relationship Id="rId888" Type="http://schemas.openxmlformats.org/officeDocument/2006/relationships/hyperlink" Target="http://dx.doi.org/10.1021/jacs.6c02348" TargetMode="External"/><Relationship Id="rId889" Type="http://schemas.openxmlformats.org/officeDocument/2006/relationships/hyperlink" Target="https://doi.org/10.1021/jacs.6c02348" TargetMode="External"/><Relationship Id="rId890" Type="http://schemas.openxmlformats.org/officeDocument/2006/relationships/hyperlink" Target="http://dx.doi.org/10.1021/jacs.6c01100" TargetMode="External"/><Relationship Id="rId891" Type="http://schemas.openxmlformats.org/officeDocument/2006/relationships/hyperlink" Target="https://doi.org/10.1021/jacs.6c01100" TargetMode="External"/><Relationship Id="rId892" Type="http://schemas.openxmlformats.org/officeDocument/2006/relationships/hyperlink" Target="http://dx.doi.org/10.1021/jacs.6c02700" TargetMode="External"/><Relationship Id="rId893" Type="http://schemas.openxmlformats.org/officeDocument/2006/relationships/hyperlink" Target="https://doi.org/10.1021/jacs.6c02700" TargetMode="External"/><Relationship Id="rId894" Type="http://schemas.openxmlformats.org/officeDocument/2006/relationships/hyperlink" Target="http://dx.doi.org/10.1021/jacs.6c03530" TargetMode="External"/><Relationship Id="rId895" Type="http://schemas.openxmlformats.org/officeDocument/2006/relationships/hyperlink" Target="https://doi.org/10.1021/jacs.6c03530" TargetMode="External"/><Relationship Id="rId896" Type="http://schemas.openxmlformats.org/officeDocument/2006/relationships/hyperlink" Target="http://dx.doi.org/10.1021/jacs.6c00020" TargetMode="External"/><Relationship Id="rId897" Type="http://schemas.openxmlformats.org/officeDocument/2006/relationships/hyperlink" Target="https://doi.org/10.1021/jacs.6c00020" TargetMode="External"/><Relationship Id="rId898" Type="http://schemas.openxmlformats.org/officeDocument/2006/relationships/hyperlink" Target="http://dx.doi.org/10.1021/acsenergylett.6c00023" TargetMode="External"/><Relationship Id="rId899" Type="http://schemas.openxmlformats.org/officeDocument/2006/relationships/hyperlink" Target="https://doi.org/10.1021/acsenergylett.6c00023" TargetMode="External"/><Relationship Id="rId900" Type="http://schemas.openxmlformats.org/officeDocument/2006/relationships/hyperlink" Target="http://dx.doi.org/10.1021/acs.chemrev.5c01091" TargetMode="External"/><Relationship Id="rId901" Type="http://schemas.openxmlformats.org/officeDocument/2006/relationships/hyperlink" Target="https://doi.org/10.1021/acs.chemrev.5c01091" TargetMode="External"/><Relationship Id="rId902" Type="http://schemas.openxmlformats.org/officeDocument/2006/relationships/hyperlink" Target="http://dx.doi.org/10.1021/acsenergylett.6c00329" TargetMode="External"/><Relationship Id="rId903" Type="http://schemas.openxmlformats.org/officeDocument/2006/relationships/hyperlink" Target="https://doi.org/10.1021/acsenergylett.6c00329" TargetMode="External"/><Relationship Id="rId904" Type="http://schemas.openxmlformats.org/officeDocument/2006/relationships/hyperlink" Target="http://dx.doi.org/10.1021/jacs.6c03811" TargetMode="External"/><Relationship Id="rId905" Type="http://schemas.openxmlformats.org/officeDocument/2006/relationships/hyperlink" Target="https://doi.org/10.1021/jacs.6c03811" TargetMode="External"/><Relationship Id="rId906" Type="http://schemas.openxmlformats.org/officeDocument/2006/relationships/hyperlink" Target="http://dx.doi.org/10.1021/jacs.6c00850" TargetMode="External"/><Relationship Id="rId907" Type="http://schemas.openxmlformats.org/officeDocument/2006/relationships/hyperlink" Target="https://doi.org/10.1021/jacs.6c00850" TargetMode="External"/><Relationship Id="rId908" Type="http://schemas.openxmlformats.org/officeDocument/2006/relationships/hyperlink" Target="http://dx.doi.org/10.1021/jacs.6c01880" TargetMode="External"/><Relationship Id="rId909" Type="http://schemas.openxmlformats.org/officeDocument/2006/relationships/hyperlink" Target="https://doi.org/10.1021/jacs.6c01880" TargetMode="External"/><Relationship Id="rId910" Type="http://schemas.openxmlformats.org/officeDocument/2006/relationships/hyperlink" Target="http://dx.doi.org/10.1021/jacs.6c03764" TargetMode="External"/><Relationship Id="rId911" Type="http://schemas.openxmlformats.org/officeDocument/2006/relationships/hyperlink" Target="https://doi.org/10.1021/jacs.6c03764" TargetMode="External"/><Relationship Id="rId912" Type="http://schemas.openxmlformats.org/officeDocument/2006/relationships/hyperlink" Target="http://dx.doi.org/10.1021/jacs.6c03462" TargetMode="External"/><Relationship Id="rId913" Type="http://schemas.openxmlformats.org/officeDocument/2006/relationships/hyperlink" Target="https://doi.org/10.1021/jacs.6c03462" TargetMode="External"/><Relationship Id="rId914" Type="http://schemas.openxmlformats.org/officeDocument/2006/relationships/hyperlink" Target="http://pubs.rsc.org/en/Content/ArticleLanding/2026/CS/D5CS01279A" TargetMode="External"/><Relationship Id="rId915" Type="http://schemas.openxmlformats.org/officeDocument/2006/relationships/hyperlink" Target="http://pubs.rsc.org/en/Content/ArticleLanding/2026/CS/D5CS01224D" TargetMode="External"/><Relationship Id="rId916" Type="http://schemas.openxmlformats.org/officeDocument/2006/relationships/hyperlink" Target="http://pubs.rsc.org/en/Content/ArticleLanding/2026/EE/D6EE01186A" TargetMode="External"/><Relationship Id="rId917" Type="http://schemas.openxmlformats.org/officeDocument/2006/relationships/hyperlink" Target="https://www.sciencedirect.com/science/article/pii/S0306261926005465?dgcid=rss_sd_all" TargetMode="External"/><Relationship Id="rId918" Type="http://schemas.openxmlformats.org/officeDocument/2006/relationships/hyperlink" Target="https://www.nature.com/articles/s41586-026-10560-1" TargetMode="External"/><Relationship Id="rId919" Type="http://schemas.openxmlformats.org/officeDocument/2006/relationships/hyperlink" Target="https://doi.org/10.1038/s41586-026-10560-1" TargetMode="External"/><Relationship Id="rId920" Type="http://schemas.openxmlformats.org/officeDocument/2006/relationships/hyperlink" Target="https://www.nature.com/articles/s41893-026-01823-w" TargetMode="External"/><Relationship Id="rId921" Type="http://schemas.openxmlformats.org/officeDocument/2006/relationships/hyperlink" Target="https://doi.org/10.1038/s41893-026-01823-w" TargetMode="External"/><Relationship Id="rId922" Type="http://schemas.openxmlformats.org/officeDocument/2006/relationships/hyperlink" Target="https://www.sciencedirect.com/science/article/pii/S0301421526002776?dgcid=rss_sd_all" TargetMode="External"/><Relationship Id="rId923" Type="http://schemas.openxmlformats.org/officeDocument/2006/relationships/hyperlink" Target="https://www.nature.com/articles/s41557-026-02128-3" TargetMode="External"/><Relationship Id="rId924" Type="http://schemas.openxmlformats.org/officeDocument/2006/relationships/hyperlink" Target="https://doi.org/10.1038/s41557-026-02128-3" TargetMode="External"/><Relationship Id="rId925" Type="http://schemas.openxmlformats.org/officeDocument/2006/relationships/hyperlink" Target="https://www.nature.com/articles/s41557-026-02131-8" TargetMode="External"/><Relationship Id="rId926" Type="http://schemas.openxmlformats.org/officeDocument/2006/relationships/hyperlink" Target="https://doi.org/10.1038/s41557-026-02131-8" TargetMode="External"/><Relationship Id="rId927" Type="http://schemas.openxmlformats.org/officeDocument/2006/relationships/hyperlink" Target="https://www.nature.com/articles/s41557-026-02121-w" TargetMode="External"/><Relationship Id="rId928" Type="http://schemas.openxmlformats.org/officeDocument/2006/relationships/hyperlink" Target="https://doi.org/10.1038/s41557-026-02121-w" TargetMode="External"/><Relationship Id="rId929" Type="http://schemas.openxmlformats.org/officeDocument/2006/relationships/hyperlink" Target="https://www.nature.com/articles/s41557-026-02139-0" TargetMode="External"/><Relationship Id="rId930" Type="http://schemas.openxmlformats.org/officeDocument/2006/relationships/hyperlink" Target="https://doi.org/10.1038/s41557-026-02139-0" TargetMode="External"/><Relationship Id="rId931" Type="http://schemas.openxmlformats.org/officeDocument/2006/relationships/hyperlink" Target="https://www.nature.com/articles/d41586-026-01287-0" TargetMode="External"/><Relationship Id="rId932" Type="http://schemas.openxmlformats.org/officeDocument/2006/relationships/hyperlink" Target="https://doi.org/10.1038/d41586-026-01287-0" TargetMode="External"/><Relationship Id="rId933" Type="http://schemas.openxmlformats.org/officeDocument/2006/relationships/hyperlink" Target="https://www.nature.com/articles/s41563-026-02612-8" TargetMode="External"/><Relationship Id="rId934" Type="http://schemas.openxmlformats.org/officeDocument/2006/relationships/hyperlink" Target="https://doi.org/10.1038/s41563-026-02612-8" TargetMode="External"/><Relationship Id="rId935" Type="http://schemas.openxmlformats.org/officeDocument/2006/relationships/hyperlink" Target="https://www.nature.com/articles/s41563-026-02581-y" TargetMode="External"/><Relationship Id="rId936" Type="http://schemas.openxmlformats.org/officeDocument/2006/relationships/hyperlink" Target="https://doi.org/10.1038/s41563-026-02581-y" TargetMode="External"/><Relationship Id="rId937" Type="http://schemas.openxmlformats.org/officeDocument/2006/relationships/hyperlink" Target="https://www.cell.com/chem/fulltext/S2451-9294(26)00109-9?rss=yes" TargetMode="External"/><Relationship Id="rId938" Type="http://schemas.openxmlformats.org/officeDocument/2006/relationships/hyperlink" Target="https://doi.org/10.1016/j.chempr.2026.103043" TargetMode="External"/><Relationship Id="rId939" Type="http://schemas.openxmlformats.org/officeDocument/2006/relationships/hyperlink" Target="https://www.nature.com/articles/s41557-026-02133-6" TargetMode="External"/><Relationship Id="rId940" Type="http://schemas.openxmlformats.org/officeDocument/2006/relationships/hyperlink" Target="https://doi.org/10.1038/s41557-026-02133-6" TargetMode="External"/><Relationship Id="rId941" Type="http://schemas.openxmlformats.org/officeDocument/2006/relationships/hyperlink" Target="https://www.nature.com/articles/d41586-026-01296-z" TargetMode="External"/><Relationship Id="rId942" Type="http://schemas.openxmlformats.org/officeDocument/2006/relationships/hyperlink" Target="https://doi.org/10.1038/d41586-026-01296-z" TargetMode="External"/><Relationship Id="rId943" Type="http://schemas.openxmlformats.org/officeDocument/2006/relationships/hyperlink" Target="https://www.nature.com/articles/s41586-026-10547-y" TargetMode="External"/><Relationship Id="rId944" Type="http://schemas.openxmlformats.org/officeDocument/2006/relationships/hyperlink" Target="https://doi.org/10.1038/s41586-026-10547-y" TargetMode="External"/><Relationship Id="rId945" Type="http://schemas.openxmlformats.org/officeDocument/2006/relationships/hyperlink" Target="https://www.sciencedirect.com/science/article/pii/S0306261926005829?dgcid=rss_sd_all" TargetMode="External"/><Relationship Id="rId946" Type="http://schemas.openxmlformats.org/officeDocument/2006/relationships/hyperlink" Target="https://www.sciencedirect.com/science/article/pii/S0306261926005544?dgcid=rss_sd_all" TargetMode="External"/><Relationship Id="rId947" Type="http://schemas.openxmlformats.org/officeDocument/2006/relationships/hyperlink" Target="https://www.cell.com/matter/fulltext/S2590-2385(26)00161-X?rss=yes" TargetMode="External"/><Relationship Id="rId948" Type="http://schemas.openxmlformats.org/officeDocument/2006/relationships/hyperlink" Target="https://doi.org/10.1016/j.matt.2026.102798" TargetMode="External"/><Relationship Id="rId949" Type="http://schemas.openxmlformats.org/officeDocument/2006/relationships/hyperlink" Target="https://www.sciencedirect.com/science/article/pii/S0306261926005775?dgcid=rss_sd_all" TargetMode="External"/><Relationship Id="rId950" Type="http://schemas.openxmlformats.org/officeDocument/2006/relationships/hyperlink" Target="https://www.sciencedirect.com/science/article/pii/S0306261926005763?dgcid=rss_sd_all" TargetMode="External"/><Relationship Id="rId951" Type="http://schemas.openxmlformats.org/officeDocument/2006/relationships/hyperlink" Target="https://www.cell.com/matter/fulltext/S2590-2385(26)00162-1?rss=yes" TargetMode="External"/><Relationship Id="rId952" Type="http://schemas.openxmlformats.org/officeDocument/2006/relationships/hyperlink" Target="https://doi.org/10.1016/j.matt.2026.102799" TargetMode="External"/><Relationship Id="rId953" Type="http://schemas.openxmlformats.org/officeDocument/2006/relationships/hyperlink" Target="https://www.nature.com/articles/d41586-026-01342-w" TargetMode="External"/><Relationship Id="rId954" Type="http://schemas.openxmlformats.org/officeDocument/2006/relationships/hyperlink" Target="https://doi.org/10.1038/d41586-026-01342-w" TargetMode="External"/><Relationship Id="rId955" Type="http://schemas.openxmlformats.org/officeDocument/2006/relationships/hyperlink" Target="https://www.nature.com/articles/s41928-026-01608-1" TargetMode="External"/><Relationship Id="rId956" Type="http://schemas.openxmlformats.org/officeDocument/2006/relationships/hyperlink" Target="https://doi.org/10.1038/s41928-026-01608-1" TargetMode="External"/><Relationship Id="rId957" Type="http://schemas.openxmlformats.org/officeDocument/2006/relationships/hyperlink" Target="https://www.nature.com/articles/d41586-026-01344-8" TargetMode="External"/><Relationship Id="rId958" Type="http://schemas.openxmlformats.org/officeDocument/2006/relationships/hyperlink" Target="https://doi.org/10.1038/d41586-026-01344-8" TargetMode="External"/><Relationship Id="rId959" Type="http://schemas.openxmlformats.org/officeDocument/2006/relationships/hyperlink" Target="https://www.nature.com/articles/d41586-026-01113-7" TargetMode="External"/><Relationship Id="rId960" Type="http://schemas.openxmlformats.org/officeDocument/2006/relationships/hyperlink" Target="https://doi.org/10.1038/d41586-026-01113-7" TargetMode="External"/><Relationship Id="rId961" Type="http://schemas.openxmlformats.org/officeDocument/2006/relationships/hyperlink" Target="https://www.nature.com/articles/d41586-026-01061-2" TargetMode="External"/><Relationship Id="rId962" Type="http://schemas.openxmlformats.org/officeDocument/2006/relationships/hyperlink" Target="https://doi.org/10.1038/d41586-026-01061-2" TargetMode="External"/><Relationship Id="rId963" Type="http://schemas.openxmlformats.org/officeDocument/2006/relationships/hyperlink" Target="https://www.nature.com/articles/d41586-026-01254-9" TargetMode="External"/><Relationship Id="rId964" Type="http://schemas.openxmlformats.org/officeDocument/2006/relationships/hyperlink" Target="https://doi.org/10.1038/d41586-026-01254-9" TargetMode="External"/><Relationship Id="rId965" Type="http://schemas.openxmlformats.org/officeDocument/2006/relationships/hyperlink" Target="https://www.nature.com/articles/d41586-026-00980-4" TargetMode="External"/><Relationship Id="rId966" Type="http://schemas.openxmlformats.org/officeDocument/2006/relationships/hyperlink" Target="https://doi.org/10.1038/d41586-026-00980-4" TargetMode="External"/><Relationship Id="rId967" Type="http://schemas.openxmlformats.org/officeDocument/2006/relationships/hyperlink" Target="https://www.nature.com/articles/d41586-026-01131-5" TargetMode="External"/><Relationship Id="rId968" Type="http://schemas.openxmlformats.org/officeDocument/2006/relationships/hyperlink" Target="https://doi.org/10.1038/d41586-026-01131-5" TargetMode="External"/><Relationship Id="rId969" Type="http://schemas.openxmlformats.org/officeDocument/2006/relationships/hyperlink" Target="https://www.nature.com/articles/s41586-026-10503-w" TargetMode="External"/><Relationship Id="rId970" Type="http://schemas.openxmlformats.org/officeDocument/2006/relationships/hyperlink" Target="https://doi.org/10.1038/s41586-026-10503-w" TargetMode="External"/><Relationship Id="rId971" Type="http://schemas.openxmlformats.org/officeDocument/2006/relationships/hyperlink" Target="https://www.nature.com/articles/s41928-026-01629-w" TargetMode="External"/><Relationship Id="rId972" Type="http://schemas.openxmlformats.org/officeDocument/2006/relationships/hyperlink" Target="https://doi.org/10.1038/s41928-026-01629-w" TargetMode="External"/><Relationship Id="rId973" Type="http://schemas.openxmlformats.org/officeDocument/2006/relationships/hyperlink" Target="https://onlinelibrary.wiley.com/doi/10.1002/anie.7686382?af=R" TargetMode="External"/><Relationship Id="rId974" Type="http://schemas.openxmlformats.org/officeDocument/2006/relationships/hyperlink" Target="https://doi.org/10.1002/anie.7686382" TargetMode="External"/><Relationship Id="rId975" Type="http://schemas.openxmlformats.org/officeDocument/2006/relationships/hyperlink" Target="https://onlinelibrary.wiley.com/doi/10.1002/anie.8143908?af=R" TargetMode="External"/><Relationship Id="rId976" Type="http://schemas.openxmlformats.org/officeDocument/2006/relationships/hyperlink" Target="https://doi.org/10.1002/anie.8143908" TargetMode="External"/><Relationship Id="rId977" Type="http://schemas.openxmlformats.org/officeDocument/2006/relationships/hyperlink" Target="https://onlinelibrary.wiley.com/doi/10.1002/anie.8433540?af=R" TargetMode="External"/><Relationship Id="rId978" Type="http://schemas.openxmlformats.org/officeDocument/2006/relationships/hyperlink" Target="https://doi.org/10.1002/anie.8433540" TargetMode="External"/><Relationship Id="rId979" Type="http://schemas.openxmlformats.org/officeDocument/2006/relationships/hyperlink" Target="https://www.science.org/doi/abs/10.1126/science.aei2485?af=R" TargetMode="External"/><Relationship Id="rId980" Type="http://schemas.openxmlformats.org/officeDocument/2006/relationships/hyperlink" Target="https://doi.org/10.1126/science.aei2485" TargetMode="External"/><Relationship Id="rId981" Type="http://schemas.openxmlformats.org/officeDocument/2006/relationships/hyperlink" Target="https://www.science.org/doi/abs/10.1126/science.aeg8798?af=R" TargetMode="External"/><Relationship Id="rId982" Type="http://schemas.openxmlformats.org/officeDocument/2006/relationships/hyperlink" Target="https://doi.org/10.1126/science.aeg8798" TargetMode="External"/><Relationship Id="rId983" Type="http://schemas.openxmlformats.org/officeDocument/2006/relationships/hyperlink" Target="https://www.science.org/doi/abs/10.1126/science.adz3492?af=R" TargetMode="External"/><Relationship Id="rId984" Type="http://schemas.openxmlformats.org/officeDocument/2006/relationships/hyperlink" Target="https://doi.org/10.1126/science.adz3492" TargetMode="External"/><Relationship Id="rId985" Type="http://schemas.openxmlformats.org/officeDocument/2006/relationships/hyperlink" Target="https://www.science.org/doi/abs/10.1126/science.aei2038?af=R" TargetMode="External"/><Relationship Id="rId986" Type="http://schemas.openxmlformats.org/officeDocument/2006/relationships/hyperlink" Target="https://doi.org/10.1126/science.aei2038" TargetMode="External"/><Relationship Id="rId987" Type="http://schemas.openxmlformats.org/officeDocument/2006/relationships/hyperlink" Target="https://www.science.org/doi/abs/10.1126/science.aei2482?af=R" TargetMode="External"/><Relationship Id="rId988" Type="http://schemas.openxmlformats.org/officeDocument/2006/relationships/hyperlink" Target="https://doi.org/10.1126/science.aei2482" TargetMode="External"/><Relationship Id="rId989" Type="http://schemas.openxmlformats.org/officeDocument/2006/relationships/hyperlink" Target="https://www.science.org/doi/abs/10.1126/science.aei2481?af=R" TargetMode="External"/><Relationship Id="rId990" Type="http://schemas.openxmlformats.org/officeDocument/2006/relationships/hyperlink" Target="https://doi.org/10.1126/science.aei2481" TargetMode="External"/><Relationship Id="rId991" Type="http://schemas.openxmlformats.org/officeDocument/2006/relationships/hyperlink" Target="https://www.science.org/doi/abs/10.1126/science.aeg6003?af=R" TargetMode="External"/><Relationship Id="rId992" Type="http://schemas.openxmlformats.org/officeDocument/2006/relationships/hyperlink" Target="https://doi.org/10.1126/science.aeg6003" TargetMode="External"/><Relationship Id="rId993" Type="http://schemas.openxmlformats.org/officeDocument/2006/relationships/hyperlink" Target="https://www.science.org/doi/abs/10.1126/science.aeg7121?af=R" TargetMode="External"/><Relationship Id="rId994" Type="http://schemas.openxmlformats.org/officeDocument/2006/relationships/hyperlink" Target="https://doi.org/10.1126/science.aeg7121" TargetMode="External"/><Relationship Id="rId995" Type="http://schemas.openxmlformats.org/officeDocument/2006/relationships/hyperlink" Target="https://www.science.org/doi/abs/10.1126/science.aeg5987?af=R" TargetMode="External"/><Relationship Id="rId996" Type="http://schemas.openxmlformats.org/officeDocument/2006/relationships/hyperlink" Target="https://doi.org/10.1126/science.aeg5987" TargetMode="External"/><Relationship Id="rId997" Type="http://schemas.openxmlformats.org/officeDocument/2006/relationships/hyperlink" Target="https://www.science.org/doi/abs/10.1126/science.aei2480?af=R" TargetMode="External"/><Relationship Id="rId998" Type="http://schemas.openxmlformats.org/officeDocument/2006/relationships/hyperlink" Target="https://doi.org/10.1126/science.aei2480" TargetMode="External"/><Relationship Id="rId999" Type="http://schemas.openxmlformats.org/officeDocument/2006/relationships/hyperlink" Target="https://www.science.org/doi/abs/10.1126/science.aeh0065?af=R" TargetMode="External"/><Relationship Id="rId1000" Type="http://schemas.openxmlformats.org/officeDocument/2006/relationships/hyperlink" Target="https://doi.org/10.1126/science.aeh0065" TargetMode="External"/><Relationship Id="rId1001" Type="http://schemas.openxmlformats.org/officeDocument/2006/relationships/hyperlink" Target="https://www.science.org/doi/abs/10.1126/science.aeg3085?af=R" TargetMode="External"/><Relationship Id="rId1002" Type="http://schemas.openxmlformats.org/officeDocument/2006/relationships/hyperlink" Target="https://doi.org/10.1126/science.aeg3085" TargetMode="External"/><Relationship Id="rId1003" Type="http://schemas.openxmlformats.org/officeDocument/2006/relationships/hyperlink" Target="https://www.science.org/doi/abs/10.1126/science.aea6285?af=R" TargetMode="External"/><Relationship Id="rId1004" Type="http://schemas.openxmlformats.org/officeDocument/2006/relationships/hyperlink" Target="https://doi.org/10.1126/science.aea6285" TargetMode="External"/><Relationship Id="rId1005" Type="http://schemas.openxmlformats.org/officeDocument/2006/relationships/hyperlink" Target="https://www.science.org/doi/abs/10.1126/science.aei2040?af=R" TargetMode="External"/><Relationship Id="rId1006" Type="http://schemas.openxmlformats.org/officeDocument/2006/relationships/hyperlink" Target="https://doi.org/10.1126/science.aei2040" TargetMode="External"/><Relationship Id="rId1007" Type="http://schemas.openxmlformats.org/officeDocument/2006/relationships/hyperlink" Target="https://www.science.org/doi/abs/10.1126/science.aei2039?af=R" TargetMode="External"/><Relationship Id="rId1008" Type="http://schemas.openxmlformats.org/officeDocument/2006/relationships/hyperlink" Target="https://doi.org/10.1126/science.aei2039" TargetMode="External"/><Relationship Id="rId1009" Type="http://schemas.openxmlformats.org/officeDocument/2006/relationships/hyperlink" Target="https://www.science.org/doi/abs/10.1126/science.aed0434?af=R" TargetMode="External"/><Relationship Id="rId1010" Type="http://schemas.openxmlformats.org/officeDocument/2006/relationships/hyperlink" Target="https://doi.org/10.1126/science.aed0434" TargetMode="External"/><Relationship Id="rId1011" Type="http://schemas.openxmlformats.org/officeDocument/2006/relationships/hyperlink" Target="https://www.science.org/doi/abs/10.1126/science.aee3321?af=R" TargetMode="External"/><Relationship Id="rId1012" Type="http://schemas.openxmlformats.org/officeDocument/2006/relationships/hyperlink" Target="https://doi.org/10.1126/science.aee3321" TargetMode="External"/><Relationship Id="rId1013" Type="http://schemas.openxmlformats.org/officeDocument/2006/relationships/hyperlink" Target="https://www.science.org/doi/abs/10.1126/science.aed9192?af=R" TargetMode="External"/><Relationship Id="rId1014" Type="http://schemas.openxmlformats.org/officeDocument/2006/relationships/hyperlink" Target="https://doi.org/10.1126/science.aed9192" TargetMode="External"/><Relationship Id="rId1015" Type="http://schemas.openxmlformats.org/officeDocument/2006/relationships/hyperlink" Target="https://www.science.org/doi/abs/10.1126/science.aec9708?af=R" TargetMode="External"/><Relationship Id="rId1016" Type="http://schemas.openxmlformats.org/officeDocument/2006/relationships/hyperlink" Target="https://doi.org/10.1126/science.aec9708" TargetMode="External"/><Relationship Id="rId1017" Type="http://schemas.openxmlformats.org/officeDocument/2006/relationships/hyperlink" Target="https://www.science.org/doi/abs/10.1126/science.aeb0673?af=R" TargetMode="External"/><Relationship Id="rId1018" Type="http://schemas.openxmlformats.org/officeDocument/2006/relationships/hyperlink" Target="https://doi.org/10.1126/science.aeb0673" TargetMode="External"/><Relationship Id="rId1019" Type="http://schemas.openxmlformats.org/officeDocument/2006/relationships/hyperlink" Target="https://www.science.org/doi/abs/10.1126/science.aei2483?af=R" TargetMode="External"/><Relationship Id="rId1020" Type="http://schemas.openxmlformats.org/officeDocument/2006/relationships/hyperlink" Target="https://doi.org/10.1126/science.aei2483" TargetMode="External"/><Relationship Id="rId1021" Type="http://schemas.openxmlformats.org/officeDocument/2006/relationships/hyperlink" Target="https://www.science.org/doi/abs/10.1126/science.aea0552?af=R" TargetMode="External"/><Relationship Id="rId1022" Type="http://schemas.openxmlformats.org/officeDocument/2006/relationships/hyperlink" Target="https://doi.org/10.1126/science.aea0552" TargetMode="External"/><Relationship Id="rId1023" Type="http://schemas.openxmlformats.org/officeDocument/2006/relationships/hyperlink" Target="https://www.science.org/doi/abs/10.1126/science.adz8296?af=R" TargetMode="External"/><Relationship Id="rId1024" Type="http://schemas.openxmlformats.org/officeDocument/2006/relationships/hyperlink" Target="https://doi.org/10.1126/science.adz8296" TargetMode="External"/><Relationship Id="rId1025" Type="http://schemas.openxmlformats.org/officeDocument/2006/relationships/hyperlink" Target="https://www.science.org/doi/abs/10.1126/science.aeg5562?af=R" TargetMode="External"/><Relationship Id="rId1026" Type="http://schemas.openxmlformats.org/officeDocument/2006/relationships/hyperlink" Target="https://doi.org/10.1126/science.aeg5562" TargetMode="External"/><Relationship Id="rId1027" Type="http://schemas.openxmlformats.org/officeDocument/2006/relationships/hyperlink" Target="https://www.science.org/doi/abs/10.1126/science.aei2484?af=R" TargetMode="External"/><Relationship Id="rId1028" Type="http://schemas.openxmlformats.org/officeDocument/2006/relationships/hyperlink" Target="https://doi.org/10.1126/science.aei2484" TargetMode="External"/><Relationship Id="rId1029" Type="http://schemas.openxmlformats.org/officeDocument/2006/relationships/hyperlink" Target="https://www.science.org/doi/abs/10.1126/science.aeg5991?af=R" TargetMode="External"/><Relationship Id="rId1030" Type="http://schemas.openxmlformats.org/officeDocument/2006/relationships/hyperlink" Target="https://doi.org/10.1126/science.aeg5991" TargetMode="External"/><Relationship Id="rId1031" Type="http://schemas.openxmlformats.org/officeDocument/2006/relationships/hyperlink" Target="https://advanced.onlinelibrary.wiley.com/doi/10.1002/adma.73147?af=R" TargetMode="External"/><Relationship Id="rId1032" Type="http://schemas.openxmlformats.org/officeDocument/2006/relationships/hyperlink" Target="https://doi.org/10.1002/adma.73147" TargetMode="External"/><Relationship Id="rId1033" Type="http://schemas.openxmlformats.org/officeDocument/2006/relationships/hyperlink" Target="https://advanced.onlinelibrary.wiley.com/doi/10.1002/adma.202523542?af=R" TargetMode="External"/><Relationship Id="rId1034" Type="http://schemas.openxmlformats.org/officeDocument/2006/relationships/hyperlink" Target="https://doi.org/10.1002/adma.202523542" TargetMode="External"/><Relationship Id="rId1035" Type="http://schemas.openxmlformats.org/officeDocument/2006/relationships/hyperlink" Target="https://advanced.onlinelibrary.wiley.com/doi/10.1002/adma.202523663?af=R" TargetMode="External"/><Relationship Id="rId1036" Type="http://schemas.openxmlformats.org/officeDocument/2006/relationships/hyperlink" Target="https://doi.org/10.1002/adma.202523663" TargetMode="External"/><Relationship Id="rId1037" Type="http://schemas.openxmlformats.org/officeDocument/2006/relationships/hyperlink" Target="https://advanced.onlinelibrary.wiley.com/doi/10.1002/adma.202523422?af=R" TargetMode="External"/><Relationship Id="rId1038" Type="http://schemas.openxmlformats.org/officeDocument/2006/relationships/hyperlink" Target="https://doi.org/10.1002/adma.202523422" TargetMode="External"/><Relationship Id="rId1039" Type="http://schemas.openxmlformats.org/officeDocument/2006/relationships/hyperlink" Target="https://advanced.onlinelibrary.wiley.com/doi/10.1002/adma.202600006?af=R" TargetMode="External"/><Relationship Id="rId1040" Type="http://schemas.openxmlformats.org/officeDocument/2006/relationships/hyperlink" Target="https://doi.org/10.1002/adma.202600006" TargetMode="External"/><Relationship Id="rId1041" Type="http://schemas.openxmlformats.org/officeDocument/2006/relationships/hyperlink" Target="https://www.science.org/doi/abs/10.1126/science.adw2156?af=R" TargetMode="External"/><Relationship Id="rId1042" Type="http://schemas.openxmlformats.org/officeDocument/2006/relationships/hyperlink" Target="https://doi.org/10.1126/science.adw2156" TargetMode="External"/><Relationship Id="rId1043" Type="http://schemas.openxmlformats.org/officeDocument/2006/relationships/hyperlink" Target="https://www.science.org/doi/abs/10.1126/science.ads9412?af=R" TargetMode="External"/><Relationship Id="rId1044" Type="http://schemas.openxmlformats.org/officeDocument/2006/relationships/hyperlink" Target="https://doi.org/10.1126/science.ads9412" TargetMode="External"/><Relationship Id="rId1045" Type="http://schemas.openxmlformats.org/officeDocument/2006/relationships/hyperlink" Target="https://www.science.org/doi/abs/10.1126/science.aea1549?af=R" TargetMode="External"/><Relationship Id="rId1046" Type="http://schemas.openxmlformats.org/officeDocument/2006/relationships/hyperlink" Target="https://doi.org/10.1126/science.aea1549" TargetMode="External"/><Relationship Id="rId1047" Type="http://schemas.openxmlformats.org/officeDocument/2006/relationships/hyperlink" Target="https://www.science.org/doi/abs/10.1126/science.adw8939?af=R" TargetMode="External"/><Relationship Id="rId1048" Type="http://schemas.openxmlformats.org/officeDocument/2006/relationships/hyperlink" Target="https://doi.org/10.1126/science.adw8939" TargetMode="External"/><Relationship Id="rId1049" Type="http://schemas.openxmlformats.org/officeDocument/2006/relationships/hyperlink" Target="https://www.science.org/doi/abs/10.1126/science.aea1259?af=R" TargetMode="External"/><Relationship Id="rId1050" Type="http://schemas.openxmlformats.org/officeDocument/2006/relationships/hyperlink" Target="https://doi.org/10.1126/science.aea1259" TargetMode="External"/><Relationship Id="rId1051" Type="http://schemas.openxmlformats.org/officeDocument/2006/relationships/hyperlink" Target="https://www.science.org/doi/abs/10.1126/science.aeh1105?af=R" TargetMode="External"/><Relationship Id="rId1052" Type="http://schemas.openxmlformats.org/officeDocument/2006/relationships/hyperlink" Target="https://doi.org/10.1126/science.aeh1105" TargetMode="External"/><Relationship Id="rId1053" Type="http://schemas.openxmlformats.org/officeDocument/2006/relationships/hyperlink" Target="https://advanced.onlinelibrary.wiley.com/doi/10.1002/adma.73053?af=R" TargetMode="External"/><Relationship Id="rId1054" Type="http://schemas.openxmlformats.org/officeDocument/2006/relationships/hyperlink" Target="https://doi.org/10.1002/adma.73053" TargetMode="External"/><Relationship Id="rId1055" Type="http://schemas.openxmlformats.org/officeDocument/2006/relationships/hyperlink" Target="https://advanced.onlinelibrary.wiley.com/doi/10.1002/adma.73055?af=R" TargetMode="External"/><Relationship Id="rId1056" Type="http://schemas.openxmlformats.org/officeDocument/2006/relationships/hyperlink" Target="https://doi.org/10.1002/adma.73055" TargetMode="External"/><Relationship Id="rId1057" Type="http://schemas.openxmlformats.org/officeDocument/2006/relationships/hyperlink" Target="https://advanced.onlinelibrary.wiley.com/doi/10.1002/adma.73050?af=R" TargetMode="External"/><Relationship Id="rId1058" Type="http://schemas.openxmlformats.org/officeDocument/2006/relationships/hyperlink" Target="https://doi.org/10.1002/adma.73050" TargetMode="External"/><Relationship Id="rId1059" Type="http://schemas.openxmlformats.org/officeDocument/2006/relationships/hyperlink" Target="https://advanced.onlinelibrary.wiley.com/doi/10.1002/adma.73051?af=R" TargetMode="External"/><Relationship Id="rId1060" Type="http://schemas.openxmlformats.org/officeDocument/2006/relationships/hyperlink" Target="https://doi.org/10.1002/adma.73051" TargetMode="External"/><Relationship Id="rId1061" Type="http://schemas.openxmlformats.org/officeDocument/2006/relationships/hyperlink" Target="https://advanced.onlinelibrary.wiley.com/doi/10.1002/adma.73052?af=R" TargetMode="External"/><Relationship Id="rId1062" Type="http://schemas.openxmlformats.org/officeDocument/2006/relationships/hyperlink" Target="https://doi.org/10.1002/adma.73052" TargetMode="External"/><Relationship Id="rId1063" Type="http://schemas.openxmlformats.org/officeDocument/2006/relationships/hyperlink" Target="http://dx.doi.org/10.1021/acsenergylett.6c00528" TargetMode="External"/><Relationship Id="rId1064" Type="http://schemas.openxmlformats.org/officeDocument/2006/relationships/hyperlink" Target="https://doi.org/10.1021/acsenergylett.6c005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