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2026-01-09</w:t>
      </w:r>
    </w:p>
    <w:p>
      <w:pPr>
        <w:spacing w:before="160" w:after="40" w:line="240" w:lineRule="auto"/>
      </w:pPr>
      <w:r>
        <w:rPr>
          <w:b/>
        </w:rPr>
        <w:t xml:space="preserve">[1] </w:t>
      </w:r>
      <w:hyperlink r:id="rId9">
        <w:r>
          <w:rPr>
            <w:color w:val="1155CC"/>
            <w:u w:val="single"/>
          </w:rPr>
          <w:t>由于脂蛋白脂脂性脂脂脂脱脂导致非残留三甲基丙烯酸富脂蛋白质,导致小鼠的冠状硬化症增加。</w:t>
        </w:r>
      </w:hyperlink>
    </w:p>
    <w:p>
      <w:pPr>
        <w:spacing w:before="0" w:after="80"/>
      </w:pPr>
      <w:r>
        <w:rPr>
          <w:i/>
          <w:sz w:val="20"/>
        </w:rPr>
        <w:t>EN: Non-remnant triglyceride-rich lipoproteins due to lipoprotein lipase deficiency increase atherosclerosis in mice</w:t>
      </w:r>
    </w:p>
    <w:p>
      <w:pPr>
        <w:spacing w:before="0" w:after="120"/>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80" w:lineRule="auto" w:line="276"/>
      </w:pPr>
      <w:r>
        <w:rPr>
          <w:b/>
        </w:rPr>
        <w:t xml:space="preserve">摘要（ZH）: </w:t>
      </w:r>
      <w:r>
        <w:t>节食率和产后三重血清水平的提高是心血管疾病(CVD)的风险因素。当肠道衍生的曲旋微微微粒和肝秘密的极低密度脂蛋白(VLDLs)与位于毛细内皮细胞光表面的脂蛋白(LpL)脂酶(LPL)相互作用时,部分代谢的三重丙酸富脂脂蛋白(TRLs)(TRLs)含量与CVD(TRLs)含量之间关系的原因被牵连到较高的循环残留水平。我们假设新生的亲脂蛋白不仅有色诱发性。为了测试这一点,我们创造了带有诱发性全体脂蛋白(LLPL)缺乏症的老鼠,与LDLL(LLR)受体(LDLR)缺乏。关于诱发性西方型食物(WD)的雄性和雌性小鼠(WD)。</w:t>
      </w:r>
    </w:p>
    <w:p>
      <w:pPr>
        <w:spacing w:before="0" w:after="200" w:lineRule="auto" w:line="276"/>
      </w:pPr>
      <w:r>
        <w:rPr>
          <w:b/>
        </w:rPr>
        <w:t xml:space="preserve">Abstract (EN): </w:t>
      </w:r>
      <w:r>
        <w:t>Increased fasting and postprandial triglyceride levels are risk factors for cardiovascular disease (CVD). Partially metabolized triglyceride-rich lipoproteins (TRLs) termed remnants are created when intestinally-derived chylomicrons and liver secreted very low density lipoproteins (VLDLs) interact with lipoprotein lipase (LpL) situated on the luminal surface of capillary endothelial cells. Higher circulating remnant levels have been implicated as the reason for the relationship between TRL levels and CVD. We hypothesized that nascent lipoproteins not only remnants are atherogenic. To test this, we created mice with induced whole-body lipoprotein lipase (LpL) deficiency combined with LDL receptor (LDLR) deficiency. On an atherogenic Western-type diet (WD), male and female mice with induced global LpL deficiency (iLpl-/-) and LDLR knockdown (Ldlrkd) developed hypertriglyceridemia and elevated cholesterol levels; all the increased cholesterol was in chylomicrons or large VLDL. After 12 weeks on a WD, atherosclerotic lesions both in the brachiocephalic artery and the aortic root were more severe in iLpl-/-/Ldlrkd mice than control Ldlrkd mice. Aorta from hypertriglyceridemic mice had changes in the transcriptomes of endothelial cells, macrophages, and smooth muscle cells indicating vascular inflammation. Our data show that intact TRLs contribute to atherosclerosis, explain the association of postprandial lipemia and vascular disease and prove that non-remnant TRLs are not benign.</w:t>
      </w:r>
    </w:p>
    <w:p>
      <w:pPr>
        <w:spacing w:before="120" w:after="120"/>
      </w:pPr>
      <w:r>
        <w:rPr>
          <w:sz w:val="18"/>
        </w:rPr>
        <w:t>——————————————————————————————————————————————————————————————————————</w:t>
      </w:r>
    </w:p>
    <w:p>
      <w:pPr>
        <w:spacing w:before="160" w:after="40" w:line="240" w:lineRule="auto"/>
      </w:pPr>
      <w:r>
        <w:rPr>
          <w:b/>
        </w:rPr>
        <w:t xml:space="preserve">[2] </w:t>
      </w:r>
      <w:hyperlink r:id="rId10">
        <w:r>
          <w:rPr>
            <w:color w:val="1155CC"/>
            <w:u w:val="single"/>
          </w:rPr>
          <w:t>对可再生能源系统进行稳妥的可再生能源系统规划</w:t>
        </w:r>
      </w:hyperlink>
    </w:p>
    <w:p>
      <w:pPr>
        <w:spacing w:before="0" w:after="80"/>
      </w:pPr>
      <w:r>
        <w:rPr>
          <w:i/>
          <w:sz w:val="20"/>
        </w:rPr>
        <w:t>EN: A stochastic accommodation rate-constrained robust scheduling for renewable power systems</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1">
        <w:r>
          <w:rPr>
            <w:color w:val="1155CC"/>
            <w:u w:val="single"/>
          </w:rPr>
          <w:t>在共同脑网络上实施独特的抗抑郁疗法法</w:t>
        </w:r>
      </w:hyperlink>
    </w:p>
    <w:p>
      <w:pPr>
        <w:spacing w:before="0" w:after="80"/>
      </w:pPr>
      <w:r>
        <w:rPr>
          <w:i/>
          <w:sz w:val="20"/>
        </w:rPr>
        <w:t>EN: Distinct antidepressant therapies act on a common brain network</w:t>
      </w:r>
    </w:p>
    <w:p>
      <w:pPr>
        <w:spacing w:before="0" w:after="120"/>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80" w:lineRule="auto" w:line="276"/>
      </w:pPr>
      <w:r>
        <w:rPr>
          <w:b/>
        </w:rPr>
        <w:t xml:space="preserve">摘要（ZH）: </w:t>
      </w:r>
      <w:r>
        <w:t>抑郁症是全球健康危机,因为其流行率很高。但临床治疗并不充分。发现抑郁症的神经相关反应是发展有效疗法的关键一步。我们使用一种称为治疗网络绘图的方法,对16个纵向实验的数据进行了二级分析,发现阿米格达拉的网络通常由三种抗抑郁疗法(药理疗法、电休克疗法和磁性癫痫疗法)调节。这个治疗网络由两种独立的抑郁症患者治疗数据集和对雄性大鼠的预期临床前实验加以验证。 (二) 与抑郁基因、神经传导器和显形器有关的网络,以及(三) 也得到了两种与抑郁基因、神经传递器和显形有关的网络的验证。 (三) 这个治疗网络由两种独立的抑郁症患者治疗数据集和对雄性大鼠的预期临床实验加以验证。</w:t>
      </w:r>
    </w:p>
    <w:p>
      <w:pPr>
        <w:spacing w:before="0" w:after="200" w:lineRule="auto" w:line="276"/>
      </w:pPr>
      <w:r>
        <w:rPr>
          <w:b/>
        </w:rPr>
        <w:t xml:space="preserve">Abstract (EN): </w:t>
      </w:r>
      <w:r>
        <w:t>Depression disorder is a global health crisis, due to its high prevalence. Yet clinical treatments are inadequate. Uncovering the neural correlates of depression remission is a vital step toward developing effective therapies. Using a method termed therapeutic network mapping, we performed secondary analyses on the data of 16 longitudinal experiments and found that the network of the amygdala was commonly modulated by three antidepressant therapies (pharmacotherapy, electroconvulsive therapy, and magnetic seizure therapy). This therapeutic network was i) validated by two independent treatment datasets of patients with depression and a prospective preclinical experiment on male rats, ii) associated with networks of depression-related genes, neurotransmitters, and cognitions, and iii) also the target network of deep brain stimulation and repetitive transcranial magnetic stimulation (rTMS). Finally, a longitudinal rTMS experiment indicated that strengthened therapeutic network connectivity is associated with higher depressant alleviation. Taken together, our findings demonstrate that distinct antidepressant therapies act on a common network with potential targets for developing effective therapies.</w:t>
      </w:r>
    </w:p>
    <w:p>
      <w:pPr>
        <w:spacing w:before="120" w:after="120"/>
      </w:pPr>
      <w:r>
        <w:rPr>
          <w:sz w:val="18"/>
        </w:rPr>
        <w:t>——————————————————————————————————————————————————————————————————————</w:t>
      </w:r>
    </w:p>
    <w:p>
      <w:pPr>
        <w:spacing w:before="160" w:after="40" w:line="240" w:lineRule="auto"/>
      </w:pPr>
      <w:r>
        <w:rPr>
          <w:b/>
        </w:rPr>
        <w:t xml:space="preserve">[4] </w:t>
      </w:r>
      <w:hyperlink r:id="rId12">
        <w:r>
          <w:rPr>
            <w:color w:val="1155CC"/>
            <w:u w:val="single"/>
          </w:rPr>
          <w:t>有效的能源转移算法:一种非局部的、从小到小的线性方法,用来测绘储存能力,使其实现自给自足和自消费</w:t>
        </w:r>
      </w:hyperlink>
    </w:p>
    <w:p>
      <w:pPr>
        <w:spacing w:before="0" w:after="80"/>
      </w:pPr>
      <w:r>
        <w:rPr>
          <w:i/>
          <w:sz w:val="20"/>
        </w:rPr>
        <w:t>EN: The Effective Energy Shift (EfES) algorithm: A non-iterative piece-wise linear method for mapping storage capacity to self-sufficiency and self-consumption</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
        <w:r>
          <w:rPr>
            <w:color w:val="1155CC"/>
            <w:u w:val="single"/>
          </w:rPr>
          <w:t>具有灵活载荷的智能燃气涡轮机操作数字双双双功能动态4E-S多目标优化框架</w:t>
        </w:r>
      </w:hyperlink>
    </w:p>
    <w:p>
      <w:pPr>
        <w:spacing w:before="0" w:after="80"/>
      </w:pPr>
      <w:r>
        <w:rPr>
          <w:i/>
          <w:sz w:val="20"/>
        </w:rPr>
        <w:t>EN: Digital twin-enabled dynamic 4E-S multi-objective optimization framework for intelligent gas turbine operation with flexible loads</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14">
        <w:r>
          <w:rPr>
            <w:color w:val="1155CC"/>
            <w:u w:val="single"/>
          </w:rPr>
          <w:t>城市峡谷中三角选择性辐射冷却墙的能源性能和户外热舒适度:蒙特卡洛研究</w:t>
        </w:r>
      </w:hyperlink>
    </w:p>
    <w:p>
      <w:pPr>
        <w:spacing w:before="0" w:after="80"/>
      </w:pPr>
      <w:r>
        <w:rPr>
          <w:i/>
          <w:sz w:val="20"/>
        </w:rPr>
        <w:t>EN: Energy performance and outdoor thermal comfort of angular-selective radiative cooling walls in urban canyons: a Monte Carlo based study</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5">
        <w:r>
          <w:rPr>
            <w:color w:val="1155CC"/>
            <w:u w:val="single"/>
          </w:rPr>
          <w:t>与神经发育紊乱相关的染色体区域影响通过针对性别的神经电路的电动运动器行为。</w:t>
        </w:r>
      </w:hyperlink>
    </w:p>
    <w:p>
      <w:pPr>
        <w:spacing w:before="0" w:after="80"/>
      </w:pPr>
      <w:r>
        <w:rPr>
          <w:i/>
          <w:sz w:val="20"/>
        </w:rPr>
        <w:t>EN: A chromosome region linked to neurodevelopmental disorders influences locomotor behavior through sex-specific neural circuits</w:t>
      </w:r>
    </w:p>
    <w:p>
      <w:pPr>
        <w:spacing w:before="0" w:after="120"/>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80" w:lineRule="auto" w:line="276"/>
      </w:pPr>
      <w:r>
        <w:rPr>
          <w:b/>
        </w:rPr>
        <w:t xml:space="preserve">摘要（ZH）: </w:t>
      </w:r>
      <w:r>
        <w:t>16p11.2区域(16p11.2 del/+)与16p11.2区域(16p11.2 del/+)与NDDs相关联,16p11.2 del/+小鼠展示了与NDDs相关联的性别特异性、Striatum相关苯型。在这项研究中,我们利用SnRNA-seq,确定了D1-和D2-Spiny投影神经(SPNs)中细胞类型和性别特异性病理学的变化,对雄性的影响更大。纤维光测记录显示16p11.2 del/+雄性口腔神经活动减少,但女性除外,D2-SPNs被确定为这种减少的主要促成因素。从理论上讲,我们采用有条件的遗传方法,发现D2-SPNs的选择性肝炎,但D1-S1-S。</w:t>
      </w:r>
    </w:p>
    <w:p>
      <w:pPr>
        <w:spacing w:before="0" w:after="200" w:lineRule="auto" w:line="276"/>
      </w:pPr>
      <w:r>
        <w:rPr>
          <w:b/>
        </w:rPr>
        <w:t xml:space="preserve">Abstract (EN): </w:t>
      </w:r>
      <w:r>
        <w:t>Biological sex shapes the manifestation and progression of neurodevelopmental disorders (NDDs), however, the underlying mechanisms remains unclear. Hemideletion of the 16p11.2 region (16p11.2 del/+) is associated with NDDs, and 16p11.2 del/+ mice exhibit sex-specific, striatum-related phenotypes relevant to NDDs. In this study, using snRNA-seq, we identify cell type- and sex-specific transcriptomic changes in D1- and D2-spiny projection neurons (SPNs), with greater impact in males. Fiber photometry recordings reveal reduced neuronal activity in the dorsal striatum of 16p11.2 del/+ males, but not females, with D2-SPNs identified as the primary contributors to this reduction. Behaviorally, we utilize conditional genetic approaches and find that selective hemideletion in D2-SPNs, but not D1-SPNs, induces male-specific hyperactivity, whereas cortical hemideletion increases hyperactivity in both sexes. Thus, a locus linked to NDDs acts in distinct striatal circuits, selectively impacting behavior in a sex- and cell type-specific manner.</w:t>
      </w:r>
    </w:p>
    <w:p>
      <w:pPr>
        <w:spacing w:before="120" w:after="120"/>
      </w:pPr>
      <w:r>
        <w:rPr>
          <w:sz w:val="18"/>
        </w:rPr>
        <w:t>——————————————————————————————————————————————————————————————————————</w:t>
      </w:r>
    </w:p>
    <w:p>
      <w:pPr>
        <w:spacing w:before="160" w:after="40" w:line="240" w:lineRule="auto"/>
      </w:pPr>
      <w:r>
        <w:rPr>
          <w:b/>
        </w:rPr>
        <w:t xml:space="preserve">[8] </w:t>
      </w:r>
      <w:hyperlink r:id="rId16">
        <w:r>
          <w:rPr>
            <w:color w:val="1155CC"/>
            <w:u w:val="single"/>
          </w:rPr>
          <w:t>共同制作能源决策技术经济预测</w:t>
        </w:r>
      </w:hyperlink>
    </w:p>
    <w:p>
      <w:pPr>
        <w:spacing w:before="0" w:after="80"/>
      </w:pPr>
      <w:r>
        <w:rPr>
          <w:i/>
          <w:sz w:val="20"/>
        </w:rPr>
        <w:t>EN: Co-production of techno-economic forecasting for energy policy-making</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17">
        <w:r>
          <w:rPr>
            <w:color w:val="1155CC"/>
            <w:u w:val="single"/>
          </w:rPr>
          <w:t>在机机组生物组装的与最终相连的聚合物网络中,Cycloreversion-增强坚固性和可降解性</w:t>
        </w:r>
      </w:hyperlink>
    </w:p>
    <w:p>
      <w:pPr>
        <w:spacing w:before="0" w:after="80"/>
      </w:pPr>
      <w:r>
        <w:rPr>
          <w:i/>
          <w:sz w:val="20"/>
        </w:rPr>
        <w:t>EN: Cycloreversion-enhanced toughness and degradability in mechanophore-embedded end-linked polymer networks</w:t>
      </w:r>
    </w:p>
    <w:p>
      <w:pPr>
        <w:spacing w:before="0" w:after="120"/>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80" w:lineRule="auto" w:line="276"/>
      </w:pPr>
      <w:r>
        <w:rPr>
          <w:b/>
        </w:rPr>
        <w:t xml:space="preserve">摘要（ZH）: </w:t>
      </w:r>
      <w:r>
        <w:t>在单一网络聚合物系统中,在不改变其内在化学成分或网络结构的情况下,加强坚硬度,同时在单一网络聚合物系统中实现可触发的降解,但同时又不改变其固有的化学成分或网络结构,这仍然是一个重大挑战。在这里,我们展示了一个智能的、与最终网络聚合物系统中,在使用过程中“自我加强”但在某些刺激上“自我毁灭”的终端相关聚合物网络。在最终联系聚合物网络的中间嵌入了非导弹的环丁烷四氢呋喃四氢植物,大大增强了坚硬性和可降解性。在机械压力下,这些机械机能动物的循环循环化释放了隐藏链段,使单网络材料能够显示与常规聚合物相比的三倍的强度和十倍的撕裂能量。此外,在机械压力下,单网络材料能够显示三倍的强度和十倍的强度。</w:t>
      </w:r>
    </w:p>
    <w:p>
      <w:pPr>
        <w:spacing w:before="0" w:after="200" w:lineRule="auto" w:line="276"/>
      </w:pPr>
      <w:r>
        <w:rPr>
          <w:b/>
        </w:rPr>
        <w:t xml:space="preserve">Abstract (EN): </w:t>
      </w:r>
      <w:r>
        <w:t>Enhancing the toughness while achieving triggerable degradation in single-network polymer systems without modifying their inherent chemical composition or network architecture remains a significant challenge. Here we demonstrate a smart end-linked polymer network that “self-strengthen” during use yet “self-destruct” upon certain stimuli. Embedding nonscissile cyclobutane-fused tetrahydrofuran mechanophores within the middle of end-linked polymer networks significantly enhances both toughness and degradability. Under mechanical stress, the force-coupled cycloreversion of these mechanophores releases concealed chain segments, enabling single-network materials to exhibit threefold toughness and tenfold tear energies compared to conventional counterparts. Additionally, ball-milling griding of the bulk material unveils acid-sensitive enol ether units, leading to a markedly improved degradation profile under acidic conditions. This dual effect—originating from the force-coupled cycloreversion of cyclobutane-fused tetrahydrofuran mechanophores—provides an ideal combination of superior mechanical performance and on-demand degradability.</w:t>
      </w:r>
    </w:p>
    <w:p>
      <w:pPr>
        <w:spacing w:before="120" w:after="120"/>
      </w:pPr>
      <w:r>
        <w:rPr>
          <w:sz w:val="18"/>
        </w:rPr>
        <w:t>——————————————————————————————————————————————————————————————————————</w:t>
      </w:r>
    </w:p>
    <w:p>
      <w:pPr>
        <w:spacing w:before="160" w:after="40" w:line="240" w:lineRule="auto"/>
      </w:pPr>
      <w:r>
        <w:rPr>
          <w:b/>
        </w:rPr>
        <w:t xml:space="preserve">[10] </w:t>
      </w:r>
      <w:hyperlink r:id="rId18">
        <w:r>
          <w:rPr>
            <w:color w:val="1155CC"/>
            <w:u w:val="single"/>
          </w:rPr>
          <w:t>基于充分结合的多物理学实地分析法的水下热电发电机综合设计</w:t>
        </w:r>
      </w:hyperlink>
    </w:p>
    <w:p>
      <w:pPr>
        <w:spacing w:before="0" w:after="80"/>
      </w:pPr>
      <w:r>
        <w:rPr>
          <w:i/>
          <w:sz w:val="20"/>
        </w:rPr>
        <w:t>EN: Integrated design for underwater thermoelectric generator (TEG) based on fully coupled multiphysics fields analysis method</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9">
        <w:r>
          <w:rPr>
            <w:color w:val="1155CC"/>
            <w:u w:val="single"/>
          </w:rPr>
          <w:t>不同途径:对后大气去碳化脱碳轨道和全球气候政策要求的机器学习分析</w:t>
        </w:r>
      </w:hyperlink>
    </w:p>
    <w:p>
      <w:pPr>
        <w:spacing w:before="0" w:after="80"/>
      </w:pPr>
      <w:r>
        <w:rPr>
          <w:i/>
          <w:sz w:val="20"/>
        </w:rPr>
        <w:t>EN: Divergent paths: A machine learning analysis of post-pandemic decarbonization trajectories and the global climate policy imperative</w:t>
      </w:r>
    </w:p>
    <w:p>
      <w:pPr>
        <w:spacing w:before="0" w:after="120"/>
      </w:pPr>
      <w:r>
        <w:rPr>
          <w:b/>
        </w:rPr>
        <w:t xml:space="preserve">Source: </w:t>
      </w:r>
      <w:r>
        <w:t>ScienceDirect Publication: Energy Policy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20">
        <w:r>
          <w:rPr>
            <w:color w:val="1155CC"/>
            <w:u w:val="single"/>
          </w:rPr>
          <w:t>审查地下能源储存:建模、实验和挑战</w:t>
        </w:r>
      </w:hyperlink>
    </w:p>
    <w:p>
      <w:pPr>
        <w:spacing w:before="0" w:after="80"/>
      </w:pPr>
      <w:r>
        <w:rPr>
          <w:i/>
          <w:sz w:val="20"/>
        </w:rPr>
        <w:t>EN: A review of underground energy storage: Modeling, experiments, and challenges</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 </w:t>
      </w:r>
      <w:hyperlink r:id="rId21">
        <w:r>
          <w:rPr>
            <w:color w:val="1155CC"/>
            <w:u w:val="single"/>
          </w:rPr>
          <w:t>用于多堆装系列配置的级联气体-液体分离器,以提高碱性水电解系统目前的效率</w:t>
        </w:r>
      </w:hyperlink>
    </w:p>
    <w:p>
      <w:pPr>
        <w:spacing w:before="0" w:after="80"/>
      </w:pPr>
      <w:r>
        <w:rPr>
          <w:i/>
          <w:sz w:val="20"/>
        </w:rPr>
        <w:t>EN: A cascaded gas-liquid separator for multi-stack series configuration to improve the current efficiency of an alkaline water electrolysis system</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22">
        <w:r>
          <w:rPr>
            <w:color w:val="1155CC"/>
            <w:u w:val="single"/>
          </w:rPr>
          <w:t>互联网数据中心和工业园作为现代电力系统中的灵活提供商:基于ADMM的协调机制</w:t>
        </w:r>
      </w:hyperlink>
    </w:p>
    <w:p>
      <w:pPr>
        <w:spacing w:before="0" w:after="80"/>
      </w:pPr>
      <w:r>
        <w:rPr>
          <w:i/>
          <w:sz w:val="20"/>
        </w:rPr>
        <w:t>EN: Internet data centers and industrial parks as flexibility providers in modern power systems: An ADMM-based coordination mechanism</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23">
        <w:r>
          <w:rPr>
            <w:color w:val="1155CC"/>
            <w:u w:val="single"/>
          </w:rPr>
          <w:t>宽带宽带宽带宽的百草枯酯的晶化调控,向高效的百草枯/有机协同光伏</w:t>
        </w:r>
      </w:hyperlink>
    </w:p>
    <w:p>
      <w:pPr>
        <w:spacing w:before="0" w:after="80"/>
      </w:pPr>
      <w:r>
        <w:rPr>
          <w:i/>
          <w:sz w:val="20"/>
        </w:rPr>
        <w:t>EN: Crystallization modulation for wide-bandgap perovskites with universal defect passivation toward efficient perovskite/organic tandem photovoltaics</w:t>
      </w:r>
    </w:p>
    <w:p>
      <w:pPr>
        <w:spacing w:before="0" w:after="120"/>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80" w:lineRule="auto" w:line="276"/>
      </w:pPr>
      <w:r>
        <w:rPr>
          <w:b/>
        </w:rPr>
        <w:t xml:space="preserve">摘要（ZH）: </w:t>
      </w:r>
      <w:r>
        <w:t>宽带宽(WBG) perovskites (WBG) perovskites, 带带宽格超过1.8 eV 的带宽带宽度超过1.8 eV, 适用于千草条/有机或多相交合的太阳电池(TSC)应用;然而,其复杂部件很容易在晶晶化过程中诱发几乎难以控制的相相相异性和缺陷;在此,我们提议采用多功能添加剂DL-甲基二氯甲基硫基,由各种功能组的独特组合,对WBG perovskites 的结晶热动力学和钝性缺陷进行规范。 我们的全面实验和计算结果表明,该添加剂协同促进核核动力学,并在晶化过程中改进相级同性,从而实现统一和低偏差的百草胶片,大大抑制了无核。</w:t>
      </w:r>
    </w:p>
    <w:p>
      <w:pPr>
        <w:spacing w:before="0" w:after="200" w:lineRule="auto" w:line="276"/>
      </w:pPr>
      <w:r>
        <w:rPr>
          <w:b/>
        </w:rPr>
        <w:t xml:space="preserve">Abstract (EN): </w:t>
      </w:r>
      <w:r>
        <w:t>Wide-bandgap (WBG) perovskites with bandgaps exceeding 1.8 eV are suitable for perovskite/organic or multi-junction tandem solar cell (TSC) applications. However, their complex components easily induce hardly controlled phase heterogeneity and defects during the crystallization process. Herein, we propose a multifunctional additive, DL-methionine methylsulfonium chloride, with a unique combination of functional groups to regulate the crystallization thermodynamics and passivate defects of WBG perovskites. Our comprehensive experimental and computational results reveal that the additive synergistically promotes the nucleation kinetics and improves phase homogeneity during the crystallization process, thereby achieving uniform and low-defect perovskite films, significantly suppressing the non-radiative recombination and phase segregation. Consequently, the single-junction 1.83 eV-WBG perovskite solar cells demonstrate a champion power conversion efficiency (PCE) of 20.4% and notably enhanced operational stability. Furthermore, impressive PCEs of 26.0% and 22.1% are achieved for rigid and flexible perovskite/organic TSCs, respectively, showing great promise for pursuing flexible tandem applications.</w:t>
      </w:r>
    </w:p>
    <w:p>
      <w:pPr>
        <w:spacing w:before="120" w:after="120"/>
      </w:pPr>
      <w:r>
        <w:rPr>
          <w:sz w:val="18"/>
        </w:rPr>
        <w:t>——————————————————————————————————————————————————————————————————————</w:t>
      </w:r>
    </w:p>
    <w:p>
      <w:pPr>
        <w:spacing w:before="160" w:after="40" w:line="240" w:lineRule="auto"/>
      </w:pPr>
      <w:r>
        <w:rPr>
          <w:b/>
        </w:rPr>
        <w:t xml:space="preserve">[16] </w:t>
      </w:r>
      <w:hyperlink r:id="rId24">
        <w:r>
          <w:rPr>
            <w:color w:val="1155CC"/>
            <w:u w:val="single"/>
          </w:rPr>
          <w:t>对氢对电、氨对电以及生物量对电一体化的氢对电、氨对电路径的技术经济分析</w:t>
        </w:r>
      </w:hyperlink>
    </w:p>
    <w:p>
      <w:pPr>
        <w:spacing w:before="0" w:after="80"/>
      </w:pPr>
      <w:r>
        <w:rPr>
          <w:i/>
          <w:sz w:val="20"/>
        </w:rPr>
        <w:t>EN: Techno-economic analysis of hydrogen-to-power, ammonia-to-power pathway with biomass-to-power integration</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25">
        <w:r>
          <w:rPr>
            <w:color w:val="1155CC"/>
            <w:u w:val="single"/>
          </w:rPr>
          <w:t>新加坡电力市场海外光电电池储存厂以学习为基础的最佳电力投标</w:t>
        </w:r>
      </w:hyperlink>
    </w:p>
    <w:p>
      <w:pPr>
        <w:spacing w:before="0" w:after="80"/>
      </w:pPr>
      <w:r>
        <w:rPr>
          <w:i/>
          <w:sz w:val="20"/>
        </w:rPr>
        <w:t>EN: Learning-based optimal power bidding of an overseas photovoltaic-battery storage plant in Singapore electricity market</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26">
        <w:r>
          <w:rPr>
            <w:color w:val="1155CC"/>
            <w:u w:val="single"/>
          </w:rPr>
          <w:t>对与加压水反应堆核电厂合并的液空气能源储存系统进行性能研究</w:t>
        </w:r>
      </w:hyperlink>
    </w:p>
    <w:p>
      <w:pPr>
        <w:spacing w:before="0" w:after="80"/>
      </w:pPr>
      <w:r>
        <w:rPr>
          <w:i/>
          <w:sz w:val="20"/>
        </w:rPr>
        <w:t>EN: Performance research of a liquid air energy storage system integrated with pressurized water reactor nuclear power plants</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27">
        <w:r>
          <w:rPr>
            <w:color w:val="1155CC"/>
            <w:u w:val="single"/>
          </w:rPr>
          <w:t>用于对光电池功率进行可转让概率预测的双层特选变压器网络</w:t>
        </w:r>
      </w:hyperlink>
    </w:p>
    <w:p>
      <w:pPr>
        <w:spacing w:before="0" w:after="80"/>
      </w:pPr>
      <w:r>
        <w:rPr>
          <w:i/>
          <w:sz w:val="20"/>
        </w:rPr>
        <w:t>EN: A dual-layer feature-selection transformer network for transferable probabilistic forecasting of PV power</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28">
        <w:r>
          <w:rPr>
            <w:color w:val="1155CC"/>
            <w:u w:val="single"/>
          </w:rPr>
          <w:t>结构障碍控制了缓慢地震滑坡的空间范围</w:t>
        </w:r>
      </w:hyperlink>
    </w:p>
    <w:p>
      <w:pPr>
        <w:spacing w:before="0" w:after="80"/>
      </w:pPr>
      <w:r>
        <w:rPr>
          <w:i/>
          <w:sz w:val="20"/>
        </w:rPr>
        <w:t>EN: Structural barriers control the spatial extent of slow earthquake slip</w:t>
      </w:r>
    </w:p>
    <w:p>
      <w:pPr>
        <w:spacing w:before="0" w:after="120"/>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80" w:lineRule="auto" w:line="276"/>
      </w:pPr>
      <w:r>
        <w:rPr>
          <w:b/>
        </w:rPr>
        <w:t xml:space="preserve">摘要（ZH）: </w:t>
      </w:r>
      <w:r>
        <w:t>最近的地震和大地测量观测揭示了潜入巨壳上的浅度缓慢地震,为探索控制巨龟滑坡的因素提供了一个机会。 识别这些控制因素有助于限制未来巨龟破裂的潜在上升程度。 在这里,我们通过将震动地点与不确定性估计、详细测深数据和2020-2021年南开海沟Kumano-nada地区缓慢地震序列的多通道地震数据相结合,调查了浅度慢度地震的空间范围控制因素。 特雷莫尔概率图显示,震动活动的上升、下降和横向界限与不同的结构界限相吻合。 这些因素包括云层的离子或分支, 一种底部。</w:t>
      </w:r>
    </w:p>
    <w:p>
      <w:pPr>
        <w:spacing w:before="0" w:after="200" w:lineRule="auto" w:line="276"/>
      </w:pPr>
      <w:r>
        <w:rPr>
          <w:b/>
        </w:rPr>
        <w:t xml:space="preserve">Abstract (EN): </w:t>
      </w:r>
      <w:r>
        <w:t>Recent seismological and geodetic observations have revealed shallow slow earthquakes on subduction megathrusts, offering an opportunity to explore the factors controlling megathrust slip. Identifying these controlling factors helps constrain the potential updip extent of future megathrust ruptures. Here, we investigate the factors controlling the spatial extent of shallow slow earthquakes by integrating tremor locations with uncertainty estimates, detailed bathymetry data, and multichannel seismic data for the 2020–2021 slow earthquake sequence in the Kumano-nada region of the Nankai Trough. Tremor probability maps reveal that the updip, downdip, and lateral limits of tremor activity coincide with distinct structural boundaries. These include the kink or branching of the décollement, a deep-seated strike-slip fault, and the inner–outer wedge boundary. These structures likely act as geometrical or mechanical barriers, further influenced by variations in pore-fluid pressure and by the subducted Paleo–Zenisu ridge. The results indicate that megathrust geometry, material properties of the overriding prism, fluid distribution, and ridge subduction jointly govern the spatial extent of slow earthquakes, emphasizing the need to account for these factors in assessing the potential extent of future megathrust ruptures.</w:t>
      </w:r>
    </w:p>
    <w:p>
      <w:pPr>
        <w:spacing w:before="120" w:after="120"/>
      </w:pPr>
      <w:r>
        <w:rPr>
          <w:sz w:val="18"/>
        </w:rPr>
        <w:t>——————————————————————————————————————————————————————————————————————</w:t>
      </w:r>
    </w:p>
    <w:p>
      <w:pPr>
        <w:spacing w:before="160" w:after="40" w:line="240" w:lineRule="auto"/>
      </w:pPr>
      <w:r>
        <w:rPr>
          <w:b/>
        </w:rPr>
        <w:t xml:space="preserve">[21] </w:t>
      </w:r>
      <w:hyperlink r:id="rId29">
        <w:r>
          <w:rPr>
            <w:color w:val="1155CC"/>
            <w:u w:val="single"/>
          </w:rPr>
          <w:t>热驱动热驱动热热热感热冰箱/热热泵,用于太阳能热能应用:建造具有低成本潜力和高性能的冷却和供暖解决方案</w:t>
        </w:r>
      </w:hyperlink>
    </w:p>
    <w:p>
      <w:pPr>
        <w:spacing w:before="0" w:after="80"/>
      </w:pPr>
      <w:r>
        <w:rPr>
          <w:i/>
          <w:sz w:val="20"/>
        </w:rPr>
        <w:t>EN: A heat-driven thermoacoustic refrigerator/heat pump for solar-thermal application: Building cooling and heating solution with low-cost potential and high performance</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30">
        <w:r>
          <w:rPr>
            <w:color w:val="1155CC"/>
            <w:u w:val="single"/>
          </w:rPr>
          <w:t>乙醇对汽油:常规政策和缓慢吸收</w:t>
        </w:r>
      </w:hyperlink>
    </w:p>
    <w:p>
      <w:pPr>
        <w:spacing w:before="0" w:after="80"/>
      </w:pPr>
      <w:r>
        <w:rPr>
          <w:i/>
          <w:sz w:val="20"/>
        </w:rPr>
        <w:t>EN: Ethanol vs. gasoline: conventional policies and the slow uptake</w:t>
      </w:r>
    </w:p>
    <w:p>
      <w:pPr>
        <w:spacing w:before="0" w:after="120"/>
      </w:pPr>
      <w:r>
        <w:rPr>
          <w:b/>
        </w:rPr>
        <w:t xml:space="preserve">Source: </w:t>
      </w:r>
      <w:r>
        <w:t>ScienceDirect Publication: Energy Policy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31">
        <w:r>
          <w:rPr>
            <w:color w:val="1155CC"/>
            <w:u w:val="single"/>
          </w:rPr>
          <w:t>一种碳负太阳能燃料生产方法,其太阳能贡献增强,CO2减排能力提高:实验和系统调查</w:t>
        </w:r>
      </w:hyperlink>
    </w:p>
    <w:p>
      <w:pPr>
        <w:spacing w:before="0" w:after="80"/>
      </w:pPr>
      <w:r>
        <w:rPr>
          <w:i/>
          <w:sz w:val="20"/>
        </w:rPr>
        <w:t>EN: A carbon-negative solar fuel production method with enhanced solar contribution and superior CO2 reduction capacity: Experimental and system investigation</w:t>
      </w:r>
    </w:p>
    <w:p>
      <w:pPr>
        <w:spacing w:before="0" w:after="120"/>
      </w:pPr>
      <w:r>
        <w:rPr>
          <w:b/>
        </w:rPr>
        <w:t xml:space="preserve">Source: </w:t>
      </w:r>
      <w:r>
        <w:t>ScienceDirect Publication: Applied Energy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32">
        <w:r>
          <w:rPr>
            <w:color w:val="1155CC"/>
            <w:u w:val="single"/>
          </w:rPr>
          <w:t>全色百草枯发光二极管的化学耐久和具有成本效益的N-doped SnO2透明电极</w:t>
        </w:r>
      </w:hyperlink>
    </w:p>
    <w:p>
      <w:pPr>
        <w:spacing w:before="0" w:after="80"/>
      </w:pPr>
      <w:r>
        <w:rPr>
          <w:i/>
          <w:sz w:val="20"/>
        </w:rPr>
        <w:t>EN: Chemically durable and cost-efficient N-doped SnO2 transparent electrodes for Full-color perovskite light-emitting diodes</w:t>
      </w:r>
    </w:p>
    <w:p>
      <w:pPr>
        <w:spacing w:before="0" w:after="120"/>
      </w:pPr>
      <w:r>
        <w:rPr>
          <w:b/>
        </w:rPr>
        <w:t xml:space="preserve">Source: </w:t>
      </w:r>
      <w:r>
        <w:t>ScienceDirect Publication: Materials Today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 </w:t>
      </w:r>
      <w:hyperlink r:id="rId33">
        <w:r>
          <w:rPr>
            <w:color w:val="1155CC"/>
            <w:u w:val="single"/>
          </w:rPr>
          <w:t>免疫分子微球的设计和应用:从物质特性到多系统疾病治疗</w:t>
        </w:r>
      </w:hyperlink>
    </w:p>
    <w:p>
      <w:pPr>
        <w:spacing w:before="0" w:after="80"/>
      </w:pPr>
      <w:r>
        <w:rPr>
          <w:i/>
          <w:sz w:val="20"/>
        </w:rPr>
        <w:t>EN: Design and applications of immunomodulatory microspheres: From material properties to multisystem disease therapies</w:t>
      </w:r>
    </w:p>
    <w:p>
      <w:pPr>
        <w:spacing w:before="0" w:after="120"/>
      </w:pPr>
      <w:r>
        <w:rPr>
          <w:b/>
        </w:rPr>
        <w:t xml:space="preserve">Source: </w:t>
      </w:r>
      <w:r>
        <w:t>ScienceDirect Publication: Materials Today</w:t>
      </w:r>
      <w:r>
        <w:t xml:space="preserve">    </w:t>
      </w:r>
      <w:r>
        <w:rPr>
          <w:b/>
        </w:rPr>
        <w:t xml:space="preserve">Pub date: </w:t>
      </w:r>
      <w:r>
        <w:t>2026-01-03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 </w:t>
      </w:r>
      <w:hyperlink r:id="rId34">
        <w:r>
          <w:rPr>
            <w:color w:val="1155CC"/>
            <w:u w:val="single"/>
          </w:rPr>
          <w:t>CUL4A-DDB1-DCAF10 是一种N-cocognin,用于N-乙酰弧动脉</w:t>
        </w:r>
      </w:hyperlink>
    </w:p>
    <w:p>
      <w:pPr>
        <w:spacing w:before="0" w:after="80"/>
      </w:pPr>
      <w:r>
        <w:rPr>
          <w:i/>
          <w:sz w:val="20"/>
        </w:rPr>
        <w:t>EN: CUL4A-DDB1-DCAF10 is an N-recognin for N-terminally acetylated Src kinases</w:t>
      </w:r>
    </w:p>
    <w:p>
      <w:pPr>
        <w:spacing w:before="0" w:after="120"/>
      </w:pPr>
      <w:r>
        <w:rPr>
          <w:b/>
        </w:rPr>
        <w:t xml:space="preserve">Source: </w:t>
      </w:r>
      <w:r>
        <w:t>Nature Communications</w:t>
      </w:r>
      <w:r>
        <w:t xml:space="preserve">    </w:t>
      </w:r>
      <w:r>
        <w:rPr>
          <w:b/>
        </w:rPr>
        <w:t xml:space="preserve">Pub date: </w:t>
      </w:r>
      <w:r>
        <w:t>2026-01-03 00:00:00+00:00</w:t>
      </w:r>
    </w:p>
    <w:p>
      <w:pPr>
        <w:spacing w:before="0" w:after="120"/>
      </w:pPr>
      <w:r>
        <w:rPr>
          <w:b/>
        </w:rPr>
        <w:t xml:space="preserve">Notes: </w:t>
      </w:r>
      <w:r>
        <w:t>abstract_source=nature_html</w:t>
      </w:r>
    </w:p>
    <w:p>
      <w:pPr>
        <w:spacing w:before="0" w:after="80" w:lineRule="auto" w:line="276"/>
      </w:pPr>
      <w:r>
        <w:rPr>
          <w:b/>
        </w:rPr>
        <w:t xml:space="preserve">摘要（ZH）: </w:t>
      </w:r>
      <w:r>
        <w:t>共翻译N-终局性N-终局变异,如甲基硫离子切除、乙化、以及血原等,会影响蛋白稳定性、本地化和折折叠。干扰会暴露N-终局异质,引发无处不在的介质降解,保护蛋白质。N-终局性消化通常会保护蛋白不降解,但也可以通过Ac/N-degron路径促进蛋白质降解。Src-家庭亲属关系(SFKs),信号与肿瘤发源有关的酶,需要N-终局性近世性遗传性功能。我们使用peptide下拉、质量光谱测量和阿尔法Fold 3预测,我们确定DCAF10是替代N-长期乙基酰氟化SFKs的E3ligase子受体受体。将SirRNA调解的击倒和CRIPR/CS-9调解的林内生和可受污染的Lyn-GF。</w:t>
      </w:r>
    </w:p>
    <w:p>
      <w:pPr>
        <w:spacing w:before="0" w:after="200" w:lineRule="auto" w:line="276"/>
      </w:pPr>
      <w:r>
        <w:rPr>
          <w:b/>
        </w:rPr>
        <w:t xml:space="preserve">Abstract (EN): </w:t>
      </w:r>
      <w:r>
        <w:t>Co-translational N-terminal modifications such as methionine excision, acetylation, and myristoylation govern protein stability, localization, and folding. Disruption can expose N-terminal degrons that trigger ubiquitin-mediated degradation, safeguarding the proteome. N-terminal acetylation usually protects proteins from degradation, but can also promote it through the Ac/N-degron pathway. Src-family kinases (SFKs), signaling enzymes implicated in tumorigenesis, require N-terminal myristoylation for function. Using peptide pull-downs, mass spectrometry, and AlphaFold 3 predictions, we identify DCAF10 as the E3 ligase substrate receptor for alternatively N-terminally acetylated SFKs. Combining siRNA-mediated knockdown and CRISPR/Cas9-mediated knockout of endogenous Lyn with inducible Lyn-GFP variants confirms that DCAF10 regulates SFK levels by recognizing an N-terminal acetylated glycine residue. In vitro, a CUL4A-DDB1-DCAF10 complex ubiquitinates N-terminally acetylated SFKs. Thus, we define a novel N-degron pathway that monitors replacement of myristoylation by acetylation and activates degradation of SFKs upon acetylation. This mechanism may extend to other N-terminally myristoylated proteins beyond SFKs.</w:t>
      </w:r>
    </w:p>
    <w:p>
      <w:pPr>
        <w:spacing w:before="120" w:after="120"/>
      </w:pPr>
      <w:r>
        <w:rPr>
          <w:sz w:val="18"/>
        </w:rPr>
        <w:t>——————————————————————————————————————————————————————————————————————</w:t>
      </w:r>
    </w:p>
    <w:p>
      <w:pPr>
        <w:spacing w:before="160" w:after="40" w:line="240" w:lineRule="auto"/>
      </w:pPr>
      <w:r>
        <w:rPr>
          <w:b/>
        </w:rPr>
        <w:t xml:space="preserve">[27] </w:t>
      </w:r>
      <w:hyperlink r:id="rId35">
        <w:r>
          <w:rPr>
            <w:color w:val="1155CC"/>
            <w:u w:val="single"/>
          </w:rPr>
          <w:t>将微量三压电电充电压到224 nC cm-3的新记录中,</w:t>
        </w:r>
      </w:hyperlink>
    </w:p>
    <w:p>
      <w:pPr>
        <w:spacing w:before="0" w:after="80"/>
      </w:pPr>
      <w:r>
        <w:rPr>
          <w:i/>
          <w:sz w:val="20"/>
        </w:rPr>
        <w:t>EN: Extreme Squeezing of Volumetric Triboelectric Charge to a New Record of 224 nC cm−3 Inspired by Aesop's Fables</w:t>
      </w:r>
    </w:p>
    <w:p>
      <w:pPr>
        <w:spacing w:before="0" w:after="120"/>
      </w:pPr>
      <w:r>
        <w:rPr>
          <w:b/>
        </w:rPr>
        <w:t xml:space="preserve">Source: </w:t>
      </w:r>
      <w:r>
        <w:t>Wiley: Advanced Materials: Table of Contents</w:t>
      </w:r>
      <w:r>
        <w:t xml:space="preserve">    </w:t>
      </w:r>
      <w:r>
        <w:rPr>
          <w:b/>
        </w:rPr>
        <w:t xml:space="preserve">Pub date: </w:t>
      </w:r>
      <w:r>
        <w:t>2026-01-03 06:04:41+00:00</w:t>
      </w:r>
      <w:r>
        <w:t xml:space="preserve">    </w:t>
      </w:r>
      <w:r>
        <w:rPr>
          <w:b/>
        </w:rPr>
        <w:t xml:space="preserve">DOI: </w:t>
      </w:r>
      <w:hyperlink r:id="rId36">
        <w:r>
          <w:rPr>
            <w:color w:val="1155CC"/>
            <w:u w:val="single"/>
          </w:rPr>
          <w:t>10.1002/adma.202515482</w:t>
        </w:r>
      </w:hyperlink>
    </w:p>
    <w:p>
      <w:pPr>
        <w:spacing w:before="0" w:after="120"/>
      </w:pPr>
      <w:r>
        <w:rPr>
          <w:b/>
        </w:rPr>
        <w:t xml:space="preserve">Notes: </w:t>
      </w:r>
      <w:r>
        <w:t>abstract_source=crossref</w:t>
      </w:r>
    </w:p>
    <w:p>
      <w:pPr>
        <w:spacing w:before="0" w:after="80" w:lineRule="auto" w:line="276"/>
      </w:pPr>
      <w:r>
        <w:rPr>
          <w:b/>
        </w:rPr>
        <w:t xml:space="preserve">摘要（ZH）: </w:t>
      </w:r>
      <w:r>
        <w:t>直接三电直接三电纳米生成器(DDCETENGs)因其高输出和低峰值因素而引起注意。然而,低效率的空间布局造成了有害的排泄区,造成内部充电损失。在AESOP的传言“乌鸦和投影器”的启发下,投影微立体法将密集包装的双轨电流充电收集电极纳入滑动器,开发了AESOP基于极端空间压缩的Fables-ielpized DC-TENG(AFTENG ) 。这一设计创造了高效的充电通道,并实现了14.2毫升-2的创纪录表充电密度。为了消除对绩效评估的装置尺寸影响,一种新型指标,体积。</w:t>
      </w:r>
    </w:p>
    <w:p>
      <w:pPr>
        <w:spacing w:before="0" w:after="200" w:lineRule="auto" w:line="276"/>
      </w:pPr>
      <w:r>
        <w:rPr>
          <w:b/>
        </w:rPr>
        <w:t xml:space="preserve">Abstract (EN): </w:t>
      </w:r>
      <w:r>
        <w:t>Direct‐current triboelectric nanogenerators (DC‐TENGs) attract attention for their high output and low crest factor. However, inefficient spatial layouts create harmful discharge regions, causing internal charge loss. Inspired by Aesop's fable “The Crow and the Pitcher,” projection micro stereolithography integrates densely packed dual‐channel charge‐collecting electrodes into the slider, developing an Aesop's Fables‐inspired DC‐TENG (AF‐TENG) based on extreme spatial compression. This design creates efficient charge‐release pathways and achieves a record surface charge density of 14.2 mC m</w:t>
      </w:r>
      <w:r>
        <w:t xml:space="preserve"> </w:t>
      </w:r>
      <w:r>
        <w:t>−</w:t>
      </w:r>
      <w:r>
        <w:rPr>
          <w:vertAlign w:val="subscript"/>
        </w:rPr>
        <w:t>2</w:t>
      </w:r>
      <w:r>
        <w:t>. To eliminate device dimension effects on performance evaluation, a novel metric, volumetric triboelectric charge, is introduced to normalize charge transport efficiency and provide a universal standard for evaluating DC‐TENG designs. Comprehensive theoretical and experimental optimizations enable the AF‐TENG to achieve 800 V output and a record 224 nC cm</w:t>
      </w:r>
      <w:r>
        <w:t xml:space="preserve"> </w:t>
      </w:r>
      <w:r>
        <w:t>−</w:t>
      </w:r>
      <w:r>
        <w:rPr>
          <w:vertAlign w:val="subscript"/>
        </w:rPr>
        <w:t>3</w:t>
      </w:r>
      <w:r>
        <w:t>volumetric charge, with a fingertip‐sized device lighting 32 2 W LEDs and driving hygrometers and calculators, advancing performance and establishing an evaluation system as a benchmark for future DC‐TENGs.</w:t>
      </w:r>
    </w:p>
    <w:p>
      <w:pPr>
        <w:spacing w:before="120" w:after="120"/>
      </w:pPr>
      <w:r>
        <w:rPr>
          <w:sz w:val="18"/>
        </w:rPr>
        <w:t>——————————————————————————————————————————————————————————————————————</w:t>
      </w:r>
    </w:p>
    <w:p>
      <w:pPr>
        <w:spacing w:before="160" w:after="40" w:line="240" w:lineRule="auto"/>
      </w:pPr>
      <w:r>
        <w:rPr>
          <w:b/>
        </w:rPr>
        <w:t xml:space="preserve">[28] </w:t>
      </w:r>
      <w:hyperlink r:id="rId37">
        <w:r>
          <w:rPr>
            <w:color w:val="1155CC"/>
            <w:u w:val="single"/>
          </w:rPr>
          <w:t>未来电子应用低温度热电联成陶瓷的进展</w:t>
        </w:r>
      </w:hyperlink>
    </w:p>
    <w:p>
      <w:pPr>
        <w:spacing w:before="0" w:after="80"/>
      </w:pPr>
      <w:r>
        <w:rPr>
          <w:i/>
          <w:sz w:val="20"/>
        </w:rPr>
        <w:t>EN: Advances in Low‐Temperature Co‐Fired Ceramics for Next‐Generation Electronics Applications</w:t>
      </w:r>
    </w:p>
    <w:p>
      <w:pPr>
        <w:spacing w:before="0" w:after="120"/>
      </w:pPr>
      <w:r>
        <w:rPr>
          <w:b/>
        </w:rPr>
        <w:t xml:space="preserve">Source: </w:t>
      </w:r>
      <w:r>
        <w:t>Wiley: Advanced Materials: Table of Contents</w:t>
      </w:r>
      <w:r>
        <w:t xml:space="preserve">    </w:t>
      </w:r>
      <w:r>
        <w:rPr>
          <w:b/>
        </w:rPr>
        <w:t xml:space="preserve">Pub date: </w:t>
      </w:r>
      <w:r>
        <w:t>2026-01-03 06:05:37+00:00</w:t>
      </w:r>
      <w:r>
        <w:t xml:space="preserve">    </w:t>
      </w:r>
      <w:r>
        <w:rPr>
          <w:b/>
        </w:rPr>
        <w:t xml:space="preserve">DOI: </w:t>
      </w:r>
      <w:hyperlink r:id="rId38">
        <w:r>
          <w:rPr>
            <w:color w:val="1155CC"/>
            <w:u w:val="single"/>
          </w:rPr>
          <w:t>10.1002/adma.202517514</w:t>
        </w:r>
      </w:hyperlink>
    </w:p>
    <w:p>
      <w:pPr>
        <w:spacing w:before="0" w:after="120"/>
      </w:pPr>
      <w:r>
        <w:rPr>
          <w:b/>
        </w:rPr>
        <w:t xml:space="preserve">Notes: </w:t>
      </w:r>
      <w:r>
        <w:t>abstract_source=crossref</w:t>
      </w:r>
    </w:p>
    <w:p>
      <w:pPr>
        <w:spacing w:before="0" w:after="80" w:lineRule="auto" w:line="276"/>
      </w:pPr>
      <w:r>
        <w:rPr>
          <w:b/>
        </w:rPr>
        <w:t xml:space="preserve">摘要（ZH）: </w:t>
      </w:r>
      <w:r>
        <w:t>具有独特的多层互连结构的低温共燃陶瓷(LTCC)是电子通信设备和高密度综合包装所不可或缺的,面临毫米波和高频率应用的严格要求。本审查强调在优化低温和高频率应用的全面性能方面最近取得的进展,并提出了进一步增强战略,以满足高性能微波设备和系统日益增长的高性能微波设备和系统的需求。具体地说,讨论了LTCC为达到理想特性而专门设计的材料设计,包括适当的允许性、低电离电损失、接近零温的共振频率系数、高热导能、与热膨胀系数相匹配的热扩张系数以及e。</w:t>
      </w:r>
    </w:p>
    <w:p>
      <w:pPr>
        <w:spacing w:before="0" w:after="200" w:lineRule="auto" w:line="276"/>
      </w:pPr>
      <w:r>
        <w:rPr>
          <w:b/>
        </w:rPr>
        <w:t xml:space="preserve">Abstract (EN): </w:t>
      </w:r>
      <w:r>
        <w:t>Low‐temperature co‐fired ceramics (LTCC) with unique multilayer interconnection architectures are indispensable for electronic communication devices and high‐density integrated packaging, facing stringent demands in millimeter‐wave and higher‐frequency applications. This review highlights recent advances in optimizing the comprehensive performance of LTCCs and proposes strategies for further enhancement to meet the ever‐growing demands of high‐performance microwave devices and systems. Specifically, LTCC material designs tailored to achieve desirable properties are discussed, including appropriate permittivity, low dielectric loss, a near‐zero temperature coefficient of resonant frequency, high thermal conductivity, matched coefficient of thermal expansion, and excellent mechanical strength. Additionally, innovations in sintering technologies are highlighted, such as ultra‐low temperature co‐fired ceramic (ULTCC) technology and cold sintering process (CSP). These approaches further reduce sintering temperatures, enabling LTCCs to integrate with a broader range of materials (e.g., silicon chips, aluminum electrodes, 2D materials, and polymers) that were previously incompatible with traditional high‐temperature processes. Finally, this review offers insights into the future development directions of LTCCs in emerging applications, including 3D integration and advanced packaging, integrated communication and sensing systems, and millimeter‐wave/terahertz integrated miniaturized devices for next‐generation electronics.</w:t>
      </w:r>
    </w:p>
    <w:p>
      <w:pPr>
        <w:spacing w:before="120" w:after="120"/>
      </w:pPr>
      <w:r>
        <w:rPr>
          <w:sz w:val="18"/>
        </w:rPr>
        <w:t>——————————————————————————————————————————————————————————————————————</w:t>
      </w:r>
    </w:p>
    <w:p>
      <w:pPr>
        <w:spacing w:before="160" w:after="40" w:line="240" w:lineRule="auto"/>
      </w:pPr>
      <w:r>
        <w:rPr>
          <w:b/>
        </w:rPr>
        <w:t xml:space="preserve">[29] </w:t>
      </w:r>
      <w:hyperlink r:id="rId39">
        <w:r>
          <w:rPr>
            <w:color w:val="1155CC"/>
            <w:u w:val="single"/>
          </w:rPr>
          <w:t>AgCuTe基化合物中提高热电性能的定制点缺陷</w:t>
        </w:r>
      </w:hyperlink>
    </w:p>
    <w:p>
      <w:pPr>
        <w:spacing w:before="0" w:after="80"/>
      </w:pPr>
      <w:r>
        <w:rPr>
          <w:i/>
          <w:sz w:val="20"/>
        </w:rPr>
        <w:t>EN: Tailoring Point Defects to Enhance Thermoelectric Performance in AgCuTe‐Based Compounds</w:t>
      </w:r>
    </w:p>
    <w:p>
      <w:pPr>
        <w:spacing w:before="0" w:after="120"/>
      </w:pPr>
      <w:r>
        <w:rPr>
          <w:b/>
        </w:rPr>
        <w:t xml:space="preserve">Source: </w:t>
      </w:r>
      <w:r>
        <w:t>Wiley: Advanced Materials: Table of Contents</w:t>
      </w:r>
      <w:r>
        <w:t xml:space="preserve">    </w:t>
      </w:r>
      <w:r>
        <w:rPr>
          <w:b/>
        </w:rPr>
        <w:t xml:space="preserve">Pub date: </w:t>
      </w:r>
      <w:r>
        <w:t>2026-01-03 06:05:40+00:00</w:t>
      </w:r>
      <w:r>
        <w:t xml:space="preserve">    </w:t>
      </w:r>
      <w:r>
        <w:rPr>
          <w:b/>
        </w:rPr>
        <w:t xml:space="preserve">DOI: </w:t>
      </w:r>
      <w:hyperlink r:id="rId40">
        <w:r>
          <w:rPr>
            <w:color w:val="1155CC"/>
            <w:u w:val="single"/>
          </w:rPr>
          <w:t>10.1002/adma.202513610</w:t>
        </w:r>
      </w:hyperlink>
    </w:p>
    <w:p>
      <w:pPr>
        <w:spacing w:before="0" w:after="120"/>
      </w:pPr>
      <w:r>
        <w:rPr>
          <w:b/>
        </w:rPr>
        <w:t xml:space="preserve">Notes: </w:t>
      </w:r>
      <w:r>
        <w:t>abstract_source=crossref</w:t>
      </w:r>
    </w:p>
    <w:p>
      <w:pPr>
        <w:spacing w:before="0" w:after="80" w:lineRule="auto" w:line="276"/>
      </w:pPr>
      <w:r>
        <w:rPr>
          <w:b/>
        </w:rPr>
        <w:t xml:space="preserve">摘要（ZH）: </w:t>
      </w:r>
      <w:r>
        <w:t>ABSTACT ABSTACT 内含低压热导导度的晶体固体,对于推进高性能热电材料至关重要。对等导体AgCute在电子和声波运输中展示了内在的低湿热导率和特殊金枪鱼性,使它成为中温热电应用的有希望的候选体。然而,其实际部署仍然受到不最佳性能和优化战略不足的限制。我们在此报告,通过系统点缺陷工程战略,其实际部署大大加强了1.72°ZT的无尺寸功绩数字(ZT)为1.72,在773K的P类聚丙烯乙烯AgCuTe中,通过系统点缺陷工程战略,以质量和压力场为导向。</w:t>
      </w:r>
    </w:p>
    <w:p>
      <w:pPr>
        <w:spacing w:before="0" w:after="200" w:lineRule="auto" w:line="276"/>
      </w:pPr>
      <w:r>
        <w:rPr>
          <w:b/>
        </w:rPr>
        <w:t xml:space="preserve">Abstract (EN): </w:t>
      </w:r>
      <w:r>
        <w:t>Crystalline solids with intrinsically low lattice thermal conductivity are essential for advancing high‐performance thermoelectric materials. Superionic conductor AgCuTe exhibits inherently low lattice thermal conductivity and exceptional tunability in both electronic and phononic transport, making it a promising candidate for medium‐temperature thermoelectric applications. However, its practical deployment remains limited by suboptimal performance and insufficient optimization strategies. Here, we report a substantially enhanced dimensionless figure of merit (</w:t>
      </w:r>
      <w:r>
        <w:t xml:space="preserve"> </w:t>
      </w:r>
      <w:r>
        <w:t>ZT</w:t>
      </w:r>
      <w:r>
        <w:t xml:space="preserve"> </w:t>
      </w:r>
      <w:r>
        <w:t>) of ∼1.72 at 773 K in p‐type polycrystalline AgCuTe through a systematic point defects engineering strategy. Guided by mass and strain field fluctuation criteria for suppressing lattice thermal conductivity, sulfur is identified as an effective dopant. Subsequent introduction of cation vacancies further synergizes electronic and thermal transport, yielding a high average</w:t>
      </w:r>
      <w:r>
        <w:t xml:space="preserve"> </w:t>
      </w:r>
      <w:r>
        <w:t>ZT</w:t>
      </w:r>
      <w:r>
        <w:t xml:space="preserve"> </w:t>
      </w:r>
      <w:r>
        <w:t>of 1.55 between 523–773 K, surpassing all previously reported values for AgCuTe. Moreover, a segmented single‐leg thermoelectric module combining this material with commercial p‐type (Bi, Sb)</w:t>
      </w:r>
      <w:r>
        <w:rPr>
          <w:vertAlign w:val="subscript"/>
        </w:rPr>
        <w:t>2</w:t>
      </w:r>
      <w:r>
        <w:t>Te</w:t>
      </w:r>
      <w:r>
        <w:rPr>
          <w:vertAlign w:val="subscript"/>
        </w:rPr>
        <w:t>3</w:t>
      </w:r>
      <w:r>
        <w:t>achieves a high energy conversion efficiency of ∼13.7% under a temperature gradient of ∼467 K. These results underscore the efficacy of point defects engineering in optimizing superionic conductors and highlight the strong potential of AgCuTe for practical thermoelectric applications.</w:t>
      </w:r>
    </w:p>
    <w:p>
      <w:pPr>
        <w:spacing w:before="120" w:after="120"/>
      </w:pPr>
      <w:r>
        <w:rPr>
          <w:sz w:val="18"/>
        </w:rPr>
        <w:t>——————————————————————————————————————————————————————————————————————</w:t>
      </w:r>
    </w:p>
    <w:p>
      <w:pPr>
        <w:spacing w:before="160" w:after="40" w:line="240" w:lineRule="auto"/>
      </w:pPr>
      <w:r>
        <w:rPr>
          <w:b/>
        </w:rPr>
        <w:t xml:space="preserve">[30] </w:t>
      </w:r>
      <w:hyperlink r:id="rId41">
        <w:r>
          <w:rPr>
            <w:color w:val="1155CC"/>
            <w:u w:val="single"/>
          </w:rPr>
          <w:t>Cadmium-Based Perovskites:深极光光光光增强</w:t>
        </w:r>
      </w:hyperlink>
    </w:p>
    <w:p>
      <w:pPr>
        <w:spacing w:before="0" w:after="80"/>
      </w:pPr>
      <w:r>
        <w:rPr>
          <w:i/>
          <w:sz w:val="20"/>
        </w:rPr>
        <w:t>EN: Reversible X‐Ray Memory Imaging for Cadmium‐Based Perovskites: Deep Trap‐Driven Radioluminescence Enhancement</w:t>
      </w:r>
    </w:p>
    <w:p>
      <w:pPr>
        <w:spacing w:before="0" w:after="120"/>
      </w:pPr>
      <w:r>
        <w:rPr>
          <w:b/>
        </w:rPr>
        <w:t xml:space="preserve">Source: </w:t>
      </w:r>
      <w:r>
        <w:t>Wiley: Advanced Materials: Table of Contents</w:t>
      </w:r>
      <w:r>
        <w:t xml:space="preserve">    </w:t>
      </w:r>
      <w:r>
        <w:rPr>
          <w:b/>
        </w:rPr>
        <w:t xml:space="preserve">Pub date: </w:t>
      </w:r>
      <w:r>
        <w:t>2026-01-03 06:07:21+00:00</w:t>
      </w:r>
      <w:r>
        <w:t xml:space="preserve">    </w:t>
      </w:r>
      <w:r>
        <w:rPr>
          <w:b/>
        </w:rPr>
        <w:t xml:space="preserve">DOI: </w:t>
      </w:r>
      <w:hyperlink r:id="rId42">
        <w:r>
          <w:rPr>
            <w:color w:val="1155CC"/>
            <w:u w:val="single"/>
          </w:rPr>
          <w:t>10.1002/adma.202520865</w:t>
        </w:r>
      </w:hyperlink>
    </w:p>
    <w:p>
      <w:pPr>
        <w:spacing w:before="0" w:after="120"/>
      </w:pPr>
      <w:r>
        <w:rPr>
          <w:b/>
        </w:rPr>
        <w:t xml:space="preserve">Notes: </w:t>
      </w:r>
      <w:r>
        <w:t>abstract_source=crossref</w:t>
      </w:r>
    </w:p>
    <w:p>
      <w:pPr>
        <w:spacing w:before="0" w:after="80" w:lineRule="auto" w:line="276"/>
      </w:pPr>
      <w:r>
        <w:rPr>
          <w:b/>
        </w:rPr>
        <w:t xml:space="preserve">摘要（ZH）: </w:t>
      </w:r>
      <w:r>
        <w:t>X射线成像吸引了对信息加密和防伪的极大关注,然而,确保多级加密情景下的信息安全仍然是挑战。在此,我们开发了CSCdCl 3:Pb perovskite的可逆X射线记忆成像技术,该技术将蓝色排放、持久性发光和光色色行为纳入四种刺激反应模式,使多级信息加密成为可能。特别是,CSCdCl 3:Pb展览光色色加深,同时在X射线辐照时间增加的情况下,辐射强度增加了两倍。</w:t>
      </w:r>
    </w:p>
    <w:p>
      <w:pPr>
        <w:spacing w:before="0" w:after="200" w:lineRule="auto" w:line="276"/>
      </w:pPr>
      <w:r>
        <w:rPr>
          <w:b/>
        </w:rPr>
        <w:t xml:space="preserve">Abstract (EN): </w:t>
      </w:r>
      <w:r>
        <w:t>X‐ray imaging has attracted significant attention for information encryption and anti‐counterfeiting. However, ensuring information security under multi‐level encryption scenarios remains challenges. Herein, we have developed a reversible X‐ray memory imaging technique for CsCdCl</w:t>
      </w:r>
      <w:r>
        <w:rPr>
          <w:vertAlign w:val="subscript"/>
        </w:rPr>
        <w:t>3</w:t>
      </w:r>
      <w:r>
        <w:t>:Pb perovskite, which integrates blue emission, persistent luminescence, and photochromic behavior into four stimulus response modes, enabling the multi‐level information encryption. Notably, CsCdCl</w:t>
      </w:r>
      <w:r>
        <w:rPr>
          <w:vertAlign w:val="subscript"/>
        </w:rPr>
        <w:t>3</w:t>
      </w:r>
      <w:r>
        <w:t>:Pb exhibits photochromic deepening, accompanied by a two‐fold enhancement in radioluminescence (RL) intensity with increasing X‐ray irradiation time. This enhancement originates from the formation of a new deep trap (0.79 eV) that facilitates energy transfer from the color centers to the Pb</w:t>
      </w:r>
      <w:r>
        <w:t xml:space="preserve"> </w:t>
      </w:r>
      <w:r>
        <w:t>2+</w:t>
      </w:r>
      <w:r>
        <w:t xml:space="preserve"> </w:t>
      </w:r>
      <w:r>
        <w:t>emission centers. Importantly, X‐ray memory imaging is attributed to the differences in RL enhancement between extending X‐ray irradiation time and turning on the X‐ray tube after removing capsule, which is demonstrated by cycling tests and stability characterizations under different dose rates. As a result, the RL enhancement and X‐ray memory imaging share common advantages: reversibility, fast response (5 s), rapid erasure capability (450 nm, 10–20 s), fatigue resistance (more than 100 cycles), and long‐term stability (more than half a year). This work presents an effective strategy for designing multi‐mode stimulus response perovskite materials and opens a new avenue for advanced multi‐level information security.</w:t>
      </w:r>
    </w:p>
    <w:p>
      <w:pPr>
        <w:spacing w:before="120" w:after="120"/>
      </w:pPr>
      <w:r>
        <w:rPr>
          <w:sz w:val="18"/>
        </w:rPr>
        <w:t>——————————————————————————————————————————————————————————————————————</w:t>
      </w:r>
    </w:p>
    <w:p>
      <w:pPr>
        <w:spacing w:before="160" w:after="40" w:line="240" w:lineRule="auto"/>
      </w:pPr>
      <w:r>
        <w:rPr>
          <w:b/>
        </w:rPr>
        <w:t xml:space="preserve">[31] </w:t>
      </w:r>
      <w:hyperlink r:id="rId43">
        <w:r>
          <w:rPr>
            <w:color w:val="1155CC"/>
            <w:u w:val="single"/>
          </w:rPr>
          <w:t>用于全气肠道肠道全气管热合治疗的煤塞瓦特</w:t>
        </w:r>
      </w:hyperlink>
    </w:p>
    <w:p>
      <w:pPr>
        <w:spacing w:before="0" w:after="80"/>
      </w:pPr>
      <w:r>
        <w:rPr>
          <w:i/>
          <w:sz w:val="20"/>
        </w:rPr>
        <w:t>EN: Orally Administered Nanoparticle Coacervate for Therapeutic Coating of Full Gastrointestinal Tract</w:t>
      </w:r>
    </w:p>
    <w:p>
      <w:pPr>
        <w:spacing w:before="0" w:after="120"/>
      </w:pPr>
      <w:r>
        <w:rPr>
          <w:b/>
        </w:rPr>
        <w:t xml:space="preserve">Source: </w:t>
      </w:r>
      <w:r>
        <w:t>Wiley: Advanced Materials: Table of Contents</w:t>
      </w:r>
      <w:r>
        <w:t xml:space="preserve">    </w:t>
      </w:r>
      <w:r>
        <w:rPr>
          <w:b/>
        </w:rPr>
        <w:t xml:space="preserve">Pub date: </w:t>
      </w:r>
      <w:r>
        <w:t>2026-01-03 06:10:12+00:00</w:t>
      </w:r>
      <w:r>
        <w:t xml:space="preserve">    </w:t>
      </w:r>
      <w:r>
        <w:rPr>
          <w:b/>
        </w:rPr>
        <w:t xml:space="preserve">DOI: </w:t>
      </w:r>
      <w:hyperlink r:id="rId44">
        <w:r>
          <w:rPr>
            <w:color w:val="1155CC"/>
            <w:u w:val="single"/>
          </w:rPr>
          <w:t>10.1002/adma.202514708</w:t>
        </w:r>
      </w:hyperlink>
    </w:p>
    <w:p>
      <w:pPr>
        <w:spacing w:before="0" w:after="120"/>
      </w:pPr>
      <w:r>
        <w:rPr>
          <w:b/>
        </w:rPr>
        <w:t xml:space="preserve">Notes: </w:t>
      </w:r>
      <w:r>
        <w:t>abstract_source=crossref</w:t>
      </w:r>
    </w:p>
    <w:p>
      <w:pPr>
        <w:spacing w:before="0" w:after="80" w:lineRule="auto" w:line="276"/>
      </w:pPr>
      <w:r>
        <w:rPr>
          <w:b/>
        </w:rPr>
        <w:t xml:space="preserve">摘要（ZH）: </w:t>
      </w:r>
      <w:r>
        <w:t>口服提供治疗纳米粒子的治疗性纳米粒子为治疗胃肠道疾病提供了一种非侵入性方法,但是,在避免系统性毒性的同时实现局部和持续的肌肉接触,仍然是一个重大挑战。在这里,正在研制一种基于超独角体的口服配方,配有治疗性纳米粒子,并在接触肠液后转化成类似粘糊的凝固液,在6小时内统一将整个胃肠道涂在6小时之内,通过粪便中转清除12小时。 系统调查显示,纳米粒子疏水性对于稳定地融入基于超龙体的配方至关重要,支持与各种纳米粒子类型的兼容性。</w:t>
      </w:r>
    </w:p>
    <w:p>
      <w:pPr>
        <w:spacing w:before="0" w:after="200" w:lineRule="auto" w:line="276"/>
      </w:pPr>
      <w:r>
        <w:rPr>
          <w:b/>
        </w:rPr>
        <w:t xml:space="preserve">Abstract (EN): </w:t>
      </w:r>
      <w:r>
        <w:t>Oral delivery of therapeutic nanoparticles offers a non‐invasive approach for treating gastrointestinal diseases, but achieving localized and sustained mucosal exposure while avoiding systemic toxicity remains a major challenge. Here, a Sucralfate‐based oral formulation is developed that incorporates therapeutic nanoparticles and transforms into a paste‐like coacervate upon contact with intestinal fluid, uniformly coating the entire gastrointestinal tract within 6 h, and clearing through fecal transit by 12 h. Systematic investigation shows that nanoparticle hydrophobicity is essential for stable incorporation into Sucralfate‐based formulation, supporting compatibility with a wide range of nanoparticle types. The incorporated nanoparticles are stabilized by strong non‐covalent interactions, which limit gastric leaching and reduce cellular uptake by 0.044% compared with PEGylated nanoparticles. As a representative example, antioxidant cerium oxide nanoparticles are tested in two distinct oxidative stress‐related models of intestinal injury, including immune‐mediated colitis and radiation‐induced enteropathy. In DSS colitis, our system reduced weight loss from 17.2% to 2.2% and restored colon structure and oxidative‐stress injury. In radiation‐induced enteropathy, our system attenuated weight loss from 25.5% to 11.4%, doubled villus length, and markedly enhanced epithelial regeneration. The formulation also accommodates nanoparticles with imaging capability, demonstrating versatility for both therapeutic and diagnostic applications in gastrointestinal diseases.</w:t>
      </w:r>
    </w:p>
    <w:p>
      <w:pPr>
        <w:spacing w:before="120" w:after="120"/>
      </w:pPr>
      <w:r>
        <w:rPr>
          <w:sz w:val="18"/>
        </w:rPr>
        <w:t>——————————————————————————————————————————————————————————————————————</w:t>
      </w:r>
    </w:p>
    <w:p>
      <w:pPr>
        <w:spacing w:before="160" w:after="40" w:line="240" w:lineRule="auto"/>
      </w:pPr>
      <w:r>
        <w:rPr>
          <w:b/>
        </w:rPr>
        <w:t xml:space="preserve">[32] </w:t>
      </w:r>
      <w:hyperlink r:id="rId45">
        <w:r>
          <w:rPr>
            <w:color w:val="1155CC"/>
            <w:u w:val="single"/>
          </w:rPr>
          <w:t>pH 抗原工厂驱动器 目标子宫颈肿瘤倒退</w:t>
        </w:r>
      </w:hyperlink>
    </w:p>
    <w:p>
      <w:pPr>
        <w:spacing w:before="0" w:after="80"/>
      </w:pPr>
      <w:r>
        <w:rPr>
          <w:i/>
          <w:sz w:val="20"/>
        </w:rPr>
        <w:t>EN: pH‐Responsive Biomineralized Probiotic for Self‐Amplifying Mucosal Vaccination: Gut‐Engineered Antigen Factories Drive Targeted Cervical Tumor Regression</w:t>
      </w:r>
    </w:p>
    <w:p>
      <w:pPr>
        <w:spacing w:before="0" w:after="120"/>
      </w:pPr>
      <w:r>
        <w:rPr>
          <w:b/>
        </w:rPr>
        <w:t xml:space="preserve">Source: </w:t>
      </w:r>
      <w:r>
        <w:t>Wiley: Advanced Materials: Table of Contents</w:t>
      </w:r>
      <w:r>
        <w:t xml:space="preserve">    </w:t>
      </w:r>
      <w:r>
        <w:rPr>
          <w:b/>
        </w:rPr>
        <w:t xml:space="preserve">Pub date: </w:t>
      </w:r>
      <w:r>
        <w:t>2026-01-03 06:11:03+00:00</w:t>
      </w:r>
      <w:r>
        <w:t xml:space="preserve">    </w:t>
      </w:r>
      <w:r>
        <w:rPr>
          <w:b/>
        </w:rPr>
        <w:t xml:space="preserve">DOI: </w:t>
      </w:r>
      <w:hyperlink r:id="rId46">
        <w:r>
          <w:rPr>
            <w:color w:val="1155CC"/>
            <w:u w:val="single"/>
          </w:rPr>
          <w:t>10.1002/adma.202510404</w:t>
        </w:r>
      </w:hyperlink>
    </w:p>
    <w:p>
      <w:pPr>
        <w:spacing w:before="0" w:after="120"/>
      </w:pPr>
      <w:r>
        <w:rPr>
          <w:b/>
        </w:rPr>
        <w:t xml:space="preserve">Notes: </w:t>
      </w:r>
      <w:r>
        <w:t>abstract_source=crossref</w:t>
      </w:r>
    </w:p>
    <w:p>
      <w:pPr>
        <w:spacing w:before="0" w:after="80" w:lineRule="auto" w:line="276"/>
      </w:pPr>
      <w:r>
        <w:rPr>
          <w:b/>
        </w:rPr>
        <w:t xml:space="preserve">摘要（ZH）: </w:t>
      </w:r>
      <w:r>
        <w:t>防治宫颈癌的抽象治疗疫苗主要依赖持续高水平的HPV抗原生产和长期抗原接触,然而,低于最佳抗原生物利用率和快速系统清除仍然是实现稳健疫苗功效的关键障碍。在这里,我们设计了一种口服生物环状疫苗(BGS/E7@M),用pH-反应性生物矿物化巴希氏菌基(BQBS/E7@M)来建立以直肠为基础的抗原工厂,以持续生产HPV16 E7。钙磷酸盐矿物涂层可产生胃酸抗药性(78.9%的存活能力相对于9.1%的未涂层),并与抗生素菌相互作用(96h、4x控制)同步,使 &amp;gt;4-天抗原持久性(a)</w:t>
      </w:r>
    </w:p>
    <w:p>
      <w:pPr>
        <w:spacing w:before="0" w:after="200" w:lineRule="auto" w:line="276"/>
      </w:pPr>
      <w:r>
        <w:rPr>
          <w:b/>
        </w:rPr>
        <w:t xml:space="preserve">Abstract (EN): </w:t>
      </w:r>
      <w:r>
        <w:t>Therapeutic vaccines against cervical cancer critically depend on sustained high‐level HPV antigen production and prolonged antigen exposure. However, suboptimal antigen bioavailability and rapid systemic clearance remain key barriers to achieving robust vaccine efficacy. Here, we engineer an oral biohybrid vaccine using pH‐responsive biomineralized</w:t>
      </w:r>
      <w:r>
        <w:t xml:space="preserve"> </w:t>
      </w:r>
      <w:r>
        <w:t>Bacillus subtilis</w:t>
      </w:r>
      <w:r>
        <w:t xml:space="preserve"> </w:t>
      </w:r>
      <w:r>
        <w:t>(B‐BS/E7@M) to establish gut‐based antigen factories for sustained HPV16 E7 production. The calcium phosphate mineral coating confers gastric acid resistance (78.9% survivability vs. 9.1% uncoated) and synergizes with probiotic‐mucosa interactions to prolong intestinal retention (96 h, 4 × controls), enabling &amp;gt;4‐day antigen persistence and markedly enhances oral bioavailability. This system elicits coordinated immune activation: mucosal priming through germinal center expansion and APC maturation elevates IgG, IgA, and T‐cell subsets—including total T cells, cytotoxic T cells, and effector memory T cells—from day 21 onward. Systemic CD8</w:t>
      </w:r>
      <w:r>
        <w:t xml:space="preserve"> </w:t>
      </w:r>
      <w:r>
        <w:t>+</w:t>
      </w:r>
      <w:r>
        <w:t xml:space="preserve"> </w:t>
      </w:r>
      <w:r>
        <w:t>T‐cell activation via cross‐presentation enhances central and effector memory T cells, promoting tumor infiltration and resulting in 64% tumor suppression (</w:t>
      </w:r>
      <w:r>
        <w:t xml:space="preserve"> </w:t>
      </w:r>
      <w:r>
        <w:t>p</w:t>
      </w:r>
      <w:r>
        <w:t xml:space="preserve"> </w:t>
      </w:r>
      <w:r>
        <w:t>&amp;lt; 0.001) with 50% complete remission in TC‐1 models. Mechanistic studies pinpoint gut‐orchestrated cytotoxic T cell clonal expansion as the dominant effector pathway. By bridging synthetic biology with stimuli‐responsive biomaterials, this work pioneers a paradigm of living biotherapeutics—self‐replicating, mucosa‐deployable systems for precision cancer immunotherapy.</w:t>
      </w:r>
    </w:p>
    <w:p>
      <w:pPr>
        <w:spacing w:before="120" w:after="120"/>
      </w:pPr>
      <w:r>
        <w:rPr>
          <w:sz w:val="18"/>
        </w:rPr>
        <w:t>——————————————————————————————————————————————————————————————————————</w:t>
      </w:r>
    </w:p>
    <w:p>
      <w:pPr>
        <w:spacing w:before="160" w:after="40" w:line="240" w:lineRule="auto"/>
      </w:pPr>
      <w:r>
        <w:rPr>
          <w:b/>
        </w:rPr>
        <w:t xml:space="preserve">[33] </w:t>
      </w:r>
      <w:hyperlink r:id="rId47">
        <w:r>
          <w:rPr>
            <w:color w:val="1155CC"/>
            <w:u w:val="single"/>
          </w:rPr>
          <w:t>分子氧氧能持续生产相光H2</w:t>
        </w:r>
      </w:hyperlink>
    </w:p>
    <w:p>
      <w:pPr>
        <w:spacing w:before="0" w:after="80"/>
      </w:pPr>
      <w:r>
        <w:rPr>
          <w:i/>
          <w:sz w:val="20"/>
        </w:rPr>
        <w:t>EN: Electrochemical Protection of Cyanobacterial Cells from Molecular Oxygen Enables Sustained PhotoH2 Production</w:t>
      </w:r>
    </w:p>
    <w:p>
      <w:pPr>
        <w:spacing w:before="0" w:after="120"/>
      </w:pPr>
      <w:r>
        <w:rPr>
          <w:b/>
        </w:rPr>
        <w:t xml:space="preserve">Source: </w:t>
      </w:r>
      <w:r>
        <w:t>Wiley: Angewandte Chemie International Edition: Table of Contents</w:t>
      </w:r>
      <w:r>
        <w:t xml:space="preserve">    </w:t>
      </w:r>
      <w:r>
        <w:rPr>
          <w:b/>
        </w:rPr>
        <w:t xml:space="preserve">Pub date: </w:t>
      </w:r>
      <w:r>
        <w:t>2026-01-03 06:12:10+00:00</w:t>
      </w:r>
      <w:r>
        <w:t xml:space="preserve">    </w:t>
      </w:r>
      <w:r>
        <w:rPr>
          <w:b/>
        </w:rPr>
        <w:t xml:space="preserve">DOI: </w:t>
      </w:r>
      <w:hyperlink r:id="rId48">
        <w:r>
          <w:rPr>
            <w:color w:val="1155CC"/>
            <w:u w:val="single"/>
          </w:rPr>
          <w:t>10.1002/anie.202519077</w:t>
        </w:r>
      </w:hyperlink>
    </w:p>
    <w:p>
      <w:pPr>
        <w:spacing w:before="0" w:after="120"/>
      </w:pPr>
      <w:r>
        <w:rPr>
          <w:b/>
        </w:rPr>
        <w:t xml:space="preserve">Notes: </w:t>
      </w:r>
      <w:r>
        <w:t>abstract_source=crossref</w:t>
      </w:r>
    </w:p>
    <w:p>
      <w:pPr>
        <w:spacing w:before="0" w:after="80" w:lineRule="auto" w:line="276"/>
      </w:pPr>
      <w:r>
        <w:rPr>
          <w:b/>
        </w:rPr>
        <w:t xml:space="preserve">摘要（ZH）: </w:t>
      </w:r>
      <w:r>
        <w:t>光合氢(光合氢2)生产过程需要可持续的能源转换; 氧化光合作用水作为唯一的电子源和光灯,将电子提升到高能水平; 氢气酶使用振动电子将质子催化转化成H2。 光合微生物拥有用于这一过程的所有酶设备,而光合微生物已证明了光合H2生产的可行性。 然而,主要限制之一是,作为光合产物副产品产生的O2会损害大多数水体的活动。</w:t>
      </w:r>
    </w:p>
    <w:p>
      <w:pPr>
        <w:spacing w:before="0" w:after="200" w:lineRule="auto" w:line="276"/>
      </w:pPr>
      <w:r>
        <w:rPr>
          <w:b/>
        </w:rPr>
        <w:t xml:space="preserve">Abstract (EN): </w:t>
      </w:r>
      <w:r>
        <w:t>Photosynthetic hydrogen (photoH</w:t>
      </w:r>
      <w:r>
        <w:rPr>
          <w:vertAlign w:val="subscript"/>
        </w:rPr>
        <w:t>2</w:t>
      </w:r>
      <w:r>
        <w:t>) production is appealing for sustainable energy conversion. Oxygenic photosynthesis uses water as the sole electron source and light to lift electrons to a high energy level. The energized electrons are used by the hydrogenase for the catalytic conversion of protons into H</w:t>
      </w:r>
      <w:r>
        <w:rPr>
          <w:vertAlign w:val="subscript"/>
        </w:rPr>
        <w:t>2</w:t>
      </w:r>
      <w:r>
        <w:t>. Photosynthetic microorganisms own all enzymatic equipment for this process, and the feasibility of photoH</w:t>
      </w:r>
      <w:r>
        <w:rPr>
          <w:vertAlign w:val="subscript"/>
        </w:rPr>
        <w:t>2</w:t>
      </w:r>
      <w:r>
        <w:t>production was demonstrated. However, one of the main limitations is that O</w:t>
      </w:r>
      <w:r>
        <w:rPr>
          <w:vertAlign w:val="subscript"/>
        </w:rPr>
        <w:t>2</w:t>
      </w:r>
      <w:r>
        <w:t>, which is generated as a byproduct of photosynthesis, compromises the activity of most hydrogenases and hinders the wider applicability of this strategy. We tackle this challenge, showing the protection of cyanobacterial cells from metabolically‐generated O</w:t>
      </w:r>
      <w:r>
        <w:rPr>
          <w:vertAlign w:val="subscript"/>
        </w:rPr>
        <w:t>2</w:t>
      </w:r>
      <w:r>
        <w:t>by the integration of intact cells into a viologen‐modified redox polymer. Electrochemical activation of the redox polymer allows O</w:t>
      </w:r>
      <w:r>
        <w:rPr>
          <w:vertAlign w:val="subscript"/>
        </w:rPr>
        <w:t>2</w:t>
      </w:r>
      <w:r>
        <w:t>removal in proximity to the cyanobacterial cells with a steep diffusional gradient of O</w:t>
      </w:r>
      <w:r>
        <w:rPr>
          <w:vertAlign w:val="subscript"/>
        </w:rPr>
        <w:t>2</w:t>
      </w:r>
      <w:r>
        <w:t>outside the cells. Microelectrochemical local analysis of O</w:t>
      </w:r>
      <w:r>
        <w:rPr>
          <w:vertAlign w:val="subscript"/>
        </w:rPr>
        <w:t>2</w:t>
      </w:r>
      <w:r>
        <w:t>and H</w:t>
      </w:r>
      <w:r>
        <w:rPr>
          <w:vertAlign w:val="subscript"/>
        </w:rPr>
        <w:t>2</w:t>
      </w:r>
      <w:r>
        <w:t>confirms the protection and the possibility of photoH</w:t>
      </w:r>
      <w:r>
        <w:rPr>
          <w:vertAlign w:val="subscript"/>
        </w:rPr>
        <w:t>2</w:t>
      </w:r>
      <w:r>
        <w:t>production. Moreover, the use of mutant cells integrating a photosystem I‐hydrogenase fusion enables sustained photosynthetic H</w:t>
      </w:r>
      <w:r>
        <w:rPr>
          <w:vertAlign w:val="subscript"/>
        </w:rPr>
        <w:t>2</w:t>
      </w:r>
      <w:r>
        <w:t>production under these conditions, with the electrons for prolonged photoH</w:t>
      </w:r>
      <w:r>
        <w:rPr>
          <w:vertAlign w:val="subscript"/>
        </w:rPr>
        <w:t>2</w:t>
      </w:r>
      <w:r>
        <w:t>production most likely originating from photosynthetic water splitting.</w:t>
      </w:r>
    </w:p>
    <w:p>
      <w:pPr>
        <w:spacing w:before="120" w:after="120"/>
      </w:pPr>
      <w:r>
        <w:rPr>
          <w:sz w:val="18"/>
        </w:rPr>
        <w:t>——————————————————————————————————————————————————————————————————————</w:t>
      </w:r>
    </w:p>
    <w:p>
      <w:pPr>
        <w:spacing w:before="160" w:after="40" w:line="240" w:lineRule="auto"/>
      </w:pPr>
      <w:r>
        <w:rPr>
          <w:b/>
        </w:rPr>
        <w:t xml:space="preserve">[34] </w:t>
      </w:r>
      <w:hyperlink r:id="rId49">
        <w:r>
          <w:rPr>
            <w:color w:val="1155CC"/>
            <w:u w:val="single"/>
          </w:rPr>
          <w:t>- Orbit 辅助非线性辅助非线性外表表表层心电图</w:t>
        </w:r>
      </w:hyperlink>
    </w:p>
    <w:p>
      <w:pPr>
        <w:spacing w:before="0" w:after="80"/>
      </w:pPr>
      <w:r>
        <w:rPr>
          <w:i/>
          <w:sz w:val="20"/>
        </w:rPr>
        <w:t>EN: Spin–Orbit Interaction Enabled Nonlinear Metasurface Holography</w:t>
      </w:r>
    </w:p>
    <w:p>
      <w:pPr>
        <w:spacing w:before="0" w:after="120"/>
      </w:pPr>
      <w:r>
        <w:rPr>
          <w:b/>
        </w:rPr>
        <w:t xml:space="preserve">Source: </w:t>
      </w:r>
      <w:r>
        <w:t>Wiley: Advanced Materials: Table of Contents</w:t>
      </w:r>
      <w:r>
        <w:t xml:space="preserve">    </w:t>
      </w:r>
      <w:r>
        <w:rPr>
          <w:b/>
        </w:rPr>
        <w:t xml:space="preserve">Pub date: </w:t>
      </w:r>
      <w:r>
        <w:t>2026-01-03 06:12:19+00:00</w:t>
      </w:r>
      <w:r>
        <w:t xml:space="preserve">    </w:t>
      </w:r>
      <w:r>
        <w:rPr>
          <w:b/>
        </w:rPr>
        <w:t xml:space="preserve">DOI: </w:t>
      </w:r>
      <w:hyperlink r:id="rId50">
        <w:r>
          <w:rPr>
            <w:color w:val="1155CC"/>
            <w:u w:val="single"/>
          </w:rPr>
          <w:t>10.1002/adma.202521229</w:t>
        </w:r>
      </w:hyperlink>
    </w:p>
    <w:p>
      <w:pPr>
        <w:spacing w:before="0" w:after="120"/>
      </w:pPr>
      <w:r>
        <w:rPr>
          <w:b/>
        </w:rPr>
        <w:t xml:space="preserve">Notes: </w:t>
      </w:r>
      <w:r>
        <w:t>abstract_source=crossref</w:t>
      </w:r>
    </w:p>
    <w:p>
      <w:pPr>
        <w:spacing w:before="0" w:after="80" w:lineRule="auto" w:line="276"/>
      </w:pPr>
      <w:r>
        <w:rPr>
          <w:b/>
        </w:rPr>
        <w:t xml:space="preserve">摘要（ZH）: </w:t>
      </w:r>
      <w:r>
        <w:t>ABSTACT ABSTACT 非线性光学元表层已成为高效和多维地操纵声波的强大平台,提供了独特的优势,如高度融合能力和无相向操作。 旋转和轨道角动力(SAM和OAM)为先进的光场控制提供了丰富程度的自由。 虽然在线性光学系统中实现了SAM和OAM-多倍化的超表层全息图,但它们的性能却受到残余光模式转换产生的低信号“到”比率的阻碍。 最近,非线性奥马传声学被证明为非线性;然而,其实用性仍然有限,因为依赖只显示内向-轨道相互作用的散状非线性光学晶体(SOI ) 。</w:t>
      </w:r>
    </w:p>
    <w:p>
      <w:pPr>
        <w:spacing w:before="0" w:after="200" w:lineRule="auto" w:line="276"/>
      </w:pPr>
      <w:r>
        <w:rPr>
          <w:b/>
        </w:rPr>
        <w:t xml:space="preserve">Abstract (EN): </w:t>
      </w:r>
      <w:r>
        <w:t>Nonlinear optical metasurfaces have emerged as a powerful platform for efficient and multi‐dimensional manipulation of harmonic waves, offering distinct advantages such as high‐integration capability and phase‐matching‐free operation. Spin and orbital angular momentum (SAM and OAM) provide rich degrees of freedom for advanced light field control. While SAM‐ and OAM‐multiplexing metasurface holograms have been realized in the linear optical regime, their performance is hindered by a low signal‐to‐noise ratio stemming from residual light mode conversion. Nonlinear OAM holography has recently been demonstrated; however, its practicality remains limited by reliance on bulky nonlinear optical crystals that exhibit only intrinsic spin–orbit interaction (SOI). Here, we introduce nonlinear SOI holography via second harmonic generation on optical metasurfaces composed of gold plasmonic meta‐atoms. By controlling the local rotational symmetry and topological charges, these metasurface holograms can fully harness optical SOI through both intrinsic and extrinsic angular momentum mode conversions. Information hidden in second harmonic holographic images can only be reconstructed from the spin–orbit tomography of the fundamental waves, ensuring high‐security nonlinear optical encryption. The proposed approach offers promising applications in optical communications, optical information processing, high‐dimensional optical storage, and so on.</w:t>
      </w:r>
    </w:p>
    <w:p>
      <w:pPr>
        <w:spacing w:before="120" w:after="120"/>
      </w:pPr>
      <w:r>
        <w:rPr>
          <w:sz w:val="18"/>
        </w:rPr>
        <w:t>——————————————————————————————————————————————————————————————————————</w:t>
      </w:r>
    </w:p>
    <w:p>
      <w:pPr>
        <w:spacing w:before="160" w:after="40" w:line="240" w:lineRule="auto"/>
      </w:pPr>
      <w:r>
        <w:rPr>
          <w:b/>
        </w:rPr>
        <w:t xml:space="preserve">[35] </w:t>
      </w:r>
      <w:hyperlink r:id="rId51">
        <w:r>
          <w:rPr>
            <w:color w:val="1155CC"/>
            <w:u w:val="single"/>
          </w:rPr>
          <w:t>用低浓度中度溶解液-硫电池用电解解解液-硫电池的液+和聚硫化物溶解</w:t>
        </w:r>
      </w:hyperlink>
    </w:p>
    <w:p>
      <w:pPr>
        <w:spacing w:before="0" w:after="80"/>
      </w:pPr>
      <w:r>
        <w:rPr>
          <w:i/>
          <w:sz w:val="20"/>
        </w:rPr>
        <w:t>EN: Modulating Li+ and Polysulfide Solvation with Low‐Density Moderately Solvating Electrolytes for Lithium–Sulfur Batteries</w:t>
      </w:r>
    </w:p>
    <w:p>
      <w:pPr>
        <w:spacing w:before="0" w:after="120"/>
      </w:pPr>
      <w:r>
        <w:rPr>
          <w:b/>
        </w:rPr>
        <w:t xml:space="preserve">Source: </w:t>
      </w:r>
      <w:r>
        <w:t>Wiley: Angewandte Chemie International Edition: Table of Contents</w:t>
      </w:r>
      <w:r>
        <w:t xml:space="preserve">    </w:t>
      </w:r>
      <w:r>
        <w:rPr>
          <w:b/>
        </w:rPr>
        <w:t xml:space="preserve">Pub date: </w:t>
      </w:r>
      <w:r>
        <w:t>2026-01-03 06:13:35+00:00</w:t>
      </w:r>
      <w:r>
        <w:t xml:space="preserve">    </w:t>
      </w:r>
      <w:r>
        <w:rPr>
          <w:b/>
        </w:rPr>
        <w:t xml:space="preserve">DOI: </w:t>
      </w:r>
      <w:hyperlink r:id="rId52">
        <w:r>
          <w:rPr>
            <w:color w:val="1155CC"/>
            <w:u w:val="single"/>
          </w:rPr>
          <w:t>10.1002/anie.202522940</w:t>
        </w:r>
      </w:hyperlink>
    </w:p>
    <w:p>
      <w:pPr>
        <w:spacing w:before="0" w:after="120"/>
      </w:pPr>
      <w:r>
        <w:rPr>
          <w:b/>
        </w:rPr>
        <w:t xml:space="preserve">Notes: </w:t>
      </w:r>
      <w:r>
        <w:t>abstract_source=crossref</w:t>
      </w:r>
    </w:p>
    <w:p>
      <w:pPr>
        <w:spacing w:before="0" w:after="80" w:lineRule="auto" w:line="276"/>
      </w:pPr>
      <w:r>
        <w:rPr>
          <w:b/>
        </w:rPr>
        <w:t xml:space="preserve">摘要（ZH）: </w:t>
      </w:r>
      <w:r>
        <w:t>硫化硅电池(Li-S)在下一代可再充电电池中表现出巨大的前景,作为下一代可再充电电池,它们仍然遭受多硫化阻塞和气际不稳定的影响。 电解剂作为离子运输和硫化转化的媒介,在克服这些挑战方面发挥着关键作用。 在这里,我们引入了中溶解电解解解解液(MSE ), 其基础是低密度、低浓度和非氟化醚溶解剂,它平衡了聚硫化抑制、硅金属稳定以及再氧化动力学。 通过多种溶剂-溶液和溶剂的相互作用,优化的MSE在加强碳化-亚离子相互作用的同时,会削弱李+的配对,从而降低解溶性刺。</w:t>
      </w:r>
    </w:p>
    <w:p>
      <w:pPr>
        <w:spacing w:before="0" w:after="200" w:lineRule="auto" w:line="276"/>
      </w:pPr>
      <w:r>
        <w:rPr>
          <w:b/>
        </w:rPr>
        <w:t xml:space="preserve">Abstract (EN): </w:t>
      </w:r>
      <w:r>
        <w:t>Lithium–sulfur (Li–S) batteries show great promise as the next‐generation rechargeable batteries, yet they still suffer from polysulfide shuttling and interphasial instability. Electrolyte, as the medium for ion transport and sulfur conversion, plays a crucial role in overcoming these challenges. Here, we introduce a moderately solvating electrolyte (MSE) based on low‐density, low‐viscosity, and nonfluorinated ether co‐solvents that balances polysulfide suppression, Li metal stabilization, and redox kinetics. Through multiple solvent–solvent and solvent‐ion interactions, the optimized MSE weakens Li</w:t>
      </w:r>
      <w:r>
        <w:t xml:space="preserve"> </w:t>
      </w:r>
      <w:r>
        <w:t>+</w:t>
      </w:r>
      <w:r>
        <w:t xml:space="preserve"> </w:t>
      </w:r>
      <w:r>
        <w:t>‐solvent pairing while strengthening cation–anion interactions, thereby lowering the desolvation barrier and promoting the formation of a favorable solid–electrolyte interphase (SEI). Meanwhile, MSE limits the polysulfide dissolution but improves the accessibility of active material through better wettability and tailored solvation environment, leading to an altered sulfur deposition mechanism with β – α conversion. This approach enables a stable cycling of high‐mass loading Li–S cells (&amp;gt; 3.5 mg cm</w:t>
      </w:r>
      <w:r>
        <w:t xml:space="preserve"> </w:t>
      </w:r>
      <w:r>
        <w:t>−2</w:t>
      </w:r>
      <w:r>
        <w:t xml:space="preserve"> </w:t>
      </w:r>
      <w:r>
        <w:t>) at both room temperature and 45 °C (where shuttling and side reactions are severer), and demonstrates a pouch cell with lean electrolyte content (4.5 µL mg s</w:t>
      </w:r>
      <w:r>
        <w:t xml:space="preserve"> </w:t>
      </w:r>
      <w:r>
        <w:t>−1</w:t>
      </w:r>
      <w:r>
        <w:t xml:space="preserve"> </w:t>
      </w:r>
      <w:r>
        <w:t>). This work highlights a practical route to develop high‐performance electrolyte for Li–S cells and provides mechanistic insights into their operation.</w:t>
      </w:r>
    </w:p>
    <w:p>
      <w:pPr>
        <w:spacing w:before="120" w:after="120"/>
      </w:pPr>
      <w:r>
        <w:rPr>
          <w:sz w:val="18"/>
        </w:rPr>
        <w:t>——————————————————————————————————————————————————————————————————————</w:t>
      </w:r>
    </w:p>
    <w:p>
      <w:pPr>
        <w:spacing w:before="160" w:after="40" w:line="240" w:lineRule="auto"/>
      </w:pPr>
      <w:r>
        <w:rPr>
          <w:b/>
        </w:rPr>
        <w:t xml:space="preserve">[36] </w:t>
      </w:r>
      <w:hyperlink r:id="rId53">
        <w:r>
          <w:rPr>
            <w:color w:val="1155CC"/>
            <w:u w:val="single"/>
          </w:rPr>
          <w:t>通过新半增长方法制造4微米以上的高性能 MODD'Derived YBA2Cu3O7层</w:t>
        </w:r>
      </w:hyperlink>
    </w:p>
    <w:p>
      <w:pPr>
        <w:spacing w:before="0" w:after="80"/>
      </w:pPr>
      <w:r>
        <w:rPr>
          <w:i/>
          <w:sz w:val="20"/>
        </w:rPr>
        <w:t>EN: Fabricating High‐Performance MOD‐Derived YBa2Cu3O7‐δ Layers Over 4 µm via a Novel Semi‐Growth Approach</w:t>
      </w:r>
    </w:p>
    <w:p>
      <w:pPr>
        <w:spacing w:before="0" w:after="120"/>
      </w:pPr>
      <w:r>
        <w:rPr>
          <w:b/>
        </w:rPr>
        <w:t xml:space="preserve">Source: </w:t>
      </w:r>
      <w:r>
        <w:t>Wiley: Advanced Materials: Table of Contents</w:t>
      </w:r>
      <w:r>
        <w:t xml:space="preserve">    </w:t>
      </w:r>
      <w:r>
        <w:rPr>
          <w:b/>
        </w:rPr>
        <w:t xml:space="preserve">Pub date: </w:t>
      </w:r>
      <w:r>
        <w:t>2026-01-03 06:13:38+00:00</w:t>
      </w:r>
      <w:r>
        <w:t xml:space="preserve">    </w:t>
      </w:r>
      <w:r>
        <w:rPr>
          <w:b/>
        </w:rPr>
        <w:t xml:space="preserve">DOI: </w:t>
      </w:r>
      <w:hyperlink r:id="rId54">
        <w:r>
          <w:rPr>
            <w:color w:val="1155CC"/>
            <w:u w:val="single"/>
          </w:rPr>
          <w:t>10.1002/adma.202509630</w:t>
        </w:r>
      </w:hyperlink>
    </w:p>
    <w:p>
      <w:pPr>
        <w:spacing w:before="0" w:after="120"/>
      </w:pPr>
      <w:r>
        <w:rPr>
          <w:b/>
        </w:rPr>
        <w:t xml:space="preserve">Notes: </w:t>
      </w:r>
      <w:r>
        <w:t>abstract_source=crossref</w:t>
      </w:r>
    </w:p>
    <w:p>
      <w:pPr>
        <w:spacing w:before="0" w:after="80" w:lineRule="auto" w:line="276"/>
      </w:pPr>
      <w:r>
        <w:rPr>
          <w:b/>
        </w:rPr>
        <w:t xml:space="preserve">摘要（ZH）: </w:t>
      </w:r>
      <w:r>
        <w:t>本研究调查了一种有效的方法,用金属-有机分解(MOD)工业生产线上的半增长战略,用厚度超导层高性能YBA 2 Cu 3 O 7(YBCO)混合导体。 性能结果显示,半增长法在胶片增长质量和高性能方面具有相当大的优势,因为与2L+L/2L+2+2L+2L(Semiacrowing) YBCO厚厚厚的磁带的性能相比,系统设计了一个保留层,而2L+2L+2L厚厚厚的厚厚厚带的厚度不同。</w:t>
      </w:r>
    </w:p>
    <w:p>
      <w:pPr>
        <w:spacing w:before="0" w:after="200" w:lineRule="auto" w:line="276"/>
      </w:pPr>
      <w:r>
        <w:rPr>
          <w:b/>
        </w:rPr>
        <w:t xml:space="preserve">Abstract (EN): </w:t>
      </w:r>
      <w:r>
        <w:t>This study investigates an effective method for preparing high‐performance YBa</w:t>
      </w:r>
      <w:r>
        <w:rPr>
          <w:vertAlign w:val="subscript"/>
        </w:rPr>
        <w:t>2</w:t>
      </w:r>
      <w:r>
        <w:t>Cu</w:t>
      </w:r>
      <w:r>
        <w:rPr>
          <w:vertAlign w:val="subscript"/>
        </w:rPr>
        <w:t>3</w:t>
      </w:r>
      <w:r>
        <w:t>O</w:t>
      </w:r>
      <w:r>
        <w:t xml:space="preserve"> </w:t>
      </w:r>
      <w:r>
        <w:t>7‐δ</w:t>
      </w:r>
      <w:r>
        <w:t xml:space="preserve"> </w:t>
      </w:r>
      <w:r>
        <w:t>(YBCO)‐coated conductors with thick superconducting layers using a semi‐growth strategy on a metal–organic decomposition (MOD) industrial production line. The performance results demonstrate that the semi‐growth method offers considerable advantages in terms of the film growth quality and high performance owing to the systematic design of a reserved layer, compared to the performance of 2L+L/2L+2L (semi‐growth) YBCO thick tapes of varying thicknesses. The 2L+2L thick films over 3.5 µm achieve a critical current (</w:t>
      </w:r>
      <w:r>
        <w:t xml:space="preserve"> </w:t>
      </w:r>
      <w:r>
        <w:t>I</w:t>
      </w:r>
      <w:r>
        <w:t xml:space="preserve"> </w:t>
      </w:r>
      <w:r>
        <w:t>c</w:t>
      </w:r>
      <w:r>
        <w:t xml:space="preserve"> </w:t>
      </w:r>
      <w:r>
        <w:t>) of 1150 A/12 mm‐width (i.e., 958 A/cm‐w) at 77 K@self‐field, almost double that of conventional 2L (1.6 µm) YBCO tapes, as well as the in‐field performance at low temperature. Although the</w:t>
      </w:r>
      <w:r>
        <w:t xml:space="preserve"> </w:t>
      </w:r>
      <w:r>
        <w:t>I</w:t>
      </w:r>
      <w:r>
        <w:t xml:space="preserve"> </w:t>
      </w:r>
      <w:r>
        <w:t>c</w:t>
      </w:r>
      <w:r>
        <w:t xml:space="preserve"> </w:t>
      </w:r>
      <w:r>
        <w:t>performance decreases when the film thickness increases to 4.2 µm in 2L+2L mode, the overall trend still demonstrates considerable potential for thick‐film fabrication. High‐performance YBCO tapes have been successfully scaled to the industrial production of hundreds of meters, showcasing broad application prospects and significant scientific value.</w:t>
      </w:r>
    </w:p>
    <w:p>
      <w:pPr>
        <w:spacing w:before="120" w:after="120"/>
      </w:pPr>
      <w:r>
        <w:rPr>
          <w:sz w:val="18"/>
        </w:rPr>
        <w:t>——————————————————————————————————————————————————————————————————————</w:t>
      </w:r>
    </w:p>
    <w:p>
      <w:pPr>
        <w:spacing w:before="160" w:after="40" w:line="240" w:lineRule="auto"/>
      </w:pPr>
      <w:r>
        <w:rPr>
          <w:b/>
        </w:rPr>
        <w:t xml:space="preserve">[37] </w:t>
      </w:r>
      <w:hyperlink r:id="rId55">
        <w:r>
          <w:rPr>
            <w:color w:val="1155CC"/>
            <w:u w:val="single"/>
          </w:rPr>
          <w:t>通过非对称卤化,使用对称奥利芬的中子二氯二烯基酸和对称奥利芬</w:t>
        </w:r>
      </w:hyperlink>
    </w:p>
    <w:p>
      <w:pPr>
        <w:spacing w:before="0" w:after="80"/>
      </w:pPr>
      <w:r>
        <w:rPr>
          <w:i/>
          <w:sz w:val="20"/>
        </w:rPr>
        <w:t>EN: Halide Bond Assisted Double Desymmetrization of Meso‐Dicarboxylic Acids with Symmetrical Olefins via Asymmetric Halogenation</w:t>
      </w:r>
    </w:p>
    <w:p>
      <w:pPr>
        <w:spacing w:before="0" w:after="120"/>
      </w:pPr>
      <w:r>
        <w:rPr>
          <w:b/>
        </w:rPr>
        <w:t xml:space="preserve">Source: </w:t>
      </w:r>
      <w:r>
        <w:t>Wiley: Angewandte Chemie International Edition: Table of Contents</w:t>
      </w:r>
      <w:r>
        <w:t xml:space="preserve">    </w:t>
      </w:r>
      <w:r>
        <w:rPr>
          <w:b/>
        </w:rPr>
        <w:t xml:space="preserve">Pub date: </w:t>
      </w:r>
      <w:r>
        <w:t>2026-01-03 06:15:01+00:00</w:t>
      </w:r>
      <w:r>
        <w:t xml:space="preserve">    </w:t>
      </w:r>
      <w:r>
        <w:rPr>
          <w:b/>
        </w:rPr>
        <w:t xml:space="preserve">DOI: </w:t>
      </w:r>
      <w:hyperlink r:id="rId56">
        <w:r>
          <w:rPr>
            <w:color w:val="1155CC"/>
            <w:u w:val="single"/>
          </w:rPr>
          <w:t>10.1002/anie.202520866</w:t>
        </w:r>
      </w:hyperlink>
    </w:p>
    <w:p>
      <w:pPr>
        <w:spacing w:before="0" w:after="120"/>
      </w:pPr>
      <w:r>
        <w:rPr>
          <w:b/>
        </w:rPr>
        <w:t xml:space="preserve">Notes: </w:t>
      </w:r>
      <w:r>
        <w:t>abstract_source=crossref</w:t>
      </w:r>
    </w:p>
    <w:p>
      <w:pPr>
        <w:spacing w:before="0" w:after="80" w:lineRule="auto" w:line="276"/>
      </w:pPr>
      <w:r>
        <w:rPr>
          <w:b/>
        </w:rPr>
        <w:t xml:space="preserve">摘要（ZH）: </w:t>
      </w:r>
      <w:r>
        <w:t>高效合成来自精神先质的复杂手性分子对可持续药物发展至关重要。在现有的战略中,中观化合物的淡化为单步建立多个立体中心提供了一条强有力的途径。虽然中观-dicardarboxylic酸是很有希望的原料,但其催化性非对称脱异化仍然是一个重大挑战。在这里,我们报告了一种催化性非对称卤素酸化,用电子无偏向的叶子,实现这两种中观的同步脱色。</w:t>
      </w:r>
    </w:p>
    <w:p>
      <w:pPr>
        <w:spacing w:before="0" w:after="200" w:lineRule="auto" w:line="276"/>
      </w:pPr>
      <w:r>
        <w:rPr>
          <w:b/>
        </w:rPr>
        <w:t xml:space="preserve">Abstract (EN): </w:t>
      </w:r>
      <w:r>
        <w:t>The efficient synthesis of complex chiral molecules from achiral precursors is essential for sustainable pharmaceutical development. Among available strategies, the desymmetrization of</w:t>
      </w:r>
      <w:r>
        <w:t xml:space="preserve"> </w:t>
      </w:r>
      <w:r>
        <w:t>meso</w:t>
      </w:r>
      <w:r>
        <w:t xml:space="preserve"> </w:t>
      </w:r>
      <w:r>
        <w:t>compounds provides a powerful route to construct multiple stereocenters in a single step. Although</w:t>
      </w:r>
      <w:r>
        <w:t xml:space="preserve"> </w:t>
      </w:r>
      <w:r>
        <w:t>meso</w:t>
      </w:r>
      <w:r>
        <w:t xml:space="preserve"> </w:t>
      </w:r>
      <w:r>
        <w:t>‐dicarboxylic acids are promising feedstocks, their catalytic asymmetric desymmetrization remains a significant challenge. Herein we report a catalytic asymmetric halolactonization of</w:t>
      </w:r>
      <w:r>
        <w:t xml:space="preserve"> </w:t>
      </w:r>
      <w:r>
        <w:t>meso</w:t>
      </w:r>
      <w:r>
        <w:t xml:space="preserve"> </w:t>
      </w:r>
      <w:r>
        <w:t>‐dicarboxylic acids with electronically unbiased olefins, achieving simultaneous desymmetrization of both the</w:t>
      </w:r>
      <w:r>
        <w:t xml:space="preserve"> </w:t>
      </w:r>
      <w:r>
        <w:t>meso</w:t>
      </w:r>
      <w:r>
        <w:t xml:space="preserve"> </w:t>
      </w:r>
      <w:r>
        <w:t>‐dicarboxylic acid and haliranium intermediate. This method efficiently constructs chiral caged polycyclic lactones bearing six stereocenters in a single operation. Furthermore, the reaction is extended to exocyclic olefins, granting access to valuable terpenoid scaffolds. Its synthetic utility is highlighted by the enantioselective formal synthesis of (–)‐longifolene, establishing a versatile platform for accessing norbornane‐based natural products. Mechanistic studies reveal that the brominated amino‐urea catalyst operates as a biomimetic hydrogen‐bonding activator. Unexpectedly, the bromine substituent on the catalysts functions as an unconventional Brønsted base to stabilize a key intermediate via halide bond instead of a typical halogen bond. This work marks a substantial advancement in terpenoid synthesis, merging operational simplicity with the efficient generation of multiple stereocenters in a single transformation.</w:t>
      </w:r>
    </w:p>
    <w:p>
      <w:pPr>
        <w:spacing w:before="120" w:after="120"/>
      </w:pPr>
      <w:r>
        <w:rPr>
          <w:sz w:val="18"/>
        </w:rPr>
        <w:t>——————————————————————————————————————————————————————————————————————</w:t>
      </w:r>
    </w:p>
    <w:p>
      <w:pPr>
        <w:spacing w:before="160" w:after="40" w:line="240" w:lineRule="auto"/>
      </w:pPr>
      <w:r>
        <w:rPr>
          <w:b/>
        </w:rPr>
        <w:t xml:space="preserve">[38] </w:t>
      </w:r>
      <w:hyperlink r:id="rId57">
        <w:r>
          <w:rPr>
            <w:color w:val="1155CC"/>
            <w:u w:val="single"/>
          </w:rPr>
          <w:t>MOF-Derived 高密度二硫硫化物,用于Zn iI2-S 与机器学习辅助预测和Situ 同步速成光谱分析的同步电池</w:t>
        </w:r>
      </w:hyperlink>
    </w:p>
    <w:p>
      <w:pPr>
        <w:spacing w:before="0" w:after="80"/>
      </w:pPr>
      <w:r>
        <w:rPr>
          <w:i/>
          <w:sz w:val="20"/>
        </w:rPr>
        <w:t>EN: MOF‐Derived High‐Entropy Biphasic Sulfides for Zn‐I2‐S Synergistic Batteries with Machine‐Learning‐Assisted Prediction and In Situ Synchrotron Spectroscopy</w:t>
      </w:r>
    </w:p>
    <w:p>
      <w:pPr>
        <w:spacing w:before="0" w:after="120"/>
      </w:pPr>
      <w:r>
        <w:rPr>
          <w:b/>
        </w:rPr>
        <w:t xml:space="preserve">Source: </w:t>
      </w:r>
      <w:r>
        <w:t>Wiley: Advanced Materials: Table of Contents</w:t>
      </w:r>
      <w:r>
        <w:t xml:space="preserve">    </w:t>
      </w:r>
      <w:r>
        <w:rPr>
          <w:b/>
        </w:rPr>
        <w:t xml:space="preserve">Pub date: </w:t>
      </w:r>
      <w:r>
        <w:t>2026-01-03 06:15:02+00:00</w:t>
      </w:r>
      <w:r>
        <w:t xml:space="preserve">    </w:t>
      </w:r>
      <w:r>
        <w:rPr>
          <w:b/>
        </w:rPr>
        <w:t xml:space="preserve">DOI: </w:t>
      </w:r>
      <w:hyperlink r:id="rId58">
        <w:r>
          <w:rPr>
            <w:color w:val="1155CC"/>
            <w:u w:val="single"/>
          </w:rPr>
          <w:t>10.1002/adma.202523371</w:t>
        </w:r>
      </w:hyperlink>
    </w:p>
    <w:p>
      <w:pPr>
        <w:spacing w:before="0" w:after="120"/>
      </w:pPr>
      <w:r>
        <w:rPr>
          <w:b/>
        </w:rPr>
        <w:t xml:space="preserve">Notes: </w:t>
      </w:r>
      <w:r>
        <w:t>abstract_source=crossref</w:t>
      </w:r>
    </w:p>
    <w:p>
      <w:pPr>
        <w:spacing w:before="0" w:after="80" w:lineRule="auto" w:line="276"/>
      </w:pPr>
      <w:r>
        <w:rPr>
          <w:b/>
        </w:rPr>
        <w:t xml:space="preserve">摘要（ZH）: </w:t>
      </w:r>
      <w:r>
        <w:t>水锌电池的实际应用仍然受到单成分系统的内在局限性的限制,如ZnI 2电池中的穿梭效应和ZnS电池中的缓慢动动能。为了克服这些局限性,我们开发了ZnSI 2协同电池,以协同方式利用双红氧化物夫妇的互补优势。以Ndoped碳纳米表为基础的双功能高有机硫化物(HES)催化剂,通过表面活性剂辅助金属有机框架衍生途径进行工程设计。</w:t>
      </w:r>
    </w:p>
    <w:p>
      <w:pPr>
        <w:spacing w:before="0" w:after="200" w:lineRule="auto" w:line="276"/>
      </w:pPr>
      <w:r>
        <w:rPr>
          <w:b/>
        </w:rPr>
        <w:t xml:space="preserve">Abstract (EN): </w:t>
      </w:r>
      <w:r>
        <w:t>The practical application of aqueous zinc batteries remains constrained by the intrinsic limitations of monocomponent systems, such as the shuttle effect in Zn‐I</w:t>
      </w:r>
      <w:r>
        <w:rPr>
          <w:vertAlign w:val="subscript"/>
        </w:rPr>
        <w:t>2</w:t>
      </w:r>
      <w:r>
        <w:t>batteries and the sluggish kinetics in Zn─S batteries. To overcome these limitations, we developed a Zn‐S‐I</w:t>
      </w:r>
      <w:r>
        <w:rPr>
          <w:vertAlign w:val="subscript"/>
        </w:rPr>
        <w:t>2</w:t>
      </w:r>
      <w:r>
        <w:t>synergistic battery that synergistically exploits the complementary advantages of dual redox couples. A bifunctional high‐entropy sulfide (HES) catalyst anchored on N‐doped carbon nanosheets was engineered via a surfactant‐assisted metal‐organic framework (MOF) derivatization route. The entropy‐stabilized HES forms a unique wurtzite/zincblende biphasic structure, creating abundant grain boundaries and synergistic active sites. Electrochemical studies demonstrate that the synergistic battery exhibits outstanding electrochemical performance and cycling stability. Machine learning (ML) models were established to predict electrochemical behavior under various operating conditions. Operando synchrotron‐based spectroscopy combined with theoretical calculations revealed that the biphasic HES synergistically catalyzes multi‐step conversion reactions, simultaneously lowering energy barriers and suppressing shuttle effects. This work offers new insights into high‐entropy electrocatalysts for complex multi‐step energy storage reactions.</w:t>
      </w:r>
    </w:p>
    <w:p>
      <w:pPr>
        <w:spacing w:before="120" w:after="120"/>
      </w:pPr>
      <w:r>
        <w:rPr>
          <w:sz w:val="18"/>
        </w:rPr>
        <w:t>——————————————————————————————————————————————————————————————————————</w:t>
      </w:r>
    </w:p>
    <w:p>
      <w:pPr>
        <w:spacing w:before="160" w:after="40" w:line="240" w:lineRule="auto"/>
      </w:pPr>
      <w:r>
        <w:rPr>
          <w:b/>
        </w:rPr>
        <w:t xml:space="preserve">[39] </w:t>
      </w:r>
      <w:hyperlink r:id="rId59">
        <w:r>
          <w:rPr>
            <w:color w:val="1155CC"/>
            <w:u w:val="single"/>
          </w:rPr>
          <w:t>水电池中 TiO2 阳极的大小</w:t>
        </w:r>
      </w:hyperlink>
    </w:p>
    <w:p>
      <w:pPr>
        <w:spacing w:before="0" w:after="80"/>
      </w:pPr>
      <w:r>
        <w:rPr>
          <w:i/>
          <w:sz w:val="20"/>
        </w:rPr>
        <w:t>EN: Aquatic Environment Breaks the Size Confinement of the TiO2 Anodes in Aqueous Batteries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60">
        <w:r>
          <w:rPr>
            <w:color w:val="1155CC"/>
            <w:u w:val="single"/>
          </w:rPr>
          <w:t>10.1002/anie.202520365</w:t>
        </w:r>
      </w:hyperlink>
    </w:p>
    <w:p>
      <w:pPr>
        <w:spacing w:before="0" w:after="120"/>
      </w:pPr>
      <w:r>
        <w:rPr>
          <w:b/>
        </w:rPr>
        <w:t xml:space="preserve">Notes: </w:t>
      </w:r>
      <w:r>
        <w:t>abstract_source=crossref</w:t>
      </w:r>
    </w:p>
    <w:p>
      <w:pPr>
        <w:spacing w:before="0" w:after="80" w:lineRule="auto" w:line="276"/>
      </w:pPr>
      <w:r>
        <w:rPr>
          <w:b/>
        </w:rPr>
        <w:t xml:space="preserve">摘要（ZH）: </w:t>
      </w:r>
      <w:r>
        <w:t>据认为,TiO 2 阳极的粒子大小一般会对其机械特性产生消极影响。亚微微小的 TiO 2 尺寸显示地表能量低,这降低了产量强度,导致两个阶段锂储存机制期间机械骨折。在这项研究中,我们发现,TiO 2 显示在水环境中独立体积效应,减轻了与亚微小的 TiO 2 有关的机械骨折。我们的研究显示,水分子与子分子有很强的相互作用。</w:t>
      </w:r>
    </w:p>
    <w:p>
      <w:pPr>
        <w:spacing w:before="0" w:after="200" w:lineRule="auto" w:line="276"/>
      </w:pPr>
      <w:r>
        <w:rPr>
          <w:b/>
        </w:rPr>
        <w:t xml:space="preserve">Abstract (EN): </w:t>
      </w:r>
      <w:r>
        <w:t>The particle size of TiO</w:t>
      </w:r>
      <w:r>
        <w:rPr>
          <w:vertAlign w:val="subscript"/>
        </w:rPr>
        <w:t>2</w:t>
      </w:r>
      <w:r>
        <w:t>anodes is commonly believed to have a negative impact on their mechanical properties. As submicron‐sized TiO</w:t>
      </w:r>
      <w:r>
        <w:rPr>
          <w:vertAlign w:val="subscript"/>
        </w:rPr>
        <w:t>2</w:t>
      </w:r>
      <w:r>
        <w:t>exhibits low surface energy, which reduces yield strength and leads to mechanical fracture during the two‐phase lithium storage mechanism, it is excluded from traditional nonaqueous lithium‐ion batteries. In this study, we discovered that TiO</w:t>
      </w:r>
      <w:r>
        <w:rPr>
          <w:vertAlign w:val="subscript"/>
        </w:rPr>
        <w:t>2</w:t>
      </w:r>
      <w:r>
        <w:t>demonstrates an independent size effect in an aqueous environment, mitigating the mechanical fracture associated with submicron‐sized TiO</w:t>
      </w:r>
      <w:r>
        <w:rPr>
          <w:vertAlign w:val="subscript"/>
        </w:rPr>
        <w:t>2</w:t>
      </w:r>
      <w:r>
        <w:t>. Our studies reveal that water molecules strongly interact with submicron TiO</w:t>
      </w:r>
      <w:r>
        <w:rPr>
          <w:vertAlign w:val="subscript"/>
        </w:rPr>
        <w:t>2</w:t>
      </w:r>
      <w:r>
        <w:t>materials, increasing the surface energy in aqueous electrolytes in a unique manner. This enhancement makes submicron TiO</w:t>
      </w:r>
      <w:r>
        <w:rPr>
          <w:vertAlign w:val="subscript"/>
        </w:rPr>
        <w:t>2</w:t>
      </w:r>
      <w:r>
        <w:t>more resilient during the lithiation and de‐lithiation reactions. Additionally, the transition from nano to submicron TiO</w:t>
      </w:r>
      <w:r>
        <w:rPr>
          <w:vertAlign w:val="subscript"/>
        </w:rPr>
        <w:t>2</w:t>
      </w:r>
      <w:r>
        <w:t>facilitates the inhibition of hydrogen evolution reactions (HER) in aqueous batteries and enhances the performance of electrode coatings. Consequently, submicron TiO</w:t>
      </w:r>
      <w:r>
        <w:rPr>
          <w:vertAlign w:val="subscript"/>
        </w:rPr>
        <w:t>2</w:t>
      </w:r>
      <w:r>
        <w:t>exhibits superior electrochemical performance in aqueous batteries, with an Ah‐level pouch battery achieving an energy density of 66 Wh kg</w:t>
      </w:r>
      <w:r>
        <w:t xml:space="preserve"> </w:t>
      </w:r>
      <w:r>
        <w:t>−1</w:t>
      </w:r>
      <w:r>
        <w:t xml:space="preserve"> </w:t>
      </w:r>
      <w:r>
        <w:t>(217 Wh L</w:t>
      </w:r>
      <w:r>
        <w:t xml:space="preserve"> </w:t>
      </w:r>
      <w:r>
        <w:t>−1</w:t>
      </w:r>
      <w:r>
        <w:t xml:space="preserve"> </w:t>
      </w:r>
      <w:r>
        <w:t>) and demonstrating excellent cycling stability of over 1200 cycles. Our work has successfully addressed the size limitations of the TiO</w:t>
      </w:r>
      <w:r>
        <w:rPr>
          <w:vertAlign w:val="subscript"/>
        </w:rPr>
        <w:t>2</w:t>
      </w:r>
      <w:r>
        <w:t>anodes, offering an innovative perspective on micro‐sized electrode materials previously considered unsuitable for battery use.</w:t>
      </w:r>
    </w:p>
    <w:p>
      <w:pPr>
        <w:spacing w:before="120" w:after="120"/>
      </w:pPr>
      <w:r>
        <w:rPr>
          <w:sz w:val="18"/>
        </w:rPr>
        <w:t>——————————————————————————————————————————————————————————————————————</w:t>
      </w:r>
    </w:p>
    <w:p>
      <w:pPr>
        <w:spacing w:before="160" w:after="40" w:line="240" w:lineRule="auto"/>
      </w:pPr>
      <w:r>
        <w:rPr>
          <w:b/>
        </w:rPr>
        <w:t xml:space="preserve">[40] </w:t>
      </w:r>
      <w:hyperlink r:id="rId61">
        <w:r>
          <w:rPr>
            <w:color w:val="1155CC"/>
            <w:u w:val="single"/>
          </w:rPr>
          <w:t>利用金属 -- -- 有机岩层:有孔液体、玻璃、橡胶等</w:t>
        </w:r>
      </w:hyperlink>
    </w:p>
    <w:p>
      <w:pPr>
        <w:spacing w:before="0" w:after="80"/>
      </w:pPr>
      <w:r>
        <w:rPr>
          <w:i/>
          <w:sz w:val="20"/>
        </w:rPr>
        <w:t>EN: Transferring Porosity Across Physical States Using Metal–Organic Cages: Porous Liquids, Glasses, Rubbers, and More</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62">
        <w:r>
          <w:rPr>
            <w:color w:val="1155CC"/>
            <w:u w:val="single"/>
          </w:rPr>
          <w:t>10.1002/anie.202521455</w:t>
        </w:r>
      </w:hyperlink>
    </w:p>
    <w:p>
      <w:pPr>
        <w:spacing w:before="0" w:after="120"/>
      </w:pPr>
      <w:r>
        <w:rPr>
          <w:b/>
        </w:rPr>
        <w:t xml:space="preserve">Notes: </w:t>
      </w:r>
      <w:r>
        <w:t>abstract_source=crossref</w:t>
      </w:r>
    </w:p>
    <w:p>
      <w:pPr>
        <w:spacing w:before="0" w:after="80" w:lineRule="auto" w:line="276"/>
      </w:pPr>
      <w:r>
        <w:rPr>
          <w:b/>
        </w:rPr>
        <w:t xml:space="preserve">摘要（ZH）: </w:t>
      </w:r>
      <w:r>
        <w:t>在晶状固体(如液体或玻璃)以外的不同物理状态下,保存有定制孔隙的多孔材料在晶状固体(如液体或玻璃)以外的不同物理状态下保持量体裁衣孔质的多孔材料的开发可以产生新的功能性材料,用于不同的应用,然而,它仍然具有挑战性。 要解决这个问题,研究人员已经转向金属-有机笼(MOCs)和金属-有机多环形(MOPs)等离散的多孔笼子。 这些材料的组织和物理状态受跨孔相互作用的制约,这些相互作用可以调节,而不会改变单个笼子的内在孔隙性。 在本次小型审查中,我们强调这类笼子的外围功能如何制约其相互作用和物理状态,并解释它如何能(b) 管理这些材料的组织和物理状态。</w:t>
      </w:r>
    </w:p>
    <w:p>
      <w:pPr>
        <w:spacing w:before="0" w:after="200" w:lineRule="auto" w:line="276"/>
      </w:pPr>
      <w:r>
        <w:rPr>
          <w:b/>
        </w:rPr>
        <w:t xml:space="preserve">Abstract (EN): </w:t>
      </w:r>
      <w:r>
        <w:t>The development of porous materials that retain tailored porosity across different physical states beyond crystalline solids (</w:t>
      </w:r>
      <w:r>
        <w:t xml:space="preserve"> </w:t>
      </w:r>
      <w:r>
        <w:t>e.g</w:t>
      </w:r>
      <w:r>
        <w:t xml:space="preserve"> </w:t>
      </w:r>
      <w:r>
        <w:t>., liquid or glassy) could yield new functional materials for diverse applications, yet it remains challenging. To address this, researchers have turned to discrete porous cages such as metal–organic cages (MOCs) and metal–organic polyhedra (MOPs). The organization and physical state of these materials are governed by inter‐cage interactions that can be modulated without altering the intrinsic porosity of the individual cages. In this minireview, we highlight how the peripheral functionality of such cages governs their interactions and physical state and explain how it can be harnessed to preserve and transfer porosity across distinct physical states, including liquids, glasses, and rubbers. We conclude by outlining emerging properties and potential applications for the resultant unique porous states.</w:t>
      </w:r>
    </w:p>
    <w:p>
      <w:pPr>
        <w:spacing w:before="120" w:after="120"/>
      </w:pPr>
      <w:r>
        <w:rPr>
          <w:sz w:val="18"/>
        </w:rPr>
        <w:t>——————————————————————————————————————————————————————————————————————</w:t>
      </w:r>
    </w:p>
    <w:p>
      <w:pPr>
        <w:spacing w:before="160" w:after="40" w:line="240" w:lineRule="auto"/>
      </w:pPr>
      <w:r>
        <w:rPr>
          <w:b/>
        </w:rPr>
        <w:t xml:space="preserve">[41] </w:t>
      </w:r>
      <w:hyperlink r:id="rId63">
        <w:r>
          <w:rPr>
            <w:color w:val="1155CC"/>
            <w:u w:val="single"/>
          </w:rPr>
          <w:t>对用于电化学尿液合成的单原子催化器进行高水压理论筛选</w:t>
        </w:r>
      </w:hyperlink>
    </w:p>
    <w:p>
      <w:pPr>
        <w:spacing w:before="0" w:after="80"/>
      </w:pPr>
      <w:r>
        <w:rPr>
          <w:i/>
          <w:sz w:val="20"/>
        </w:rPr>
        <w:t>EN: High‐Throughput Theoretical Screening of Single‐Atom Catalysts for Electrochemical Urea Synthesis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64">
        <w:r>
          <w:rPr>
            <w:color w:val="1155CC"/>
            <w:u w:val="single"/>
          </w:rPr>
          <w:t>10.1002/anie.202516299</w:t>
        </w:r>
      </w:hyperlink>
    </w:p>
    <w:p>
      <w:pPr>
        <w:spacing w:before="0" w:after="120"/>
      </w:pPr>
      <w:r>
        <w:rPr>
          <w:b/>
        </w:rPr>
        <w:t xml:space="preserve">Notes: </w:t>
      </w:r>
      <w:r>
        <w:t>abstract_source=crossref</w:t>
      </w:r>
    </w:p>
    <w:p>
      <w:pPr>
        <w:spacing w:before="0" w:after="80" w:lineRule="auto" w:line="276"/>
      </w:pPr>
      <w:r>
        <w:rPr>
          <w:b/>
        </w:rPr>
        <w:t xml:space="preserve">摘要（ZH）: </w:t>
      </w:r>
      <w:r>
        <w:t>抽象电化学尿素合成为可持续的氮和碳利用提供了一个很有希望的方法,但其进展却受到反应机制不明确和缺乏有效催化剂设计原则的阻碍。 在这里,我们对40多 MN 4 型单原子催化剂(SACs)进行高通量筛选,以确定有希望的电化学尿素合成候选物。 与常规方法相比,这一战略提高了筛选效率94.8%。 我们的分析表明,Ti-、V-、Nb-、Mo-和Hf-N 4 C 催化剂同时满足了基本标准,包括热力稳定性、小分子的有利吸附,</w:t>
      </w:r>
    </w:p>
    <w:p>
      <w:pPr>
        <w:spacing w:before="0" w:after="200" w:lineRule="auto" w:line="276"/>
      </w:pPr>
      <w:r>
        <w:rPr>
          <w:b/>
        </w:rPr>
        <w:t xml:space="preserve">Abstract (EN): </w:t>
      </w:r>
      <w:r>
        <w:t>Electrochemical urea synthesis offers a promising approach for sustainable nitrogen and carbon utilization, yet its progress is hindered by the unclear reaction mechanism and the lack of effective catalyst design principles. Here, we conduct a high‐throughput screening of over 40 MN</w:t>
      </w:r>
      <w:r>
        <w:rPr>
          <w:vertAlign w:val="subscript"/>
        </w:rPr>
        <w:t>4</w:t>
      </w:r>
      <w:r>
        <w:t>C‐type single‐atom catalysts (SACs) to identify promising candidates for electrochemical urea synthesis. This strategy improves screening efficiency by 94.8% compared to conventional methods. Our analysis demonstrates that Ti─, V─, Nb─, Mo─, and Hf–N</w:t>
      </w:r>
      <w:r>
        <w:rPr>
          <w:vertAlign w:val="subscript"/>
        </w:rPr>
        <w:t>4</w:t>
      </w:r>
      <w:r>
        <w:t>C catalysts concurrently fulfill the essential criteria, including thermodynamic stability, favorable adsorption of small molecules, suppression of competing reactions, and low energy barriers for both hydrogenation and C–N coupling. Mechanistic investigations reveal two distinct C–N coupling pathways and demonstrate that hydrogenation of *N species is a prerequisite for subsequent coupling. Notably, we reveal a linear correlation between the limiting potentials of NO</w:t>
      </w:r>
      <w:r>
        <w:rPr>
          <w:vertAlign w:val="subscript"/>
        </w:rPr>
        <w:t>3</w:t>
      </w:r>
      <w:r>
        <w:t>−</w:t>
      </w:r>
      <w:r>
        <w:t>reduction and overall urea synthesis, establishing *NO</w:t>
      </w:r>
      <w:r>
        <w:rPr>
          <w:vertAlign w:val="subscript"/>
        </w:rPr>
        <w:t>3</w:t>
      </w:r>
      <w:r>
        <w:t>→ *N activity as a reliable descriptor for catalyst screening. This work provides mechanistic insights and a predictive framework for the rational design of efficient urea electrocatalysts.</w:t>
      </w:r>
    </w:p>
    <w:p>
      <w:pPr>
        <w:spacing w:before="120" w:after="120"/>
      </w:pPr>
      <w:r>
        <w:rPr>
          <w:sz w:val="18"/>
        </w:rPr>
        <w:t>——————————————————————————————————————————————————————————————————————</w:t>
      </w:r>
    </w:p>
    <w:p>
      <w:pPr>
        <w:spacing w:before="160" w:after="40" w:line="240" w:lineRule="auto"/>
      </w:pPr>
      <w:r>
        <w:rPr>
          <w:b/>
        </w:rPr>
        <w:t xml:space="preserve">[42] </w:t>
      </w:r>
      <w:hyperlink r:id="rId65">
        <w:r>
          <w:rPr>
            <w:color w:val="1155CC"/>
            <w:u w:val="single"/>
          </w:rPr>
          <w:t>有机前的Napthale Diimide分子设计产生的亮度和可颜色/可燃圆极极性刺激性排放</w:t>
        </w:r>
      </w:hyperlink>
    </w:p>
    <w:p>
      <w:pPr>
        <w:spacing w:before="0" w:after="80"/>
      </w:pPr>
      <w:r>
        <w:rPr>
          <w:i/>
          <w:sz w:val="20"/>
        </w:rPr>
        <w:t>EN: Bright and Color‐Tunable Circularly Polarized Excimer Emission from Pre‐Organized, Naphthalene Diimide Molecular Designs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66">
        <w:r>
          <w:rPr>
            <w:color w:val="1155CC"/>
            <w:u w:val="single"/>
          </w:rPr>
          <w:t>10.1002/anie.202520385</w:t>
        </w:r>
      </w:hyperlink>
    </w:p>
    <w:p>
      <w:pPr>
        <w:spacing w:before="0" w:after="120"/>
      </w:pPr>
      <w:r>
        <w:rPr>
          <w:b/>
        </w:rPr>
        <w:t xml:space="preserve">Notes: </w:t>
      </w:r>
      <w:r>
        <w:t>abstract_source=crossref</w:t>
      </w:r>
    </w:p>
    <w:p>
      <w:pPr>
        <w:spacing w:before="0" w:after="80" w:lineRule="auto" w:line="276"/>
      </w:pPr>
      <w:r>
        <w:rPr>
          <w:b/>
        </w:rPr>
        <w:t xml:space="preserve">摘要（ZH）: </w:t>
      </w:r>
      <w:r>
        <w:t>在有机材料领域,由于高亮度和大不对称因素(glu )的内在结合,在有机材料领域,刺激排放已成为发展循环两极发光系统的一项有效战略,因为其具有高度亮度和大不对称因素(glu )的内在结合作用。然而,这一方法的进展受到色彩金枪鱼可采性和基底范围有限,再分配循环极化的刺激刺激排放基本上未进行勘探。</w:t>
      </w:r>
    </w:p>
    <w:p>
      <w:pPr>
        <w:spacing w:before="0" w:after="200" w:lineRule="auto" w:line="276"/>
      </w:pPr>
      <w:r>
        <w:rPr>
          <w:b/>
        </w:rPr>
        <w:t xml:space="preserve">Abstract (EN): </w:t>
      </w:r>
      <w:r>
        <w:t>Within the realm of organic materials, excimer emission has emerged as an efficient strategy for developing circularly polarized luminescence (CPL)‐active systems, owing to its intrinsic combination of high brightness and large dissymmetry factors (g</w:t>
      </w:r>
      <w:r>
        <w:t xml:space="preserve"> </w:t>
      </w:r>
      <w:r>
        <w:t>lum</w:t>
      </w:r>
      <w:r>
        <w:t xml:space="preserve"> </w:t>
      </w:r>
      <w:r>
        <w:t>). Nevertheless, progress with this approach has been constrained by limited color tunability and substrate scope, with red‐emissive circularly polarized excimer emission remaining essentially unexplored. Herein, we demonstrate that core‐substitution chemistry of naphthalenediimide (NDI) derivatives offers a versatile platform to achieve tunable excimeric CPL spanning the visible range, from 500 nm (green) to 650 nm (red), reported here for the first time. By employing cyclophane and clip‐like pre‐organized molecular architectures, excited‐state chirality was effectively introduced, affording bright circularly polarized excimer emission with impressively high g</w:t>
      </w:r>
      <w:r>
        <w:t xml:space="preserve"> </w:t>
      </w:r>
      <w:r>
        <w:t>lum</w:t>
      </w:r>
      <w:r>
        <w:t xml:space="preserve"> </w:t>
      </w:r>
      <w:r>
        <w:t>values of up to 4.0 × 10</w:t>
      </w:r>
      <w:r>
        <w:t xml:space="preserve"> </w:t>
      </w:r>
      <w:r>
        <w:t>−2</w:t>
      </w:r>
      <w:r>
        <w:t xml:space="preserve"> </w:t>
      </w:r>
      <w:r>
        <w:t>(green) and 1.5 × 10</w:t>
      </w:r>
      <w:r>
        <w:t xml:space="preserve"> </w:t>
      </w:r>
      <w:r>
        <w:t>−2</w:t>
      </w:r>
      <w:r>
        <w:t xml:space="preserve"> </w:t>
      </w:r>
      <w:r>
        <w:t>(red), along with remarkable CPL brightness. These results, combining outstanding brightness with the rare realization of red‐emissive excimeric CPL, place these systems among the highest‐performing small molecule CPL emitters to date.</w:t>
      </w:r>
    </w:p>
    <w:p>
      <w:pPr>
        <w:spacing w:before="120" w:after="120"/>
      </w:pPr>
      <w:r>
        <w:rPr>
          <w:sz w:val="18"/>
        </w:rPr>
        <w:t>——————————————————————————————————————————————————————————————————————</w:t>
      </w:r>
    </w:p>
    <w:p>
      <w:pPr>
        <w:spacing w:before="160" w:after="40" w:line="240" w:lineRule="auto"/>
      </w:pPr>
      <w:r>
        <w:rPr>
          <w:b/>
        </w:rPr>
        <w:t xml:space="preserve">[43] </w:t>
      </w:r>
      <w:hyperlink r:id="rId67">
        <w:r>
          <w:rPr>
            <w:color w:val="1155CC"/>
            <w:u w:val="single"/>
          </w:rPr>
          <w:t>涉及C-O结交和减少高氯酚固烷的 " 单石油战略 " 的2-脱氧-奥-奥-阿里尔胶胶胶片的定型选择性合成</w:t>
        </w:r>
      </w:hyperlink>
    </w:p>
    <w:p>
      <w:pPr>
        <w:spacing w:before="0" w:after="80"/>
      </w:pPr>
      <w:r>
        <w:rPr>
          <w:i/>
          <w:sz w:val="20"/>
        </w:rPr>
        <w:t>EN: Stereoselective Synthesis of 2‐Deoxy‐β‐O‐Aryl Glycosides by a One‐Pot Strategy Involving C─O Coupling and Catecholborane Reduction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68">
        <w:r>
          <w:rPr>
            <w:color w:val="1155CC"/>
            <w:u w:val="single"/>
          </w:rPr>
          <w:t>10.1002/anie.202520547</w:t>
        </w:r>
      </w:hyperlink>
    </w:p>
    <w:p>
      <w:pPr>
        <w:spacing w:before="0" w:after="120"/>
      </w:pPr>
      <w:r>
        <w:rPr>
          <w:b/>
        </w:rPr>
        <w:t xml:space="preserve">Notes: </w:t>
      </w:r>
      <w:r>
        <w:t>abstract_source=crossref</w:t>
      </w:r>
    </w:p>
    <w:p>
      <w:pPr>
        <w:spacing w:before="0" w:after="80" w:lineRule="auto" w:line="276"/>
      </w:pPr>
      <w:r>
        <w:rPr>
          <w:b/>
        </w:rPr>
        <w:t xml:space="preserve">摘要（ZH）: </w:t>
      </w:r>
      <w:r>
        <w:t>天然产生 2</w:t>
      </w:r>
    </w:p>
    <w:p>
      <w:pPr>
        <w:spacing w:before="0" w:after="200" w:lineRule="auto" w:line="276"/>
      </w:pPr>
      <w:r>
        <w:rPr>
          <w:b/>
        </w:rPr>
        <w:t xml:space="preserve">Abstract (EN): </w:t>
      </w:r>
      <w:r>
        <w:t>Naturally occurring 2‐deoxy‐β‐</w:t>
      </w:r>
      <w:r>
        <w:t xml:space="preserve"> </w:t>
      </w:r>
      <w:r>
        <w:t>O</w:t>
      </w:r>
      <w:r>
        <w:t xml:space="preserve"> </w:t>
      </w:r>
      <w:r>
        <w:t>‐aryl glycosides are an important class of anticancer and antibacterial compounds. The direct glycosylation of phenols inevitably produces 2‐deoxy‐α‐</w:t>
      </w:r>
      <w:r>
        <w:t xml:space="preserve"> </w:t>
      </w:r>
      <w:r>
        <w:t>O</w:t>
      </w:r>
      <w:r>
        <w:t xml:space="preserve"> </w:t>
      </w:r>
      <w:r>
        <w:t>‐aryl glycosides, decreasing the efficiency of the synthesis of 2‐deoxy‐β‐</w:t>
      </w:r>
      <w:r>
        <w:t xml:space="preserve"> </w:t>
      </w:r>
      <w:r>
        <w:t>O</w:t>
      </w:r>
      <w:r>
        <w:t xml:space="preserve"> </w:t>
      </w:r>
      <w:r>
        <w:t>‐aryl glycosides. Herein we report a novel one‐pot approach for the synthesis of 2‐deoxy‐β‐</w:t>
      </w:r>
      <w:r>
        <w:t xml:space="preserve"> </w:t>
      </w:r>
      <w:r>
        <w:t>O</w:t>
      </w:r>
      <w:r>
        <w:t xml:space="preserve"> </w:t>
      </w:r>
      <w:r>
        <w:t>‐aryl glycosides by the Cu(I)‐catalyzed C─O cross‐coupling reaction of 1‐iodoglycals and phenols, followed by in situ reduction of the obtained ketene acetals with catecholborane. Starting from readily available materials, this protocol is applicable to a wide range of substrates, affording the corresponding 2‐deoxy‐β‐</w:t>
      </w:r>
      <w:r>
        <w:t xml:space="preserve"> </w:t>
      </w:r>
      <w:r>
        <w:t>O</w:t>
      </w:r>
      <w:r>
        <w:t xml:space="preserve"> </w:t>
      </w:r>
      <w:r>
        <w:t>‐aryl glycosides in high yields and with exclusive β‐stereoselectivity. This strategy was further applied to the late‐stage modification of various bioactive natural products or drugs. The remarkable stereoselectivity was rationalized by the experimental and theoretical studies.</w:t>
      </w:r>
    </w:p>
    <w:p>
      <w:pPr>
        <w:spacing w:before="120" w:after="120"/>
      </w:pPr>
      <w:r>
        <w:rPr>
          <w:sz w:val="18"/>
        </w:rPr>
        <w:t>——————————————————————————————————————————————————————————————————————</w:t>
      </w:r>
    </w:p>
    <w:p>
      <w:pPr>
        <w:spacing w:before="160" w:after="40" w:line="240" w:lineRule="auto"/>
      </w:pPr>
      <w:r>
        <w:rPr>
          <w:b/>
        </w:rPr>
        <w:t xml:space="preserve">[44] </w:t>
      </w:r>
      <w:hyperlink r:id="rId69">
        <w:r>
          <w:rPr>
            <w:color w:val="1155CC"/>
            <w:u w:val="single"/>
          </w:rPr>
          <w:t>同时,通过加速电压单立状态制成,加强 NIRII 排放、类型I 和类型II 照片的敏感化,以加速电压单立状态制成</w:t>
        </w:r>
      </w:hyperlink>
    </w:p>
    <w:p>
      <w:pPr>
        <w:spacing w:before="0" w:after="80"/>
      </w:pPr>
      <w:r>
        <w:rPr>
          <w:i/>
          <w:sz w:val="20"/>
        </w:rPr>
        <w:t>EN: Simultaneously Enhancing NIR‐II Emission, Type‐I, and Type‐II Photosensitization Through Acceleration of Charge‐Separated‐State Formation for Tumor Phototheranostics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70">
        <w:r>
          <w:rPr>
            <w:color w:val="1155CC"/>
            <w:u w:val="single"/>
          </w:rPr>
          <w:t>10.1002/anie.202521182</w:t>
        </w:r>
      </w:hyperlink>
    </w:p>
    <w:p>
      <w:pPr>
        <w:spacing w:before="0" w:after="120"/>
      </w:pPr>
      <w:r>
        <w:rPr>
          <w:b/>
        </w:rPr>
        <w:t xml:space="preserve">Notes: </w:t>
      </w:r>
      <w:r>
        <w:t>abstract_source=crossref</w:t>
      </w:r>
    </w:p>
    <w:p>
      <w:pPr>
        <w:spacing w:before="0" w:after="80" w:lineRule="auto" w:line="276"/>
      </w:pPr>
      <w:r>
        <w:rPr>
          <w:b/>
        </w:rPr>
        <w:t xml:space="preserve">摘要（ZH）: </w:t>
      </w:r>
      <w:r>
        <w:t>具有近红外线(NIR)振动波长的抽象光电传动剂为肿瘤成像和治疗提供了重大希望,然而,由于能源差距法的限制,这些物剂在产生热力的同时,也表现出有限的照片敏化效应和荧光强度,这妨碍了其综合疗法的功效。 在这里,我们提出了一个有效的战略,即“加速电荷分离形成”,以同时提高NIR二号辐射、I型和II型照片在提高NIR高压光电学剂敏化效率方面的效率。 具体地说,在优化化学结构和集成结构之后,从局部兴奋状态向充电速度。</w:t>
      </w:r>
    </w:p>
    <w:p>
      <w:pPr>
        <w:spacing w:before="0" w:after="200" w:lineRule="auto" w:line="276"/>
      </w:pPr>
      <w:r>
        <w:rPr>
          <w:b/>
        </w:rPr>
        <w:t xml:space="preserve">Abstract (EN): </w:t>
      </w:r>
      <w:r>
        <w:t>Phototheranostic agents with near‐infrared (NIR) excitation wavelengths offer significant promise for tumor imaging and therapy. However, due to the limitations imposed by the energy gap law, such agents tend to generate heat while exhibiting limited photosensitization effects and fluorescence intensity, which hampers their combination therapy efficacy. Herein, we present an effective strategy of “acceleration of charge‐separated‐state formation” to simultaneously enhance NIR‐II emission, type‐I and type‐II photosensitization efficiencies of NIR excitable phototheranostic agents. Specifically, following the optimization of the chemical structure and aggregated architecture, the rate of transition from localized excited (LE) state to charge‐separated (CS) state is improved from 1.19 × 10</w:t>
      </w:r>
      <w:r>
        <w:rPr>
          <w:vertAlign w:val="subscript"/>
        </w:rPr>
        <w:t>9</w:t>
      </w:r>
      <w:r>
        <w:t>s</w:t>
      </w:r>
      <w:r>
        <w:t xml:space="preserve"> </w:t>
      </w:r>
      <w:r>
        <w:t>−1</w:t>
      </w:r>
      <w:r>
        <w:t xml:space="preserve"> </w:t>
      </w:r>
      <w:r>
        <w:t>(in toluene) and 2.65 × 10</w:t>
      </w:r>
      <w:r>
        <w:rPr>
          <w:vertAlign w:val="subscript"/>
        </w:rPr>
        <w:t>11</w:t>
      </w:r>
      <w:r>
        <w:t>s</w:t>
      </w:r>
      <w:r>
        <w:t xml:space="preserve"> </w:t>
      </w:r>
      <w:r>
        <w:t>−1</w:t>
      </w:r>
      <w:r>
        <w:t xml:space="preserve"> </w:t>
      </w:r>
      <w:r>
        <w:t>(in water) for 8TP‐IF to 4.69 × 10</w:t>
      </w:r>
      <w:r>
        <w:rPr>
          <w:vertAlign w:val="subscript"/>
        </w:rPr>
        <w:t>9</w:t>
      </w:r>
      <w:r>
        <w:t>s</w:t>
      </w:r>
      <w:r>
        <w:t xml:space="preserve"> </w:t>
      </w:r>
      <w:r>
        <w:t>−1</w:t>
      </w:r>
      <w:r>
        <w:t xml:space="preserve"> </w:t>
      </w:r>
      <w:r>
        <w:t>(in toluene) and 1.45 × 10</w:t>
      </w:r>
      <w:r>
        <w:rPr>
          <w:vertAlign w:val="subscript"/>
        </w:rPr>
        <w:t>12</w:t>
      </w:r>
      <w:r>
        <w:t>s</w:t>
      </w:r>
      <w:r>
        <w:t xml:space="preserve"> </w:t>
      </w:r>
      <w:r>
        <w:t>−1</w:t>
      </w:r>
      <w:r>
        <w:t xml:space="preserve"> </w:t>
      </w:r>
      <w:r>
        <w:t>(in water) for 6TP‐IH. As a consequence, upon NIR 808 nm excitation, the fluorescence, •OH and</w:t>
      </w:r>
      <w:r>
        <w:rPr>
          <w:vertAlign w:val="subscript"/>
        </w:rPr>
        <w:t>1</w:t>
      </w:r>
      <w:r>
        <w:t>O</w:t>
      </w:r>
      <w:r>
        <w:rPr>
          <w:vertAlign w:val="subscript"/>
        </w:rPr>
        <w:t>2</w:t>
      </w:r>
      <w:r>
        <w:t>generation efficiencies of 6TP‐IH are improved to 15.6, 2.21, and 3.38 times to those of 8TP‐IF. Encapsulation of 6TP‐IH into nanoparticles (NPs) enables their application in NIR‐II fluorescence image‐guided tumor combination therapy. Both in vitro and in vivo studies confirm the precise tumor imaging capability of 6TP‐IH NPs, along with robust tumor ablation and effective activation of tumor immunogenic cell death (ICD) through synergistic photodynamic and photothermal therapy. These effects collectively yield an impressive tumor inhibition rate of 99.1% in a 4T1 tumor‐bearing mouse model.</w:t>
      </w:r>
    </w:p>
    <w:p>
      <w:pPr>
        <w:spacing w:before="120" w:after="120"/>
      </w:pPr>
      <w:r>
        <w:rPr>
          <w:sz w:val="18"/>
        </w:rPr>
        <w:t>——————————————————————————————————————————————————————————————————————</w:t>
      </w:r>
    </w:p>
    <w:p>
      <w:pPr>
        <w:spacing w:before="160" w:after="40" w:line="240" w:lineRule="auto"/>
      </w:pPr>
      <w:r>
        <w:rPr>
          <w:b/>
        </w:rPr>
        <w:t xml:space="preserve">[45] </w:t>
      </w:r>
      <w:hyperlink r:id="rId71">
        <w:r>
          <w:rPr>
            <w:color w:val="1155CC"/>
            <w:u w:val="single"/>
          </w:rPr>
          <w:t>甲基二苯二苯分解:五角大楼相冲相撞协调与Ligand诱导 Lewis 超酸性</w:t>
        </w:r>
      </w:hyperlink>
    </w:p>
    <w:p>
      <w:pPr>
        <w:spacing w:before="0" w:after="80"/>
      </w:pPr>
      <w:r>
        <w:rPr>
          <w:i/>
          <w:sz w:val="20"/>
        </w:rPr>
        <w:t>EN: The Methylbismuth Dication: Pentagonal Pyramidal Coordination and Ligand‐Induced Lewis Superacidity</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72">
        <w:r>
          <w:rPr>
            <w:color w:val="1155CC"/>
            <w:u w:val="single"/>
          </w:rPr>
          <w:t>10.1002/anie.202516140</w:t>
        </w:r>
      </w:hyperlink>
    </w:p>
    <w:p>
      <w:pPr>
        <w:spacing w:before="0" w:after="120"/>
      </w:pPr>
      <w:r>
        <w:rPr>
          <w:b/>
        </w:rPr>
        <w:t xml:space="preserve">Notes: </w:t>
      </w:r>
      <w:r>
        <w:t>abstract_source=crossref</w:t>
      </w:r>
    </w:p>
    <w:p>
      <w:pPr>
        <w:spacing w:before="0" w:after="80" w:lineRule="auto" w:line="276"/>
      </w:pPr>
      <w:r>
        <w:rPr>
          <w:b/>
        </w:rPr>
        <w:t xml:space="preserve">摘要（ZH）: </w:t>
      </w:r>
      <w:r>
        <w:t>对自然偏好的分子综合体协调几何学的深刻理解是科学家理顺、预测和设计其物理化学特性和反应性的基础。获得具有不寻常协调化学特征的化合物的接触和开发有关其特性的基本知识是该领域的主要挑战。解决这些问题有可能进入未探索的化学空间和反活动模式,而这些空间和模式对于在较传统的协调地理中发现的化合物是无法进入的。在这里,我们介绍对简单有机体特征说明、甲基生物鉴定[BiMe(thf) 5 [SbF]的合成、孤立和定性。</w:t>
      </w:r>
    </w:p>
    <w:p>
      <w:pPr>
        <w:spacing w:before="0" w:after="200" w:lineRule="auto" w:line="276"/>
      </w:pPr>
      <w:r>
        <w:rPr>
          <w:b/>
        </w:rPr>
        <w:t xml:space="preserve">Abstract (EN): </w:t>
      </w:r>
      <w:r>
        <w:t>A profound understanding of the naturally preferred coordination geometry of molecular complexes is the basis for scientists to rationalize, predict, and design their physico‐chemical properties and reactivity. Gaining access to compounds with an unusual coordination chemistry and developing a fundamental knowledge about their properties represent key challenges in the field. Tackling these questions promises an entry to unexplored chemical space and reactivity patterns that are inaccessible for compounds found in more traditional coordination geometries. Here, we present the synthesis, isolation, and characterization of the simplest organobismuth dication, the methylbismuth dication [BiMe(thf)</w:t>
      </w:r>
      <w:r>
        <w:rPr>
          <w:vertAlign w:val="subscript"/>
        </w:rPr>
        <w:t>5</w:t>
      </w:r>
      <w:r>
        <w:t>][SbF</w:t>
      </w:r>
      <w:r>
        <w:rPr>
          <w:vertAlign w:val="subscript"/>
        </w:rPr>
        <w:t>6</w:t>
      </w:r>
      <w:r>
        <w:t>]</w:t>
      </w:r>
      <w:r>
        <w:rPr>
          <w:vertAlign w:val="subscript"/>
        </w:rPr>
        <w:t>2</w:t>
      </w:r>
      <w:r>
        <w:t>(</w:t>
      </w:r>
      <w:r>
        <w:rPr>
          <w:vertAlign w:val="subscript"/>
        </w:rPr>
        <w:t>1</w:t>
      </w:r>
      <w:r>
        <w:t>), stabilized only by five substitutionally labile THF ligands. The hexa‐coordinate compound shows a rare pentagonal pyramidal coordination geometry around the central atom, which is extremely unusual given the fact that this is an organometallic species with only simple monodentate monoanionic and/or neutral ligands without considerable steric bulk. The detailed investigation of this compound with experimental and theoretical approaches reveals the cause of the unusual coordination chemistry and uncovers multiple Lewis acidic binding sites and ligand‐induced Lewis superacidity.</w:t>
      </w:r>
    </w:p>
    <w:p>
      <w:pPr>
        <w:spacing w:before="120" w:after="120"/>
      </w:pPr>
      <w:r>
        <w:rPr>
          <w:sz w:val="18"/>
        </w:rPr>
        <w:t>——————————————————————————————————————————————————————————————————————</w:t>
      </w:r>
    </w:p>
    <w:p>
      <w:pPr>
        <w:spacing w:before="160" w:after="40" w:line="240" w:lineRule="auto"/>
      </w:pPr>
      <w:r>
        <w:rPr>
          <w:b/>
        </w:rPr>
        <w:t xml:space="preserve">[46] </w:t>
      </w:r>
      <w:hyperlink r:id="rId73">
        <w:r>
          <w:rPr>
            <w:color w:val="1155CC"/>
            <w:u w:val="single"/>
          </w:rPr>
          <w:t>氟化烃光催燃脱氟致光性脱氟致光共价有机框架</w:t>
        </w:r>
      </w:hyperlink>
    </w:p>
    <w:p>
      <w:pPr>
        <w:spacing w:before="0" w:after="80"/>
      </w:pPr>
      <w:r>
        <w:rPr>
          <w:i/>
          <w:sz w:val="20"/>
        </w:rPr>
        <w:t>EN: Cationic Covalent Organic Framework for Photocatalytic Defluorinative Amination of Fluoroarenes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74">
        <w:r>
          <w:rPr>
            <w:color w:val="1155CC"/>
            <w:u w:val="single"/>
          </w:rPr>
          <w:t>10.1002/anie.202516235</w:t>
        </w:r>
      </w:hyperlink>
    </w:p>
    <w:p>
      <w:pPr>
        <w:spacing w:before="0" w:after="120"/>
      </w:pPr>
      <w:r>
        <w:rPr>
          <w:b/>
        </w:rPr>
        <w:t xml:space="preserve">Notes: </w:t>
      </w:r>
      <w:r>
        <w:t>abstract_source=crossref</w:t>
      </w:r>
    </w:p>
    <w:p>
      <w:pPr>
        <w:spacing w:before="0" w:after="80" w:lineRule="auto" w:line="276"/>
      </w:pPr>
      <w:r>
        <w:rPr>
          <w:b/>
        </w:rPr>
        <w:t xml:space="preserve">摘要（ZH）: </w:t>
      </w:r>
      <w:r>
        <w:t>共生有机框架摘要(COFs)——一种独特的晶状、多孔材料的独特类别——因其结构性金枪鱼、大面积表面积、高化学稳定性和金枪鱼功能而有所区别,这些功能可以通过子合成前或后合成修改加以修改,使CoFs具有高度吸引力的多光电催化和电催化平台。我们利用这些内在优势,通过简单的单步甲基化,从战略上调整以双正对丁基COF(TpBpy)为基础的电子结构,以产生一个专门化的、高电子失密框架(TpBpyMe)。</w:t>
      </w:r>
    </w:p>
    <w:p>
      <w:pPr>
        <w:spacing w:before="0" w:after="200" w:lineRule="auto" w:line="276"/>
      </w:pPr>
      <w:r>
        <w:rPr>
          <w:b/>
        </w:rPr>
        <w:t xml:space="preserve">Abstract (EN): </w:t>
      </w:r>
      <w:r>
        <w:t>Covalent organic frameworks (COFs)—a unique class of crystalline, porous materials—are distinguished for their structural tunability, large surface area, high chemical stability, and tunable functionalities, which can be modified through pre‐ or post‐synthetic modifications. These features make COFs highly attractive platforms for heterogeneous photocatalysis and electrocatalysis. Building on these inherent advantages, we strategically modulated the electronic structure of a bipyridine‐based COF (Tp‐Bpy) via simple one‐step methylation to yield a dicationic, highly electron‐deficient framework (Tp‐Bpy‐Me). This post‐synthetic modification preserved the structural integrity of COF and introduced profound changes to its electronic environment, including a notable upward (positive) shift in the valence band position. Consequently, the cationic Tp‐Bpy‐Me COF exhibited an exceptional ability to activate one of the most inert bonds in organic chemistry, the C─F bond, under visible light irradiation. This study establishes Tp‐Bpy‐Me as a robust and efficient heterogeneous photocatalyst for defluorinative C─N bond formation across a broad range of substrates, including various fluoroarenes and nucleophiles. Remarkably, the photocatalytic transformation proceeds even under natural sunlight, highlighting its potential for sustainable, energy‐efficient applications. To the best of our knowledge, this work is the first successful demonstration of C─F bond activation toward C─N bond formation using a COF‐based photocatalyst.</w:t>
      </w:r>
    </w:p>
    <w:p>
      <w:pPr>
        <w:spacing w:before="120" w:after="120"/>
      </w:pPr>
      <w:r>
        <w:rPr>
          <w:sz w:val="18"/>
        </w:rPr>
        <w:t>——————————————————————————————————————————————————————————————————————</w:t>
      </w:r>
    </w:p>
    <w:p>
      <w:pPr>
        <w:spacing w:before="160" w:after="40" w:line="240" w:lineRule="auto"/>
      </w:pPr>
      <w:r>
        <w:rPr>
          <w:b/>
        </w:rPr>
        <w:t xml:space="preserve">[47] </w:t>
      </w:r>
      <w:hyperlink r:id="rId75">
        <w:r>
          <w:rPr>
            <w:color w:val="1155CC"/>
            <w:u w:val="single"/>
          </w:rPr>
          <w:t>将胆酯醇表面活性剂转化为具有抗病毒活动的生物功能纳米迪氏体</w:t>
        </w:r>
      </w:hyperlink>
    </w:p>
    <w:p>
      <w:pPr>
        <w:spacing w:before="0" w:after="80"/>
      </w:pPr>
      <w:r>
        <w:rPr>
          <w:i/>
          <w:sz w:val="20"/>
        </w:rPr>
        <w:t>EN: Charge‐Driven Self‐Assembly of Cholesterol Surfactants into Biofunctional Nanodiscs with Antiviral Activity</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76">
        <w:r>
          <w:rPr>
            <w:color w:val="1155CC"/>
            <w:u w:val="single"/>
          </w:rPr>
          <w:t>10.1002/anie.202516207</w:t>
        </w:r>
      </w:hyperlink>
    </w:p>
    <w:p>
      <w:pPr>
        <w:spacing w:before="0" w:after="120"/>
      </w:pPr>
      <w:r>
        <w:rPr>
          <w:b/>
        </w:rPr>
        <w:t xml:space="preserve">Notes: </w:t>
      </w:r>
      <w:r>
        <w:t>abstract_source=crossref</w:t>
      </w:r>
    </w:p>
    <w:p>
      <w:pPr>
        <w:spacing w:before="0" w:after="80" w:lineRule="auto" w:line="276"/>
      </w:pPr>
      <w:r>
        <w:rPr>
          <w:b/>
        </w:rPr>
        <w:t xml:space="preserve">摘要（ZH）: </w:t>
      </w:r>
      <w:r>
        <w:t>光学分子产生的脂质结构的抽象自我组装在生物模拟系统的开发中发挥着关键作用。 我们在此报告一个模块化合成战略,用于开发以胆固醇-oligo-glycerol- 基表面活性剂,具有从非电离类到厌离类等各种可金枪鱼头组功能。 这种方法可以系统整合功能组,从而精确控制表面电荷和水益。 为了调查多价电荷对超分子组装行为的影响,我们比较了三种与表面活性剂有关的结构胆固醇:CL_4S,有四个硫酸类,CL_1S,有一个单一硫酸类,CL_4OH,一个非电离类,有四个氢氧类。 然后将这些表面活性剂纳入到四个表面活性剂中。</w:t>
      </w:r>
    </w:p>
    <w:p>
      <w:pPr>
        <w:spacing w:before="0" w:after="200" w:lineRule="auto" w:line="276"/>
      </w:pPr>
      <w:r>
        <w:rPr>
          <w:b/>
        </w:rPr>
        <w:t xml:space="preserve">Abstract (EN): </w:t>
      </w:r>
      <w:r>
        <w:t>Self‐assembly of lipid structures derived from amphiphilic molecules plays a crucial role in the development of biomimetic systems. Here we report a modular synthetic strategy for developing cholesteryl‐oligo‐glycerol‐based surfactants with tunable head group functionalities ranging from nonionic to anionic. This approach enables the systematic incorporation of functional groups and thus precise control of surface charge and hydrophilicity. To investigate the influence of multivalent charges on supermolecular‐assembly behavior, we compared three structurally cholesterol (CL) related surfactants: CL‐4S, with four sulfate groups, CL‐1S, with a single sulfate group, and CL‐4OH, a nonionic analog with four hydroxyl groups. We then incorporated these surfactants into lipid bilayers of 1,2‐dimyristoyl‐sn‐glycero‐3‐phosphocholine (DMPC) and cholesterol (CL) to study their behavior in membrane‐like environments. Experimental, simulation, and theoretical studies demonstrated that the CL‐4S formulation was able to convert lipid vesicles into nanodiscs, unlike CL‐1S and CL‐4OH, demonstrating the importance of adequate charges in supramolecular transition. Furthermore, both 1S‐Vesicles (CL‐1S based sulfated vesicles) and 4S‐Nanodiscs (CL‐4S based sulfated nanodiscs) showed inhibitory activity against herpes simplex virus‐1 (HSV‐1), indicating the potential of this multivalent supramolecular platform for antiviral applications.</w:t>
      </w:r>
    </w:p>
    <w:p>
      <w:pPr>
        <w:spacing w:before="120" w:after="120"/>
      </w:pPr>
      <w:r>
        <w:rPr>
          <w:sz w:val="18"/>
        </w:rPr>
        <w:t>——————————————————————————————————————————————————————————————————————</w:t>
      </w:r>
    </w:p>
    <w:p>
      <w:pPr>
        <w:spacing w:before="160" w:after="40" w:line="240" w:lineRule="auto"/>
      </w:pPr>
      <w:r>
        <w:rPr>
          <w:b/>
        </w:rPr>
        <w:t xml:space="preserve">[48] </w:t>
      </w:r>
      <w:hyperlink r:id="rId77">
        <w:r>
          <w:rPr>
            <w:color w:val="1155CC"/>
            <w:u w:val="single"/>
          </w:rPr>
          <w:t>协调 促成在奇拉尔金属-组织框架内扩大体重和非线性光学反应</w:t>
        </w:r>
      </w:hyperlink>
    </w:p>
    <w:p>
      <w:pPr>
        <w:spacing w:before="0" w:after="80"/>
      </w:pPr>
      <w:r>
        <w:rPr>
          <w:i/>
          <w:sz w:val="20"/>
        </w:rPr>
        <w:t>EN: Coordination‐Induced Amplification of Birefringence and Nonlinear Optical Response in a Chiral Metal–Organic Framework</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78">
        <w:r>
          <w:rPr>
            <w:color w:val="1155CC"/>
            <w:u w:val="single"/>
          </w:rPr>
          <w:t>10.1002/anie.202516178</w:t>
        </w:r>
      </w:hyperlink>
    </w:p>
    <w:p>
      <w:pPr>
        <w:spacing w:before="0" w:after="120"/>
      </w:pPr>
      <w:r>
        <w:rPr>
          <w:b/>
        </w:rPr>
        <w:t xml:space="preserve">Notes: </w:t>
      </w:r>
      <w:r>
        <w:t>abstract_source=crossref</w:t>
      </w:r>
    </w:p>
    <w:p>
      <w:pPr>
        <w:spacing w:before="0" w:after="80" w:lineRule="auto" w:line="276"/>
      </w:pPr>
      <w:r>
        <w:rPr>
          <w:b/>
        </w:rPr>
        <w:t xml:space="preserve">摘要（ZH）: </w:t>
      </w:r>
      <w:r>
        <w:t>展示可编程的晶体摘要材料展示了可编程光学动能,对先进的光子应用极感兴趣,但仍具有挑战性。在本研究中,我们引入了协调驱动方法,通过将松散的分子晶体(晶1)转化为手性金属机体框架(晶2),大大提高了光学反射率20倍以上(n=0.226,546纳米),并激活了可测量的第二代和谐体(SHG)活动。 第一条原则的计算表明,观测到的光学增强值将增加20倍以上。</w:t>
      </w:r>
    </w:p>
    <w:p>
      <w:pPr>
        <w:spacing w:before="0" w:after="200" w:lineRule="auto" w:line="276"/>
      </w:pPr>
      <w:r>
        <w:rPr>
          <w:b/>
        </w:rPr>
        <w:t xml:space="preserve">Abstract (EN): </w:t>
      </w:r>
      <w:r>
        <w:t>Crystalline materials exhibiting programmable optical anisotropy are of great interest for advanced photonic applications but remain challenging. In this study, we introduce a coordination‐driven approach that significantly enhances optical anisotropy by transforming a loosely packed molecular crystal (</w:t>
      </w:r>
      <w:r>
        <w:t xml:space="preserve"> </w:t>
      </w:r>
      <w:r>
        <w:t>crystal‐1</w:t>
      </w:r>
      <w:r>
        <w:t xml:space="preserve"> </w:t>
      </w:r>
      <w:r>
        <w:t>) into a chiral metal–organic framework (MOF) (</w:t>
      </w:r>
      <w:r>
        <w:t xml:space="preserve"> </w:t>
      </w:r>
      <w:r>
        <w:t>crystal‐2</w:t>
      </w:r>
      <w:r>
        <w:t xml:space="preserve"> </w:t>
      </w:r>
      <w:r>
        <w:t>). This structural transformation leads to a more than 20‐fold increase in birefringence (Δ</w:t>
      </w:r>
      <w:r>
        <w:t xml:space="preserve"> </w:t>
      </w:r>
      <w:r>
        <w:t>n</w:t>
      </w:r>
      <w:r>
        <w:t xml:space="preserve"> </w:t>
      </w:r>
      <w:r>
        <w:t>= 0.226 at 546 nm) and activates a measurable second‐harmonic generation (SHG) activity. First‐principles calculations suggest that the observed optical enhancement is driven by three main factors: coordination‐driven enhancement of asymmetry, alignment of the π‐conjugated framework, and anisotropic electron distribution. These findings highlight the potential of coordination polymerization as a versatile approach for designing hybrid optical materials with tailored anisotropy, providing a foundation for the development of MOF‐based photonic devices.</w:t>
      </w:r>
    </w:p>
    <w:p>
      <w:pPr>
        <w:spacing w:before="120" w:after="120"/>
      </w:pPr>
      <w:r>
        <w:rPr>
          <w:sz w:val="18"/>
        </w:rPr>
        <w:t>——————————————————————————————————————————————————————————————————————</w:t>
      </w:r>
    </w:p>
    <w:p>
      <w:pPr>
        <w:spacing w:before="160" w:after="40" w:line="240" w:lineRule="auto"/>
      </w:pPr>
      <w:r>
        <w:rPr>
          <w:b/>
        </w:rPr>
        <w:t xml:space="preserve">[49] </w:t>
      </w:r>
      <w:hyperlink r:id="rId79">
        <w:r>
          <w:rPr>
            <w:color w:val="1155CC"/>
            <w:u w:val="single"/>
          </w:rPr>
          <w:t>气气质质子微环境变换,以强化CO2-toFormat 电压减低</w:t>
        </w:r>
      </w:hyperlink>
    </w:p>
    <w:p>
      <w:pPr>
        <w:spacing w:before="0" w:after="80"/>
      </w:pPr>
      <w:r>
        <w:rPr>
          <w:i/>
          <w:sz w:val="20"/>
        </w:rPr>
        <w:t>EN: Gas–Proton Microenvironment Modulation for Enhanced CO2‐to‐Formate Electroreduction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80">
        <w:r>
          <w:rPr>
            <w:color w:val="1155CC"/>
            <w:u w:val="single"/>
          </w:rPr>
          <w:t>10.1002/anie.202516163</w:t>
        </w:r>
      </w:hyperlink>
    </w:p>
    <w:p>
      <w:pPr>
        <w:spacing w:before="0" w:after="120"/>
      </w:pPr>
      <w:r>
        <w:rPr>
          <w:b/>
        </w:rPr>
        <w:t xml:space="preserve">Notes: </w:t>
      </w:r>
      <w:r>
        <w:t>abstract_source=crossref</w:t>
      </w:r>
    </w:p>
    <w:p>
      <w:pPr>
        <w:spacing w:before="0" w:after="80" w:lineRule="auto" w:line="276"/>
      </w:pPr>
      <w:r>
        <w:rPr>
          <w:b/>
        </w:rPr>
        <w:t xml:space="preserve">摘要（ZH）: </w:t>
      </w:r>
      <w:r>
        <w:t>精密控制跨水结构的抽象精密性控制对于抑制侧面反应和在工业当前密度范围内有选择性的CO 2 电减量至关重要。 在这里,我们通过将聚氯乙烯氟化物(PVDF)部分嵌入双纳米粒子,将一系列基于二氯苯基催化剂与空间编码的超氢-超氢-超氢恐惧纳米体素结合到空间编码的超氢-超氢耐立纳米体中。 这一战略创造了稳定 OCHO 中间体和抑制氢和CO进化的跨空间极性极性模式。 与PVDF 自由控制相比, 优化的二- PVDF 催化剂展示显著提高了当前部分密度、 Faradaic (Fe) 效率和长期稳定性。 它实现了 &amp; gt; 90% FE 达到 &amp; 。</w:t>
      </w:r>
    </w:p>
    <w:p>
      <w:pPr>
        <w:spacing w:before="0" w:after="200" w:lineRule="auto" w:line="276"/>
      </w:pPr>
      <w:r>
        <w:rPr>
          <w:b/>
        </w:rPr>
        <w:t xml:space="preserve">Abstract (EN): </w:t>
      </w:r>
      <w:r>
        <w:t>Precise control of interfacial water structure is essential for suppressing side reactions and enabling selective CO</w:t>
      </w:r>
      <w:r>
        <w:rPr>
          <w:vertAlign w:val="subscript"/>
        </w:rPr>
        <w:t>2</w:t>
      </w:r>
      <w:r>
        <w:t>electroreduction at industrial current densities. Here, we synthesize a series of bismuth‐based catalysts with spatially encoded superhydrophilic–superhydrophobic nanodomains by partially embedding polyvinylidene fluoride (PVDF) into Bi nanoparticles. This strategy creates interfacial polarity patterns that stabilize *OCHO intermediates while suppressing hydrogen and CO evolution. Compared to the PVDF‐free control, the optimized Bi–PVDF catalyst exhibits significantly enhanced formate partial current density, Faradaic efficiency (FE), and long‐term stability. It achieves &amp;gt; 90% FE at −200 mA cm</w:t>
      </w:r>
      <w:r>
        <w:t xml:space="preserve"> </w:t>
      </w:r>
      <w:r>
        <w:t>−2</w:t>
      </w:r>
      <w:r>
        <w:t xml:space="preserve"> </w:t>
      </w:r>
      <w:r>
        <w:t>for 50 h and maintains high selectivity up to −700 mA cm</w:t>
      </w:r>
      <w:r>
        <w:t xml:space="preserve"> </w:t>
      </w:r>
      <w:r>
        <w:t>−2</w:t>
      </w:r>
      <w:r>
        <w:t xml:space="preserve"> </w:t>
      </w:r>
      <w:r>
        <w:t>. Operando spectroscopy and multiscale simulations reveal that the dual‐wettability interface modulates local hydration and charge distribution, promoting selective intermediate formation while kinetically suppressing side pathways. By addressing the longstanding challenge of coupled gas–proton transport, this work offers a mechanism‐driven and scalable strategy to construct interfacial microenvironments for high‐rate, selective CO</w:t>
      </w:r>
      <w:r>
        <w:rPr>
          <w:vertAlign w:val="subscript"/>
        </w:rPr>
        <w:t>2</w:t>
      </w:r>
      <w:r>
        <w:t>electroreduction.</w:t>
      </w:r>
    </w:p>
    <w:p>
      <w:pPr>
        <w:spacing w:before="120" w:after="120"/>
      </w:pPr>
      <w:r>
        <w:rPr>
          <w:sz w:val="18"/>
        </w:rPr>
        <w:t>——————————————————————————————————————————————————————————————————————</w:t>
      </w:r>
    </w:p>
    <w:p>
      <w:pPr>
        <w:spacing w:before="160" w:after="40" w:line="240" w:lineRule="auto"/>
      </w:pPr>
      <w:r>
        <w:rPr>
          <w:b/>
        </w:rPr>
        <w:t xml:space="preserve">[50] </w:t>
      </w:r>
      <w:hyperlink r:id="rId81">
        <w:r>
          <w:rPr>
            <w:color w:val="1155CC"/>
            <w:u w:val="single"/>
          </w:rPr>
          <w:t>用于锂-硫电池的COF-已实现功能化的薄膜在硅干扰生长过程中的多战场联运驱动器</w:t>
        </w:r>
      </w:hyperlink>
    </w:p>
    <w:p>
      <w:pPr>
        <w:spacing w:before="0" w:after="80"/>
      </w:pPr>
      <w:r>
        <w:rPr>
          <w:i/>
          <w:sz w:val="20"/>
        </w:rPr>
        <w:t>EN: Multi‐Field Coupling Driven in Situ Interfacial Growth of COF‐functionalized Membranes for Lithium–Sulfur Batteries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82">
        <w:r>
          <w:rPr>
            <w:color w:val="1155CC"/>
            <w:u w:val="single"/>
          </w:rPr>
          <w:t>10.1002/anie.202515665</w:t>
        </w:r>
      </w:hyperlink>
    </w:p>
    <w:p>
      <w:pPr>
        <w:spacing w:before="0" w:after="120"/>
      </w:pPr>
      <w:r>
        <w:rPr>
          <w:b/>
        </w:rPr>
        <w:t xml:space="preserve">Notes: </w:t>
      </w:r>
      <w:r>
        <w:t>abstract_source=crossref</w:t>
      </w:r>
    </w:p>
    <w:p>
      <w:pPr>
        <w:spacing w:before="0" w:after="80" w:lineRule="auto" w:line="276"/>
      </w:pPr>
      <w:r>
        <w:rPr>
          <w:b/>
        </w:rPr>
        <w:t xml:space="preserve">摘要（ZH）: </w:t>
      </w:r>
      <w:r>
        <w:t>高性能锂硫磺电池分离器的抽象常规修改方法往往难以在基底和整个基底之间实现功能性材料。 由此,我们在石油-水-油系统中采用了可伸缩的上下自上而下战略,将碳氟碳化物纳米粒子在多叶素基底质上相互聚合,作为利奥斯电池的一个独立分离器。 通过为膜在聚合期间保持平坦提供合适的环境,COF粒子可以从表面渗入内部孔隙,形成一个统一和坚固的结构。 由此产生的COF-功能化膜包含大量有效促进利+运输和再生的超氧气组。</w:t>
      </w:r>
    </w:p>
    <w:p>
      <w:pPr>
        <w:spacing w:before="0" w:after="200" w:lineRule="auto" w:line="276"/>
      </w:pPr>
      <w:r>
        <w:rPr>
          <w:b/>
        </w:rPr>
        <w:t xml:space="preserve">Abstract (EN): </w:t>
      </w:r>
      <w:r>
        <w:t>Conventional modification methods for the separator of high‐performance lithium‐sulfur batteries often struggle to realize the functional materials well adhering on and across the substrate. Herein, we employ a scalable top‐down strategy in an oil–water–oil system to interfacially polymerize COF nanoparticles across a polyolefin substrate as a self‐standing separator for Li─S batteries. By providing a suitable environment for the membrane to remain flat during polymerization, COF particles can penetrate from the surface into internal pores, forming a uniform and robust architecture. The resulting COF‐functionalized membrane incorporates abundant ‐OH groups that effectively promote Li</w:t>
      </w:r>
      <w:r>
        <w:t xml:space="preserve"> </w:t>
      </w:r>
      <w:r>
        <w:t>+</w:t>
      </w:r>
      <w:r>
        <w:t xml:space="preserve"> </w:t>
      </w:r>
      <w:r>
        <w:t>transport and restrict polysulfide shuttling. Benefiting from this synergy, the modified separator achieves high ionic conductivity (0.92 mS cm</w:t>
      </w:r>
      <w:r>
        <w:t xml:space="preserve"> </w:t>
      </w:r>
      <w:r>
        <w:t>−1</w:t>
      </w:r>
      <w:r>
        <w:t xml:space="preserve"> </w:t>
      </w:r>
      <w:r>
        <w:t>), an elevated polysulfide diffusion barrier (0.390 versus 0.283 eV), and excellent electrochemical performance, including 678 mAh g</w:t>
      </w:r>
      <w:r>
        <w:t xml:space="preserve"> </w:t>
      </w:r>
      <w:r>
        <w:t>−1</w:t>
      </w:r>
      <w:r>
        <w:t xml:space="preserve"> </w:t>
      </w:r>
      <w:r>
        <w:t>after 500 cycles at 1.0 C. This in situ interface polymerization strategy offers a new path for more comprehensively functionalizing COF‐based membrane to achieve high‐performance lithium‐sulfur batteries.</w:t>
      </w:r>
    </w:p>
    <w:p>
      <w:pPr>
        <w:spacing w:before="120" w:after="120"/>
      </w:pPr>
      <w:r>
        <w:rPr>
          <w:sz w:val="18"/>
        </w:rPr>
        <w:t>——————————————————————————————————————————————————————————————————————</w:t>
      </w:r>
    </w:p>
    <w:p>
      <w:pPr>
        <w:spacing w:before="160" w:after="40" w:line="240" w:lineRule="auto"/>
      </w:pPr>
      <w:r>
        <w:rPr>
          <w:b/>
        </w:rPr>
        <w:t xml:space="preserve">[51] </w:t>
      </w:r>
      <w:hyperlink r:id="rId83">
        <w:r>
          <w:rPr>
            <w:color w:val="1155CC"/>
            <w:u w:val="single"/>
          </w:rPr>
          <w:t>对Zn、Zn3In2S6 Zn、Zn3In2S6的双重空缺的精细监管,为光催化H2O2 的生成吸引本地定向电气场</w:t>
        </w:r>
      </w:hyperlink>
    </w:p>
    <w:p>
      <w:pPr>
        <w:spacing w:before="0" w:after="80"/>
      </w:pPr>
      <w:r>
        <w:rPr>
          <w:i/>
          <w:sz w:val="20"/>
        </w:rPr>
        <w:t>EN: Precise Regulation of Zn, S Dual Vacancies in Zn3In2S6 Inducing Local Orientated Electrical Field for Photocatalytic H2O2 Generation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84">
        <w:r>
          <w:rPr>
            <w:color w:val="1155CC"/>
            <w:u w:val="single"/>
          </w:rPr>
          <w:t>10.1002/anie.202521029</w:t>
        </w:r>
      </w:hyperlink>
    </w:p>
    <w:p>
      <w:pPr>
        <w:spacing w:before="0" w:after="120"/>
      </w:pPr>
      <w:r>
        <w:rPr>
          <w:b/>
        </w:rPr>
        <w:t xml:space="preserve">Notes: </w:t>
      </w:r>
      <w:r>
        <w:t>abstract_source=crossref</w:t>
      </w:r>
    </w:p>
    <w:p>
      <w:pPr>
        <w:spacing w:before="0" w:after="80" w:lineRule="auto" w:line="276"/>
      </w:pPr>
      <w:r>
        <w:rPr>
          <w:b/>
        </w:rPr>
        <w:t xml:space="preserve">摘要（ZH）: </w:t>
      </w:r>
      <w:r>
        <w:t>摘要光电催化 H 2 O 2合成过程吸引了对太阳能燃料转换的兴趣,但受到低载体利用率和低动能缓慢的影响。在这里,我们提出了一个严格管制Zn和S职位空缺(V Zn, V S)的封闭战略,在Zn 3 2 S 6 中为光电催化 H 2 O 2 一代提供2 S 6。 ZnSO 4, InCl 3</w:t>
      </w:r>
    </w:p>
    <w:p>
      <w:pPr>
        <w:spacing w:before="0" w:after="200" w:lineRule="auto" w:line="276"/>
      </w:pPr>
      <w:r>
        <w:rPr>
          <w:b/>
        </w:rPr>
        <w:t xml:space="preserve">Abstract (EN): </w:t>
      </w:r>
      <w:r>
        <w:t>Photocatalytic H</w:t>
      </w:r>
      <w:r>
        <w:rPr>
          <w:vertAlign w:val="subscript"/>
        </w:rPr>
        <w:t>2</w:t>
      </w:r>
      <w:r>
        <w:t>O</w:t>
      </w:r>
      <w:r>
        <w:rPr>
          <w:vertAlign w:val="subscript"/>
        </w:rPr>
        <w:t>2</w:t>
      </w:r>
      <w:r>
        <w:t>synthesis attracts interest for solar‐to‐fuel conversion but suffers from low carrier utilization and sluggish kinetics. Herein, we present a confinement strategy to precisely regulate Zn and S vacancies (V</w:t>
      </w:r>
      <w:r>
        <w:t xml:space="preserve"> </w:t>
      </w:r>
      <w:r>
        <w:t>Zn</w:t>
      </w:r>
      <w:r>
        <w:t xml:space="preserve"> </w:t>
      </w:r>
      <w:r>
        <w:t>, V</w:t>
      </w:r>
      <w:r>
        <w:t xml:space="preserve"> </w:t>
      </w:r>
      <w:r>
        <w:t>S</w:t>
      </w:r>
      <w:r>
        <w:t xml:space="preserve"> </w:t>
      </w:r>
      <w:r>
        <w:t>) in Zn</w:t>
      </w:r>
      <w:r>
        <w:rPr>
          <w:vertAlign w:val="subscript"/>
        </w:rPr>
        <w:t>3</w:t>
      </w:r>
      <w:r>
        <w:t>In</w:t>
      </w:r>
      <w:r>
        <w:rPr>
          <w:vertAlign w:val="subscript"/>
        </w:rPr>
        <w:t>2</w:t>
      </w:r>
      <w:r>
        <w:t>S</w:t>
      </w:r>
      <w:r>
        <w:rPr>
          <w:vertAlign w:val="subscript"/>
        </w:rPr>
        <w:t>6</w:t>
      </w:r>
      <w:r>
        <w:t>for photocatalytic H</w:t>
      </w:r>
      <w:r>
        <w:rPr>
          <w:vertAlign w:val="subscript"/>
        </w:rPr>
        <w:t>2</w:t>
      </w:r>
      <w:r>
        <w:t>O</w:t>
      </w:r>
      <w:r>
        <w:rPr>
          <w:vertAlign w:val="subscript"/>
        </w:rPr>
        <w:t>2</w:t>
      </w:r>
      <w:r>
        <w:t>generation. ZnSO</w:t>
      </w:r>
      <w:r>
        <w:rPr>
          <w:vertAlign w:val="subscript"/>
        </w:rPr>
        <w:t>4</w:t>
      </w:r>
      <w:r>
        <w:t>, InCl</w:t>
      </w:r>
      <w:r>
        <w:rPr>
          <w:vertAlign w:val="subscript"/>
        </w:rPr>
        <w:t>3</w:t>
      </w:r>
      <w:r>
        <w:t>, thioacetamide, and cetyltrimethylammonium bromide (CTAB) were utilized to synthesize Zn</w:t>
      </w:r>
      <w:r>
        <w:rPr>
          <w:vertAlign w:val="subscript"/>
        </w:rPr>
        <w:t>3</w:t>
      </w:r>
      <w:r>
        <w:t>In</w:t>
      </w:r>
      <w:r>
        <w:rPr>
          <w:vertAlign w:val="subscript"/>
        </w:rPr>
        <w:t>2</w:t>
      </w:r>
      <w:r>
        <w:t>S</w:t>
      </w:r>
      <w:r>
        <w:rPr>
          <w:vertAlign w:val="subscript"/>
        </w:rPr>
        <w:t>6</w:t>
      </w:r>
      <w:r>
        <w:t>via a hydrothermal process, in which CTAB inserts into anionic layers and forms covalent bonds with Zn</w:t>
      </w:r>
      <w:r>
        <w:t xml:space="preserve"> </w:t>
      </w:r>
      <w:r>
        <w:t>2+</w:t>
      </w:r>
      <w:r>
        <w:t xml:space="preserve"> </w:t>
      </w:r>
      <w:r>
        <w:t>ions, then pyrolyzes and removes Zn</w:t>
      </w:r>
      <w:r>
        <w:t xml:space="preserve"> </w:t>
      </w:r>
      <w:r>
        <w:t>2+</w:t>
      </w:r>
      <w:r>
        <w:t xml:space="preserve"> </w:t>
      </w:r>
      <w:r>
        <w:t>ions during the annealing process, inducing V</w:t>
      </w:r>
      <w:r>
        <w:t xml:space="preserve"> </w:t>
      </w:r>
      <w:r>
        <w:t>Zn</w:t>
      </w:r>
      <w:r>
        <w:t xml:space="preserve"> </w:t>
      </w:r>
      <w:r>
        <w:t>formation. H</w:t>
      </w:r>
      <w:r>
        <w:rPr>
          <w:vertAlign w:val="subscript"/>
        </w:rPr>
        <w:t>2</w:t>
      </w:r>
      <w:r>
        <w:t>‐mediated desulfurization generates V</w:t>
      </w:r>
      <w:r>
        <w:t xml:space="preserve"> </w:t>
      </w:r>
      <w:r>
        <w:t>S</w:t>
      </w:r>
      <w:r>
        <w:t xml:space="preserve"> </w:t>
      </w:r>
      <w:r>
        <w:t>. The contents of V</w:t>
      </w:r>
      <w:r>
        <w:t xml:space="preserve"> </w:t>
      </w:r>
      <w:r>
        <w:t>Zn</w:t>
      </w:r>
      <w:r>
        <w:t xml:space="preserve"> </w:t>
      </w:r>
      <w:r>
        <w:t>and V</w:t>
      </w:r>
      <w:r>
        <w:t xml:space="preserve"> </w:t>
      </w:r>
      <w:r>
        <w:t>S</w:t>
      </w:r>
      <w:r>
        <w:t xml:space="preserve"> </w:t>
      </w:r>
      <w:r>
        <w:t>in Zn</w:t>
      </w:r>
      <w:r>
        <w:rPr>
          <w:vertAlign w:val="subscript"/>
        </w:rPr>
        <w:t>3</w:t>
      </w:r>
      <w:r>
        <w:t>In</w:t>
      </w:r>
      <w:r>
        <w:rPr>
          <w:vertAlign w:val="subscript"/>
        </w:rPr>
        <w:t>2</w:t>
      </w:r>
      <w:r>
        <w:t>S</w:t>
      </w:r>
      <w:r>
        <w:rPr>
          <w:vertAlign w:val="subscript"/>
        </w:rPr>
        <w:t>6</w:t>
      </w:r>
      <w:r>
        <w:t>of 1.9:1.0, 1.1:1.0, 1.0:1.9, and 1.0:3.3 were obtained by adjusting the temperature. V</w:t>
      </w:r>
      <w:r>
        <w:t xml:space="preserve"> </w:t>
      </w:r>
      <w:r>
        <w:t>S</w:t>
      </w:r>
      <w:r>
        <w:t xml:space="preserve"> </w:t>
      </w:r>
      <w:r>
        <w:t>&amp;amp;V</w:t>
      </w:r>
      <w:r>
        <w:t xml:space="preserve"> </w:t>
      </w:r>
      <w:r>
        <w:t>Zn</w:t>
      </w:r>
      <w:r>
        <w:t xml:space="preserve"> </w:t>
      </w:r>
      <w:r>
        <w:t>‐Zn</w:t>
      </w:r>
      <w:r>
        <w:rPr>
          <w:vertAlign w:val="subscript"/>
        </w:rPr>
        <w:t>3</w:t>
      </w:r>
      <w:r>
        <w:t>In</w:t>
      </w:r>
      <w:r>
        <w:rPr>
          <w:vertAlign w:val="subscript"/>
        </w:rPr>
        <w:t>2</w:t>
      </w:r>
      <w:r>
        <w:t>S</w:t>
      </w:r>
      <w:r>
        <w:rPr>
          <w:vertAlign w:val="subscript"/>
        </w:rPr>
        <w:t>6</w:t>
      </w:r>
      <w:r>
        <w:t>(1.0:1.9) exhibits a fantastic photocatalytic generation rate of 11580.74 µmol g</w:t>
      </w:r>
      <w:r>
        <w:t xml:space="preserve"> </w:t>
      </w:r>
      <w:r>
        <w:t>−1</w:t>
      </w:r>
      <w:r>
        <w:t xml:space="preserve"> </w:t>
      </w:r>
      <w:r>
        <w:t>h</w:t>
      </w:r>
      <w:r>
        <w:t xml:space="preserve"> </w:t>
      </w:r>
      <w:r>
        <w:t>−1</w:t>
      </w:r>
      <w:r>
        <w:t xml:space="preserve"> </w:t>
      </w:r>
      <w:r>
        <w:t>for H</w:t>
      </w:r>
      <w:r>
        <w:rPr>
          <w:vertAlign w:val="subscript"/>
        </w:rPr>
        <w:t>2</w:t>
      </w:r>
      <w:r>
        <w:t>O</w:t>
      </w:r>
      <w:r>
        <w:rPr>
          <w:vertAlign w:val="subscript"/>
        </w:rPr>
        <w:t>2</w:t>
      </w:r>
      <w:r>
        <w:t>which increased 2.4 times compared with V</w:t>
      </w:r>
      <w:r>
        <w:t xml:space="preserve"> </w:t>
      </w:r>
      <w:r>
        <w:t>S</w:t>
      </w:r>
      <w:r>
        <w:t xml:space="preserve"> </w:t>
      </w:r>
      <w:r>
        <w:t>‐Zn</w:t>
      </w:r>
      <w:r>
        <w:rPr>
          <w:vertAlign w:val="subscript"/>
        </w:rPr>
        <w:t>3</w:t>
      </w:r>
      <w:r>
        <w:t>In</w:t>
      </w:r>
      <w:r>
        <w:rPr>
          <w:vertAlign w:val="subscript"/>
        </w:rPr>
        <w:t>2</w:t>
      </w:r>
      <w:r>
        <w:t>S</w:t>
      </w:r>
      <w:r>
        <w:rPr>
          <w:vertAlign w:val="subscript"/>
        </w:rPr>
        <w:t>6</w:t>
      </w:r>
      <w:r>
        <w:t>, attributing to that dual vacancies promote the local orientated electrical field (LOEF) formation and increase photogenerated‐electron transfer from V</w:t>
      </w:r>
      <w:r>
        <w:t xml:space="preserve"> </w:t>
      </w:r>
      <w:r>
        <w:t>S</w:t>
      </w:r>
      <w:r>
        <w:t xml:space="preserve"> </w:t>
      </w:r>
      <w:r>
        <w:t>to V</w:t>
      </w:r>
      <w:r>
        <w:t xml:space="preserve"> </w:t>
      </w:r>
      <w:r>
        <w:t>Zn</w:t>
      </w:r>
      <w:r>
        <w:t xml:space="preserve"> </w:t>
      </w:r>
      <w:r>
        <w:t>. Electrons delocalize onto adjacent Zn sites, promoting the two‐electron oxygen reduction reaction (ORR) pathway. Simultaneously, V</w:t>
      </w:r>
      <w:r>
        <w:t xml:space="preserve"> </w:t>
      </w:r>
      <w:r>
        <w:t>Zn</w:t>
      </w:r>
      <w:r>
        <w:t xml:space="preserve"> </w:t>
      </w:r>
      <w:r>
        <w:t>facilitates the migration of h⁺ to the catalyst surface, thereby increasing h⁺ utilization efficiency and accelerating the water oxidation reaction (WOR) process toward H</w:t>
      </w:r>
      <w:r>
        <w:rPr>
          <w:vertAlign w:val="subscript"/>
        </w:rPr>
        <w:t>2</w:t>
      </w:r>
      <w:r>
        <w:t>O</w:t>
      </w:r>
      <w:r>
        <w:rPr>
          <w:vertAlign w:val="subscript"/>
        </w:rPr>
        <w:t>2</w:t>
      </w:r>
      <w:r>
        <w:t>production. V</w:t>
      </w:r>
      <w:r>
        <w:t xml:space="preserve"> </w:t>
      </w:r>
      <w:r>
        <w:t>S</w:t>
      </w:r>
      <w:r>
        <w:t xml:space="preserve"> </w:t>
      </w:r>
      <w:r>
        <w:t>&amp;amp;V</w:t>
      </w:r>
      <w:r>
        <w:t xml:space="preserve"> </w:t>
      </w:r>
      <w:r>
        <w:t>Cu</w:t>
      </w:r>
      <w:r>
        <w:t xml:space="preserve"> </w:t>
      </w:r>
      <w:r>
        <w:t>‐CuIn</w:t>
      </w:r>
      <w:r>
        <w:rPr>
          <w:vertAlign w:val="subscript"/>
        </w:rPr>
        <w:t>2</w:t>
      </w:r>
      <w:r>
        <w:t>S</w:t>
      </w:r>
      <w:r>
        <w:rPr>
          <w:vertAlign w:val="subscript"/>
        </w:rPr>
        <w:t>4</w:t>
      </w:r>
      <w:r>
        <w:t>and V</w:t>
      </w:r>
      <w:r>
        <w:t xml:space="preserve"> </w:t>
      </w:r>
      <w:r>
        <w:t>S</w:t>
      </w:r>
      <w:r>
        <w:t xml:space="preserve"> </w:t>
      </w:r>
      <w:r>
        <w:t>&amp;amp;V</w:t>
      </w:r>
      <w:r>
        <w:t xml:space="preserve"> </w:t>
      </w:r>
      <w:r>
        <w:t>Ni</w:t>
      </w:r>
      <w:r>
        <w:t xml:space="preserve"> </w:t>
      </w:r>
      <w:r>
        <w:t>‐NiIn</w:t>
      </w:r>
      <w:r>
        <w:rPr>
          <w:vertAlign w:val="subscript"/>
        </w:rPr>
        <w:t>2</w:t>
      </w:r>
      <w:r>
        <w:t>S</w:t>
      </w:r>
      <w:r>
        <w:rPr>
          <w:vertAlign w:val="subscript"/>
        </w:rPr>
        <w:t>4</w:t>
      </w:r>
      <w:r>
        <w:t>were successfully synthesized, highlighting its broad applicability as a general approach.</w:t>
      </w:r>
    </w:p>
    <w:p>
      <w:pPr>
        <w:spacing w:before="120" w:after="120"/>
      </w:pPr>
      <w:r>
        <w:rPr>
          <w:sz w:val="18"/>
        </w:rPr>
        <w:t>——————————————————————————————————————————————————————————————————————</w:t>
      </w:r>
    </w:p>
    <w:p>
      <w:pPr>
        <w:spacing w:before="160" w:after="40" w:line="240" w:lineRule="auto"/>
      </w:pPr>
      <w:r>
        <w:rPr>
          <w:b/>
        </w:rPr>
        <w:t xml:space="preserve">[52] </w:t>
      </w:r>
      <w:hyperlink r:id="rId85">
        <w:r>
          <w:rPr>
            <w:color w:val="1155CC"/>
            <w:u w:val="single"/>
          </w:rPr>
          <w:t>以Chelating P/Diazoalkene Ligand为根据的和的三联金属lovinylynidenes</w:t>
        </w:r>
      </w:hyperlink>
    </w:p>
    <w:p>
      <w:pPr>
        <w:spacing w:before="0" w:after="80"/>
      </w:pPr>
      <w:r>
        <w:rPr>
          <w:i/>
          <w:sz w:val="20"/>
        </w:rPr>
        <w:t>EN: Triplet Metallovinylidenes of Palladium and Platinum Based on a Chelating P/Diazoalkene Ligand</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86">
        <w:r>
          <w:rPr>
            <w:color w:val="1155CC"/>
            <w:u w:val="single"/>
          </w:rPr>
          <w:t>10.1002/anie.202516032</w:t>
        </w:r>
      </w:hyperlink>
    </w:p>
    <w:p>
      <w:pPr>
        <w:spacing w:before="0" w:after="120"/>
      </w:pPr>
      <w:r>
        <w:rPr>
          <w:b/>
        </w:rPr>
        <w:t xml:space="preserve">Notes: </w:t>
      </w:r>
      <w:r>
        <w:t>abstract_source=crossref</w:t>
      </w:r>
    </w:p>
    <w:p>
      <w:pPr>
        <w:spacing w:before="0" w:after="80" w:lineRule="auto" w:line="276"/>
      </w:pPr>
      <w:r>
        <w:rPr>
          <w:b/>
        </w:rPr>
        <w:t xml:space="preserve">摘要（ZH）: </w:t>
      </w:r>
      <w:r>
        <w:t>碳中心(Metallocarbenes;R-C-M)附近有金属的抽象三色卡盘,具有碳中心(Metallocarbenes;R-C-M)附近的金属特征,是反应式中间体领域的新兴的二极体类别。这里,我们报告第一种三色三色三色金属的合成(R-C-M;M=Pt,Pd) 。合成接入基于硬质P/C相冷对二氮基离子及其与Pt和Pd的相协调。C/相热离层离子和几何测量限制R-C-M角度并抑制自由弯曲。自由的对二甲基离子离子体的辐照产生三维基因,其特征为带电磁共振反应(EPR)光谱镜。金属协调综合体(Pt和Pd)的辐照为三色金属协调体(Mlovinlidididididifidenes)提供了三氟基质。</w:t>
      </w:r>
    </w:p>
    <w:p>
      <w:pPr>
        <w:spacing w:before="0" w:after="200" w:lineRule="auto" w:line="276"/>
      </w:pPr>
      <w:r>
        <w:rPr>
          <w:b/>
        </w:rPr>
        <w:t xml:space="preserve">Abstract (EN): </w:t>
      </w:r>
      <w:r>
        <w:t>Triplet carbenes featuring a metal adjacent to the carbene center (metallocarbenes; R─C─M) are an emerging class of diradicals within the field of reactive intermediates. Here, we report the synthesis of the first spectroscopically characterized triplet metallovinylidenes (R─C→M; M = Pt, Pd). The synthetic access is based on a rigid P/C chelating diazoalkene ligand and its coordination to Pt and Pd. The C/P chelating ligand geometrically constrains the R─C→M angle and inhibits free bending. Irradiation of the free diazoalkene ligand generates a triplet vinylidene, characterized by Q‐band electron paramagnetic resonance (EPR) spectroscopy. Irradiation of the metal coordination complexes (Pt and Pd) affords triplet metallovinylidenes, which were characterized at low temperatures including photochemically triggered</w:t>
      </w:r>
      <w:r>
        <w:t xml:space="preserve"> </w:t>
      </w:r>
      <w:r>
        <w:t>in crystallo</w:t>
      </w:r>
      <w:r>
        <w:t xml:space="preserve"> </w:t>
      </w:r>
      <w:r>
        <w:t>X‐ray diffraction. Combined FD‐FT THz‐EPR spectroscopy and SQUID measurements allowed the determination of the large triplet zero‐field splitting (ZFS) with</w:t>
      </w:r>
      <w:r>
        <w:t xml:space="preserve"> </w:t>
      </w:r>
      <w:r>
        <w:t>D</w:t>
      </w:r>
      <w:r>
        <w:t xml:space="preserve"> </w:t>
      </w:r>
      <w:r>
        <w:t>values of 124.5 cm</w:t>
      </w:r>
      <w:r>
        <w:t xml:space="preserve"> </w:t>
      </w:r>
      <w:r>
        <w:t>−1</w:t>
      </w:r>
      <w:r>
        <w:t xml:space="preserve"> </w:t>
      </w:r>
      <w:r>
        <w:t>(Pt) and 8.0 cm</w:t>
      </w:r>
      <w:r>
        <w:t xml:space="preserve"> </w:t>
      </w:r>
      <w:r>
        <w:t>−1</w:t>
      </w:r>
      <w:r>
        <w:t xml:space="preserve"> </w:t>
      </w:r>
      <w:r>
        <w:t>(Pd) in excellent agreement with the electronic structure obtained by high‐level quantum chemical calculations.</w:t>
      </w:r>
    </w:p>
    <w:p>
      <w:pPr>
        <w:spacing w:before="120" w:after="120"/>
      </w:pPr>
      <w:r>
        <w:rPr>
          <w:sz w:val="18"/>
        </w:rPr>
        <w:t>——————————————————————————————————————————————————————————————————————</w:t>
      </w:r>
    </w:p>
    <w:p>
      <w:pPr>
        <w:spacing w:before="160" w:after="40" w:line="240" w:lineRule="auto"/>
      </w:pPr>
      <w:r>
        <w:rPr>
          <w:b/>
        </w:rPr>
        <w:t xml:space="preserve">[53] </w:t>
      </w:r>
      <w:hyperlink r:id="rId87">
        <w:r>
          <w:rPr>
            <w:color w:val="1155CC"/>
            <w:u w:val="single"/>
          </w:rPr>
          <w:t>Enzyme-Ipized 自我保持催化环膜以进行水净化,</w:t>
        </w:r>
      </w:hyperlink>
    </w:p>
    <w:p>
      <w:pPr>
        <w:spacing w:before="0" w:after="80"/>
      </w:pPr>
      <w:r>
        <w:rPr>
          <w:i/>
          <w:sz w:val="20"/>
        </w:rPr>
        <w:t>EN: Pollutant‐Powered Oxygen Activation by Enzyme‐Inspired Self‐Sustaining Catalytic Membranes for Water Purification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88">
        <w:r>
          <w:rPr>
            <w:color w:val="1155CC"/>
            <w:u w:val="single"/>
          </w:rPr>
          <w:t>10.1002/anie.202521747</w:t>
        </w:r>
      </w:hyperlink>
    </w:p>
    <w:p>
      <w:pPr>
        <w:spacing w:before="0" w:after="120"/>
      </w:pPr>
      <w:r>
        <w:rPr>
          <w:b/>
        </w:rPr>
        <w:t xml:space="preserve">Notes: </w:t>
      </w:r>
      <w:r>
        <w:t>abstract_source=crossref</w:t>
      </w:r>
    </w:p>
    <w:p>
      <w:pPr>
        <w:spacing w:before="0" w:after="80" w:lineRule="auto" w:line="276"/>
      </w:pPr>
      <w:r>
        <w:rPr>
          <w:b/>
        </w:rPr>
        <w:t xml:space="preserve">摘要（ZH）: </w:t>
      </w:r>
      <w:r>
        <w:t>由于依赖氧化剂活化的外部刺激,常规催化水净化摘要仍然是能源和化学密集型的。在这里,我们展示了一种可自我维持的催化膜(TMF-CM),其中包括提多佩德 Mn 3 O 4/Fe 3 O 4 4 催化器,并配有工程氧气空缺,这些空缺利用污染物作为电子捐献者,驱动酶免疫性红氧化循环。通过陶瓷薄膜孔中的纳米合成,溶解氧由污染物产生的电子自动激活,使活性场地在没有化学添加剂的情况下能够持续再生。</w:t>
      </w:r>
    </w:p>
    <w:p>
      <w:pPr>
        <w:spacing w:before="0" w:after="200" w:lineRule="auto" w:line="276"/>
      </w:pPr>
      <w:r>
        <w:rPr>
          <w:b/>
        </w:rPr>
        <w:t xml:space="preserve">Abstract (EN): </w:t>
      </w:r>
      <w:r>
        <w:t>Conventional catalytic water purification remains energy‐ and chemical‐intensive due to reliance on external stimuli for oxidant activation. Here, we present a self‐sustaining catalytic membrane (TMF‐CM) incorporating Ti‐doped Mn</w:t>
      </w:r>
      <w:r>
        <w:rPr>
          <w:vertAlign w:val="subscript"/>
        </w:rPr>
        <w:t>3</w:t>
      </w:r>
      <w:r>
        <w:t>O</w:t>
      </w:r>
      <w:r>
        <w:rPr>
          <w:vertAlign w:val="subscript"/>
        </w:rPr>
        <w:t>4</w:t>
      </w:r>
      <w:r>
        <w:t>/Fe</w:t>
      </w:r>
      <w:r>
        <w:rPr>
          <w:vertAlign w:val="subscript"/>
        </w:rPr>
        <w:t>3</w:t>
      </w:r>
      <w:r>
        <w:t>O</w:t>
      </w:r>
      <w:r>
        <w:rPr>
          <w:vertAlign w:val="subscript"/>
        </w:rPr>
        <w:t>4</w:t>
      </w:r>
      <w:r>
        <w:t>catalysts with engineered oxygen vacancies, which harness pollutants as electron donors to drive enzyme‐mimetic redox cycles. Through nanoconfinement within ceramic membrane pores, dissolved oxygen is autonomously activated by electrons derived from contaminants, enabling continuous regeneration of active sites without chemical additives. Mechanistic investigations, supported by spectroscopic and computational evidence, reveal that high‐valent metal–oxo intermediates mediate contaminant oxidation while concurrently restoring oxygen vacancies, thereby sustaining catalytic cycles. During 10‐day continuous testing in real wastewater, the TMF‐CM system achieved over 90.1% contaminant removal and exhibited self‐cleaning capability. This autonomous catalytic paradigm leverages the inherent chemical energy of wastewater, eliminating chemical additives and cutting energy consumption by 70%–98% compared to UV‐ or electrochemical‐based systems. By integrating molecular oxygen activation with circular electron transfer, we establish a sustainable oxidation strategy that extends beyond conventional water treatment paradigms.</w:t>
      </w:r>
    </w:p>
    <w:p>
      <w:pPr>
        <w:spacing w:before="120" w:after="120"/>
      </w:pPr>
      <w:r>
        <w:rPr>
          <w:sz w:val="18"/>
        </w:rPr>
        <w:t>——————————————————————————————————————————————————————————————————————</w:t>
      </w:r>
    </w:p>
    <w:p>
      <w:pPr>
        <w:spacing w:before="160" w:after="40" w:line="240" w:lineRule="auto"/>
      </w:pPr>
      <w:r>
        <w:rPr>
          <w:b/>
        </w:rPr>
        <w:t xml:space="preserve">[54] </w:t>
      </w:r>
      <w:hyperlink r:id="rId89">
        <w:r>
          <w:rPr>
            <w:color w:val="1155CC"/>
            <w:u w:val="single"/>
          </w:rPr>
          <w:t>弱化的冷却和对以电解解解器的相互调和增强LiFePO4Graphite电池的低温和快速捕捉性能</w:t>
        </w:r>
      </w:hyperlink>
    </w:p>
    <w:p>
      <w:pPr>
        <w:spacing w:before="0" w:after="80"/>
      </w:pPr>
      <w:r>
        <w:rPr>
          <w:i/>
          <w:sz w:val="20"/>
        </w:rPr>
        <w:t>EN: Weakly‐Solvated and Co‐Intercalation‐Free Ether‐Based Electrolytes Enhance the Low‐ Temperature and Fast‐Charging Performance of LiFePO4||Graphite Batteries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0">
        <w:r>
          <w:rPr>
            <w:color w:val="1155CC"/>
            <w:u w:val="single"/>
          </w:rPr>
          <w:t>10.1002/anie.202521171</w:t>
        </w:r>
      </w:hyperlink>
    </w:p>
    <w:p>
      <w:pPr>
        <w:spacing w:before="0" w:after="120"/>
      </w:pPr>
      <w:r>
        <w:rPr>
          <w:b/>
        </w:rPr>
        <w:t xml:space="preserve">Notes: </w:t>
      </w:r>
      <w:r>
        <w:t>abstract_source=crossref</w:t>
      </w:r>
    </w:p>
    <w:p>
      <w:pPr>
        <w:spacing w:before="0" w:after="80" w:lineRule="auto" w:line="276"/>
      </w:pPr>
      <w:r>
        <w:rPr>
          <w:b/>
        </w:rPr>
        <w:t xml:space="preserve">摘要（ZH）: </w:t>
      </w:r>
      <w:r>
        <w:t>使用锂铁磷酸盐(LiFPPO 4,LFP)和石墨阳极(Gr)阳极的碱性电池(LIBs)被广泛用于能源储存应用,因为其周期寿命和固有安全特性不同,但是,低溶解动力学和硅+的隔热性能和低温性能阻碍其快速充电能力和低温性能,限制了更广泛的应用。在这项工作中,我们提议以2-甲基四氢呋喃(2MT)为基础的微软溶解解醚(WSE)作为主要溶剂,这种电解能导致严重的呼吸障碍,有效防止了与 Gr的交融,同时也为Li+提供了薄弱的溶解能力。</w:t>
      </w:r>
    </w:p>
    <w:p>
      <w:pPr>
        <w:spacing w:before="0" w:after="200" w:lineRule="auto" w:line="276"/>
      </w:pPr>
      <w:r>
        <w:rPr>
          <w:b/>
        </w:rPr>
        <w:t xml:space="preserve">Abstract (EN): </w:t>
      </w:r>
      <w:r>
        <w:t>Lithium‐ion batteries (LIBs) employing lithium iron phosphate (LiFePO</w:t>
      </w:r>
      <w:r>
        <w:rPr>
          <w:vertAlign w:val="subscript"/>
        </w:rPr>
        <w:t>4</w:t>
      </w:r>
      <w:r>
        <w:t>, LFP) cathodes and graphite (Gr) anodes are extensively utilized for energy storage applications because of their exceptional cycle life and inherent safety characteristics. However, sluggish desolvation kinetics and interfacial Li⁺ transport hinder their fast‐charging capability and low‐temperature performance, limiting broader applications. In this work, we propose a weakly solvating ether (WSE) electrolyte based on 2‐methyl‐tetrahydrofuran (2MT) as the main solvent. This electrolyte results in considerable steric hindrance, effectively preventing co‐intercalation with Gr, while also providing a weak solvation capability for Li⁺ ions and facilitating rapid interfacial Li⁺ transport. WSE, formulated with 2MT and fluoroethylene carbonate (FEC) as a co‐solvent, combines fast desolvation kinetics with an extremely low freezing point of −117.67 °C. This electrolyte induces the formation of a LiF‐, Li</w:t>
      </w:r>
      <w:r>
        <w:rPr>
          <w:vertAlign w:val="subscript"/>
        </w:rPr>
        <w:t>3</w:t>
      </w:r>
      <w:r>
        <w:t>N‐, Li</w:t>
      </w:r>
      <w:r>
        <w:rPr>
          <w:vertAlign w:val="subscript"/>
        </w:rPr>
        <w:t>2</w:t>
      </w:r>
      <w:r>
        <w:t>CO</w:t>
      </w:r>
      <w:r>
        <w:rPr>
          <w:vertAlign w:val="subscript"/>
        </w:rPr>
        <w:t>3</w:t>
      </w:r>
      <w:r>
        <w:t>‐, and Li</w:t>
      </w:r>
      <w:r>
        <w:rPr>
          <w:vertAlign w:val="subscript"/>
        </w:rPr>
        <w:t>2</w:t>
      </w:r>
      <w:r>
        <w:t>O‐rich solid electrolyte interphase (SEI) on the Gr anode, thereby enhancing low‐temperature interfacial transport. Consequently, the Gr||Li half‐cell and the LFP||Gr full cell with this WSE demonstrates excellent rate performance, stable cycling stability, and a high specific capacity at −30 °C while also delivering reliable power even at −60 °C. These results underscore the electrolyte's efficient desolvation process, stable SEI layer, and excellent compatibility with graphite, rendering it ideal for extreme‐temperature applications.</w:t>
      </w:r>
    </w:p>
    <w:p>
      <w:pPr>
        <w:spacing w:before="120" w:after="120"/>
      </w:pPr>
      <w:r>
        <w:rPr>
          <w:sz w:val="18"/>
        </w:rPr>
        <w:t>——————————————————————————————————————————————————————————————————————</w:t>
      </w:r>
    </w:p>
    <w:p>
      <w:pPr>
        <w:spacing w:before="160" w:after="40" w:line="240" w:lineRule="auto"/>
      </w:pPr>
      <w:r>
        <w:rPr>
          <w:b/>
        </w:rPr>
        <w:t xml:space="preserve">[55] </w:t>
      </w:r>
      <w:hyperlink r:id="rId91">
        <w:r>
          <w:rPr>
            <w:color w:val="1155CC"/>
            <w:u w:val="single"/>
          </w:rPr>
          <w:t>建立热核Pt1Fe1双单原子有选择性氧化 Allys 酒精中毒地点</w:t>
        </w:r>
      </w:hyperlink>
    </w:p>
    <w:p>
      <w:pPr>
        <w:spacing w:before="0" w:after="80"/>
      </w:pPr>
      <w:r>
        <w:rPr>
          <w:i/>
          <w:sz w:val="20"/>
        </w:rPr>
        <w:t>EN: Competitive Coordination Constructed Heteronuclear Pt1‐Fe1 Dual Single‐Atom Sites for Selective Oxidation of Allylic Alcohol</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2">
        <w:r>
          <w:rPr>
            <w:color w:val="1155CC"/>
            <w:u w:val="single"/>
          </w:rPr>
          <w:t>10.1002/anie.202520549</w:t>
        </w:r>
      </w:hyperlink>
    </w:p>
    <w:p>
      <w:pPr>
        <w:spacing w:before="0" w:after="120"/>
      </w:pPr>
      <w:r>
        <w:rPr>
          <w:b/>
        </w:rPr>
        <w:t xml:space="preserve">Notes: </w:t>
      </w:r>
      <w:r>
        <w:t>abstract_source=crossref</w:t>
      </w:r>
    </w:p>
    <w:p>
      <w:pPr>
        <w:spacing w:before="0" w:after="80" w:lineRule="auto" w:line="276"/>
      </w:pPr>
      <w:r>
        <w:rPr>
          <w:b/>
        </w:rPr>
        <w:t xml:space="preserve">摘要（ZH）: </w:t>
      </w:r>
      <w:r>
        <w:t>由于其特殊的原子效率和协同催化作用,抽象的单原子催化剂(DSACs)已引起相当大的注意,然而,为DSACs制定精确的合成方法,并探索其在复杂反应系统中的应用,这仍是一个重大挑战,我们通过一个有热动力驱动的竞争性协调程序,制造了一种得到支持的六亚派石(HAP)的乙氧核Pt 1 Fe 1双单原子催化剂(Pt 1 Fe 1 /HAP)的竞争性协调战略。</w:t>
      </w:r>
    </w:p>
    <w:p>
      <w:pPr>
        <w:spacing w:before="0" w:after="200" w:lineRule="auto" w:line="276"/>
      </w:pPr>
      <w:r>
        <w:rPr>
          <w:b/>
        </w:rPr>
        <w:t xml:space="preserve">Abstract (EN): </w:t>
      </w:r>
      <w:r>
        <w:t>Dual single‐atom catalysts (DSACs) have attracted considerable attention owing to their exceptional atom efficiency and synergistic catalytic effects. Nevertheless, establishing precise synthetic methodologies for DSACs and exploring its application in complex reaction systems still present significant challenges. Here, we have fabricated a hydroxyapatite (HAP)‐supported heteronuclear Pt</w:t>
      </w:r>
      <w:r>
        <w:rPr>
          <w:vertAlign w:val="subscript"/>
        </w:rPr>
        <w:t>1</w:t>
      </w:r>
      <w:r>
        <w:t>‐Fe</w:t>
      </w:r>
      <w:r>
        <w:rPr>
          <w:vertAlign w:val="subscript"/>
        </w:rPr>
        <w:t>1</w:t>
      </w:r>
      <w:r>
        <w:t>dual single‐atom catalyst (Pt</w:t>
      </w:r>
      <w:r>
        <w:rPr>
          <w:vertAlign w:val="subscript"/>
        </w:rPr>
        <w:t>1</w:t>
      </w:r>
      <w:r>
        <w:t>‐Fe</w:t>
      </w:r>
      <w:r>
        <w:rPr>
          <w:vertAlign w:val="subscript"/>
        </w:rPr>
        <w:t>1</w:t>
      </w:r>
      <w:r>
        <w:t>/HAP) via a competitive coordination strategy for selective oxidation of allylic alcohols. Through a thermodynamically driven competitive coordination process, heteronuclear Pt</w:t>
      </w:r>
      <w:r>
        <w:rPr>
          <w:vertAlign w:val="subscript"/>
        </w:rPr>
        <w:t>1</w:t>
      </w:r>
      <w:r>
        <w:t>‐Fe</w:t>
      </w:r>
      <w:r>
        <w:rPr>
          <w:vertAlign w:val="subscript"/>
        </w:rPr>
        <w:t>1</w:t>
      </w:r>
      <w:r>
        <w:t>with distinct charge densities is co‐anchored within adjacent periodic Ca</w:t>
      </w:r>
      <w:r>
        <w:t xml:space="preserve"> </w:t>
      </w:r>
      <w:r>
        <w:t>2+</w:t>
      </w:r>
      <w:r>
        <w:t xml:space="preserve"> </w:t>
      </w:r>
      <w:r>
        <w:t>vacancies of HAP lattice via PO</w:t>
      </w:r>
      <w:r>
        <w:rPr>
          <w:vertAlign w:val="subscript"/>
        </w:rPr>
        <w:t>4</w:t>
      </w:r>
      <w:r>
        <w:t>3−</w:t>
      </w:r>
      <w:r>
        <w:t>bridges, achieving a controlled atomic separation of ∼2.7 Å for electronic synergy. Unexpectedly, orbital hybridization between heteronuclear Pt</w:t>
      </w:r>
      <w:r>
        <w:rPr>
          <w:vertAlign w:val="subscript"/>
        </w:rPr>
        <w:t>1</w:t>
      </w:r>
      <w:r>
        <w:t>‐Fe</w:t>
      </w:r>
      <w:r>
        <w:rPr>
          <w:vertAlign w:val="subscript"/>
        </w:rPr>
        <w:t>1</w:t>
      </w:r>
      <w:r>
        <w:t>induces a spin‐state transition of Fe from low‐spin to medium‐spin, facilitating activation of O</w:t>
      </w:r>
      <w:r>
        <w:rPr>
          <w:vertAlign w:val="subscript"/>
        </w:rPr>
        <w:t>2</w:t>
      </w:r>
      <w:r>
        <w:t>and following cascade oxidation of allylic alcohol. Benefiting from the modification of spin state, Pt</w:t>
      </w:r>
      <w:r>
        <w:rPr>
          <w:vertAlign w:val="subscript"/>
        </w:rPr>
        <w:t>1</w:t>
      </w:r>
      <w:r>
        <w:t>‐Fe</w:t>
      </w:r>
      <w:r>
        <w:rPr>
          <w:vertAlign w:val="subscript"/>
        </w:rPr>
        <w:t>1</w:t>
      </w:r>
      <w:r>
        <w:t>/HAP exhibits ultrahigh aldehyde selectivity (92%) and a high turnover frequency (12 090.8 h</w:t>
      </w:r>
      <w:r>
        <w:t xml:space="preserve"> </w:t>
      </w:r>
      <w:r>
        <w:t>−1</w:t>
      </w:r>
      <w:r>
        <w:t xml:space="preserve"> </w:t>
      </w:r>
      <w:r>
        <w:t>) in oxidation of various allylic alcohol substrates, 20‐fold higher than that of Pt</w:t>
      </w:r>
      <w:r>
        <w:rPr>
          <w:vertAlign w:val="subscript"/>
        </w:rPr>
        <w:t>1</w:t>
      </w:r>
      <w:r>
        <w:t>/HAP single‐atom catalyst (543.8 h</w:t>
      </w:r>
      <w:r>
        <w:t xml:space="preserve"> </w:t>
      </w:r>
      <w:r>
        <w:t>−1</w:t>
      </w:r>
      <w:r>
        <w:t xml:space="preserve"> </w:t>
      </w:r>
      <w:r>
        <w:t>). This work establishes the thermodynamically driven competitive coordination strategy as a universal approach for constructing high‐performance heteronuclear dual‐atom catalysts with precisely engineered electronic synergy in demanding industrial processes.</w:t>
      </w:r>
    </w:p>
    <w:p>
      <w:pPr>
        <w:spacing w:before="120" w:after="120"/>
      </w:pPr>
      <w:r>
        <w:rPr>
          <w:sz w:val="18"/>
        </w:rPr>
        <w:t>——————————————————————————————————————————————————————————————————————</w:t>
      </w:r>
    </w:p>
    <w:p>
      <w:pPr>
        <w:spacing w:before="160" w:after="40" w:line="240" w:lineRule="auto"/>
      </w:pPr>
      <w:r>
        <w:rPr>
          <w:b/>
        </w:rPr>
        <w:t xml:space="preserve">[56] </w:t>
      </w:r>
      <w:hyperlink r:id="rId93">
        <w:r>
          <w:rPr>
            <w:color w:val="1155CC"/>
            <w:u w:val="single"/>
          </w:rPr>
          <w:t>分子太阳热热(MOST) 能源储存-重新研究的定义和要求</w:t>
        </w:r>
      </w:hyperlink>
    </w:p>
    <w:p>
      <w:pPr>
        <w:spacing w:before="0" w:after="80"/>
      </w:pPr>
      <w:r>
        <w:rPr>
          <w:i/>
          <w:sz w:val="20"/>
        </w:rPr>
        <w:t>EN: Molecular Solar Thermal (MOST) Energy Storage—Definitions and Requirements Revisited</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4">
        <w:r>
          <w:rPr>
            <w:color w:val="1155CC"/>
            <w:u w:val="single"/>
          </w:rPr>
          <w:t>10.1002/anie.202520673</w:t>
        </w:r>
      </w:hyperlink>
    </w:p>
    <w:p>
      <w:pPr>
        <w:spacing w:before="0" w:after="120"/>
      </w:pPr>
      <w:r>
        <w:rPr>
          <w:b/>
        </w:rPr>
        <w:t xml:space="preserve">Notes: </w:t>
      </w:r>
      <w:r>
        <w:t>abstract_source=crossref</w:t>
      </w:r>
    </w:p>
    <w:p>
      <w:pPr>
        <w:spacing w:before="0" w:after="80" w:lineRule="auto" w:line="276"/>
      </w:pPr>
      <w:r>
        <w:rPr>
          <w:b/>
        </w:rPr>
        <w:t xml:space="preserve">摘要（ZH）: </w:t>
      </w:r>
      <w:r>
        <w:t>过去几年来,在大约50年前的密集初始勘探阶段之后,分子太阳热贮存系统在过去几年中日益受到关注,文献中已经流传了多个术语,如太阳热能燃料或太阳热电池,除了澄清术语外,我们还采用“最原始”一词,作为一个分子实体,能够收获和储存以热为形式的光能。此外,我们重新审视了对实用系统的要求,并将这一概念从历史的角度来看待未来前景。</w:t>
      </w:r>
    </w:p>
    <w:p>
      <w:pPr>
        <w:spacing w:before="0" w:after="200" w:lineRule="auto" w:line="276"/>
      </w:pPr>
      <w:r>
        <w:rPr>
          <w:b/>
        </w:rPr>
        <w:t xml:space="preserve">Abstract (EN): </w:t>
      </w:r>
      <w:r>
        <w:t>Molecular solar thermal storage (MOST) systems have gained increasing attention in the past years after an intense initial exploration phase around five decades ago. Over time multiple terms have been circulating in the literature, such as solar thermal fuels or solar thermal batteries. Besides clarifying the nomenclature, we introduce the term “mostophore” as a molecular entity able to harvest and store light energy in the form of heat. Furthermore, we revisit the requirements for practical systems and put the concept in a historic perspective with a future outlook.</w:t>
      </w:r>
    </w:p>
    <w:p>
      <w:pPr>
        <w:spacing w:before="120" w:after="120"/>
      </w:pPr>
      <w:r>
        <w:rPr>
          <w:sz w:val="18"/>
        </w:rPr>
        <w:t>——————————————————————————————————————————————————————————————————————</w:t>
      </w:r>
    </w:p>
    <w:p>
      <w:pPr>
        <w:spacing w:before="160" w:after="40" w:line="240" w:lineRule="auto"/>
      </w:pPr>
      <w:r>
        <w:rPr>
          <w:b/>
        </w:rPr>
        <w:t xml:space="preserve">[57] </w:t>
      </w:r>
      <w:hyperlink r:id="rId95">
        <w:r>
          <w:rPr>
            <w:color w:val="1155CC"/>
            <w:u w:val="single"/>
          </w:rPr>
          <w:t>三种变形, " 四刺激:在双苯二苯基二苯基开关中平衡债券顺序和芳香度 " 。</w:t>
        </w:r>
      </w:hyperlink>
    </w:p>
    <w:p>
      <w:pPr>
        <w:spacing w:before="0" w:after="80"/>
      </w:pPr>
      <w:r>
        <w:rPr>
          <w:i/>
          <w:sz w:val="20"/>
        </w:rPr>
        <w:t>EN: Three Conformations, Four Stimuli: Balancing Bond Order and Aromaticity in a Dual‐BN Dihydrophenazine Switch</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6">
        <w:r>
          <w:rPr>
            <w:color w:val="1155CC"/>
            <w:u w:val="single"/>
          </w:rPr>
          <w:t>10.1002/anie.202522719</w:t>
        </w:r>
      </w:hyperlink>
    </w:p>
    <w:p>
      <w:pPr>
        <w:spacing w:before="0" w:after="120"/>
      </w:pPr>
      <w:r>
        <w:rPr>
          <w:b/>
        </w:rPr>
        <w:t xml:space="preserve">Notes: </w:t>
      </w:r>
      <w:r>
        <w:t>abstract_source=crossref</w:t>
      </w:r>
    </w:p>
    <w:p>
      <w:pPr>
        <w:spacing w:before="0" w:after="80" w:lineRule="auto" w:line="276"/>
      </w:pPr>
      <w:r>
        <w:rPr>
          <w:b/>
        </w:rPr>
        <w:t xml:space="preserve">摘要（ZH）: </w:t>
      </w:r>
      <w:r>
        <w:t>满足多种异质之间若干刺激或开关的抽象设计系统仍然具有挑战性。一种二联二苯并呋喃,其中芳香性变化与内部B-N旋转相结合,作为多状态光学开关运作,可通过热、强力、光或红氧化物投入进行处理。正如天等人报告的那样(https://doi.org/10.1002/anov.70012),该系统体现了通向conjugied多式联运开关的新途径。</w:t>
      </w:r>
    </w:p>
    <w:p>
      <w:pPr>
        <w:spacing w:before="0" w:after="200" w:lineRule="auto" w:line="276"/>
      </w:pPr>
      <w:r>
        <w:rPr>
          <w:b/>
        </w:rPr>
        <w:t xml:space="preserve">Abstract (EN): </w:t>
      </w:r>
      <w:r>
        <w:t>Designing π systems that respond to several stimuli or switch among multiple conformations remains challenging. A diborylated dihydrophenazine, in which aromaticity changes are coupled to internal B─N rotations, operates as a multistate optical switch addressable by heat, force, light, or redox inputs. The system exemplifies a new route to π‐conjugated multimodal switches, as reported by Tian et al. (</w:t>
      </w:r>
      <w:r>
        <w:t xml:space="preserve"> </w:t>
      </w:r>
      <w:r>
        <w:t>https://doi.org/10.1002/anov.70012</w:t>
      </w:r>
      <w:r>
        <w:t xml:space="preserve"> </w:t>
      </w:r>
      <w:r>
        <w:t>).</w:t>
      </w:r>
    </w:p>
    <w:p>
      <w:pPr>
        <w:spacing w:before="120" w:after="120"/>
      </w:pPr>
      <w:r>
        <w:rPr>
          <w:sz w:val="18"/>
        </w:rPr>
        <w:t>——————————————————————————————————————————————————————————————————————</w:t>
      </w:r>
    </w:p>
    <w:p>
      <w:pPr>
        <w:spacing w:before="160" w:after="40" w:line="240" w:lineRule="auto"/>
      </w:pPr>
      <w:r>
        <w:rPr>
          <w:b/>
        </w:rPr>
        <w:t xml:space="preserve">[58] </w:t>
      </w:r>
      <w:hyperlink r:id="rId97">
        <w:r>
          <w:rPr>
            <w:color w:val="1155CC"/>
            <w:u w:val="single"/>
          </w:rPr>
          <w:t>PH-反应金属-肿瘤光动光学免疫疗法有机胶囊</w:t>
        </w:r>
      </w:hyperlink>
    </w:p>
    <w:p>
      <w:pPr>
        <w:spacing w:before="0" w:after="80"/>
      </w:pPr>
      <w:r>
        <w:rPr>
          <w:i/>
          <w:sz w:val="20"/>
        </w:rPr>
        <w:t>EN: Anionic Hofmeister Effect Differentiated Subcellular Distributions of pH‐Responsive Metal–Organic Cages for Tumor Photodynamic Immunotherapy</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98">
        <w:r>
          <w:rPr>
            <w:color w:val="1155CC"/>
            <w:u w:val="single"/>
          </w:rPr>
          <w:t>10.1002/anie.202515058</w:t>
        </w:r>
      </w:hyperlink>
    </w:p>
    <w:p>
      <w:pPr>
        <w:spacing w:before="0" w:after="120"/>
      </w:pPr>
      <w:r>
        <w:rPr>
          <w:b/>
        </w:rPr>
        <w:t xml:space="preserve">Notes: </w:t>
      </w:r>
      <w:r>
        <w:t>abstract_source=crossref</w:t>
      </w:r>
    </w:p>
    <w:p>
      <w:pPr>
        <w:spacing w:before="0" w:after="80" w:lineRule="auto" w:line="276"/>
      </w:pPr>
      <w:r>
        <w:rPr>
          <w:b/>
        </w:rPr>
        <w:t xml:space="preserve">摘要（ZH）: </w:t>
      </w:r>
      <w:r>
        <w:t>精确控制子细胞分布为增进对细胞生物学的理解和定向神经战略提供了显著的优势。 我们在此报告,pH-反应性金属-有机笼子 MOC68 的动电霍夫米斯特效应触发了PH-反应性金属-有机笼子的 Alnertisy, 该效应管理亚细胞分布,其盐碱-OT MOC68BF 4 展示了优等细胞膜锚定,而盐碱 MOC68Cl 展示了更多的内分泌性,以达到淋病性目标。 由于将蛋白质成异性、相容性适应的地雷脊椎和微秒月光寿命的多功能结合到纳米孔中,这些分子展示了PH-反应性单氧化物。</w:t>
      </w:r>
    </w:p>
    <w:p>
      <w:pPr>
        <w:spacing w:before="0" w:after="200" w:lineRule="auto" w:line="276"/>
      </w:pPr>
      <w:r>
        <w:rPr>
          <w:b/>
        </w:rPr>
        <w:t xml:space="preserve">Abstract (EN): </w:t>
      </w:r>
      <w:r>
        <w:t>The precise control of subcellular distribution offers significant advantages for advancing the understanding of cellular biology and targeted theranostics strategies. Herein, we report anionic Hofmeister effect triggered allostery of pH‐responsive metal–organic cage MOC‐68, which regulates the subcellular distributions with the salting‐out MOC‐68‐BF</w:t>
      </w:r>
      <w:r>
        <w:rPr>
          <w:vertAlign w:val="subscript"/>
        </w:rPr>
        <w:t>4</w:t>
      </w:r>
      <w:r>
        <w:t>exhibiting preferential cell membrane anchoring, while the salting‐in MOC‐68‐Cl demonstrating more endocytosis for lysosome targeting. Owing to the integration of multi‐functionalities of protonating imidazole moieties, conformationally adaptive amine vertices, and microsecond luminescent lifetimes into a nanocage, these MOCs show pH‐responsive singlet oxygen (</w:t>
      </w:r>
      <w:r>
        <w:rPr>
          <w:vertAlign w:val="subscript"/>
        </w:rPr>
        <w:t>1</w:t>
      </w:r>
      <w:r>
        <w:t>O</w:t>
      </w:r>
      <w:r>
        <w:rPr>
          <w:vertAlign w:val="subscript"/>
        </w:rPr>
        <w:t>2</w:t>
      </w:r>
      <w:r>
        <w:t>) generation through energy transfer pathways, and achieve microenvironment‐programmed photodynamic precision by anchoring MOC‐68‐BF</w:t>
      </w:r>
      <w:r>
        <w:rPr>
          <w:vertAlign w:val="subscript"/>
        </w:rPr>
        <w:t>4</w:t>
      </w:r>
      <w:r>
        <w:t>to near‐neutral cell membranes whereas enriching MOC‐68‐Cl in acidic lysosomes, which drives spatially resolved</w:t>
      </w:r>
      <w:r>
        <w:rPr>
          <w:vertAlign w:val="subscript"/>
        </w:rPr>
        <w:t>1</w:t>
      </w:r>
      <w:r>
        <w:t>O</w:t>
      </w:r>
      <w:r>
        <w:rPr>
          <w:vertAlign w:val="subscript"/>
        </w:rPr>
        <w:t>2</w:t>
      </w:r>
      <w:r>
        <w:t>generation gradients via protonation‐optimized metal‐to‐ligand charge transfer. Moreover, MOC‐68‐Cl achieves superior photocytotoxicity through PANoptosis‐mediated immunogenic cell death, driving primary tumor ablation via localized</w:t>
      </w:r>
      <w:r>
        <w:rPr>
          <w:vertAlign w:val="subscript"/>
        </w:rPr>
        <w:t>1</w:t>
      </w:r>
      <w:r>
        <w:t>O</w:t>
      </w:r>
      <w:r>
        <w:rPr>
          <w:vertAlign w:val="subscript"/>
        </w:rPr>
        <w:t>2</w:t>
      </w:r>
      <w:r>
        <w:t>burst while systemically activating T cell‐dependent adaptive immunity to concurrently suppress tumor progression and inhibit lung metastasis. This work highlights the potential of anion‐mediated biological behaviors of MOCs, providing a way to advance nanocage biomedicine for future precision theranostic applications.</w:t>
      </w:r>
    </w:p>
    <w:p>
      <w:pPr>
        <w:spacing w:before="120" w:after="120"/>
      </w:pPr>
      <w:r>
        <w:rPr>
          <w:sz w:val="18"/>
        </w:rPr>
        <w:t>——————————————————————————————————————————————————————————————————————</w:t>
      </w:r>
    </w:p>
    <w:p>
      <w:pPr>
        <w:spacing w:before="160" w:after="40" w:line="240" w:lineRule="auto"/>
      </w:pPr>
      <w:r>
        <w:rPr>
          <w:b/>
        </w:rPr>
        <w:t xml:space="preserve">[59] </w:t>
      </w:r>
      <w:hyperlink r:id="rId99">
        <w:r>
          <w:rPr>
            <w:color w:val="1155CC"/>
            <w:u w:val="single"/>
          </w:rPr>
          <w:t>超越地方协调:全球结构工程师如何选择单一原子催化器减少二氧化碳</w:t>
        </w:r>
      </w:hyperlink>
    </w:p>
    <w:p>
      <w:pPr>
        <w:spacing w:before="0" w:after="80"/>
      </w:pPr>
      <w:r>
        <w:rPr>
          <w:i/>
          <w:sz w:val="20"/>
        </w:rPr>
        <w:t>EN: Beyond Local Coordination: How Global Structure Engineers the Selectivity of Single Atom Catalysts for CO2 Reduction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0">
        <w:r>
          <w:rPr>
            <w:color w:val="1155CC"/>
            <w:u w:val="single"/>
          </w:rPr>
          <w:t>10.1002/anie.202519826</w:t>
        </w:r>
      </w:hyperlink>
    </w:p>
    <w:p>
      <w:pPr>
        <w:spacing w:before="0" w:after="120"/>
      </w:pPr>
      <w:r>
        <w:rPr>
          <w:b/>
        </w:rPr>
        <w:t xml:space="preserve">Notes: </w:t>
      </w:r>
      <w:r>
        <w:t>abstract_source=crossref</w:t>
      </w:r>
    </w:p>
    <w:p>
      <w:pPr>
        <w:spacing w:before="0" w:after="80" w:lineRule="auto" w:line="276"/>
      </w:pPr>
      <w:r>
        <w:rPr>
          <w:b/>
        </w:rPr>
        <w:t xml:space="preserve">摘要（ZH）: </w:t>
      </w:r>
      <w:r>
        <w:t>活动中心的局部结构一般被认为决定了催化性能,但这一规则在许多情况下都失败。 代表性案例之一是碳基单原子催化剂(SACs ), Ndoped碳(NC ) 和phthalocyanine (Pc) 基质通常用不同的性能赋予相同的活动中心(MN 4 ) 。 在这里,我们公布了一个内在的全球-地方互动机制,在这个机制中,全球结构工程,加上地方敏感度,决定了SAC的催化性能。 具体地说,类似的局部活动地点产生相似的d-波段中心和反应热力学,而不同的Gl则产生了不同的Gl。</w:t>
      </w:r>
    </w:p>
    <w:p>
      <w:pPr>
        <w:spacing w:before="0" w:after="200" w:lineRule="auto" w:line="276"/>
      </w:pPr>
      <w:r>
        <w:rPr>
          <w:b/>
        </w:rPr>
        <w:t xml:space="preserve">Abstract (EN): </w:t>
      </w:r>
      <w:r>
        <w:t>The local structure of the active center is generally believed to determine the catalytic performance, but this rule fails in many situations. One of the representative cases is carbon‐based single‐atom catalysts (SACs), where Ndoped carbon (NC) and phthalocyanine (Pc) substrates usually endow the same active center (MN</w:t>
      </w:r>
      <w:r>
        <w:rPr>
          <w:vertAlign w:val="subscript"/>
        </w:rPr>
        <w:t>4</w:t>
      </w:r>
      <w:r>
        <w:t>) with different performance. Herein, we unveiled an intrinsic global–local interplay mechanism, in which global structural engineering, coupled with local‐site sensitivity, determines the catalytic performance of SACs. Specifically, the similar local active sites yield comparable</w:t>
      </w:r>
      <w:r>
        <w:t xml:space="preserve"> </w:t>
      </w:r>
      <w:r>
        <w:t>d</w:t>
      </w:r>
      <w:r>
        <w:t xml:space="preserve"> </w:t>
      </w:r>
      <w:r>
        <w:t>‐band centers and reaction thermodynamics, while the distinct global structures induce markedly different potentials of zero charge (PZC). This disparity leads to the varying electron accommodation capacity and interfacial water orientation, altering the reaction energetics. Moreover, the degree of this global effect critically depends on the sensitivity of the local charge of the active site to the global structural variation. As a result, Co SACs, with greater sensitivity than Fe and Ni SACs, exhibit completely opposite selectivity between CoNC and CoPc. Our work transcends the conventional local‐site paradigm and highlights the important role of global structure, in concert with local sensitivity, in governing catalytic performance.</w:t>
      </w:r>
    </w:p>
    <w:p>
      <w:pPr>
        <w:spacing w:before="120" w:after="120"/>
      </w:pPr>
      <w:r>
        <w:rPr>
          <w:sz w:val="18"/>
        </w:rPr>
        <w:t>——————————————————————————————————————————————————————————————————————</w:t>
      </w:r>
    </w:p>
    <w:p>
      <w:pPr>
        <w:spacing w:before="160" w:after="40" w:line="240" w:lineRule="auto"/>
      </w:pPr>
      <w:r>
        <w:rPr>
          <w:b/>
        </w:rPr>
        <w:t xml:space="preserve">[60] </w:t>
      </w:r>
      <w:hyperlink r:id="rId101">
        <w:r>
          <w:rPr>
            <w:color w:val="1155CC"/>
            <w:u w:val="single"/>
          </w:rPr>
          <w:t>使用酒精脱氢酶与阿米因或锡醇的酒精混合</w:t>
        </w:r>
      </w:hyperlink>
    </w:p>
    <w:p>
      <w:pPr>
        <w:spacing w:before="0" w:after="80"/>
      </w:pPr>
      <w:r>
        <w:rPr>
          <w:i/>
          <w:sz w:val="20"/>
        </w:rPr>
        <w:t>EN: Amide and Thioester Synthesis Via Oxidative Coupling of Alcohols with Amines or Thiols Using Alcohol Dehydrogenases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2">
        <w:r>
          <w:rPr>
            <w:color w:val="1155CC"/>
            <w:u w:val="single"/>
          </w:rPr>
          <w:t>10.1002/anie.202515469</w:t>
        </w:r>
      </w:hyperlink>
    </w:p>
    <w:p>
      <w:pPr>
        <w:spacing w:before="0" w:after="120"/>
      </w:pPr>
      <w:r>
        <w:rPr>
          <w:b/>
        </w:rPr>
        <w:t xml:space="preserve">Notes: </w:t>
      </w:r>
      <w:r>
        <w:t>abstract_source=crossref</w:t>
      </w:r>
    </w:p>
    <w:p>
      <w:pPr>
        <w:spacing w:before="0" w:after="80" w:lineRule="auto" w:line="276"/>
      </w:pPr>
      <w:r>
        <w:rPr>
          <w:b/>
        </w:rPr>
        <w:t xml:space="preserve">摘要（ZH）: </w:t>
      </w:r>
      <w:r>
        <w:t>药物、天然产品和功能性材料中普遍存在抽象氨化和硫化物和硫化物,但化学合成的化学成分缺乏原子经济和不绿色条件,而生物催化方法需要ATP-依赖酶、活性中间体,或显示有限的范围和活动。在这里,我们报告酒精与氨或氨的氧化性结合,通过酒精脱氢酶(ADHs)催化的酒精脱氢酶(ADHs)通过血膜中间体形成初级和二级氨化物在pH9.5至10.5。 Pf-ADH最好转换线性脂性酒精或丙烯醇(高达90%的转化),而PPPADH和AAAADH最好转换分支或芳性酒精(高达99%的转化)。</w:t>
      </w:r>
    </w:p>
    <w:p>
      <w:pPr>
        <w:spacing w:before="0" w:after="200" w:lineRule="auto" w:line="276"/>
      </w:pPr>
      <w:r>
        <w:rPr>
          <w:b/>
        </w:rPr>
        <w:t xml:space="preserve">Abstract (EN): </w:t>
      </w:r>
      <w:r>
        <w:t>Amide and thioester moieties are prevalent in pharmaceuticals, natural products, and functional materials, but their chemical synthesis suffers from poor atom economy and ungreen conditions, while biocatalytic methods require ATP‐dependent enzymes, activated intermediates, or show limited scope and activity. Here, we report the oxidative coupling of alcohols with ammonia or amines catalyzed by alcohol dehydrogenases (ADHs) via hemiaminal intermediates to form primary and secondary amides at pH 9.5–10.5. Pf‐ADH preferably converted linear aliphatic or arylaliphatic alcohols (up to 90% conversion), while Pp‐ADH and Aa‐ADH preferably converted branched or aromatic alcohols (up to 99% conversion). Preparative‐scale synthesis of an N‐methyl amide gave &amp;gt;99% conversion and 87% isolated yield. The method was extended to thioacid and thioester formation via hemithioacetal intermediates using hydrogen sulfide or thiols at pH 7. Pf‐ADH favored linear aliphatic alcohols (up to 93% conversion), Pp‐ADH branched alcohols (up to 82% conversion), and Aa‐ADH aromatic alcohols (up to 98% conversion). A KPi/MTBE biphasic system enabled the reaction with poorly soluble long‐chain thiols. Structure‐guided engineering of Aa‐ADH led to the Y151A and L186A variants with expanded activity toward longer‐chain amines or thiols. This work highlights how enzyme promiscuity with protein engineering can enable new‐to‐nature synthetic pathways for the production of valuable compounds.</w:t>
      </w:r>
    </w:p>
    <w:p>
      <w:pPr>
        <w:spacing w:before="120" w:after="120"/>
      </w:pPr>
      <w:r>
        <w:rPr>
          <w:sz w:val="18"/>
        </w:rPr>
        <w:t>——————————————————————————————————————————————————————————————————————</w:t>
      </w:r>
    </w:p>
    <w:p>
      <w:pPr>
        <w:spacing w:before="160" w:after="40" w:line="240" w:lineRule="auto"/>
      </w:pPr>
      <w:r>
        <w:rPr>
          <w:b/>
        </w:rPr>
        <w:t xml:space="preserve">[61] </w:t>
      </w:r>
      <w:hyperlink r:id="rId103">
        <w:r>
          <w:rPr>
            <w:color w:val="1155CC"/>
            <w:u w:val="single"/>
          </w:rPr>
          <w:t>Nanodomains 优化离子转换调频高压和实用功用金属电池条例</w:t>
        </w:r>
      </w:hyperlink>
    </w:p>
    <w:p>
      <w:pPr>
        <w:spacing w:before="0" w:after="80"/>
      </w:pPr>
      <w:r>
        <w:rPr>
          <w:i/>
          <w:sz w:val="20"/>
        </w:rPr>
        <w:t>EN: Polymer‐Nanodomains Regulation for Optimized Ionic Translocation Enabling High‐Voltage and Practical Utility Lithium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4">
        <w:r>
          <w:rPr>
            <w:color w:val="1155CC"/>
            <w:u w:val="single"/>
          </w:rPr>
          <w:t>10.1002/anie.202515515</w:t>
        </w:r>
      </w:hyperlink>
    </w:p>
    <w:p>
      <w:pPr>
        <w:spacing w:before="0" w:after="120"/>
      </w:pPr>
      <w:r>
        <w:rPr>
          <w:b/>
        </w:rPr>
        <w:t xml:space="preserve">Notes: </w:t>
      </w:r>
      <w:r>
        <w:t>abstract_source=crossref</w:t>
      </w:r>
    </w:p>
    <w:p>
      <w:pPr>
        <w:spacing w:before="0" w:after="80" w:lineRule="auto" w:line="276"/>
      </w:pPr>
      <w:r>
        <w:rPr>
          <w:b/>
        </w:rPr>
        <w:t xml:space="preserve">摘要（ZH）: </w:t>
      </w:r>
      <w:r>
        <w:t>摘要高压固态锂金属电池(HVSSLMBs)将高压碳化物(HVCs)与锂金属阳极结合,为下一代能源储存提供了巨大希望。然而,高压充电在阴极诱发液态氧氧化,产生活性氧物种(ROS),降解无机固体电解液。此外,低室温性离子传导性以及聚合物电解液的电化学稳定性有限,阻碍了它们与HVCs的应用。在这里,我们设计了一个复合聚合电解解液(CPE),通过精密聚合物-纳诺多曼工程,用二氧化物的二次纳米内聚体进行设计。这一结构将一个带有动态分流运动、形成互连体的混合框架结合起来。</w:t>
      </w:r>
    </w:p>
    <w:p>
      <w:pPr>
        <w:spacing w:before="0" w:after="200" w:lineRule="auto" w:line="276"/>
      </w:pPr>
      <w:r>
        <w:rPr>
          <w:b/>
        </w:rPr>
        <w:t xml:space="preserve">Abstract (EN): </w:t>
      </w:r>
      <w:r>
        <w:t>High‐voltage solid‐state lithium metal batteries (HVSSLMBs) integrate high‐voltage cathodes (HVCs) with lithium metal anodes, offering great promise for next‐generation energy storage. However, high‐voltage charging induces lattice oxygen oxidation at the cathode, generating reactive oxygen species (ROS) that degrade inorganic solid electrolytes. In addition, the low room‐temperature ionic conductivity and limited electrochemical stability of polymer electrolytes hinder their application with HVCs. Here, we design a composite polymer electrolyte (CPE) with dual‐domain‐coupled secondary nanoconfinement via precise polymer–nanodomain engineering. This structure combines a mesoporous framework with dynamic segmental motion, forming interconnected ion channels between free and anchored domains. The anchoring domains with high negative surface potential preload lithium ions, thereby increasing the local ion density and promoting a continuous high‐conductance path. Benefiting from the protection mechanism of the nanoconfined system, the chemical stability of the polymer is greatly improved, thus achieving operation at high voltage. Cells paired with 4.8 V LRMO (Li</w:t>
      </w:r>
      <w:r>
        <w:t xml:space="preserve"> </w:t>
      </w:r>
      <w:r>
        <w:t>1.2</w:t>
      </w:r>
      <w:r>
        <w:t xml:space="preserve"> </w:t>
      </w:r>
      <w:r>
        <w:t>Ni</w:t>
      </w:r>
      <w:r>
        <w:t xml:space="preserve"> </w:t>
      </w:r>
      <w:r>
        <w:t>0.13</w:t>
      </w:r>
      <w:r>
        <w:t xml:space="preserve"> </w:t>
      </w:r>
      <w:r>
        <w:t>Co</w:t>
      </w:r>
      <w:r>
        <w:t xml:space="preserve"> </w:t>
      </w:r>
      <w:r>
        <w:t>0.13</w:t>
      </w:r>
      <w:r>
        <w:t xml:space="preserve"> </w:t>
      </w:r>
      <w:r>
        <w:t>Mn</w:t>
      </w:r>
      <w:r>
        <w:t xml:space="preserve"> </w:t>
      </w:r>
      <w:r>
        <w:t>0.54</w:t>
      </w:r>
      <w:r>
        <w:t xml:space="preserve"> </w:t>
      </w:r>
      <w:r>
        <w:t>O</w:t>
      </w:r>
      <w:r>
        <w:rPr>
          <w:vertAlign w:val="subscript"/>
        </w:rPr>
        <w:t>2</w:t>
      </w:r>
      <w:r>
        <w:t>) retained 80.37% capacity after 200 cycles. Notably, this study reported the first‐ever assembly of a large‐format pouch cell combining a CPE with the LRMO cathode, delivering an impressive energy density of 419.47 Wh kg</w:t>
      </w:r>
      <w:r>
        <w:t xml:space="preserve"> </w:t>
      </w:r>
      <w:r>
        <w:t>−1</w:t>
      </w:r>
      <w:r>
        <w:t xml:space="preserve"> </w:t>
      </w:r>
      <w:r>
        <w:t>at a capacity of 4.61 Ah. This advancement marks a significant milestone in the application of HVSSLMBs.</w:t>
      </w:r>
    </w:p>
    <w:p>
      <w:pPr>
        <w:spacing w:before="120" w:after="120"/>
      </w:pPr>
      <w:r>
        <w:rPr>
          <w:sz w:val="18"/>
        </w:rPr>
        <w:t>——————————————————————————————————————————————————————————————————————</w:t>
      </w:r>
    </w:p>
    <w:p>
      <w:pPr>
        <w:spacing w:before="160" w:after="40" w:line="240" w:lineRule="auto"/>
      </w:pPr>
      <w:r>
        <w:rPr>
          <w:b/>
        </w:rPr>
        <w:t xml:space="preserve">[62] </w:t>
      </w:r>
      <w:hyperlink r:id="rId105">
        <w:r>
          <w:rPr>
            <w:color w:val="1155CC"/>
            <w:u w:val="single"/>
          </w:rPr>
          <w:t>在酸和碱性介质中减少氧气反应</w:t>
        </w:r>
      </w:hyperlink>
    </w:p>
    <w:p>
      <w:pPr>
        <w:spacing w:before="0" w:after="80"/>
      </w:pPr>
      <w:r>
        <w:rPr>
          <w:i/>
          <w:sz w:val="20"/>
        </w:rPr>
        <w:t>EN: Spin‐Matching Effect Triggering Enhanced Oxygen Reduction Reaction in Acidic and Alkaline Media</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6">
        <w:r>
          <w:rPr>
            <w:color w:val="1155CC"/>
            <w:u w:val="single"/>
          </w:rPr>
          <w:t>10.1002/anie.202515517</w:t>
        </w:r>
      </w:hyperlink>
    </w:p>
    <w:p>
      <w:pPr>
        <w:spacing w:before="0" w:after="120"/>
      </w:pPr>
      <w:r>
        <w:rPr>
          <w:b/>
        </w:rPr>
        <w:t xml:space="preserve">Notes: </w:t>
      </w:r>
      <w:r>
        <w:t>abstract_source=crossref</w:t>
      </w:r>
    </w:p>
    <w:p>
      <w:pPr>
        <w:spacing w:before="0" w:after="80" w:lineRule="auto" w:line="276"/>
      </w:pPr>
      <w:r>
        <w:rPr>
          <w:b/>
        </w:rPr>
        <w:t xml:space="preserve">摘要（ZH）: </w:t>
      </w:r>
      <w:r>
        <w:t>摘要:高性性能氧减氧反应(ORR)电解器(ORR)在pH广泛范围内可操作的电阻分析器的发展受到氢氧基中间体强吸附(*OH)的阻碍。这项工作引入了一种概念上创新的战略,即通过跨纤维工程来调节以原子散散散的FeNC基质(Pt/Fe SA NC)为基础的状纳米晶体。根据密度功能理论(DFT)的预测,我们通过精确控制Pt粒子大小(2-8纳米)来构建一个可旋转的建筑,从而产生脊髓灰质疏松效应,从而有效地减轻*HOH在依赖性有机纤维路径上的约束力。机械学研究表明,FN之间的协同作用。</w:t>
      </w:r>
    </w:p>
    <w:p>
      <w:pPr>
        <w:spacing w:before="0" w:after="200" w:lineRule="auto" w:line="276"/>
      </w:pPr>
      <w:r>
        <w:rPr>
          <w:b/>
        </w:rPr>
        <w:t xml:space="preserve">Abstract (EN): </w:t>
      </w:r>
      <w:r>
        <w:t>The development of high‐performance oxygen reduction reaction (ORR) electrocatalysts operable across broad pH ranges is hindered by strong adsorption of hydroxyl intermediates (*OH). This work introduces a conceptually novel strategy of spin‐state modulation via interfacial engineering to regulate platinum nanocrystals anchored on atomically dispersed Fe‐N‐C substrates (Pt/Fe</w:t>
      </w:r>
      <w:r>
        <w:t xml:space="preserve"> </w:t>
      </w:r>
      <w:r>
        <w:t>SA</w:t>
      </w:r>
      <w:r>
        <w:t xml:space="preserve"> </w:t>
      </w:r>
      <w:r>
        <w:t>‐NC). Based on density functional theory (DFT) predictions, we construct a spin‐state‐tunable architecture by precisely controlling Pt particle size (2–8 nm), which induces spin‐matching effects that effectively mitigate *OH over‐binding in pH‐dependent ORR path. Mechanistic studies indicate that the synergy between FeN</w:t>
      </w:r>
      <w:r>
        <w:rPr>
          <w:vertAlign w:val="subscript"/>
        </w:rPr>
        <w:t>4</w:t>
      </w:r>
      <w:r>
        <w:t>‐mediated metal‐support interactions and size‐dependent spin polarization facilitates charge transfer, weakening *OH adsorption and promoting its desorption. In alkaline conditions, ∼2 nm Pt nanoclusters with moderate spin density achieve a peak power density of 179 mW cm</w:t>
      </w:r>
      <w:r>
        <w:t xml:space="preserve"> </w:t>
      </w:r>
      <w:r>
        <w:t>−2</w:t>
      </w:r>
      <w:r>
        <w:t xml:space="preserve"> </w:t>
      </w:r>
      <w:r>
        <w:t>in Zn‐air batteries with 150 h stability. Under acidic media, ∼8 nm Pt nanoparticles with low‐spin configuration deliver a mass activity of 0.65 A mg</w:t>
      </w:r>
      <w:r>
        <w:t xml:space="preserve"> </w:t>
      </w:r>
      <w:r>
        <w:t>Pt</w:t>
      </w:r>
      <w:r>
        <w:t xml:space="preserve"> </w:t>
      </w:r>
      <w:r>
        <w:t>−1</w:t>
      </w:r>
      <w:r>
        <w:t xml:space="preserve"> </w:t>
      </w:r>
      <w:r>
        <w:t>and a peak power density of 730 mW cm</w:t>
      </w:r>
      <w:r>
        <w:t xml:space="preserve"> </w:t>
      </w:r>
      <w:r>
        <w:t>−2</w:t>
      </w:r>
      <w:r>
        <w:t xml:space="preserve"> </w:t>
      </w:r>
      <w:r>
        <w:t>in proton‐exchange membrane fuel cells (PEMFCs), outperforming commercial Pt/C and retaining 90% activity after 3000 cycles. This finding provides a spin‐engineering paradigm for designing advanced electrocatalysts with ultralow Pt loading.</w:t>
      </w:r>
    </w:p>
    <w:p>
      <w:pPr>
        <w:spacing w:before="120" w:after="120"/>
      </w:pPr>
      <w:r>
        <w:rPr>
          <w:sz w:val="18"/>
        </w:rPr>
        <w:t>——————————————————————————————————————————————————————————————————————</w:t>
      </w:r>
    </w:p>
    <w:p>
      <w:pPr>
        <w:spacing w:before="160" w:after="40" w:line="240" w:lineRule="auto"/>
      </w:pPr>
      <w:r>
        <w:rPr>
          <w:b/>
        </w:rPr>
        <w:t xml:space="preserve">[63] </w:t>
      </w:r>
      <w:hyperlink r:id="rId107">
        <w:r>
          <w:rPr>
            <w:color w:val="1155CC"/>
            <w:u w:val="single"/>
          </w:rPr>
          <w:t>用于高性能锌电池的Zinc溶解解深电极电解解解</w:t>
        </w:r>
      </w:hyperlink>
    </w:p>
    <w:p>
      <w:pPr>
        <w:spacing w:before="0" w:after="80"/>
      </w:pPr>
      <w:r>
        <w:rPr>
          <w:i/>
          <w:sz w:val="20"/>
        </w:rPr>
        <w:t>EN: A Zinc Solvation‐Tailored Deep Eutectic Electrolyte for High‐Performance Zinc‐Ion Batteries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08">
        <w:r>
          <w:rPr>
            <w:color w:val="1155CC"/>
            <w:u w:val="single"/>
          </w:rPr>
          <w:t>10.1002/anie.202514392</w:t>
        </w:r>
      </w:hyperlink>
    </w:p>
    <w:p>
      <w:pPr>
        <w:spacing w:before="0" w:after="120"/>
      </w:pPr>
      <w:r>
        <w:rPr>
          <w:b/>
        </w:rPr>
        <w:t xml:space="preserve">Notes: </w:t>
      </w:r>
      <w:r>
        <w:t>abstract_source=crossref</w:t>
      </w:r>
    </w:p>
    <w:p>
      <w:pPr>
        <w:spacing w:before="0" w:after="80" w:lineRule="auto" w:line="276"/>
      </w:pPr>
      <w:r>
        <w:rPr>
          <w:b/>
        </w:rPr>
        <w:t xml:space="preserve">摘要（ZH）: </w:t>
      </w:r>
      <w:r>
        <w:t>抽象水锌电池(AZIBs)作为安全且成本效益高的锂电池替代物(AZIBs)日益受到注意,因为它是安全的、成本效益高的;然而,由于氢进化(HER)、脱晶生长和地表消能等寄生反应,其性能基本上受到限制,这些反应是水的高度反应造成的。 在本研究中,我们报告了一种新型的无水深电极电解解(DES),称为OUUD122,由Zn(OTf) 2、尿素和二甲基硫氧化(DMSO)以1:2:2摩尔比率制成,在这种长期系统中,DMSO作为Zn 2+的协调剂,导致Zn(OTf)之间一个定义明确的溶解结构和一个扩展的氢苯网络。</w:t>
      </w:r>
    </w:p>
    <w:p>
      <w:pPr>
        <w:spacing w:before="0" w:after="200" w:lineRule="auto" w:line="276"/>
      </w:pPr>
      <w:r>
        <w:rPr>
          <w:b/>
        </w:rPr>
        <w:t xml:space="preserve">Abstract (EN): </w:t>
      </w:r>
      <w:r>
        <w:t>Aqueous zinc‐ion batteries (AZIBs) are gaining attention as safe and cost‐effective alternatives to lithium‐ion batteries; however, their performance is fundamentally limited by parasitic reactions such as hydrogen evolution (HER), dendrite growth, and surface passivation, which result from the high reactivity of water. In this study, we report a novel nonhydrated deep eutectic electrolyte (DES), termed OUD‐122, formulated from Zn(OTf)</w:t>
      </w:r>
      <w:r>
        <w:rPr>
          <w:vertAlign w:val="subscript"/>
        </w:rPr>
        <w:t>2</w:t>
      </w:r>
      <w:r>
        <w:t>, urea, and dimethyl sulfoxide (DMSO) in a 1:2:2 molar ratio. In this ternary system, DMSO acts as a coordinating ligand to Zn</w:t>
      </w:r>
      <w:r>
        <w:t xml:space="preserve"> </w:t>
      </w:r>
      <w:r>
        <w:t>2+</w:t>
      </w:r>
      <w:r>
        <w:t xml:space="preserve"> </w:t>
      </w:r>
      <w:r>
        <w:t>, resulting in a well‐defined solvation structure and an extended hydrogen‐bond network among Zn(OTf)</w:t>
      </w:r>
      <w:r>
        <w:rPr>
          <w:vertAlign w:val="subscript"/>
        </w:rPr>
        <w:t>2</w:t>
      </w:r>
      <w:r>
        <w:t>, urea, and DMSO. This coordination environment effectively suppresses parasitic reactions, prevents byproduct accumulation and electrode corrosion, and significantly expands the electrochemical stability window. As a result, Zn||Zn symmetric cell exhibits exceptional lifespan exceeding 3000 h without short‐circuiting, while Zn||Cu asymmetric cells maintain an average Coulombic efficiency of 98.4% over 400 cycles. Furthermore, Zn||Prussian Blue full cells deliver a discharge capacity of 82.5 mAh g</w:t>
      </w:r>
      <w:r>
        <w:t xml:space="preserve"> </w:t>
      </w:r>
      <w:r>
        <w:t>−1</w:t>
      </w:r>
      <w:r>
        <w:t xml:space="preserve"> </w:t>
      </w:r>
      <w:r>
        <w:t>over 5000 cycles at room temperature and maintain 89.6 mAh g</w:t>
      </w:r>
      <w:r>
        <w:t xml:space="preserve"> </w:t>
      </w:r>
      <w:r>
        <w:t>−1</w:t>
      </w:r>
      <w:r>
        <w:t xml:space="preserve"> </w:t>
      </w:r>
      <w:r>
        <w:t>after 800 cycles at 50</w:t>
      </w:r>
      <w:r>
        <w:t xml:space="preserve"> </w:t>
      </w:r>
      <w:r>
        <w:t>°C, demonstrating robust electrochemical performance and thermal resilience.</w:t>
      </w:r>
    </w:p>
    <w:p>
      <w:pPr>
        <w:spacing w:before="120" w:after="120"/>
      </w:pPr>
      <w:r>
        <w:rPr>
          <w:sz w:val="18"/>
        </w:rPr>
        <w:t>——————————————————————————————————————————————————————————————————————</w:t>
      </w:r>
    </w:p>
    <w:p>
      <w:pPr>
        <w:spacing w:before="160" w:after="40" w:line="240" w:lineRule="auto"/>
      </w:pPr>
      <w:r>
        <w:rPr>
          <w:b/>
        </w:rPr>
        <w:t xml:space="preserve">[64] </w:t>
      </w:r>
      <w:hyperlink r:id="rId109">
        <w:r>
          <w:rPr>
            <w:color w:val="1155CC"/>
            <w:u w:val="single"/>
          </w:rPr>
          <w:t>以水增强功能超快水溶解方式克服对水的疏水性</w:t>
        </w:r>
      </w:hyperlink>
    </w:p>
    <w:p>
      <w:pPr>
        <w:spacing w:before="0" w:after="80"/>
      </w:pPr>
      <w:r>
        <w:rPr>
          <w:i/>
          <w:sz w:val="20"/>
        </w:rPr>
        <w:t>EN: Overcoming Hydrophobicity with Water Enables Ultrafast Hydrolysis of Waste Polyethylene Terephthalate at Very Mild Conditions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10">
        <w:r>
          <w:rPr>
            <w:color w:val="1155CC"/>
            <w:u w:val="single"/>
          </w:rPr>
          <w:t>10.1002/anie.202514136</w:t>
        </w:r>
      </w:hyperlink>
    </w:p>
    <w:p>
      <w:pPr>
        <w:spacing w:before="0" w:after="120"/>
      </w:pPr>
      <w:r>
        <w:rPr>
          <w:b/>
        </w:rPr>
        <w:t xml:space="preserve">Notes: </w:t>
      </w:r>
      <w:r>
        <w:t>abstract_source=crossref</w:t>
      </w:r>
    </w:p>
    <w:p>
      <w:pPr>
        <w:spacing w:before="0" w:after="80" w:lineRule="auto" w:line="276"/>
      </w:pPr>
      <w:r>
        <w:rPr>
          <w:b/>
        </w:rPr>
        <w:t xml:space="preserve">摘要（ZH）: </w:t>
      </w:r>
      <w:r>
        <w:t>塑料的化学抽象循环利用有很大的希望,但是仍然受到可持续性问题的限制,因为聚乙烯乙烯的乙烯乙烯乙烯乙烯乙烯三甲二甲酸酯(PET)体现了这一挑战。在这里,我们引入了一种概念上创新的战略,通过对聚合物的微结构进行物理再造,克服PET内在的疏水性,从而克服PET的内在疏水性,使聚合物的微结构能够在非常温和的条件下进行超快的碱性水解。我们利用丙烯碳酸酯的能力——一种廉价、商业、绿色溶剂——有选择地溶解PET,进行热诱导阶段分离,并随后充当将水插入聚合物链的载体。在完全更换PC之后,水的吸收量超过聚合物质量的两倍,防止链复合,并建立一种相互连接。</w:t>
      </w:r>
    </w:p>
    <w:p>
      <w:pPr>
        <w:spacing w:before="0" w:after="200" w:lineRule="auto" w:line="276"/>
      </w:pPr>
      <w:r>
        <w:rPr>
          <w:b/>
        </w:rPr>
        <w:t xml:space="preserve">Abstract (EN): </w:t>
      </w:r>
      <w:r>
        <w:t>Chemical recycling of plastics holds great promise but remains constrained by sustainability issues, with polyethylene terephthalate (PET) epitomizing this challenge. Herein, we introduce a conceptually novel strategy that overcomes PET's intrinsic hydrophobicity by physically re‐engineering the polymer's microstructure to enable ultrafast alkaline hydrolysis under exceptionally mild conditions. We leverage the ability of propylene carbonate (PC)—an inexpensive, commercial, green solvent—to selectively dissolve PET, to thermally induce phase separation, and subsequently act as a carrier for water insertion between polymer chains. Upon complete PC replacement, the water uptake exceeds twice the polymer mass, preventing chain re‐compaction and establishing an interfacial environment that facilitates hydroxyl ion diffusion to ester bonds and depolymerization with minimal alkali consumption. As a result, water‐swollen PET fully depolymerizes (96% TPA yield) at atmospheric pressure within 5 min at 90  or under 2 h at room temperature, vastly outperforming conventional hydrolysis methods. The process achieves a 20‐fold reduction in energy footprint versus direct PET hydrolysis. It performs robustly on challenging, real‐world feedstocks—including textiles and mixed plastic waste—enabling selective depolymerization unaffected by PET crystallinity. A techno‐economic analysis (TEA) confirms energy efficiency and strong economic feasibility, demonstrating overall competitiveness with existing engineered technologies. Beyond PET, the physical mechanism underpinning the strategy offers a scalable and sustainable platform for recycling a wide range of condensation polymers.</w:t>
      </w:r>
    </w:p>
    <w:p>
      <w:pPr>
        <w:spacing w:before="120" w:after="120"/>
      </w:pPr>
      <w:r>
        <w:rPr>
          <w:sz w:val="18"/>
        </w:rPr>
        <w:t>——————————————————————————————————————————————————————————————————————</w:t>
      </w:r>
    </w:p>
    <w:p>
      <w:pPr>
        <w:spacing w:before="160" w:after="40" w:line="240" w:lineRule="auto"/>
      </w:pPr>
      <w:r>
        <w:rPr>
          <w:b/>
        </w:rPr>
        <w:t xml:space="preserve">[65] </w:t>
      </w:r>
      <w:hyperlink r:id="rId111">
        <w:r>
          <w:rPr>
            <w:color w:val="1155CC"/>
            <w:u w:val="single"/>
          </w:rPr>
          <w:t>通过灵活协调促进分子分离的自然内诺非菌素</w:t>
        </w:r>
      </w:hyperlink>
    </w:p>
    <w:p>
      <w:pPr>
        <w:spacing w:before="0" w:after="80"/>
      </w:pPr>
      <w:r>
        <w:rPr>
          <w:i/>
          <w:sz w:val="20"/>
        </w:rPr>
        <w:t>EN: Natural Resin Nanofilms through Flexible Coordination for Molecular Separation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12">
        <w:r>
          <w:rPr>
            <w:color w:val="1155CC"/>
            <w:u w:val="single"/>
          </w:rPr>
          <w:t>10.1002/anie.202513921</w:t>
        </w:r>
      </w:hyperlink>
    </w:p>
    <w:p>
      <w:pPr>
        <w:spacing w:before="0" w:after="120"/>
      </w:pPr>
      <w:r>
        <w:rPr>
          <w:b/>
        </w:rPr>
        <w:t xml:space="preserve">Notes: </w:t>
      </w:r>
      <w:r>
        <w:t>abstract_source=crossref</w:t>
      </w:r>
    </w:p>
    <w:p>
      <w:pPr>
        <w:spacing w:before="0" w:after="80" w:lineRule="auto" w:line="276"/>
      </w:pPr>
      <w:r>
        <w:rPr>
          <w:b/>
        </w:rPr>
        <w:t xml:space="preserve">摘要（ZH）: </w:t>
      </w:r>
      <w:r>
        <w:t>天然叶素溶剂松露剂通过与水态金属离子的相互协调,被化学组装成纳米纤维。</w:t>
      </w:r>
    </w:p>
    <w:p>
      <w:pPr>
        <w:spacing w:before="0" w:after="200" w:lineRule="auto" w:line="276"/>
      </w:pPr>
      <w:r>
        <w:rPr>
          <w:b/>
        </w:rPr>
        <w:t xml:space="preserve">Abstract (EN): </w:t>
      </w:r>
      <w:r>
        <w:t>Forestry biomass, with its diverse functionalities and abundant resources, holds great potential for the sustainable development of thin‐film technologies. However, high brittleness arising from the rigid structural units of most forestry biomass materials significantly hinders thin‐film processing. We demonstrate the transformation of rosin, a typical brittle forestry resin, into mechanically robust nanofilms with flexible chemical linkages. Carboxylic rosin derivatives solubilized in turpentine, a natural oleoresin solvent, were chemically assembled into nanofilms via interfacial coordination with aqueous metal ions. Tunable metal‐rosin coordination enables precise structural modulation of nanofilms to achieve exceptional stiffness (Young's modulus&amp;gt;120 GPa) while its dynamic nature renders nanofilms high elasticity for pliable integration. The resulting nanofilm composite membranes exhibit durable and efficient molecular sieving during nanofiltration, with pressure resistance up to 20 bar and superior permselectivity. As an emerging form of natural resin, these nanofilms may revolutionize the paradigm of biomass‐based thin films by overcoming brittleness through flexibility.</w:t>
      </w:r>
    </w:p>
    <w:p>
      <w:pPr>
        <w:spacing w:before="120" w:after="120"/>
      </w:pPr>
      <w:r>
        <w:rPr>
          <w:sz w:val="18"/>
        </w:rPr>
        <w:t>——————————————————————————————————————————————————————————————————————</w:t>
      </w:r>
    </w:p>
    <w:p>
      <w:pPr>
        <w:spacing w:before="160" w:after="40" w:line="240" w:lineRule="auto"/>
      </w:pPr>
      <w:r>
        <w:rPr>
          <w:b/>
        </w:rPr>
        <w:t xml:space="preserve">[66] </w:t>
      </w:r>
      <w:hyperlink r:id="rId113">
        <w:r>
          <w:rPr>
            <w:color w:val="1155CC"/>
            <w:u w:val="single"/>
          </w:rPr>
          <w:t>连接氧气-Driven RuOx Lattice 折叠及其持久工业减轻战略</w:t>
        </w:r>
      </w:hyperlink>
    </w:p>
    <w:p>
      <w:pPr>
        <w:spacing w:before="0" w:after="80"/>
      </w:pPr>
      <w:r>
        <w:rPr>
          <w:i/>
          <w:sz w:val="20"/>
        </w:rPr>
        <w:t>EN: Operando Insights into Bridging Oxygen‐Driven RuOx Lattice Collapse and its Mitigation Strategy for Durable Industrial PEMWE</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14">
        <w:r>
          <w:rPr>
            <w:color w:val="1155CC"/>
            <w:u w:val="single"/>
          </w:rPr>
          <w:t>10.1002/anie.202520766</w:t>
        </w:r>
      </w:hyperlink>
    </w:p>
    <w:p>
      <w:pPr>
        <w:spacing w:before="0" w:after="120"/>
      </w:pPr>
      <w:r>
        <w:rPr>
          <w:b/>
        </w:rPr>
        <w:t xml:space="preserve">Notes: </w:t>
      </w:r>
      <w:r>
        <w:t>abstract_source=crossref</w:t>
      </w:r>
    </w:p>
    <w:p>
      <w:pPr>
        <w:spacing w:before="0" w:after="80" w:lineRule="auto" w:line="276"/>
      </w:pPr>
      <w:r>
        <w:rPr>
          <w:b/>
        </w:rPr>
        <w:t xml:space="preserve">摘要（ZH）: </w:t>
      </w:r>
      <w:r>
        <w:t>环氧化铁摘要(RuO x ) 是质子交换膜水电解(PEMWE)的有希望的活性催化剂,但是其降解机制,特别是在实际的安培水平操作下,仍然难以找到。 在这里,我们建立了一个设备级诊断框架来调查RuO x的演进。基于Operationo PEMWE的XASX射线吸收光光谱仪(XAS)揭示了Ru K-Kidge的逐渐负变化。 扩展Xir射线吸收精细结构(EXAFS)的分析进一步显示Ru-O和Ru-O-Ruc的明显下降。</w:t>
      </w:r>
    </w:p>
    <w:p>
      <w:pPr>
        <w:spacing w:before="0" w:after="200" w:lineRule="auto" w:line="276"/>
      </w:pPr>
      <w:r>
        <w:rPr>
          <w:b/>
        </w:rPr>
        <w:t xml:space="preserve">Abstract (EN): </w:t>
      </w:r>
      <w:r>
        <w:t>Ruthenium oxide (RuO</w:t>
      </w:r>
      <w:r>
        <w:t xml:space="preserve"> </w:t>
      </w:r>
      <w:r>
        <w:t>x</w:t>
      </w:r>
      <w:r>
        <w:t xml:space="preserve"> </w:t>
      </w:r>
      <w:r>
        <w:t>) is a promising anode catalyst for proton exchange membrane water electrolysis (PEMWE), but its degradation mechanism, especially under practical ampere‐level operation, remains elusive. Herein, we established a device‐level diagnostic framework to investigate the evolution of RuO</w:t>
      </w:r>
      <w:r>
        <w:t xml:space="preserve"> </w:t>
      </w:r>
      <w:r>
        <w:t>x</w:t>
      </w:r>
      <w:r>
        <w:t xml:space="preserve"> </w:t>
      </w:r>
      <w:r>
        <w:t>.</w:t>
      </w:r>
      <w:r>
        <w:t xml:space="preserve"> </w:t>
      </w:r>
      <w:r>
        <w:t>Operando</w:t>
      </w:r>
      <w:r>
        <w:t xml:space="preserve"> </w:t>
      </w:r>
      <w:r>
        <w:t>PEMWE‐based X‐ray absorption spectroscopy (XAS) revealed a progressive negative shift of the Ru K‐edge. Extended X‐ray absorption fine structure (EXAFS) analysis further showed a pronounced decrease in both Ru–O and Ru–O–Ru coordination, revealing that irreversible loss of bridging oxygen (O</w:t>
      </w:r>
      <w:r>
        <w:t xml:space="preserve"> </w:t>
      </w:r>
      <w:r>
        <w:t>bridge</w:t>
      </w:r>
      <w:r>
        <w:t xml:space="preserve"> </w:t>
      </w:r>
      <w:r>
        <w:t>) triggers the final catalyst deactivation. Guided by these insights, we demonstrated that low‐level Ir doping in Ru</w:t>
      </w:r>
      <w:r>
        <w:t xml:space="preserve"> </w:t>
      </w:r>
      <w:r>
        <w:t>0.9</w:t>
      </w:r>
      <w:r>
        <w:t xml:space="preserve"> </w:t>
      </w:r>
      <w:r>
        <w:t>Ir</w:t>
      </w:r>
      <w:r>
        <w:t xml:space="preserve"> </w:t>
      </w:r>
      <w:r>
        <w:t>0.1</w:t>
      </w:r>
      <w:r>
        <w:t xml:space="preserve"> </w:t>
      </w:r>
      <w:r>
        <w:t>O</w:t>
      </w:r>
      <w:r>
        <w:t xml:space="preserve"> </w:t>
      </w:r>
      <w:r>
        <w:t>x</w:t>
      </w:r>
      <w:r>
        <w:t xml:space="preserve"> </w:t>
      </w:r>
      <w:r>
        <w:t>could notably increase the O</w:t>
      </w:r>
      <w:r>
        <w:t xml:space="preserve"> </w:t>
      </w:r>
      <w:r>
        <w:t>bridge</w:t>
      </w:r>
      <w:r>
        <w:t xml:space="preserve"> </w:t>
      </w:r>
      <w:r>
        <w:t>vacancy formation energy and thus stabilize the Ru–O framework. Under identical PEMWE operating conditions, the Ru valence state and coordination environment in Ru</w:t>
      </w:r>
      <w:r>
        <w:t xml:space="preserve"> </w:t>
      </w:r>
      <w:r>
        <w:t>0.9</w:t>
      </w:r>
      <w:r>
        <w:t xml:space="preserve"> </w:t>
      </w:r>
      <w:r>
        <w:t>Ir</w:t>
      </w:r>
      <w:r>
        <w:t xml:space="preserve"> </w:t>
      </w:r>
      <w:r>
        <w:t>0.1</w:t>
      </w:r>
      <w:r>
        <w:t xml:space="preserve"> </w:t>
      </w:r>
      <w:r>
        <w:t>O</w:t>
      </w:r>
      <w:r>
        <w:t xml:space="preserve"> </w:t>
      </w:r>
      <w:r>
        <w:t>x</w:t>
      </w:r>
      <w:r>
        <w:t xml:space="preserve"> </w:t>
      </w:r>
      <w:r>
        <w:t>remain relatively stable. In‐cell electrochemical impedance spectroscopy (EIS) and distribution of relaxation time (DRT) analyses confirmed that this structural stabilization strategy effectively maintains low electrode kinetic and proton transport resistances across a range of cell voltages, enabling stable operation at industrially relevant ampere‐level current densities. Finally, the resulting Ru</w:t>
      </w:r>
      <w:r>
        <w:t xml:space="preserve"> </w:t>
      </w:r>
      <w:r>
        <w:t>0.9</w:t>
      </w:r>
      <w:r>
        <w:t xml:space="preserve"> </w:t>
      </w:r>
      <w:r>
        <w:t>Ir</w:t>
      </w:r>
      <w:r>
        <w:t xml:space="preserve"> </w:t>
      </w:r>
      <w:r>
        <w:t>0.1</w:t>
      </w:r>
      <w:r>
        <w:t xml:space="preserve"> </w:t>
      </w:r>
      <w:r>
        <w:t>O</w:t>
      </w:r>
      <w:r>
        <w:t xml:space="preserve"> </w:t>
      </w:r>
      <w:r>
        <w:t>x</w:t>
      </w:r>
      <w:r>
        <w:t xml:space="preserve"> </w:t>
      </w:r>
      <w:r>
        <w:t>catalyst achieves 1.74 V at 3 A cm</w:t>
      </w:r>
      <w:r>
        <w:t xml:space="preserve"> </w:t>
      </w:r>
      <w:r>
        <w:t>−2</w:t>
      </w:r>
      <w:r>
        <w:t xml:space="preserve"> </w:t>
      </w:r>
      <w:r>
        <w:t>and stably operates for 500 h at 1 A cm</w:t>
      </w:r>
      <w:r>
        <w:t xml:space="preserve"> </w:t>
      </w:r>
      <w:r>
        <w:t>−2</w:t>
      </w:r>
      <w:r>
        <w:t xml:space="preserve"> </w:t>
      </w:r>
      <w:r>
        <w:t>, outperforming most reported Ru‐based anodes.</w:t>
      </w:r>
    </w:p>
    <w:p>
      <w:pPr>
        <w:spacing w:before="120" w:after="120"/>
      </w:pPr>
      <w:r>
        <w:rPr>
          <w:sz w:val="18"/>
        </w:rPr>
        <w:t>——————————————————————————————————————————————————————————————————————</w:t>
      </w:r>
    </w:p>
    <w:p>
      <w:pPr>
        <w:spacing w:before="160" w:after="40" w:line="240" w:lineRule="auto"/>
      </w:pPr>
      <w:r>
        <w:rPr>
          <w:b/>
        </w:rPr>
        <w:t xml:space="preserve">[67] </w:t>
      </w:r>
      <w:hyperlink r:id="rId115">
        <w:r>
          <w:rPr>
            <w:color w:val="1155CC"/>
            <w:u w:val="single"/>
          </w:rPr>
          <w:t>Cathepsin BTriggered COReleasing Moleculle 带无氧化金属核心,用于定向肿瘤交付</w:t>
        </w:r>
      </w:hyperlink>
    </w:p>
    <w:p>
      <w:pPr>
        <w:spacing w:before="0" w:after="80"/>
      </w:pPr>
      <w:r>
        <w:rPr>
          <w:i/>
          <w:sz w:val="20"/>
        </w:rPr>
        <w:t>EN: A Cathepsin B‐Triggered CO‐Releasing Molecule with a Non‐Toxic Metal Core for Targeted Tumor Delivery</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16">
        <w:r>
          <w:rPr>
            <w:color w:val="1155CC"/>
            <w:u w:val="single"/>
          </w:rPr>
          <w:t>10.1002/anie.202513808</w:t>
        </w:r>
      </w:hyperlink>
    </w:p>
    <w:p>
      <w:pPr>
        <w:spacing w:before="0" w:after="120"/>
      </w:pPr>
      <w:r>
        <w:rPr>
          <w:b/>
        </w:rPr>
        <w:t xml:space="preserve">Notes: </w:t>
      </w:r>
      <w:r>
        <w:t>abstract_source=crossref</w:t>
      </w:r>
    </w:p>
    <w:p>
      <w:pPr>
        <w:spacing w:before="0" w:after="80" w:lineRule="auto" w:line="276"/>
      </w:pPr>
      <w:r>
        <w:rPr>
          <w:b/>
        </w:rPr>
        <w:t xml:space="preserve">摘要（ZH）: </w:t>
      </w:r>
      <w:r>
        <w:t>一氧化碳摘要(CO)显示了各种疾病(包括癌症)的治疗潜力。为了能够控制下交付,已经开发了许多二氧化碳分子(CORMs),然而,由于对稳定性、潜在毒性和瞄准能力不足的关切,它们的临床翻译有限。在本研究报告中,我们报告了一种酶触发的二氧化碳分子(ET°CORM)的合成和定性,该分子可以具体定位于抗体。这个新颖的ET°CORMM是建立在一种生物兼容的铁核心之上的,在B类癌症相关蛋白质导管B(CatB)的分离中释放了CO。</w:t>
      </w:r>
    </w:p>
    <w:p>
      <w:pPr>
        <w:spacing w:before="0" w:after="200" w:lineRule="auto" w:line="276"/>
      </w:pPr>
      <w:r>
        <w:rPr>
          <w:b/>
        </w:rPr>
        <w:t xml:space="preserve">Abstract (EN): </w:t>
      </w:r>
      <w:r>
        <w:t>Carbon monoxide (CO) has shown therapeutic potential across various diseases, including cancer. To enable controlled delivery, many CO‐releasing molecules (CORMs) have been developed. However, their clinical translation has been limited due to concerns about stability, potential toxicity, and insufficient targeting ability. In this study, we report the synthesis and characterization of an enzyme‐triggered CO‐releasing molecule (</w:t>
      </w:r>
      <w:r>
        <w:t xml:space="preserve"> </w:t>
      </w:r>
      <w:r>
        <w:t>ET‐CORM</w:t>
      </w:r>
      <w:r>
        <w:t xml:space="preserve"> </w:t>
      </w:r>
      <w:r>
        <w:t>) that can be site‐specifically conjugated to antibodies. This novel</w:t>
      </w:r>
      <w:r>
        <w:t xml:space="preserve"> </w:t>
      </w:r>
      <w:r>
        <w:t>ET‐CORM</w:t>
      </w:r>
      <w:r>
        <w:t xml:space="preserve"> </w:t>
      </w:r>
      <w:r>
        <w:t>is built on a biocompatible iron core, and releases CO upon cleavage by the cancer‐associated protease cathepsin B (CatB). The incorporation of a bioorthogonal handle into</w:t>
      </w:r>
      <w:r>
        <w:t xml:space="preserve"> </w:t>
      </w:r>
      <w:r>
        <w:t>ET‐CORM</w:t>
      </w:r>
      <w:r>
        <w:t xml:space="preserve"> </w:t>
      </w:r>
      <w:r>
        <w:t>enabled its efficient and site‐specific conjugation to the clinically used antibody trastuzumab via the interchain disulfide bonds. The resulting ET‐CORM–antibody conjugate (</w:t>
      </w:r>
      <w:r>
        <w:t xml:space="preserve"> </w:t>
      </w:r>
      <w:r>
        <w:t>ET‐CORM‐Ab</w:t>
      </w:r>
      <w:r>
        <w:t xml:space="preserve"> </w:t>
      </w:r>
      <w:r>
        <w:t>) exhibited an average drug‐to‐antibody ratio (DAR) of 6.8, corresponding to approximately 20 CO molecules per conjugate. This construct allowed for selective intracellular CO delivery to HER2‐overexpressing and CatB‐expressing cells in vitro. This study represents a metal‐based CORM–antibody conjugate activated by a tumor‐associated enzymatic trigger, opening new avenues for investigating CO‐mediated effects and advancing CO‐based cancer therapies to the clinics.</w:t>
      </w:r>
    </w:p>
    <w:p>
      <w:pPr>
        <w:spacing w:before="120" w:after="120"/>
      </w:pPr>
      <w:r>
        <w:rPr>
          <w:sz w:val="18"/>
        </w:rPr>
        <w:t>——————————————————————————————————————————————————————————————————————</w:t>
      </w:r>
    </w:p>
    <w:p>
      <w:pPr>
        <w:spacing w:before="160" w:after="40" w:line="240" w:lineRule="auto"/>
      </w:pPr>
      <w:r>
        <w:rPr>
          <w:b/>
        </w:rPr>
        <w:t xml:space="preserve">[68] </w:t>
      </w:r>
      <w:hyperlink r:id="rId117">
        <w:r>
          <w:rPr>
            <w:color w:val="1155CC"/>
            <w:u w:val="single"/>
          </w:rPr>
          <w:t>独特的协调配置和水的相互平衡,由 " 反基伦效应 " 引起,具有特殊催化活动和选择性</w:t>
        </w:r>
      </w:hyperlink>
    </w:p>
    <w:p>
      <w:pPr>
        <w:spacing w:before="0" w:after="80"/>
      </w:pPr>
      <w:r>
        <w:rPr>
          <w:i/>
          <w:sz w:val="20"/>
        </w:rPr>
        <w:t>EN: Distinctive Coordination Configuration and Interfacial Water Balance Induced by Anti‐Kirkendall Effect Attain Exceptional Catalytic Activity and Selectivity</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18">
        <w:r>
          <w:rPr>
            <w:color w:val="1155CC"/>
            <w:u w:val="single"/>
          </w:rPr>
          <w:t>10.1002/anie.202513687</w:t>
        </w:r>
      </w:hyperlink>
    </w:p>
    <w:p>
      <w:pPr>
        <w:spacing w:before="0" w:after="120"/>
      </w:pPr>
      <w:r>
        <w:rPr>
          <w:b/>
        </w:rPr>
        <w:t xml:space="preserve">Notes: </w:t>
      </w:r>
      <w:r>
        <w:t>abstract_source=crossref</w:t>
      </w:r>
    </w:p>
    <w:p>
      <w:pPr>
        <w:spacing w:before="0" w:after="80" w:lineRule="auto" w:line="276"/>
      </w:pPr>
      <w:r>
        <w:rPr>
          <w:b/>
        </w:rPr>
        <w:t xml:space="preserve">摘要（ZH）: </w:t>
      </w:r>
      <w:r>
        <w:t>直接乙醇燃料电池(DEFCs)应用的关键挑战在于C-C裂痕的慢动动动能。在这里,硝酸中很大一部分保留在硝酸中,而PtFeCoNi 类纳米电线(PtFeCoNi foni foli 类类似纳米电线(PtFeCoNNNN)内,由于抗Kirkendall效应,空隙/气态不完全/气态。对地表Pt的高效电子调控导致乙醇氧化反应(EOR)活动强度较高,为1.82 A mg Pt-1和3.21 mg A cm-2,4.80 倍和5.10 倍,分别与Pt/C相比得到改善。在对50 000秒和1 500个连续潜在周期进行色光度测试后,Strikly,86.81%和82.42%的t。</w:t>
      </w:r>
    </w:p>
    <w:p>
      <w:pPr>
        <w:spacing w:before="0" w:after="200" w:lineRule="auto" w:line="276"/>
      </w:pPr>
      <w:r>
        <w:rPr>
          <w:b/>
        </w:rPr>
        <w:t xml:space="preserve">Abstract (EN): </w:t>
      </w:r>
      <w:r>
        <w:t>A critical challenge for the application of direct ethanol fuel cells (DEFCs) lies in the sluggish kinetics of C─C cleavage. Herein, a significant portion of Ni is retained in the interior of nitric acid etched PtFeCoNi pod‐like nanowires (PtFeCoNi‐N) with incomplete voids/cavities due to anti‐Kirkendall effect. The efficient electronic tuning toward surface Pt gives rise to the superior ethanol oxidation reaction (EOR) activity of 1.82 A mg</w:t>
      </w:r>
      <w:r>
        <w:t xml:space="preserve"> </w:t>
      </w:r>
      <w:r>
        <w:t>Pt</w:t>
      </w:r>
      <w:r>
        <w:t xml:space="preserve"> </w:t>
      </w:r>
      <w:r>
        <w:t>−1</w:t>
      </w:r>
      <w:r>
        <w:t xml:space="preserve"> </w:t>
      </w:r>
      <w:r>
        <w:t>and 3.21 mA cm</w:t>
      </w:r>
      <w:r>
        <w:t xml:space="preserve"> </w:t>
      </w:r>
      <w:r>
        <w:t>−2</w:t>
      </w:r>
      <w:r>
        <w:t xml:space="preserve"> </w:t>
      </w:r>
      <w:r>
        <w:t>, 4.80‐fold and 5.10‐fold improved relative to Pt/C, respectively. Strikingly, after chronoamperometric test of 50 000 s and 1500 consecutive potential cycles, 86.81% and 82.42% of the initial activity of PtFeCoNi‐N are retained. Multiple spectroscopic characterizations reveal that the PtFeCoNi‐N shows excellent selectivity toward C1 pathway even above 1.0 V. The lowered Pt coordination related to less occupancy of antibonding states plays a crucial role for enhancement in activity and selectivity. The interfacial microenvironment balance between hydrogen‐bonded H</w:t>
      </w:r>
      <w:r>
        <w:rPr>
          <w:vertAlign w:val="subscript"/>
        </w:rPr>
        <w:t>2</w:t>
      </w:r>
      <w:r>
        <w:t>O and free H</w:t>
      </w:r>
      <w:r>
        <w:rPr>
          <w:vertAlign w:val="subscript"/>
        </w:rPr>
        <w:t>2</w:t>
      </w:r>
      <w:r>
        <w:t>O contributes to H</w:t>
      </w:r>
      <w:r>
        <w:rPr>
          <w:vertAlign w:val="subscript"/>
        </w:rPr>
        <w:t>2</w:t>
      </w:r>
      <w:r>
        <w:t>O dissociation for CO* oxidation. Density functional theory elucidates the origin of anti‐Kirkendall effect and the intimate electronic interaction with surface Pt that endows PtFeCoNi‐N with superior inclination toward C1 pathway. This work presents a novel catalyst design strategy of reversing the dissolution of transition metals.</w:t>
      </w:r>
    </w:p>
    <w:p>
      <w:pPr>
        <w:spacing w:before="120" w:after="120"/>
      </w:pPr>
      <w:r>
        <w:rPr>
          <w:sz w:val="18"/>
        </w:rPr>
        <w:t>——————————————————————————————————————————————————————————————————————</w:t>
      </w:r>
    </w:p>
    <w:p>
      <w:pPr>
        <w:spacing w:before="160" w:after="40" w:line="240" w:lineRule="auto"/>
      </w:pPr>
      <w:r>
        <w:rPr>
          <w:b/>
        </w:rPr>
        <w:t xml:space="preserve">[69] </w:t>
      </w:r>
      <w:hyperlink r:id="rId119">
        <w:r>
          <w:rPr>
            <w:color w:val="1155CC"/>
            <w:u w:val="single"/>
          </w:rPr>
          <w:t>LMCT光电激活所促成的箱状酸的直接 C-H 液化</w:t>
        </w:r>
      </w:hyperlink>
    </w:p>
    <w:p>
      <w:pPr>
        <w:spacing w:before="0" w:after="80"/>
      </w:pPr>
      <w:r>
        <w:rPr>
          <w:i/>
          <w:sz w:val="20"/>
        </w:rPr>
        <w:t>EN: Direct C─H Lactonization of Carboxylic Acids Enabled by LMCT Photoactivation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20">
        <w:r>
          <w:rPr>
            <w:color w:val="1155CC"/>
            <w:u w:val="single"/>
          </w:rPr>
          <w:t>10.1002/anie.202515582</w:t>
        </w:r>
      </w:hyperlink>
    </w:p>
    <w:p>
      <w:pPr>
        <w:spacing w:before="0" w:after="120"/>
      </w:pPr>
      <w:r>
        <w:rPr>
          <w:b/>
        </w:rPr>
        <w:t xml:space="preserve">Notes: </w:t>
      </w:r>
      <w:r>
        <w:t>abstract_source=crossref</w:t>
      </w:r>
    </w:p>
    <w:p>
      <w:pPr>
        <w:spacing w:before="0" w:after="80" w:lineRule="auto" w:line="276"/>
      </w:pPr>
      <w:r>
        <w:rPr>
          <w:b/>
        </w:rPr>
        <w:t xml:space="preserve">摘要（ZH）: </w:t>
      </w:r>
      <w:r>
        <w:t>蛋白酸的活化(LMCT)已经日益被公认为是发展合成有用新反应的多功能平台,当金属物种也能调解氧化性激进联动过程时,这一方法被证明是一个强有力的战略,可以与各种核生殖反应伙伴对碳白质原料进行解毒性结合。 LMCT光反应可以让乙氧基基基中间体参与乙氧基激反应,例如1,5-氢原子转移(HAT)等以乙氧基体为核心的外向反应,从而扩大可能的反应范围。然而,快速的内生解毒速率带来了巨大的挑战。我们在此报告 t。</w:t>
      </w:r>
    </w:p>
    <w:p>
      <w:pPr>
        <w:spacing w:before="0" w:after="200" w:lineRule="auto" w:line="276"/>
      </w:pPr>
      <w:r>
        <w:rPr>
          <w:b/>
        </w:rPr>
        <w:t xml:space="preserve">Abstract (EN): </w:t>
      </w:r>
      <w:r>
        <w:t>Photoinduced ligand‐to‐metal charge‐transfer (LMCT) activation of carboxylic acids has increasingly become recognized as a versatile platform for the development of synthetically useful new reactions. When the metal species is also capable of mediating an oxidative radical coupling process, this approach has been shown to be a powerful strategy for decarboxylative coupling of carboxylate feedstocks with diverse nucleophilic reaction partners. LMCT photoreactions that could engage the acyloxy radical intermediate in other canonical reactions of heteroatom‐centered radicals such as 1,5‐hydrogen atom transfer (HAT) would broaden the scope of possible reactions. The rapid intrinsic rate of decarboxylation, however, presents a formidable challenge. Herein, we report the LMCT‐promoted C─H lactonization of benzoic and aliphatic carboxylic acids. Mechanistic investigations suggest that under the optimized reaction conditions, the key acyloxy radical intermediate can be stabilized by the metal center, enabling 1,5‐zHAT to outcompete decarboxylation.</w:t>
      </w:r>
    </w:p>
    <w:p>
      <w:pPr>
        <w:spacing w:before="120" w:after="120"/>
      </w:pPr>
      <w:r>
        <w:rPr>
          <w:sz w:val="18"/>
        </w:rPr>
        <w:t>——————————————————————————————————————————————————————————————————————</w:t>
      </w:r>
    </w:p>
    <w:p>
      <w:pPr>
        <w:spacing w:before="160" w:after="40" w:line="240" w:lineRule="auto"/>
      </w:pPr>
      <w:r>
        <w:rPr>
          <w:b/>
        </w:rPr>
        <w:t xml:space="preserve">[70] </w:t>
      </w:r>
      <w:hyperlink r:id="rId121">
        <w:r>
          <w:rPr>
            <w:color w:val="1155CC"/>
            <w:u w:val="single"/>
          </w:rPr>
          <w:t>水晶结构的就地发展和控制,以加强超高镍-拉耳液化液化石球的全面性能</w:t>
        </w:r>
      </w:hyperlink>
    </w:p>
    <w:p>
      <w:pPr>
        <w:spacing w:before="0" w:after="80"/>
      </w:pPr>
      <w:r>
        <w:rPr>
          <w:i/>
          <w:sz w:val="20"/>
        </w:rPr>
        <w:t>EN: In situ Crystal Structure Growth and Control for Enhancing Comprehensive Performance in Ultra‐High Nickel‐Layered Lithium Cathodes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22">
        <w:r>
          <w:rPr>
            <w:color w:val="1155CC"/>
            <w:u w:val="single"/>
          </w:rPr>
          <w:t>10.1002/anie.202513466</w:t>
        </w:r>
      </w:hyperlink>
    </w:p>
    <w:p>
      <w:pPr>
        <w:spacing w:before="0" w:after="120"/>
      </w:pPr>
      <w:r>
        <w:rPr>
          <w:b/>
        </w:rPr>
        <w:t xml:space="preserve">Notes: </w:t>
      </w:r>
      <w:r>
        <w:t>abstract_source=crossref</w:t>
      </w:r>
    </w:p>
    <w:p>
      <w:pPr>
        <w:spacing w:before="0" w:after="80" w:lineRule="auto" w:line="276"/>
      </w:pPr>
      <w:r>
        <w:rPr>
          <w:b/>
        </w:rPr>
        <w:t xml:space="preserve">摘要（ZH）: </w:t>
      </w:r>
      <w:r>
        <w:t>超高镍层阴极,LiNi x Co y Mn 1x y y O 2 (x 0.9),以高能源密度和低成本为特点,一直是下一代电池的勘探和应用目标。</w:t>
      </w:r>
    </w:p>
    <w:p>
      <w:pPr>
        <w:spacing w:before="0" w:after="200" w:lineRule="auto" w:line="276"/>
      </w:pPr>
      <w:r>
        <w:rPr>
          <w:b/>
        </w:rPr>
        <w:t xml:space="preserve">Abstract (EN): </w:t>
      </w:r>
      <w:r>
        <w:t>The ultra‐high nickel‐layered cathodes, LiNi</w:t>
      </w:r>
      <w:r>
        <w:t xml:space="preserve"> </w:t>
      </w:r>
      <w:r>
        <w:t>x</w:t>
      </w:r>
      <w:r>
        <w:t xml:space="preserve"> </w:t>
      </w:r>
      <w:r>
        <w:t>Co</w:t>
      </w:r>
      <w:r>
        <w:t xml:space="preserve"> </w:t>
      </w:r>
      <w:r>
        <w:t>y</w:t>
      </w:r>
      <w:r>
        <w:t xml:space="preserve"> </w:t>
      </w:r>
      <w:r>
        <w:t>Mn</w:t>
      </w:r>
      <w:r>
        <w:t xml:space="preserve"> </w:t>
      </w:r>
      <w:r>
        <w:t>1‐</w:t>
      </w:r>
      <w:r>
        <w:t xml:space="preserve"> </w:t>
      </w:r>
      <w:r>
        <w:t>x</w:t>
      </w:r>
      <w:r>
        <w:t xml:space="preserve"> </w:t>
      </w:r>
      <w:r>
        <w:t>‐</w:t>
      </w:r>
      <w:r>
        <w:t xml:space="preserve"> </w:t>
      </w:r>
      <w:r>
        <w:t>y</w:t>
      </w:r>
      <w:r>
        <w:t xml:space="preserve"> </w:t>
      </w:r>
      <w:r>
        <w:t>O</w:t>
      </w:r>
      <w:r>
        <w:rPr>
          <w:vertAlign w:val="subscript"/>
        </w:rPr>
        <w:t>2</w:t>
      </w:r>
      <w:r>
        <w:t>(</w:t>
      </w:r>
      <w:r>
        <w:t xml:space="preserve"> </w:t>
      </w:r>
      <w:r>
        <w:t>x</w:t>
      </w:r>
      <w:r>
        <w:t xml:space="preserve"> </w:t>
      </w:r>
      <w:r>
        <w:t>≥ 0.9), featuring high energy density and low cost, have been the exploration and application targets for the next‐generation batteries. Current ultra‐high nickel cathodes fail to meet the commercial demands, owing to the structure degradation during cycle. Additionally, the dense structure of traditional secondary particles restricts the migration of Li</w:t>
      </w:r>
      <w:r>
        <w:t xml:space="preserve"> </w:t>
      </w:r>
      <w:r>
        <w:t>+</w:t>
      </w:r>
      <w:r>
        <w:t xml:space="preserve"> </w:t>
      </w:r>
      <w:r>
        <w:t>and further limits the capacity and rate performance. In this work, we focus on modulating intrinsic structure and morphology of cathodes originating from in situ growth method and have further controllably synthesized a special ultra‐high nickel cathode with gapped structure and thin surface rock‐salt phase (G‐Ni91). Compared to the traditional dense‐structure cathode (D‐Ni91), G‐Ni91 delivers better performance in all aspects, whether it is initial capacity, cycle stability, rate performance, high‐voltage operation, and high‐temperature condition. Multiscale characterizations manifests that smaller primary particle size, gapped interspace and less Li</w:t>
      </w:r>
      <w:r>
        <w:t xml:space="preserve"> </w:t>
      </w:r>
      <w:r>
        <w:t>+</w:t>
      </w:r>
      <w:r>
        <w:t xml:space="preserve"> </w:t>
      </w:r>
      <w:r>
        <w:t>/Ni</w:t>
      </w:r>
      <w:r>
        <w:t xml:space="preserve"> </w:t>
      </w:r>
      <w:r>
        <w:t>2+</w:t>
      </w:r>
      <w:r>
        <w:t xml:space="preserve"> </w:t>
      </w:r>
      <w:r>
        <w:t>antisite in G‐Ni91 supply enhanced Li</w:t>
      </w:r>
      <w:r>
        <w:t xml:space="preserve"> </w:t>
      </w:r>
      <w:r>
        <w:t>+</w:t>
      </w:r>
      <w:r>
        <w:t xml:space="preserve"> </w:t>
      </w:r>
      <w:r>
        <w:t>transport dynamics. Moreover, the thin surface rock‐salt phase and more uniform primary particles are regarded as contributions to the improved cycling stability. This work provides a feasible original intrinsic structural design and modification from precursor to cathodes, ultimately facilitating substantial improvements in electrochemical performance of ultra‐high nickel‐layered cathodes.</w:t>
      </w:r>
    </w:p>
    <w:p>
      <w:pPr>
        <w:spacing w:before="120" w:after="120"/>
      </w:pPr>
      <w:r>
        <w:rPr>
          <w:sz w:val="18"/>
        </w:rPr>
        <w:t>——————————————————————————————————————————————————————————————————————</w:t>
      </w:r>
    </w:p>
    <w:p>
      <w:pPr>
        <w:spacing w:before="160" w:after="40" w:line="240" w:lineRule="auto"/>
      </w:pPr>
      <w:r>
        <w:rPr>
          <w:b/>
        </w:rPr>
        <w:t xml:space="preserve">[71] </w:t>
      </w:r>
      <w:hyperlink r:id="rId123">
        <w:r>
          <w:rPr>
            <w:color w:val="1155CC"/>
            <w:u w:val="single"/>
          </w:rPr>
          <w:t>电极/电极接口电化和电极/电极接口的压抑泡积聚所促成的电化学pH 旋转CO2捕获量</w:t>
        </w:r>
      </w:hyperlink>
    </w:p>
    <w:p>
      <w:pPr>
        <w:spacing w:before="0" w:after="80"/>
      </w:pPr>
      <w:r>
        <w:rPr>
          <w:i/>
          <w:sz w:val="20"/>
        </w:rPr>
        <w:t>EN: Electrochemical pH‐Swing CO2 Capture Facilitated by Suppressed Bubble Accumulation at Electrode/Electrolyte Interfaces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24">
        <w:r>
          <w:rPr>
            <w:color w:val="1155CC"/>
            <w:u w:val="single"/>
          </w:rPr>
          <w:t>10.1002/anie.202513456</w:t>
        </w:r>
      </w:hyperlink>
    </w:p>
    <w:p>
      <w:pPr>
        <w:spacing w:before="0" w:after="120"/>
      </w:pPr>
      <w:r>
        <w:rPr>
          <w:b/>
        </w:rPr>
        <w:t xml:space="preserve">Notes: </w:t>
      </w:r>
      <w:r>
        <w:t>abstract_source=crossref</w:t>
      </w:r>
    </w:p>
    <w:p>
      <w:pPr>
        <w:spacing w:before="0" w:after="80" w:lineRule="auto" w:line="276"/>
      </w:pPr>
      <w:r>
        <w:rPr>
          <w:b/>
        </w:rPr>
        <w:t xml:space="preserve">摘要（ZH）: </w:t>
      </w:r>
      <w:r>
        <w:t>电解反应产生的pH值波动是CO2捕获的驱动力,因此整个过程对中毒的耐受度有所提高。然而,电解反应类型与电化化学CO2捕获效率之间的关系仍然不甚了解,使得反应堆效率低下。在这里,我们表明,气体泡沫的行为对CO2捕获率和法拉达效率具有强烈影响。我们证明,消除泡沫是有效的。</w:t>
      </w:r>
    </w:p>
    <w:p>
      <w:pPr>
        <w:spacing w:before="0" w:after="200" w:lineRule="auto" w:line="276"/>
      </w:pPr>
      <w:r>
        <w:rPr>
          <w:b/>
        </w:rPr>
        <w:t xml:space="preserve">Abstract (EN): </w:t>
      </w:r>
      <w:r>
        <w:t>Electrochemical CO</w:t>
      </w:r>
      <w:r>
        <w:rPr>
          <w:vertAlign w:val="subscript"/>
        </w:rPr>
        <w:t>2</w:t>
      </w:r>
      <w:r>
        <w:t>capture features high modularity and low system complexity. When the pH swing produced by electrolysis reactions acts as the driving force of CO</w:t>
      </w:r>
      <w:r>
        <w:rPr>
          <w:vertAlign w:val="subscript"/>
        </w:rPr>
        <w:t>2</w:t>
      </w:r>
      <w:r>
        <w:t>capture, the entire process is further endowed with enhanced tolerance to poisoning. Nevertheless, the correlation between the type of electrolysis reaction and electrochemical CO</w:t>
      </w:r>
      <w:r>
        <w:rPr>
          <w:vertAlign w:val="subscript"/>
        </w:rPr>
        <w:t>2</w:t>
      </w:r>
      <w:r>
        <w:t>capture efficiency remains poorly understood, rendering the reactor inefficient. Here, we show that the behavior of gas bubbles exerts a strong influence on CO</w:t>
      </w:r>
      <w:r>
        <w:rPr>
          <w:vertAlign w:val="subscript"/>
        </w:rPr>
        <w:t>2</w:t>
      </w:r>
      <w:r>
        <w:t>capture rates and Faradaic efficiencies. We demonstrate that eliminating bubble accumulation by suppressing H</w:t>
      </w:r>
      <w:r>
        <w:rPr>
          <w:vertAlign w:val="subscript"/>
        </w:rPr>
        <w:t>2</w:t>
      </w:r>
      <w:r>
        <w:t>evolution at the cathode/electrolyte interface facilitates CO</w:t>
      </w:r>
      <w:r>
        <w:rPr>
          <w:vertAlign w:val="subscript"/>
        </w:rPr>
        <w:t>2</w:t>
      </w:r>
      <w:r>
        <w:t>capture, which ensures the access of CO</w:t>
      </w:r>
      <w:r>
        <w:rPr>
          <w:vertAlign w:val="subscript"/>
        </w:rPr>
        <w:t>2</w:t>
      </w:r>
      <w:r>
        <w:t>to the alkaline electrode surfaces. We devise a polymer‐electrolyte CO</w:t>
      </w:r>
      <w:r>
        <w:rPr>
          <w:vertAlign w:val="subscript"/>
        </w:rPr>
        <w:t>2</w:t>
      </w:r>
      <w:r>
        <w:t>capture reactor utilizing oxygen reduction as the driving force and the cation effect to reduce the activity of H</w:t>
      </w:r>
      <w:r>
        <w:rPr>
          <w:vertAlign w:val="subscript"/>
        </w:rPr>
        <w:t>2</w:t>
      </w:r>
      <w:r>
        <w:t>formation. The system offers a capture rate of 1.40 ± 0.03 mL</w:t>
      </w:r>
      <w:r>
        <w:t xml:space="preserve"> </w:t>
      </w:r>
      <w:r>
        <w:t>CO2</w:t>
      </w:r>
      <w:r>
        <w:t xml:space="preserve"> </w:t>
      </w:r>
      <w:r>
        <w:t>min</w:t>
      </w:r>
      <w:r>
        <w:t xml:space="preserve"> </w:t>
      </w:r>
      <w:r>
        <w:t>−1</w:t>
      </w:r>
      <w:r>
        <w:t xml:space="preserve"> </w:t>
      </w:r>
      <w:r>
        <w:t>cm</w:t>
      </w:r>
      <w:r>
        <w:t xml:space="preserve"> </w:t>
      </w:r>
      <w:r>
        <w:t>−2</w:t>
      </w:r>
      <w:r>
        <w:t xml:space="preserve"> </w:t>
      </w:r>
      <w:r>
        <w:t>at 220 mA cm</w:t>
      </w:r>
      <w:r>
        <w:t xml:space="preserve"> </w:t>
      </w:r>
      <w:r>
        <w:t>−2</w:t>
      </w:r>
      <w:r>
        <w:t xml:space="preserve"> </w:t>
      </w:r>
      <w:r>
        <w:t>with a Faradaic efficiency of 83.7 ± 1.9% and poisoning resistance to O</w:t>
      </w:r>
      <w:r>
        <w:rPr>
          <w:vertAlign w:val="subscript"/>
        </w:rPr>
        <w:t>2</w:t>
      </w:r>
      <w:r>
        <w:t>and impurities in simulated flue gases. In direct air capture (DAC) mode, the reactor achieves a capture rate of about 0.029 mL</w:t>
      </w:r>
      <w:r>
        <w:t xml:space="preserve"> </w:t>
      </w:r>
      <w:r>
        <w:t>CO2</w:t>
      </w:r>
      <w:r>
        <w:t xml:space="preserve"> </w:t>
      </w:r>
      <w:r>
        <w:t>min</w:t>
      </w:r>
      <w:r>
        <w:t xml:space="preserve"> </w:t>
      </w:r>
      <w:r>
        <w:t>−1</w:t>
      </w:r>
      <w:r>
        <w:t xml:space="preserve"> </w:t>
      </w:r>
      <w:r>
        <w:t>cm</w:t>
      </w:r>
      <w:r>
        <w:t xml:space="preserve"> </w:t>
      </w:r>
      <w:r>
        <w:t>−2</w:t>
      </w:r>
      <w:r>
        <w:t xml:space="preserve"> </w:t>
      </w:r>
      <w:r>
        <w:t>and a stable 200‐h operation at approximately 0.019 mL</w:t>
      </w:r>
      <w:r>
        <w:t xml:space="preserve"> </w:t>
      </w:r>
      <w:r>
        <w:t>CO2</w:t>
      </w:r>
      <w:r>
        <w:t xml:space="preserve"> </w:t>
      </w:r>
      <w:r>
        <w:t>min</w:t>
      </w:r>
      <w:r>
        <w:t xml:space="preserve"> </w:t>
      </w:r>
      <w:r>
        <w:t>−1</w:t>
      </w:r>
      <w:r>
        <w:t xml:space="preserve"> </w:t>
      </w:r>
      <w:r>
        <w:t>cm</w:t>
      </w:r>
      <w:r>
        <w:t xml:space="preserve"> </w:t>
      </w:r>
      <w:r>
        <w:t>−2</w:t>
      </w:r>
      <w:r>
        <w:t xml:space="preserve"> </w:t>
      </w:r>
      <w:r>
        <w:t>and 0.95 V, outperforming existing electrochemical DAC devices.</w:t>
      </w:r>
    </w:p>
    <w:p>
      <w:pPr>
        <w:spacing w:before="120" w:after="120"/>
      </w:pPr>
      <w:r>
        <w:rPr>
          <w:sz w:val="18"/>
        </w:rPr>
        <w:t>——————————————————————————————————————————————————————————————————————</w:t>
      </w:r>
    </w:p>
    <w:p>
      <w:pPr>
        <w:spacing w:before="160" w:after="40" w:line="240" w:lineRule="auto"/>
      </w:pPr>
      <w:r>
        <w:rPr>
          <w:b/>
        </w:rPr>
        <w:t xml:space="preserve">[72] </w:t>
      </w:r>
      <w:hyperlink r:id="rId125">
        <w:r>
          <w:rPr>
            <w:color w:val="1155CC"/>
            <w:u w:val="single"/>
          </w:rPr>
          <w:t>将吸吸剂纳入CO2电解减少二氧化碳电解:在薄膜电极组件中分离层贡献的模型系统</w:t>
        </w:r>
      </w:hyperlink>
    </w:p>
    <w:p>
      <w:pPr>
        <w:spacing w:before="0" w:after="80"/>
      </w:pPr>
      <w:r>
        <w:rPr>
          <w:i/>
          <w:sz w:val="20"/>
        </w:rPr>
        <w:t>EN: Integrating Sorbents in CO2 Electroreduction: A Model System to Disentangle Layer Contributions in Membrane Electrode Assemblies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26">
        <w:r>
          <w:rPr>
            <w:color w:val="1155CC"/>
            <w:u w:val="single"/>
          </w:rPr>
          <w:t>10.1002/anie.202513104</w:t>
        </w:r>
      </w:hyperlink>
    </w:p>
    <w:p>
      <w:pPr>
        <w:spacing w:before="0" w:after="120"/>
      </w:pPr>
      <w:r>
        <w:rPr>
          <w:b/>
        </w:rPr>
        <w:t xml:space="preserve">Notes: </w:t>
      </w:r>
      <w:r>
        <w:t>abstract_source=crossref</w:t>
      </w:r>
    </w:p>
    <w:p>
      <w:pPr>
        <w:spacing w:before="0" w:after="80" w:lineRule="auto" w:line="276"/>
      </w:pPr>
      <w:r>
        <w:rPr>
          <w:b/>
        </w:rPr>
        <w:t xml:space="preserve">摘要（ZH）: </w:t>
      </w:r>
      <w:r>
        <w:t>抽象膜电极组件(MEAs)在高性能CO2电解、减少iR损失和通过以气体形式供应CO2克服低溶解性问题方面至关重要,然而,阴极的液温透水导致盐降水、稳定性问题和寄生物H2演化,阻碍工业实施。全面气相操作可以缓解这些问题,但缺乏一种研究气相概念的模型系统。本研究展示了平面双金属间数码电极阵列(BIDEA ) 。</w:t>
      </w:r>
    </w:p>
    <w:p>
      <w:pPr>
        <w:spacing w:before="0" w:after="200" w:lineRule="auto" w:line="276"/>
      </w:pPr>
      <w:r>
        <w:rPr>
          <w:b/>
        </w:rPr>
        <w:t xml:space="preserve">Abstract (EN): </w:t>
      </w:r>
      <w:r>
        <w:t>Membrane electrode assemblies (MEAs) are crucial in high‐performance CO</w:t>
      </w:r>
      <w:r>
        <w:rPr>
          <w:vertAlign w:val="subscript"/>
        </w:rPr>
        <w:t>2</w:t>
      </w:r>
      <w:r>
        <w:t>electrolysis, reducing</w:t>
      </w:r>
      <w:r>
        <w:t xml:space="preserve"> </w:t>
      </w:r>
      <w:r>
        <w:t>iR</w:t>
      </w:r>
      <w:r>
        <w:t xml:space="preserve"> </w:t>
      </w:r>
      <w:r>
        <w:t>losses and overcoming low solubility issues by supplying CO</w:t>
      </w:r>
      <w:r>
        <w:rPr>
          <w:vertAlign w:val="subscript"/>
        </w:rPr>
        <w:t>2</w:t>
      </w:r>
      <w:r>
        <w:t>in the gas form. However, liquid anolyte permeation to the cathode causes salt precipitation, stability issues, and parasitic H</w:t>
      </w:r>
      <w:r>
        <w:rPr>
          <w:vertAlign w:val="subscript"/>
        </w:rPr>
        <w:t>2</w:t>
      </w:r>
      <w:r>
        <w:t>evolution, hindering industrial implementation. Full gas‐phase operation could mitigate these problems, but a model system to study gas‐phase concepts is lacking.</w:t>
      </w:r>
      <w:r>
        <w:t xml:space="preserve"> </w:t>
      </w:r>
      <w:r>
        <w:t>This study presents a planar bimetallic interdigitated electrode array (BIDEA) as a model system, using a sorbent electrolyte for CO</w:t>
      </w:r>
      <w:r>
        <w:rPr>
          <w:vertAlign w:val="subscript"/>
        </w:rPr>
        <w:t>2</w:t>
      </w:r>
      <w:r>
        <w:t>electroreduction as a case study. The simplified system, combined with numerical models, reveals key process limitations, such as diffusion over the material and the role of sorption kinetics in limiting CO</w:t>
      </w:r>
      <w:r>
        <w:rPr>
          <w:vertAlign w:val="subscript"/>
        </w:rPr>
        <w:t>2</w:t>
      </w:r>
      <w:r>
        <w:t>supply to the cathode. Spectroscopic analysis provided mechanistic insights, demonstrating the model system's applicability to disentangle layer effects in integrated systems.</w:t>
      </w:r>
    </w:p>
    <w:p>
      <w:pPr>
        <w:spacing w:before="120" w:after="120"/>
      </w:pPr>
      <w:r>
        <w:rPr>
          <w:sz w:val="18"/>
        </w:rPr>
        <w:t>——————————————————————————————————————————————————————————————————————</w:t>
      </w:r>
    </w:p>
    <w:p>
      <w:pPr>
        <w:spacing w:before="160" w:after="40" w:line="240" w:lineRule="auto"/>
      </w:pPr>
      <w:r>
        <w:rPr>
          <w:b/>
        </w:rPr>
        <w:t xml:space="preserve">[73] </w:t>
      </w:r>
      <w:hyperlink r:id="rId127">
        <w:r>
          <w:rPr>
            <w:color w:val="1155CC"/>
            <w:u w:val="single"/>
          </w:rPr>
          <w:t>MRNA通过等离子膜的微凝聚度-经检测的分子内注入 mRNA</w:t>
        </w:r>
      </w:hyperlink>
    </w:p>
    <w:p>
      <w:pPr>
        <w:spacing w:before="0" w:after="80"/>
      </w:pPr>
      <w:r>
        <w:rPr>
          <w:i/>
          <w:sz w:val="20"/>
        </w:rPr>
        <w:t>EN: Microcondensate‐Mediated Intracellular Infusion of mRNA Across the Plasma Membrane</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28">
        <w:r>
          <w:rPr>
            <w:color w:val="1155CC"/>
            <w:u w:val="single"/>
          </w:rPr>
          <w:t>10.1002/anie.202512139</w:t>
        </w:r>
      </w:hyperlink>
    </w:p>
    <w:p>
      <w:pPr>
        <w:spacing w:before="0" w:after="120"/>
      </w:pPr>
      <w:r>
        <w:rPr>
          <w:b/>
        </w:rPr>
        <w:t xml:space="preserve">Notes: </w:t>
      </w:r>
      <w:r>
        <w:t>abstract_source=crossref</w:t>
      </w:r>
    </w:p>
    <w:p>
      <w:pPr>
        <w:spacing w:before="0" w:after="80" w:lineRule="auto" w:line="276"/>
      </w:pPr>
      <w:r>
        <w:rPr>
          <w:b/>
        </w:rPr>
        <w:t xml:space="preserve">摘要（ZH）: </w:t>
      </w:r>
      <w:r>
        <w:t>本摘要本研究摘要介绍了一项开发微米大小凝固器的战略,其中包括:作为细胞内信使RNA(mRNA)交付的脂肪纳米粒子(LNP)无平台的碳化细胞内交付Peptide FcB(L17E) 3和核酸(“微型凝固器”),作为脂肪纳米粒子(LNP)-无细胞内信使RNA(mRNA)交付平台。这一方法的可行性在体外和体内都得到了证明。这一方法基于我们以前的调查结果,即FcB(L17E) 3通过与贴有负电荷荧光染的IgG相互作用形成微凝结。同样,核酸的负电荷导致硅氨形成与FcB(L17E) 3的微凝聚。</w:t>
      </w:r>
    </w:p>
    <w:p>
      <w:pPr>
        <w:spacing w:before="0" w:after="200" w:lineRule="auto" w:line="276"/>
      </w:pPr>
      <w:r>
        <w:rPr>
          <w:b/>
        </w:rPr>
        <w:t xml:space="preserve">Abstract (EN): </w:t>
      </w:r>
      <w:r>
        <w:t>This study presents a strategy for developing micrometer‐sized coacervates comprised of cationic intracellular delivery peptide FcB(L17E)</w:t>
      </w:r>
      <w:r>
        <w:rPr>
          <w:vertAlign w:val="subscript"/>
        </w:rPr>
        <w:t>3</w:t>
      </w:r>
      <w:r>
        <w:t>and nucleic acids (termed “microcondensates”) as a lipid nanoparticle (LNP)‐free platform for intracellular messenger RNA (mRNA) delivery. The feasibility of this approach is demonstrated both in vitro and in vivo. This approach is based on our previous finding that FcB(L17E)</w:t>
      </w:r>
      <w:r>
        <w:rPr>
          <w:vertAlign w:val="subscript"/>
        </w:rPr>
        <w:t>3</w:t>
      </w:r>
      <w:r>
        <w:t>forms a microcondensate through interactions with IgG labeled with a negatively charged fluorescent dye. Similarly, the negative charge of nucleic acids causes siRNAs to form microcondensates with FcB(L17E)</w:t>
      </w:r>
      <w:r>
        <w:rPr>
          <w:vertAlign w:val="subscript"/>
        </w:rPr>
        <w:t>3</w:t>
      </w:r>
      <w:r>
        <w:t>, resulting in the facile infusion of the siRNAs through the plasma membrane with 40% gene knockdown efficiency. mRNAs form aggregates with FcB(L17E)</w:t>
      </w:r>
      <w:r>
        <w:rPr>
          <w:vertAlign w:val="subscript"/>
        </w:rPr>
        <w:t>3</w:t>
      </w:r>
      <w:r>
        <w:t>due to their longer chains, which prevents efficient delivery. Remarkably, adding short single‐stranded DNA (ssDNA) to mRNA enables microcondensate formation with FcB(L17E)</w:t>
      </w:r>
      <w:r>
        <w:rPr>
          <w:vertAlign w:val="subscript"/>
        </w:rPr>
        <w:t>3</w:t>
      </w:r>
      <w:r>
        <w:t>, facilitating protein expression. Additionally, this microcondensate system successfully facilitated the intracellular delivery of plasmid DNA (pDNA) by optimizing the charge ratio between FcB(L17E)</w:t>
      </w:r>
      <w:r>
        <w:rPr>
          <w:vertAlign w:val="subscript"/>
        </w:rPr>
        <w:t>3</w:t>
      </w:r>
      <w:r>
        <w:t>and nucleic acids. Finally, the subcutaneous injection of microcondensates into mice successfully induced protein expression in vivo. The achievement of in vivo mRNA delivery and protein expression using microcondensates may offer a strategy for nucleic acid delivery with potential applicability in cancer immunotherapy and mRNA‐based vaccination.</w:t>
      </w:r>
    </w:p>
    <w:p>
      <w:pPr>
        <w:spacing w:before="120" w:after="120"/>
      </w:pPr>
      <w:r>
        <w:rPr>
          <w:sz w:val="18"/>
        </w:rPr>
        <w:t>——————————————————————————————————————————————————————————————————————</w:t>
      </w:r>
    </w:p>
    <w:p>
      <w:pPr>
        <w:spacing w:before="160" w:after="40" w:line="240" w:lineRule="auto"/>
      </w:pPr>
      <w:r>
        <w:rPr>
          <w:b/>
        </w:rPr>
        <w:t xml:space="preserve">[74] </w:t>
      </w:r>
      <w:hyperlink r:id="rId129">
        <w:r>
          <w:rPr>
            <w:color w:val="1155CC"/>
            <w:u w:val="single"/>
          </w:rPr>
          <w:t>校正为“用可点击的勘探器制作XPB Inhibitors的基于“ 以可点击的勘探器为基础”的高自控筛选</w:t>
        </w:r>
      </w:hyperlink>
    </w:p>
    <w:p>
      <w:pPr>
        <w:spacing w:before="0" w:after="80"/>
      </w:pPr>
      <w:r>
        <w:rPr>
          <w:i/>
          <w:sz w:val="20"/>
        </w:rPr>
        <w:t>EN: Correction to “Imaging‐Based High‐Content Screening with Clickable Probes Identifies XPB Inhibitors”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30">
        <w:r>
          <w:rPr>
            <w:color w:val="1155CC"/>
            <w:u w:val="single"/>
          </w:rPr>
          <w:t>10.1002/anie.202524764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[75] </w:t>
      </w:r>
      <w:hyperlink r:id="rId131">
        <w:r>
          <w:rPr>
            <w:color w:val="1155CC"/>
            <w:u w:val="single"/>
          </w:rPr>
          <w:t>改为“米托法基自检小型微粒药物”</w:t>
        </w:r>
      </w:hyperlink>
    </w:p>
    <w:p>
      <w:pPr>
        <w:spacing w:before="0" w:after="80"/>
      </w:pPr>
      <w:r>
        <w:rPr>
          <w:i/>
          <w:sz w:val="20"/>
        </w:rPr>
        <w:t>EN: Correction to “A Small‐Molecule Drug for the Self‐Checking of Mitophagy”</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32">
        <w:r>
          <w:rPr>
            <w:color w:val="1155CC"/>
            <w:u w:val="single"/>
          </w:rPr>
          <w:t>10.1002/anie.202523766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[76] </w:t>
      </w:r>
      <w:hyperlink r:id="rId133">
        <w:r>
          <w:rPr>
            <w:color w:val="1155CC"/>
            <w:u w:val="single"/>
          </w:rPr>
          <w:t>利用支持的金属催化器进行精密导催化的 TiO2支持金属的强有力互动</w:t>
        </w:r>
      </w:hyperlink>
    </w:p>
    <w:p>
      <w:pPr>
        <w:spacing w:before="0" w:after="80"/>
      </w:pPr>
      <w:r>
        <w:rPr>
          <w:i/>
          <w:sz w:val="20"/>
        </w:rPr>
        <w:t>EN: Strong Metal‐Support Interactions on TiO2‐Supported Metal Catalysts for Fine‐Tuning Catalysis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34">
        <w:r>
          <w:rPr>
            <w:color w:val="1155CC"/>
            <w:u w:val="single"/>
          </w:rPr>
          <w:t>10.1002/anie.202502611</w:t>
        </w:r>
      </w:hyperlink>
    </w:p>
    <w:p>
      <w:pPr>
        <w:spacing w:before="0" w:after="120"/>
      </w:pPr>
      <w:r>
        <w:rPr>
          <w:b/>
        </w:rPr>
        <w:t xml:space="preserve">Notes: </w:t>
      </w:r>
      <w:r>
        <w:t>abstract_source=crossref</w:t>
      </w:r>
    </w:p>
    <w:p>
      <w:pPr>
        <w:spacing w:before="0" w:after="80" w:lineRule="auto" w:line="276"/>
      </w:pPr>
      <w:r>
        <w:rPr>
          <w:b/>
        </w:rPr>
        <w:t xml:space="preserve">摘要（ZH）: </w:t>
      </w:r>
      <w:r>
        <w:t>强烈金属支持互动的概念(SMSI)是40多年来调查的一个专题,它仍然是多元催化研究的一个重要领域,虽然在对各种金属/支持系统进行SMSI理解方面已取得重大进展,但其复杂性仍在不断演变,被确认为展示SMSI的第一批辅助材料的TiO 2有助于推进这一理解,然而,由于缺乏关于各种因素如何影响SMSI对TiO 2的影响的全面指南,限制了系统控制这些互动的能力。</w:t>
      </w:r>
    </w:p>
    <w:p>
      <w:pPr>
        <w:spacing w:before="0" w:after="200" w:lineRule="auto" w:line="276"/>
      </w:pPr>
      <w:r>
        <w:rPr>
          <w:b/>
        </w:rPr>
        <w:t xml:space="preserve">Abstract (EN): </w:t>
      </w:r>
      <w:r>
        <w:t>The concept of strong metal‐support interaction (SMSI), a topic of investigation for over four decades, remains an important area of research in heterogeneous catalysis. While substantial progress has been made in understanding SMSI across various metal/support systems, its complexity continues to evolve. TiO</w:t>
      </w:r>
      <w:r>
        <w:rPr>
          <w:vertAlign w:val="subscript"/>
        </w:rPr>
        <w:t>2</w:t>
      </w:r>
      <w:r>
        <w:t>, recognized as the first support material to exhibit SMSI, has been instrumental in advancing this understanding. However, the lack of a comprehensive guide on how various factors influence SMSI on TiO</w:t>
      </w:r>
      <w:r>
        <w:rPr>
          <w:vertAlign w:val="subscript"/>
        </w:rPr>
        <w:t>2</w:t>
      </w:r>
      <w:r>
        <w:t>has limited the ability to systematically control these interactions. This review seeks to provide a consolidated view of the current understanding of SMSI in TiO</w:t>
      </w:r>
      <w:r>
        <w:rPr>
          <w:vertAlign w:val="subscript"/>
        </w:rPr>
        <w:t>2</w:t>
      </w:r>
      <w:r>
        <w:t>‐supported metal catalysts. It highlights the sensitivity of SMSI on TiO</w:t>
      </w:r>
      <w:r>
        <w:rPr>
          <w:vertAlign w:val="subscript"/>
        </w:rPr>
        <w:t>2</w:t>
      </w:r>
      <w:r>
        <w:t>to a range of parameters, including pretreatment conditions and reaction environments. The dynamic nature of SMSI under reaction conditions is also explored, underscoring its complexity and potential for fine‐tuning catalyst performance. Additionally, practical insights into innovative chemical methods for controlling SMSI on TiO</w:t>
      </w:r>
      <w:r>
        <w:rPr>
          <w:vertAlign w:val="subscript"/>
        </w:rPr>
        <w:t>2</w:t>
      </w:r>
      <w:r>
        <w:t>are discussed, offering strategies for modulating SMSI to meet specific catalytic requirements. By addressing these aspects, this review aims to offer a valuable guide for the rational design of metal/TiO</w:t>
      </w:r>
      <w:r>
        <w:rPr>
          <w:vertAlign w:val="subscript"/>
        </w:rPr>
        <w:t>2</w:t>
      </w:r>
      <w:r>
        <w:t>catalysts, ultimately contributing to a more refined and controllable approach to SMSI on TiO</w:t>
      </w:r>
      <w:r>
        <w:rPr>
          <w:vertAlign w:val="subscript"/>
        </w:rPr>
        <w:t>2</w:t>
      </w:r>
      <w:r>
        <w:t>.</w:t>
      </w:r>
    </w:p>
    <w:p>
      <w:pPr>
        <w:spacing w:before="120" w:after="120"/>
      </w:pPr>
      <w:r>
        <w:rPr>
          <w:sz w:val="18"/>
        </w:rPr>
        <w:t>——————————————————————————————————————————————————————————————————————</w:t>
      </w:r>
    </w:p>
    <w:p>
      <w:pPr>
        <w:spacing w:before="160" w:after="40" w:line="240" w:lineRule="auto"/>
      </w:pPr>
      <w:r>
        <w:rPr>
          <w:b/>
        </w:rPr>
        <w:t xml:space="preserve">[77] </w:t>
      </w:r>
      <w:hyperlink r:id="rId135">
        <w:r>
          <w:rPr>
            <w:color w:val="1155CC"/>
            <w:u w:val="single"/>
          </w:rPr>
          <w:t>分子机指导罗塔克内合成器</w:t>
        </w:r>
      </w:hyperlink>
    </w:p>
    <w:p>
      <w:pPr>
        <w:spacing w:before="0" w:after="80"/>
      </w:pPr>
      <w:r>
        <w:rPr>
          <w:i/>
          <w:sz w:val="20"/>
        </w:rPr>
        <w:t>EN: A Molecular Machine Directs the Synthesis of a Rotaxane</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36">
        <w:r>
          <w:rPr>
            <w:color w:val="1155CC"/>
            <w:u w:val="single"/>
          </w:rPr>
          <w:t>10.1002/anie.202520085</w:t>
        </w:r>
      </w:hyperlink>
    </w:p>
    <w:p>
      <w:pPr>
        <w:spacing w:before="0" w:after="120"/>
      </w:pPr>
      <w:r>
        <w:rPr>
          <w:b/>
        </w:rPr>
        <w:t xml:space="preserve">Notes: </w:t>
      </w:r>
      <w:r>
        <w:t>abstract_source=crossref</w:t>
      </w:r>
    </w:p>
    <w:p>
      <w:pPr>
        <w:spacing w:before="0" w:after="80" w:lineRule="auto" w:line="276"/>
      </w:pPr>
      <w:r>
        <w:rPr>
          <w:b/>
        </w:rPr>
        <w:t xml:space="preserve">摘要（ZH）: </w:t>
      </w:r>
      <w:r>
        <w:t>转轴合成中经常使用按组装或微速制的抽象组合战略,这些方法导致复杂的内交分子,但往往受到模板和起始材料的严格构成要求的限制。在这里,我们使用分子机通过机械刮风来通过积极塑造起始材料来引导转轴合成转轴。分子发动机的轻诱旋转在轴周围积极风动分子丝,形成离散的、热动力变异的两部分之间的交叉点。共价捕捉保存动动稳定的缠绕,将线变成一个随后释放的、机械困在轴上的宏观循环,产生转轴。</w:t>
      </w:r>
    </w:p>
    <w:p>
      <w:pPr>
        <w:spacing w:before="0" w:after="200" w:lineRule="auto" w:line="276"/>
      </w:pPr>
      <w:r>
        <w:rPr>
          <w:b/>
        </w:rPr>
        <w:t xml:space="preserve">Abstract (EN): </w:t>
      </w:r>
      <w:r>
        <w:t>Preorganization by assembly or templating strategies is frequently used in the synthesis of rotaxanes. While these approaches have led to complex interlocked molecules, they are often limited by strict compositional requirements of templates and starting materials. Here, we use a molecular machine to direct the synthesis of a rotaxane by active shaping of starting materials through mechanical winding. Light induced rotation of a molecular motor actively winds a molecular strand around an axle, forming discrete, thermodynamically disfavored crossings between these two parts. Covalent capture preserves the kinetically stable entanglements, transforming the strand into a macrocycle that is subsequently released and mechanically trapped on the axle, yielding a rotaxane. Our machine‐directed strategy pioneers a new way of synthesizing rotaxanes by active mechanical shaping of molecular building blocks, enabling access to interlocked architectures beyond the reach of traditional assembly and templating approaches.</w:t>
      </w:r>
    </w:p>
    <w:p>
      <w:pPr>
        <w:spacing w:before="120" w:after="120"/>
      </w:pPr>
      <w:r>
        <w:rPr>
          <w:sz w:val="18"/>
        </w:rPr>
        <w:t>——————————————————————————————————————————————————————————————————————</w:t>
      </w:r>
    </w:p>
    <w:p>
      <w:pPr>
        <w:spacing w:before="160" w:after="40" w:line="240" w:lineRule="auto"/>
      </w:pPr>
      <w:r>
        <w:rPr>
          <w:b/>
        </w:rPr>
        <w:t xml:space="preserve">[78] </w:t>
      </w:r>
      <w:hyperlink r:id="rId137">
        <w:r>
          <w:rPr>
            <w:color w:val="1155CC"/>
            <w:u w:val="single"/>
          </w:rPr>
          <w:t>未激活的阿尔基硫化物、1,3-Enynes和甲酰胺的非活性阿尔基硫化物、1,3-Enynes和甲酰胺</w:t>
        </w:r>
      </w:hyperlink>
    </w:p>
    <w:p>
      <w:pPr>
        <w:spacing w:before="0" w:after="80"/>
      </w:pPr>
      <w:r>
        <w:rPr>
          <w:i/>
          <w:sz w:val="20"/>
        </w:rPr>
        <w:t>EN: Nickel‐Catalyzed Asymmetric Three‐Component Reaction of Unactivated Alkyl Halides, 1,3‐Enynes and Aldehydes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38">
        <w:r>
          <w:rPr>
            <w:color w:val="1155CC"/>
            <w:u w:val="single"/>
          </w:rPr>
          <w:t>10.1002/anie.202520212</w:t>
        </w:r>
      </w:hyperlink>
    </w:p>
    <w:p>
      <w:pPr>
        <w:spacing w:before="0" w:after="120"/>
      </w:pPr>
      <w:r>
        <w:rPr>
          <w:b/>
        </w:rPr>
        <w:t xml:space="preserve">Notes: </w:t>
      </w:r>
      <w:r>
        <w:t>abstract_source=crossref</w:t>
      </w:r>
    </w:p>
    <w:p>
      <w:pPr>
        <w:spacing w:before="0" w:after="80" w:lineRule="auto" w:line="276"/>
      </w:pPr>
      <w:r>
        <w:rPr>
          <w:b/>
        </w:rPr>
        <w:t xml:space="preserve">摘要（ZH）: </w:t>
      </w:r>
      <w:r>
        <w:t>摘要 丙基镍(II) 复合物或其共鸣  1 allennennickel(II) 共聚物通常由硝硝酸催化下的蛋白衍生物产生,并在各种变异中充当多种多功能的电生殖伙伴。在这里,我们证明  1 丙基镍(II) 物种也可以通过烷的尼 0 中间基极对立产生。 之后,  1 allennennickel (II) 的异构体化, 其次, 其次, 其次, 其次, 其次, 其次, 其次, 其次, 其次, 其次, 其次, 其次, 其次,      丙基镍(II), 其次, 其次, 其次, 其次, 其次, 其次, 其次, 其次,其次, 其次,其次,其次,其次,其次,其次,其次,其次,其次,其次,</w:t>
      </w:r>
    </w:p>
    <w:p>
      <w:pPr>
        <w:spacing w:before="0" w:after="200" w:lineRule="auto" w:line="276"/>
      </w:pPr>
      <w:r>
        <w:rPr>
          <w:b/>
        </w:rPr>
        <w:t xml:space="preserve">Abstract (EN): </w:t>
      </w:r>
      <w:r>
        <w:t>The π‐propargylnickel(II) complexes, or their resonances, the η</w:t>
      </w:r>
      <w:r>
        <w:rPr>
          <w:vertAlign w:val="subscript"/>
        </w:rPr>
        <w:t>1</w:t>
      </w:r>
      <w:r>
        <w:t>‐allenylnickel(II) ones, are typically generated from propargylic derivatives under Ni</w:t>
      </w:r>
      <w:r>
        <w:rPr>
          <w:vertAlign w:val="subscript"/>
        </w:rPr>
        <w:t>0</w:t>
      </w:r>
      <w:r>
        <w:t>catalysis, and act as versatile electrophilic partners in diverse transformations. Here, we demonstrate that η</w:t>
      </w:r>
      <w:r>
        <w:rPr>
          <w:vertAlign w:val="subscript"/>
        </w:rPr>
        <w:t>1</w:t>
      </w:r>
      <w:r>
        <w:t>‐propargylnickel(II) species can alternatively be generated from unactivated alkyl halides and 1,3‐enynes via a Ni</w:t>
      </w:r>
      <w:r>
        <w:rPr>
          <w:vertAlign w:val="subscript"/>
        </w:rPr>
        <w:t>0</w:t>
      </w:r>
      <w:r>
        <w:t>‐mediated radical alkylation of the alkene. Subsequent isomerization to η</w:t>
      </w:r>
      <w:r>
        <w:rPr>
          <w:vertAlign w:val="subscript"/>
        </w:rPr>
        <w:t>1</w:t>
      </w:r>
      <w:r>
        <w:t>‐allenylnickel(II), followed by reduction, affords η</w:t>
      </w:r>
      <w:r>
        <w:rPr>
          <w:vertAlign w:val="subscript"/>
        </w:rPr>
        <w:t>1</w:t>
      </w:r>
      <w:r>
        <w:t>‐allenylnickel(I) intermediates, which serve as reliable nucleophilic species for the stereoselective addition to aldehydes in the presence of benzoic acid. This protocol features broad substrate scope and good functional group tolerance, and nickel plays multiple roles in accomplishing a complicated Ni</w:t>
      </w:r>
      <w:r>
        <w:rPr>
          <w:vertAlign w:val="subscript"/>
        </w:rPr>
        <w:t>0</w:t>
      </w:r>
      <w:r>
        <w:t>/Ni</w:t>
      </w:r>
      <w:r>
        <w:t xml:space="preserve"> </w:t>
      </w:r>
      <w:r>
        <w:t>I</w:t>
      </w:r>
      <w:r>
        <w:t xml:space="preserve"> </w:t>
      </w:r>
      <w:r>
        <w:t>/Ni</w:t>
      </w:r>
      <w:r>
        <w:t xml:space="preserve"> </w:t>
      </w:r>
      <w:r>
        <w:t>II</w:t>
      </w:r>
      <w:r>
        <w:t xml:space="preserve"> </w:t>
      </w:r>
      <w:r>
        <w:t>/Ni</w:t>
      </w:r>
      <w:r>
        <w:t xml:space="preserve"> </w:t>
      </w:r>
      <w:r>
        <w:t>I</w:t>
      </w:r>
      <w:r>
        <w:t xml:space="preserve"> </w:t>
      </w:r>
      <w:r>
        <w:t>/Ni</w:t>
      </w:r>
      <w:r>
        <w:rPr>
          <w:vertAlign w:val="subscript"/>
        </w:rPr>
        <w:t>0</w:t>
      </w:r>
      <w:r>
        <w:t>catalytic cycle. A wide range of chiral homopropargylic alcohols, even the ones having a medium‐sized ring, are modularly furnished in fair to good yields with moderate to excellent diastereo‐ and enantioselectivity. A series of control experiments and density functional theory (DFT) calculations are conducted to illuminate the catalytic pathways and the origin of regio‐ and stereoselectivity.</w:t>
      </w:r>
    </w:p>
    <w:p>
      <w:pPr>
        <w:spacing w:before="120" w:after="120"/>
      </w:pPr>
      <w:r>
        <w:rPr>
          <w:sz w:val="18"/>
        </w:rPr>
        <w:t>——————————————————————————————————————————————————————————————————————</w:t>
      </w:r>
    </w:p>
    <w:p>
      <w:pPr>
        <w:spacing w:before="160" w:after="40" w:line="240" w:lineRule="auto"/>
      </w:pPr>
      <w:r>
        <w:rPr>
          <w:b/>
        </w:rPr>
        <w:t xml:space="preserve">[79] </w:t>
      </w:r>
      <w:hyperlink r:id="rId139">
        <w:r>
          <w:rPr>
            <w:color w:val="1155CC"/>
            <w:u w:val="single"/>
          </w:rPr>
          <w:t>绕过 Hydride 消除: 兴奋状态 PdC(sp3)-C(sp2)</w:t>
        </w:r>
      </w:hyperlink>
    </w:p>
    <w:p>
      <w:pPr>
        <w:spacing w:before="0" w:after="80"/>
      </w:pPr>
      <w:r>
        <w:rPr>
          <w:i/>
          <w:sz w:val="20"/>
        </w:rPr>
        <w:t>EN: Bypassing β‐Hydride Elimination: Excited‐State Pd‐Catalyzed C(sp3)–C(sp2) Coupling at Room Temperature</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40">
        <w:r>
          <w:rPr>
            <w:color w:val="1155CC"/>
            <w:u w:val="single"/>
          </w:rPr>
          <w:t>10.1002/anie.202522979</w:t>
        </w:r>
      </w:hyperlink>
    </w:p>
    <w:p>
      <w:pPr>
        <w:spacing w:before="0" w:after="120"/>
      </w:pPr>
      <w:r>
        <w:rPr>
          <w:b/>
        </w:rPr>
        <w:t xml:space="preserve">Notes: </w:t>
      </w:r>
      <w:r>
        <w:t>abstract_source=crossref</w:t>
      </w:r>
    </w:p>
    <w:p>
      <w:pPr>
        <w:spacing w:before="0" w:after="80" w:lineRule="auto" w:line="276"/>
      </w:pPr>
      <w:r>
        <w:rPr>
          <w:b/>
        </w:rPr>
        <w:t xml:space="preserve">摘要（ZH）: </w:t>
      </w:r>
      <w:r>
        <w:t>使用的C-H债券的抽象催化性变异非常有吸引力,但是,由于β-氢化物消除的倾向性,使用温作为振动状态过渡金属(TM)物种的二价氨酰3C-H债券的抽象催化变异非常有吸引力,但使用β-氢化物消除β-氢化物中间体的烷基苯(II)介质的变异具有挑战性。为了解决这个问题,在室温条件下,利用二价态转换金属(TM)作为振动中性转金属(TM)物种,实现了亚碘化物作为氢原子转移物的亚氨基碘化物的有选择的交融。我们的方法揭示了一种非氧化中性中性途径,以达到C(sp 3)-C(sp 2)-C(sp 2)交叉式。</w:t>
      </w:r>
    </w:p>
    <w:p>
      <w:pPr>
        <w:spacing w:before="0" w:after="200" w:lineRule="auto" w:line="276"/>
      </w:pPr>
      <w:r>
        <w:rPr>
          <w:b/>
        </w:rPr>
        <w:t xml:space="preserve">Abstract (EN): </w:t>
      </w:r>
      <w:r>
        <w:t>Catalytic modification of C−H bonds using palladium is highly appealing, but transformations involving alkyl‐Pd(II) intermediates with</w:t>
      </w:r>
      <w:r>
        <w:t xml:space="preserve"> </w:t>
      </w:r>
      <w:r>
        <w:t>β</w:t>
      </w:r>
      <w:r>
        <w:t xml:space="preserve"> </w:t>
      </w:r>
      <w:r>
        <w:t>‐hydrogens are challenging due to the propensity for</w:t>
      </w:r>
      <w:r>
        <w:t xml:space="preserve"> </w:t>
      </w:r>
      <w:r>
        <w:t>β</w:t>
      </w:r>
      <w:r>
        <w:t xml:space="preserve"> </w:t>
      </w:r>
      <w:r>
        <w:t>‐hydride elimination. To address this, selective arylation of sp</w:t>
      </w:r>
      <w:r>
        <w:rPr>
          <w:vertAlign w:val="subscript"/>
        </w:rPr>
        <w:t>3</w:t>
      </w:r>
      <w:r>
        <w:t>C−H bonds in amides and alcohols has been achieved using divalent palladium as an excited‐state transition metal (TM) species at room temperature. Our approach unveils a non‐redox‐neutral pathway to achieve C(sp</w:t>
      </w:r>
      <w:r>
        <w:rPr>
          <w:vertAlign w:val="subscript"/>
        </w:rPr>
        <w:t>3</w:t>
      </w:r>
      <w:r>
        <w:t>)–C(sp</w:t>
      </w:r>
      <w:r>
        <w:rPr>
          <w:vertAlign w:val="subscript"/>
        </w:rPr>
        <w:t>2</w:t>
      </w:r>
      <w:r>
        <w:t>) cross‐couplings, utilizing aryl iodides as both hydrogen atom transfer (HAT) and arylating agents for the first time under Pd‐photochemical conditions. The mechanism involves photo‐induced Pd(II)‐catalyzed aryl radical generation, HAT, and aryl migration, effectively bypassing the common</w:t>
      </w:r>
      <w:r>
        <w:t xml:space="preserve"> </w:t>
      </w:r>
      <w:r>
        <w:t>β</w:t>
      </w:r>
      <w:r>
        <w:t xml:space="preserve"> </w:t>
      </w:r>
      <w:r>
        <w:t>‐hydride elimination and annulation pathways. Mechanistic investigations using isotope‐labeled compounds and density functional theory (DFT) studies support the mechanistic rationale, affirming both the feasibility and intricacies of this effective transformation.</w:t>
      </w:r>
    </w:p>
    <w:p>
      <w:pPr>
        <w:spacing w:before="120" w:after="120"/>
      </w:pPr>
      <w:r>
        <w:rPr>
          <w:sz w:val="18"/>
        </w:rPr>
        <w:t>——————————————————————————————————————————————————————————————————————</w:t>
      </w:r>
    </w:p>
    <w:p>
      <w:pPr>
        <w:spacing w:before="160" w:after="40" w:line="240" w:lineRule="auto"/>
      </w:pPr>
      <w:r>
        <w:rPr>
          <w:b/>
        </w:rPr>
        <w:t xml:space="preserve">[80] </w:t>
      </w:r>
      <w:hyperlink r:id="rId141">
        <w:r>
          <w:rPr>
            <w:color w:val="1155CC"/>
            <w:u w:val="single"/>
          </w:rPr>
          <w:t>支持的双核库/Zn 单核库/Zn 单核Atom Nanozyme</w:t>
        </w:r>
      </w:hyperlink>
    </w:p>
    <w:p>
      <w:pPr>
        <w:spacing w:before="0" w:after="80"/>
      </w:pPr>
      <w:r>
        <w:rPr>
          <w:i/>
          <w:sz w:val="20"/>
        </w:rPr>
        <w:t>EN: Graphitic C6N6‐Supported Dual Cu/Zn Single‐Atom Nanozyme Mimicking Allosteric Regulation for Intelligent Switching Biosensing</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42">
        <w:r>
          <w:rPr>
            <w:color w:val="1155CC"/>
            <w:u w:val="single"/>
          </w:rPr>
          <w:t>10.1002/anie.202520253</w:t>
        </w:r>
      </w:hyperlink>
    </w:p>
    <w:p>
      <w:pPr>
        <w:spacing w:before="0" w:after="120"/>
      </w:pPr>
      <w:r>
        <w:rPr>
          <w:b/>
        </w:rPr>
        <w:t xml:space="preserve">Notes: </w:t>
      </w:r>
      <w:r>
        <w:t>abstract_source=crossref</w:t>
      </w:r>
    </w:p>
    <w:p>
      <w:pPr>
        <w:spacing w:before="0" w:after="80" w:lineRule="auto" w:line="276"/>
      </w:pPr>
      <w:r>
        <w:rPr>
          <w:b/>
        </w:rPr>
        <w:t xml:space="preserve">摘要（ZH）: </w:t>
      </w:r>
      <w:r>
        <w:t>抽象自适应性是人造装置(如有化学鼻鼻的机器人)的高度设想。为此,寻找具有可逆可变可变可变功能的催化剂很有希望,但一般受到某种类型催化活动的活跃中心不匹配的具体价值状态的阻碍。在此,我们报告了一个具有光辐照触发可变功能的图形化C 6 N 6 N 6 N 6 支持的双倍Cu/Zn单原子纳米zyme(Cu/ZnC 6 N 6 N 6 ),其功能非常高效。Cu/ZnC 6 N 6 N 6 显示非常有特色的光线性。Cu/ZnC 6 N 6</w:t>
      </w:r>
    </w:p>
    <w:p>
      <w:pPr>
        <w:spacing w:before="0" w:after="200" w:lineRule="auto" w:line="276"/>
      </w:pPr>
      <w:r>
        <w:rPr>
          <w:b/>
        </w:rPr>
        <w:t xml:space="preserve">Abstract (EN): </w:t>
      </w:r>
      <w:r>
        <w:t>Self‐adaptability is highly envisioned for artificial devices such as robots with chemical noses. To this end, seeking catalysts with reversibly switchable functions is promising but generally hampered by mismatched specific valence state of active centers for a certain type of catalytic activity. Herein, we report a graphitic C</w:t>
      </w:r>
      <w:r>
        <w:rPr>
          <w:vertAlign w:val="subscript"/>
        </w:rPr>
        <w:t>6</w:t>
      </w:r>
      <w:r>
        <w:t>N</w:t>
      </w:r>
      <w:r>
        <w:rPr>
          <w:vertAlign w:val="subscript"/>
        </w:rPr>
        <w:t>6</w:t>
      </w:r>
      <w:r>
        <w:t>‐supported dual Cu/Zn single‐atom nanozyme (Cu/Zn‐C</w:t>
      </w:r>
      <w:r>
        <w:rPr>
          <w:vertAlign w:val="subscript"/>
        </w:rPr>
        <w:t>6</w:t>
      </w:r>
      <w:r>
        <w:t>N</w:t>
      </w:r>
      <w:r>
        <w:rPr>
          <w:vertAlign w:val="subscript"/>
        </w:rPr>
        <w:t>6</w:t>
      </w:r>
      <w:r>
        <w:t>) with switchable functions triggered by light irradiation. Cu/Zn‐C</w:t>
      </w:r>
      <w:r>
        <w:rPr>
          <w:vertAlign w:val="subscript"/>
        </w:rPr>
        <w:t>6</w:t>
      </w:r>
      <w:r>
        <w:t>N</w:t>
      </w:r>
      <w:r>
        <w:rPr>
          <w:vertAlign w:val="subscript"/>
        </w:rPr>
        <w:t>6</w:t>
      </w:r>
      <w:r>
        <w:t>exhibited highly efficient distinctive superoxide dismutase (SOD)‐ and peroxidase‐like (POD) activity under dark and light, respectively. Moreover, such switch between SOD‐ and POD‐like activities were reversible by alternating dark and light irradiation with an efficiency more than 90%. The comprehensive experimental and TD‐DFT calculations disclosed that both illumination and the Cu/Zn doping ratio modulate the reduction potential (φ</w:t>
      </w:r>
      <w:r>
        <w:t xml:space="preserve"> </w:t>
      </w:r>
      <w:r>
        <w:t>red</w:t>
      </w:r>
      <w:r>
        <w:t xml:space="preserve"> </w:t>
      </w:r>
      <w:r>
        <w:t>) by altering the potential energy surface and frontier orbital energies, thereby fine‐tuning the SOD activity, making distinctive SOD‐ and POD‐like activities originated from the same active center (Cu‐N</w:t>
      </w:r>
      <w:r>
        <w:t xml:space="preserve"> </w:t>
      </w:r>
      <w:r>
        <w:t>x</w:t>
      </w:r>
      <w:r>
        <w:t xml:space="preserve"> </w:t>
      </w:r>
      <w:r>
        <w:t>) but with different valence states, triggered by photoreduction. As a proof‐of‐concept application, Cu/Zn‐C</w:t>
      </w:r>
      <w:r>
        <w:rPr>
          <w:vertAlign w:val="subscript"/>
        </w:rPr>
        <w:t>6</w:t>
      </w:r>
      <w:r>
        <w:t>N</w:t>
      </w:r>
      <w:r>
        <w:rPr>
          <w:vertAlign w:val="subscript"/>
        </w:rPr>
        <w:t>6</w:t>
      </w:r>
      <w:r>
        <w:t>was further confined to a microfluidic chip and applied to an intelligent single‐interface biosensor with reversibly switched ability in detecting xanthine and glucose in vitro.</w:t>
      </w:r>
    </w:p>
    <w:p>
      <w:pPr>
        <w:spacing w:before="120" w:after="120"/>
      </w:pPr>
      <w:r>
        <w:rPr>
          <w:sz w:val="18"/>
        </w:rPr>
        <w:t>——————————————————————————————————————————————————————————————————————</w:t>
      </w:r>
    </w:p>
    <w:p>
      <w:pPr>
        <w:spacing w:before="160" w:after="40" w:line="240" w:lineRule="auto"/>
      </w:pPr>
      <w:r>
        <w:rPr>
          <w:b/>
        </w:rPr>
        <w:t xml:space="preserve">[81] </w:t>
      </w:r>
      <w:hyperlink r:id="rId143">
        <w:r>
          <w:rPr>
            <w:color w:val="1155CC"/>
            <w:u w:val="single"/>
          </w:rPr>
          <w:t>光子辅助锌电池中 光电诱发质子电池的 质子 级联 推推推 电离 间化动态</w:t>
        </w:r>
      </w:hyperlink>
    </w:p>
    <w:p>
      <w:pPr>
        <w:spacing w:before="0" w:after="80"/>
      </w:pPr>
      <w:r>
        <w:rPr>
          <w:i/>
          <w:sz w:val="20"/>
        </w:rPr>
        <w:t>EN: Photoinduced Proton‐Cation Cascade Boosting Ion Intercalation Dynamics in Photo‐Assisted Zinc‐Ion Batteries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44">
        <w:r>
          <w:rPr>
            <w:color w:val="1155CC"/>
            <w:u w:val="single"/>
          </w:rPr>
          <w:t>10.1002/anie.202522461</w:t>
        </w:r>
      </w:hyperlink>
    </w:p>
    <w:p>
      <w:pPr>
        <w:spacing w:before="0" w:after="120"/>
      </w:pPr>
      <w:r>
        <w:rPr>
          <w:b/>
        </w:rPr>
        <w:t xml:space="preserve">Notes: </w:t>
      </w:r>
      <w:r>
        <w:t>abstract_source=crossref</w:t>
      </w:r>
    </w:p>
    <w:p>
      <w:pPr>
        <w:spacing w:before="0" w:after="80" w:lineRule="auto" w:line="276"/>
      </w:pPr>
      <w:r>
        <w:rPr>
          <w:b/>
        </w:rPr>
        <w:t xml:space="preserve">摘要（ZH）: </w:t>
      </w:r>
      <w:r>
        <w:t>虽然光子辅助离子电池代表着一个有希望的能源储存前沿——光辐照显著改善性能——但随着现有理论努力充分说明光驱动离子间化的改进,其发展仍受到基本知识差距的阻碍。 这项工作发现了光诱导质子zizonc离子间加热级联机制,建立了一个理论框架来解释质子协同相互作用及其在照明下提高能力方面的作用。 通过光诱发电荷转移,光生成电子驱动质子间融,由于限制,Zn 2+协调水分子解质。</w:t>
      </w:r>
    </w:p>
    <w:p>
      <w:pPr>
        <w:spacing w:before="0" w:after="200" w:lineRule="auto" w:line="276"/>
      </w:pPr>
      <w:r>
        <w:rPr>
          <w:b/>
        </w:rPr>
        <w:t xml:space="preserve">Abstract (EN): </w:t>
      </w:r>
      <w:r>
        <w:t>While photo‐assisted ion batteries represent a promising energy storage frontier—with light irradiation significantly improving performance—their development remains hindered by a fundamental knowledge gap, as existing theories struggle to fully account for improved light‐driven ion intercalation. This work discovers the photoinduced proton‐zinc ion intercalation cascade mechanism, establishing a theoretical framework that explains the synergistic proton‐cation interplay and its role in capacity enhancement under illumination. Through light‐induced charge transfer, photogenerated electrons drive proton intercalation, which induces the deprotonation of Zn</w:t>
      </w:r>
      <w:r>
        <w:t xml:space="preserve"> </w:t>
      </w:r>
      <w:r>
        <w:t>2+</w:t>
      </w:r>
      <w:r>
        <w:t xml:space="preserve"> </w:t>
      </w:r>
      <w:r>
        <w:t>‐coordinated water molecules due to the limited availability of free protons in the electrolyte. This deprotonation is energetically favored because of the lower deprotonation barrier of Zn</w:t>
      </w:r>
      <w:r>
        <w:t xml:space="preserve"> </w:t>
      </w:r>
      <w:r>
        <w:t>2+</w:t>
      </w:r>
      <w:r>
        <w:t xml:space="preserve"> </w:t>
      </w:r>
      <w:r>
        <w:t>‐coordinated water compared to uncoordinated water, thereby accelerating zinc‐ion desolvation and promoting Zn</w:t>
      </w:r>
      <w:r>
        <w:t xml:space="preserve"> </w:t>
      </w:r>
      <w:r>
        <w:t>2+</w:t>
      </w:r>
      <w:r>
        <w:t xml:space="preserve"> </w:t>
      </w:r>
      <w:r>
        <w:t>intercalation. Consequently, the synergistic H</w:t>
      </w:r>
      <w:r>
        <w:t xml:space="preserve"> </w:t>
      </w:r>
      <w:r>
        <w:t>+</w:t>
      </w:r>
      <w:r>
        <w:t xml:space="preserve"> </w:t>
      </w:r>
      <w:r>
        <w:t>/Zn</w:t>
      </w:r>
      <w:r>
        <w:t xml:space="preserve"> </w:t>
      </w:r>
      <w:r>
        <w:t>2+</w:t>
      </w:r>
      <w:r>
        <w:t xml:space="preserve"> </w:t>
      </w:r>
      <w:r>
        <w:t>co‐intercalation enables an exceptional areal capacity of 12.86 mA h cm</w:t>
      </w:r>
      <w:r>
        <w:t xml:space="preserve"> </w:t>
      </w:r>
      <w:r>
        <w:t>−2</w:t>
      </w:r>
      <w:r>
        <w:t xml:space="preserve"> </w:t>
      </w:r>
      <w:r>
        <w:t>under illumination in a photo‐assisted zinc‐ion battery with a high mass‐loading of 30 mg cm</w:t>
      </w:r>
      <w:r>
        <w:t xml:space="preserve"> </w:t>
      </w:r>
      <w:r>
        <w:t>−2</w:t>
      </w:r>
      <w:r>
        <w:t xml:space="preserve"> </w:t>
      </w:r>
      <w:r>
        <w:t>. This work elucidates a proton‐cation cascade mechanism that governs light‐driven intercalation dynamics, providing the missing link between photo‐excitation and enhanced battery performance.</w:t>
      </w:r>
    </w:p>
    <w:p>
      <w:pPr>
        <w:spacing w:before="120" w:after="120"/>
      </w:pPr>
      <w:r>
        <w:rPr>
          <w:sz w:val="18"/>
        </w:rPr>
        <w:t>——————————————————————————————————————————————————————————————————————</w:t>
      </w:r>
    </w:p>
    <w:p>
      <w:pPr>
        <w:spacing w:before="160" w:after="40" w:line="240" w:lineRule="auto"/>
      </w:pPr>
      <w:r>
        <w:rPr>
          <w:b/>
        </w:rPr>
        <w:t xml:space="preserve">[82] </w:t>
      </w:r>
      <w:hyperlink r:id="rId145">
        <w:r>
          <w:rPr>
            <w:color w:val="1155CC"/>
            <w:u w:val="single"/>
          </w:rPr>
          <w:t>全芳烃氟化碳聚酰胺纳米化物,与用于超快原油分化的分子基底</w:t>
        </w:r>
      </w:hyperlink>
    </w:p>
    <w:p>
      <w:pPr>
        <w:spacing w:before="0" w:after="80"/>
      </w:pPr>
      <w:r>
        <w:rPr>
          <w:i/>
          <w:sz w:val="20"/>
        </w:rPr>
        <w:t>EN: Fully Aromatic Fluorinated Polyamide Nanofilms with Molecular Gating for Ultrafast Crude Oil Fractionation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46">
        <w:r>
          <w:rPr>
            <w:color w:val="1155CC"/>
            <w:u w:val="single"/>
          </w:rPr>
          <w:t>10.1002/anie.202512620</w:t>
        </w:r>
      </w:hyperlink>
    </w:p>
    <w:p>
      <w:pPr>
        <w:spacing w:before="0" w:after="120"/>
      </w:pPr>
      <w:r>
        <w:rPr>
          <w:b/>
        </w:rPr>
        <w:t xml:space="preserve">Notes: </w:t>
      </w:r>
      <w:r>
        <w:t>abstract_source=crossref</w:t>
      </w:r>
    </w:p>
    <w:p>
      <w:pPr>
        <w:spacing w:before="0" w:after="80" w:lineRule="auto" w:line="276"/>
      </w:pPr>
      <w:r>
        <w:rPr>
          <w:b/>
        </w:rPr>
        <w:t xml:space="preserve">摘要（ZH）: </w:t>
      </w:r>
      <w:r>
        <w:t>抽象原油是世界的“黑金”,其通过热蒸馏的分化过程是一个高耗能过程。聚合膜在将原油分化革命化以发展节能、低脚脚印刷的石油化工工程方面表现出了潜力。然而,传统聚合膜由于极地通道化学以及低连接和脆弱的管道结构,其分化性性能不尽人意,而且不满意和选择性,因此受到低分化作用的影响。我们报告了一种强健的、完全芳香的氟化聚酰胺(FAFPA)纳米膜,其特点是可转换的分子凝胶/凝固状态,以激活和重建用于水极地选择性的亚亚马诺通道。我们报告了一种动态的、完全芳香的氟化聚酰胺(FAFPA)纳米膜。</w:t>
      </w:r>
    </w:p>
    <w:p>
      <w:pPr>
        <w:spacing w:before="0" w:after="200" w:lineRule="auto" w:line="276"/>
      </w:pPr>
      <w:r>
        <w:rPr>
          <w:b/>
        </w:rPr>
        <w:t xml:space="preserve">Abstract (EN): </w:t>
      </w:r>
      <w:r>
        <w:t>Crude oil is the “black gold” of the world and its fractionation by thermal distillation is a highly energy‐consuming process. Polymer membranes are manifesting the potential in revolutionizing crude oil fractionation for developing energy‐efficient, low‐footprint petrochemical engineering. Nevertheless, conventional polymer membranes suffer from inferior fractionation performance with unsatisfied permeance and selectivity owing to their polar channel chemistry as well as low‐connective and vulnerable channel architecture. We report a kind of robust, fully aromatic fluorinated polyamide (FAFPA) nanofilm that features a switchable molecular gating‐on/gating‐off state to activate and reconstruct sub‐nanochannels for the permselectivity of hydrocarbon liquids, enabling ultrafast and stable crude oil fractionation. We demonstrate the gating‐on state is launched by the interplay of FAFPA networks and polar‐matched trigger molecules bearing α‐H such as alcohols and ketones, redefining the sub‐nanochannel chemistry and improving the spatial connectivity of sub‐nanochannels to accelerate the selective transport of hydrocarbons. The gating‐on FAFPA nanofilms show a record‐high separation factor of 33 for 1,3,5‐triisopropylbenzene with a molecular weight of 204 Da as well as a profound</w:t>
      </w:r>
      <w:r>
        <w:t xml:space="preserve"> </w:t>
      </w:r>
      <w:r>
        <w:t>n</w:t>
      </w:r>
      <w:r>
        <w:t xml:space="preserve"> </w:t>
      </w:r>
      <w:r>
        <w:t>‐hexane permeance, 24‐fold higher than that of the gating‐off state. Moreover, these gating‐on FAFPA nanofilms can stably handle typical black crude oil at an elevated temperature of 80 °C for garnering a 32‐fold increased permeance while sustaining nearly constant selectivity toward hydrocarbons.</w:t>
      </w:r>
    </w:p>
    <w:p>
      <w:pPr>
        <w:spacing w:before="120" w:after="120"/>
      </w:pPr>
      <w:r>
        <w:rPr>
          <w:sz w:val="18"/>
        </w:rPr>
        <w:t>——————————————————————————————————————————————————————————————————————</w:t>
      </w:r>
    </w:p>
    <w:p>
      <w:pPr>
        <w:spacing w:before="160" w:after="40" w:line="240" w:lineRule="auto"/>
      </w:pPr>
      <w:r>
        <w:rPr>
          <w:b/>
        </w:rPr>
        <w:t xml:space="preserve">[83] </w:t>
      </w:r>
      <w:hyperlink r:id="rId147">
        <w:r>
          <w:rPr>
            <w:color w:val="1155CC"/>
            <w:u w:val="single"/>
          </w:rPr>
          <w:t>燃料电池中电离电热叠合和毒害反应钚催化的电静电表层设计</w:t>
        </w:r>
      </w:hyperlink>
    </w:p>
    <w:p>
      <w:pPr>
        <w:spacing w:before="0" w:after="80"/>
      </w:pPr>
      <w:r>
        <w:rPr>
          <w:i/>
          <w:sz w:val="20"/>
        </w:rPr>
        <w:t>EN: Electrostatic Landscape Design for Ionomer Adhesion and Poison‐Resistant Platinum Catalysis in Fuel Cells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48">
        <w:r>
          <w:rPr>
            <w:color w:val="1155CC"/>
            <w:u w:val="single"/>
          </w:rPr>
          <w:t>10.1002/anie.202520955</w:t>
        </w:r>
      </w:hyperlink>
    </w:p>
    <w:p>
      <w:pPr>
        <w:spacing w:before="0" w:after="120"/>
      </w:pPr>
      <w:r>
        <w:rPr>
          <w:b/>
        </w:rPr>
        <w:t xml:space="preserve">Notes: </w:t>
      </w:r>
      <w:r>
        <w:t>abstract_source=crossref</w:t>
      </w:r>
    </w:p>
    <w:p>
      <w:pPr>
        <w:spacing w:before="0" w:after="80" w:lineRule="auto" w:line="276"/>
      </w:pPr>
      <w:r>
        <w:rPr>
          <w:b/>
        </w:rPr>
        <w:t xml:space="preserve">摘要（ZH）: </w:t>
      </w:r>
      <w:r>
        <w:t>白金( Pt) 站点的电离聚物分布和磺酸( - SO 3 - - 3 - ) 类中毒( - SO 3 - ) 抽象离聚物分布和全氟辛烷磺酸群( - - SO 3 - ), 极大地阻碍了质子交换薄膜燃料电池( PEMFC ) 的 Pt 利用和当地大众运输。 由此,我们报告了纳米碳支持的静电景观设计,这些支持利用强力和统一的离聚物粘合产生抗毒的 Pt 界面,有效减轻 — SO 3 - 组对 Pt 点的直接中毒,并增强活跃场所的无障碍和本地大众运输。 由此形成的PtFe/ FNFNQC催化剂的离聚物覆盖率极低,只有6.4%,能够达到峰值密度。</w:t>
      </w:r>
    </w:p>
    <w:p>
      <w:pPr>
        <w:spacing w:before="0" w:after="200" w:lineRule="auto" w:line="276"/>
      </w:pPr>
      <w:r>
        <w:rPr>
          <w:b/>
        </w:rPr>
        <w:t xml:space="preserve">Abstract (EN): </w:t>
      </w:r>
      <w:r>
        <w:t>Uneven ionomer distribution and sulfonate groups (–SO</w:t>
      </w:r>
      <w:r>
        <w:rPr>
          <w:vertAlign w:val="subscript"/>
        </w:rPr>
        <w:t>3</w:t>
      </w:r>
      <w:r>
        <w:t>–</w:t>
      </w:r>
      <w:r>
        <w:t xml:space="preserve"> </w:t>
      </w:r>
      <w:r>
        <w:t>) poisoning at platinum (Pt) sites significantly impede Pt utilization and local mass transport in proton exchange membrane fuel cells (PEMFCs). Herein, we report an electrostatic landscape design on nanocarbon supports that harnesses strong and uniform ionomer adhesion to create a poison‐resistant Pt interface, effectively mitigating direct poisoning of Pt sites by –SO</w:t>
      </w:r>
      <w:r>
        <w:rPr>
          <w:vertAlign w:val="subscript"/>
        </w:rPr>
        <w:t>3</w:t>
      </w:r>
      <w:r>
        <w:t>–</w:t>
      </w:r>
      <w:r>
        <w:t xml:space="preserve"> </w:t>
      </w:r>
      <w:r>
        <w:t>groups and enhancing active sites accessibility and local mass transport. The resulting PtFe/FN‐C catalyst exhibits an exceptionally low ionomer coverage of only 6.4%, enabling a peak power density of 1.39 W cm</w:t>
      </w:r>
      <w:r>
        <w:t xml:space="preserve"> </w:t>
      </w:r>
      <w:r>
        <w:t>−2</w:t>
      </w:r>
      <w:r>
        <w:t xml:space="preserve"> </w:t>
      </w:r>
      <w:r>
        <w:t>and an oxygen transport resistance of only 44.5 s m</w:t>
      </w:r>
      <w:r>
        <w:t xml:space="preserve"> </w:t>
      </w:r>
      <w:r>
        <w:t>−1</w:t>
      </w:r>
      <w:r>
        <w:t xml:space="preserve"> </w:t>
      </w:r>
      <w:r>
        <w:t>in PEMFC testing. Furthermore, it demonstrates impressive durability, with only a 2 mV voltage loss after 30 000 cycles at 0.8 A cm</w:t>
      </w:r>
      <w:r>
        <w:t xml:space="preserve"> </w:t>
      </w:r>
      <w:r>
        <w:t>−2</w:t>
      </w:r>
      <w:r>
        <w:t xml:space="preserve"> </w:t>
      </w:r>
      <w:r>
        <w:t>. This work establishes a new principle for interface engineering where overall polymer‐support adhesion governs local catalyst‐functional group interactions, offering a general strategy for designing high‐performance, poison‐resistant electrocatalysts for energy conversion technologies.</w:t>
      </w:r>
    </w:p>
    <w:p>
      <w:pPr>
        <w:spacing w:before="120" w:after="120"/>
      </w:pPr>
      <w:r>
        <w:rPr>
          <w:sz w:val="18"/>
        </w:rPr>
        <w:t>——————————————————————————————————————————————————————————————————————</w:t>
      </w:r>
    </w:p>
    <w:p>
      <w:pPr>
        <w:spacing w:before="160" w:after="40" w:line="240" w:lineRule="auto"/>
      </w:pPr>
      <w:r>
        <w:rPr>
          <w:b/>
        </w:rPr>
        <w:t xml:space="preserve">[84] </w:t>
      </w:r>
      <w:hyperlink r:id="rId149">
        <w:r>
          <w:rPr>
            <w:color w:val="1155CC"/>
            <w:u w:val="single"/>
          </w:rPr>
          <w:t>Steric Presring Unlocks 分层结构、热血化、CH/O活化和6-Enerectron Redox 在Planar Bismuth Triamides中的转解</w:t>
        </w:r>
      </w:hyperlink>
    </w:p>
    <w:p>
      <w:pPr>
        <w:spacing w:before="0" w:after="80"/>
      </w:pPr>
      <w:r>
        <w:rPr>
          <w:i/>
          <w:sz w:val="20"/>
        </w:rPr>
        <w:t>EN: Steric Pruning Unlocks Hierarchical Structuring, Thermochromism, C‐H/O Activation, and 6‐electron Redox Transmetalation in Planar Bismuth Triamides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50">
        <w:r>
          <w:rPr>
            <w:color w:val="1155CC"/>
            <w:u w:val="single"/>
          </w:rPr>
          <w:t>10.1002/anie.202518367</w:t>
        </w:r>
      </w:hyperlink>
    </w:p>
    <w:p>
      <w:pPr>
        <w:spacing w:before="0" w:after="120"/>
      </w:pPr>
      <w:r>
        <w:rPr>
          <w:b/>
        </w:rPr>
        <w:t xml:space="preserve">Notes: </w:t>
      </w:r>
      <w:r>
        <w:t>abstract_source=crossref</w:t>
      </w:r>
    </w:p>
    <w:p>
      <w:pPr>
        <w:spacing w:before="0" w:after="80" w:lineRule="auto" w:line="276"/>
      </w:pPr>
      <w:r>
        <w:rPr>
          <w:b/>
        </w:rPr>
        <w:t xml:space="preserve">摘要（ZH）: </w:t>
      </w:r>
      <w:r>
        <w:t>含有金枪鱼分立电子元素的白板双甲三酰三酰二苯摘要集,为研究石块元素几何限制的影响提供了一个多功能平台。在这里,我们表明,探讨这些化合物中低动静态散装系统可释放出绝对的新现象,如上层税级定序、热血球、C-H/O活化和6-Eectron pincertopincer redox commodelation。在有固态的衍生物中,这些行为没有观察到,强调在几何受限制的主要组群群群中,僵化调节在释放新现象方面的作用。</w:t>
      </w:r>
    </w:p>
    <w:p>
      <w:pPr>
        <w:spacing w:before="0" w:after="200" w:lineRule="auto" w:line="276"/>
      </w:pPr>
      <w:r>
        <w:rPr>
          <w:b/>
        </w:rPr>
        <w:t xml:space="preserve">Abstract (EN): </w:t>
      </w:r>
      <w:r>
        <w:t>Planar bismuth triamides with tunable stereoelectronics offer a versatile platform for studying the effects of geometric constraints in p‐block elements. Here we show that exploring the low steric bulk regime in these compounds unlocks categorically new phenomena such as epitaxial hierarchical ordering, thermochromism, C─H/O activation, and 6‐electron pincer‐to‐pincer redox transmetalation. These behaviors are not observed in sterically encumbered derivatives, emphasizing the role of steric modulation in unlocking new phenomena in geometrically‐constrained main group complexes.</w:t>
      </w:r>
    </w:p>
    <w:p>
      <w:pPr>
        <w:spacing w:before="120" w:after="120"/>
      </w:pPr>
      <w:r>
        <w:rPr>
          <w:sz w:val="18"/>
        </w:rPr>
        <w:t>——————————————————————————————————————————————————————————————————————</w:t>
      </w:r>
    </w:p>
    <w:p>
      <w:pPr>
        <w:spacing w:before="160" w:after="40" w:line="240" w:lineRule="auto"/>
      </w:pPr>
      <w:r>
        <w:rPr>
          <w:b/>
        </w:rPr>
        <w:t xml:space="preserve">[85] </w:t>
      </w:r>
      <w:hyperlink r:id="rId151">
        <w:r>
          <w:rPr>
            <w:color w:val="1155CC"/>
            <w:u w:val="single"/>
          </w:rPr>
          <w:t>用于Butafulvene合成的化学解析。</w:t>
        </w:r>
      </w:hyperlink>
    </w:p>
    <w:p>
      <w:pPr>
        <w:spacing w:before="0" w:after="80"/>
      </w:pPr>
      <w:r>
        <w:rPr>
          <w:i/>
          <w:sz w:val="20"/>
        </w:rPr>
        <w:t>EN: Pseudohalide‐Guided Redox Control Enables Electrochemical Auto‐Tandem Nickel Catalysis for Butafulvene Synthesis.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52">
        <w:r>
          <w:rPr>
            <w:color w:val="1155CC"/>
            <w:u w:val="single"/>
          </w:rPr>
          <w:t>10.1002/anie.202518341</w:t>
        </w:r>
      </w:hyperlink>
    </w:p>
    <w:p>
      <w:pPr>
        <w:spacing w:before="0" w:after="120"/>
      </w:pPr>
      <w:r>
        <w:rPr>
          <w:b/>
        </w:rPr>
        <w:t xml:space="preserve">Notes: </w:t>
      </w:r>
      <w:r>
        <w:t>abstract_source=crossref</w:t>
      </w:r>
    </w:p>
    <w:p>
      <w:pPr>
        <w:spacing w:before="0" w:after="80" w:lineRule="auto" w:line="276"/>
      </w:pPr>
      <w:r>
        <w:rPr>
          <w:b/>
        </w:rPr>
        <w:t xml:space="preserve">摘要（ZH）: </w:t>
      </w:r>
      <w:r>
        <w:t>电子化学镍催化法为再氧化控制反应提供了一个独特的平台,然而,其用于同步催化的用途仍未得到充分探讨。 我们报告开发、机械化解释和合成应用了一种概念上的新电子化学战略,使原生碳酸盐自动转化成 butafulvenes, 高度紧张、抗亚光化的脚手架,而合成接触有限。 全面的机械调查显示,这种转化结合了一种与机械学上截然不同的环形异构体化的再消化结合,两者都是在电解条件下由单一镍催化剂介介介的。 关键是,伪卤化物在引导受控的Ni(N)方面发挥着核心作用。</w:t>
      </w:r>
    </w:p>
    <w:p>
      <w:pPr>
        <w:spacing w:before="0" w:after="200" w:lineRule="auto" w:line="276"/>
      </w:pPr>
      <w:r>
        <w:rPr>
          <w:b/>
        </w:rPr>
        <w:t xml:space="preserve">Abstract (EN): </w:t>
      </w:r>
      <w:r>
        <w:t>Electrochemical nickel catalysis offers a unique platform for redox‐controlled reactivity, yet its application to tandem catalysis remains underexplored. We report the development, mechanistic elucidation, and synthetic application of a conceptually novel electrochemical strategy that enables auto‐tandem nickel‐catalyzed (e‐ATC) conversion of propargyl carbonates into butafulvenes, highly strained, antiaromatic scaffolds with limited synthetic accessibility. Comprehensive mechanistic investigations reveal that this transformation merges a reductive coupling with a mechanistically distinct cycloisomerization, both mediated by a single nickel catalyst under electroreductive conditions. Crucially, pseudohalide ligands play a central role in steering a controlled Ni(0)/Ni(II) redox manifold by suppressing one‐electron Ni(I) pathways, thereby favoring a polar two‐electron mechanism. The method enables broad access to butafulvenes, including fused‐ring variants that are inaccessible by previous catalytic routes. Further derivatizations demonstrate the synthetic utility of these butafulvenes as precursors to strained dendralenes and complex polycyclic frameworks.</w:t>
      </w:r>
    </w:p>
    <w:p>
      <w:pPr>
        <w:spacing w:before="120" w:after="120"/>
      </w:pPr>
      <w:r>
        <w:rPr>
          <w:sz w:val="18"/>
        </w:rPr>
        <w:t>——————————————————————————————————————————————————————————————————————</w:t>
      </w:r>
    </w:p>
    <w:p>
      <w:pPr>
        <w:spacing w:before="160" w:after="40" w:line="240" w:lineRule="auto"/>
      </w:pPr>
      <w:r>
        <w:rPr>
          <w:b/>
        </w:rPr>
        <w:t xml:space="preserve">[86] </w:t>
      </w:r>
      <w:hyperlink r:id="rId153">
        <w:r>
          <w:rPr>
            <w:color w:val="1155CC"/>
            <w:u w:val="single"/>
          </w:rPr>
          <w:t>碳纳诺霍普的对称性启用室 温度 tempperatic Ternary 单分子 分子切换</w:t>
        </w:r>
      </w:hyperlink>
    </w:p>
    <w:p>
      <w:pPr>
        <w:spacing w:before="0" w:after="80"/>
      </w:pPr>
      <w:r>
        <w:rPr>
          <w:i/>
          <w:sz w:val="20"/>
        </w:rPr>
        <w:t>EN: Symmetry‐Breaking in Carbon Nanohoops Enables Room‐Temperature Ternary Single‐Molecule Switching</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54">
        <w:r>
          <w:rPr>
            <w:color w:val="1155CC"/>
            <w:u w:val="single"/>
          </w:rPr>
          <w:t>10.1002/anie.202519695</w:t>
        </w:r>
      </w:hyperlink>
    </w:p>
    <w:p>
      <w:pPr>
        <w:spacing w:before="0" w:after="120"/>
      </w:pPr>
      <w:r>
        <w:rPr>
          <w:b/>
        </w:rPr>
        <w:t xml:space="preserve">Notes: </w:t>
      </w:r>
      <w:r>
        <w:t>abstract_source=crossref</w:t>
      </w:r>
    </w:p>
    <w:p>
      <w:pPr>
        <w:spacing w:before="0" w:after="80" w:lineRule="auto" w:line="276"/>
      </w:pPr>
      <w:r>
        <w:rPr>
          <w:b/>
        </w:rPr>
        <w:t xml:space="preserve">摘要（ZH）: </w:t>
      </w:r>
      <w:r>
        <w:t>单分子电子学文摘摘要 单分子电子学提供了化学编码的路径,用于超常信息处理,然而由于热扩大和电子平均,室温操作往往局限于二进制导状态。这里我们展示了使用对称工程碳纳米步子在室温室温度下使用对称性工程碳纳米步子进行强固的恒温切换。通过对称性破碎的1,6-断裂的1,6-连结将一个铁球体嵌入[12]环球苯基骨柱中,扰乱了 +- 区和本地化前沿轨道的电子等同。在单- 分子交叉点受控的机械超长下,分子展示了三个精密解的导导导高原,每个高高原都以 one 级分隔, 提供 una una 。</w:t>
      </w:r>
    </w:p>
    <w:p>
      <w:pPr>
        <w:spacing w:before="0" w:after="200" w:lineRule="auto" w:line="276"/>
      </w:pPr>
      <w:r>
        <w:rPr>
          <w:b/>
        </w:rPr>
        <w:t xml:space="preserve">Abstract (EN): </w:t>
      </w:r>
      <w:r>
        <w:t>Single‐molecule electronics offers chemically encoded routes to ultra‐dense information processing, yet room‐temperature operation is often limited to binary conductance states due to thermal broadening and electronic averaging. Here we demonstrate robust ternary switching at room temperature using symmetry‐engineered carbon nanohoops. Embedding a pyrene unit into the [12]cycloparaphenylene backbone via a symmetry‐breaking 1,6‐linkage disrupts the electronic equivalence of</w:t>
      </w:r>
      <w:r>
        <w:t xml:space="preserve"> </w:t>
      </w:r>
      <w:r>
        <w:t>π</w:t>
      </w:r>
      <w:r>
        <w:t xml:space="preserve"> </w:t>
      </w:r>
      <w:r>
        <w:t>–segments and localizes frontier orbitals. Under controlled mechanical elongation in single–molecule junctions, the molecule exhibits three well‐resolved conductance plateaus, each separated by ∼one order of magnitude, affording unambiguous and reproducible readout. First‐principles transport calculations reveal that symmetry‐breaking–induced orbital localization discretizes coherent tunneling pathways, accounting for the observed plateaus. These findings establish molecular symmetry control as a general design principle for room‐temperature multistate charge transport in conjugated macrocycles, opening a pathway to high‐density single‐molecule logic architectures.</w:t>
      </w:r>
    </w:p>
    <w:p>
      <w:pPr>
        <w:spacing w:before="120" w:after="120"/>
      </w:pPr>
      <w:r>
        <w:rPr>
          <w:sz w:val="18"/>
        </w:rPr>
        <w:t>——————————————————————————————————————————————————————————————————————</w:t>
      </w:r>
    </w:p>
    <w:p>
      <w:pPr>
        <w:spacing w:before="160" w:after="40" w:line="240" w:lineRule="auto"/>
      </w:pPr>
      <w:r>
        <w:rPr>
          <w:b/>
        </w:rPr>
        <w:t xml:space="preserve">[87] </w:t>
      </w:r>
      <w:hyperlink r:id="rId155">
        <w:r>
          <w:rPr>
            <w:color w:val="1155CC"/>
            <w:u w:val="single"/>
          </w:rPr>
          <w:t>通过Energy-Transfer-Medid Carbene 插入对 sp3-Rich 双环[1.1.1]pentane生物索斯特进行模块访问[1.1.1]</w:t>
        </w:r>
      </w:hyperlink>
    </w:p>
    <w:p>
      <w:pPr>
        <w:spacing w:before="0" w:after="80"/>
      </w:pPr>
      <w:r>
        <w:rPr>
          <w:i/>
          <w:sz w:val="20"/>
        </w:rPr>
        <w:t>EN: Modular Access to sp3‐Rich Bicyclo[1.1.1]pentane Bioisosteres via Energy‐Transfer‐Mediated Carbene Insertion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56">
        <w:r>
          <w:rPr>
            <w:color w:val="1155CC"/>
            <w:u w:val="single"/>
          </w:rPr>
          <w:t>10.1002/anie.202518508</w:t>
        </w:r>
      </w:hyperlink>
    </w:p>
    <w:p>
      <w:pPr>
        <w:spacing w:before="0" w:after="120"/>
      </w:pPr>
      <w:r>
        <w:rPr>
          <w:b/>
        </w:rPr>
        <w:t xml:space="preserve">Notes: </w:t>
      </w:r>
      <w:r>
        <w:t>abstract_source=crossref</w:t>
      </w:r>
    </w:p>
    <w:p>
      <w:pPr>
        <w:spacing w:before="0" w:after="80" w:lineRule="auto" w:line="276"/>
      </w:pPr>
      <w:r>
        <w:rPr>
          <w:b/>
        </w:rPr>
        <w:t xml:space="preserve">摘要（ZH）: </w:t>
      </w:r>
      <w:r>
        <w:t>替代二环[1.1.1]pentanes(BCPs)的抽象替代双环[1.1.1]pentanes(BCPs)日益被公认为对正正正正或正正正代苯基苯环具有价值的 3 3 富生物固化物,提供了更好的药用动力特性和在药物发现方面的广泛效用。我们在此报告一项由能量转化驱动的战略,通过在双环[1.1.0]丁烷(BCBss)中添加的菌株释放三联碳苯合成2 替代品BCPs[1.1.0]。这一方法使用易于获取的直通型二氯乙基苯和多种在轻蓝光辐照下的生物氯苯,提供直接接触1,2,3-三联代BCPs。主要优势包括模块安装多功能桥。</w:t>
      </w:r>
    </w:p>
    <w:p>
      <w:pPr>
        <w:spacing w:before="0" w:after="200" w:lineRule="auto" w:line="276"/>
      </w:pPr>
      <w:r>
        <w:rPr>
          <w:b/>
        </w:rPr>
        <w:t xml:space="preserve">Abstract (EN): </w:t>
      </w:r>
      <w:r>
        <w:t>Substituted bicyclo[1.1.1]pentanes (BCPs) are increasingly recognized as valuable</w:t>
      </w:r>
      <w:r>
        <w:t xml:space="preserve"> </w:t>
      </w:r>
      <w:r>
        <w:t>sp</w:t>
      </w:r>
      <w:r>
        <w:rPr>
          <w:vertAlign w:val="subscript"/>
        </w:rPr>
        <w:t>3</w:t>
      </w:r>
      <w:r>
        <w:t xml:space="preserve"> </w:t>
      </w:r>
      <w:r>
        <w:t>‐rich bioisosteres for ortho‐ or meta‐disubstituted benzene rings, offering improved pharmacokinetic properties and broad utility in drug discovery. Herein, we report an energy‐transfer‐enabled strategy for the synthesis of 2‐substituted BCPs via strain‐release triplet carbene addition to bicyclo[1.1.0]butanes (BCBs). This method employs readily accessible diazoacetates and a diverse set of BCBs under mild blue‐light irradiation, providing direct access to 1,2,3‐trisubstituted BCPs. Key advantages include the modular installation of versatile bridge ester substituents, enabling downstream diversification, while retaining the bridgehead substituents from the BCB precursor. The synthetic utility is further demonstrated through the preparation of BCP analogues of bioactive fragments. Combined experimental and DFT studies support a mechanism involving photoinduced energy transfer to generate a triplet carbene, followed by stepwise addition across the highly strained C─C σ bond of the BCB framework.</w:t>
      </w:r>
    </w:p>
    <w:p>
      <w:pPr>
        <w:spacing w:before="120" w:after="120"/>
      </w:pPr>
      <w:r>
        <w:rPr>
          <w:sz w:val="18"/>
        </w:rPr>
        <w:t>——————————————————————————————————————————————————————————————————————</w:t>
      </w:r>
    </w:p>
    <w:p>
      <w:pPr>
        <w:spacing w:before="160" w:after="40" w:line="240" w:lineRule="auto"/>
      </w:pPr>
      <w:r>
        <w:rPr>
          <w:b/>
        </w:rPr>
        <w:t xml:space="preserve">[88] </w:t>
      </w:r>
      <w:hyperlink r:id="rId157">
        <w:r>
          <w:rPr>
            <w:color w:val="1155CC"/>
            <w:u w:val="single"/>
          </w:rPr>
          <w:t>Spirosilanes 激活Cyclo异化和分子间歇反应中的黄金(I)</w:t>
        </w:r>
      </w:hyperlink>
    </w:p>
    <w:p>
      <w:pPr>
        <w:spacing w:before="0" w:after="80"/>
      </w:pPr>
      <w:r>
        <w:rPr>
          <w:i/>
          <w:sz w:val="20"/>
        </w:rPr>
        <w:t>EN: Spirosilanes Activate Gold(I)‐Catalysts in Cycloisomerization and Intermolecular Reactions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58">
        <w:r>
          <w:rPr>
            <w:color w:val="1155CC"/>
            <w:u w:val="single"/>
          </w:rPr>
          <w:t>10.1002/anie.202518534</w:t>
        </w:r>
      </w:hyperlink>
    </w:p>
    <w:p>
      <w:pPr>
        <w:spacing w:before="0" w:after="120"/>
      </w:pPr>
      <w:r>
        <w:rPr>
          <w:b/>
        </w:rPr>
        <w:t xml:space="preserve">Notes: </w:t>
      </w:r>
      <w:r>
        <w:t>abstract_source=crossref</w:t>
      </w:r>
    </w:p>
    <w:p>
      <w:pPr>
        <w:spacing w:before="0" w:after="80" w:lineRule="auto" w:line="276"/>
      </w:pPr>
      <w:r>
        <w:rPr>
          <w:b/>
        </w:rPr>
        <w:t xml:space="preserve">摘要（ZH）: </w:t>
      </w:r>
      <w:r>
        <w:t>Gold催化摘要反应已经确立为有机合成的有力工具,为构建多种分子结构,特别是高度复杂的脚手架提供了高效的途径,大多数过程都依赖于使用一般由银盐激活的LauCl预催化剂,即电解剂。在这项工作中,我们探讨了基于硅基的刘易斯酸(例如螺旋硅烷)的作用,衍生物是替代银盐的替代活化剂。发现Martin Spisilannes介质激活金预催化剂,便利了多种循环和环化异构体反应以及分子间反应。NMR的研究和计算调查表明,没有真正化,即形成一对电离子体,t</w:t>
      </w:r>
    </w:p>
    <w:p>
      <w:pPr>
        <w:spacing w:before="0" w:after="200" w:lineRule="auto" w:line="276"/>
      </w:pPr>
      <w:r>
        <w:rPr>
          <w:b/>
        </w:rPr>
        <w:t xml:space="preserve">Abstract (EN): </w:t>
      </w:r>
      <w:r>
        <w:t>Gold‐catalyzed reactions have established as a powerful tool in organic synthesis, offering efficient pathways to construct diverse molecular structures and notably scaffolds with high complexity. Most processes rely on the use of LAuCl precatalysts, which are generally activated, i.e., cationized, by silver salts. In this work, we explore the role of silicon‐based Lewis acids based, such as spirosilane, derivatives as alternative activators in lieu of silver salts. It was found that Martin spirosilanes mediate the activation of gold precatalysts, facilitating diverse cyclization and cycloisomerization reactions as well as intermolecular reactions. NMR studies and computational investigations suggest that no real cationization, i.e., formation of an ionic pair, takes place, but rather activation through weak interaction between silicon and the chlorine atom of LAuCl. This preserves the Au─Cl bond and ultimately enables the LAuCl complex to be recovered. On the same line, the LAuCl–silane interaction has also proven to be beneficial for asymmetric catalysis. This work significantly contributes to the expansion of gold‐catalyzed transformations by opening up the prospect of a more sustainable gold catalysis. It also opens perspectives on the use of silicon‐based Lewis acids as versatile cooperative agents in organometallic chemistry.</w:t>
      </w:r>
    </w:p>
    <w:p>
      <w:pPr>
        <w:spacing w:before="120" w:after="120"/>
      </w:pPr>
      <w:r>
        <w:rPr>
          <w:sz w:val="18"/>
        </w:rPr>
        <w:t>——————————————————————————————————————————————————————————————————————</w:t>
      </w:r>
    </w:p>
    <w:p>
      <w:pPr>
        <w:spacing w:before="160" w:after="40" w:line="240" w:lineRule="auto"/>
      </w:pPr>
      <w:r>
        <w:rPr>
          <w:b/>
        </w:rPr>
        <w:t xml:space="preserve">[89] </w:t>
      </w:r>
      <w:hyperlink r:id="rId159">
        <w:r>
          <w:rPr>
            <w:color w:val="1155CC"/>
            <w:u w:val="single"/>
          </w:rPr>
          <w:t>释放苯甲酸</w:t>
        </w:r>
      </w:hyperlink>
    </w:p>
    <w:p>
      <w:pPr>
        <w:spacing w:before="0" w:after="80"/>
      </w:pPr>
      <w:r>
        <w:rPr>
          <w:i/>
          <w:sz w:val="20"/>
        </w:rPr>
        <w:t>EN: Decarboxylative Arene Ring‐Opening of Benzoic Acids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60">
        <w:r>
          <w:rPr>
            <w:color w:val="1155CC"/>
            <w:u w:val="single"/>
          </w:rPr>
          <w:t>10.1002/anie.202520084</w:t>
        </w:r>
      </w:hyperlink>
    </w:p>
    <w:p>
      <w:pPr>
        <w:spacing w:before="0" w:after="120"/>
      </w:pPr>
      <w:r>
        <w:rPr>
          <w:b/>
        </w:rPr>
        <w:t xml:space="preserve">Notes: </w:t>
      </w:r>
      <w:r>
        <w:t>abstract_source=crossref</w:t>
      </w:r>
    </w:p>
    <w:p>
      <w:pPr>
        <w:spacing w:before="0" w:after="80" w:lineRule="auto" w:line="276"/>
      </w:pPr>
      <w:r>
        <w:rPr>
          <w:b/>
        </w:rPr>
        <w:t xml:space="preserve">摘要（ZH）: </w:t>
      </w:r>
      <w:r>
        <w:t>抽象苯甲酸在合成化学、制药和材料科学中广泛使用,然而,其作为线性合成合成物前体的潜力却由于分解其高度稳定的芳香C-C保证金的挑战而受到严重制约。在这里,我们报告说,PDPP(4(立方新1基)丙烯)和铜协同催化氮化苯并配有定制的氮化试剂的苯并酸。这一协议有效地促进了选择性脱色和苯环开启过程,从而导致产生环性双硝基产品。设计的新氮试剂在PDPPccalazized初始步骤中起着至关重要的作用,以触发选择性碳箱和芳基C-C保证金分离过程。这一协同增效战略极大地扩大了合成的利用。</w:t>
      </w:r>
    </w:p>
    <w:p>
      <w:pPr>
        <w:spacing w:before="0" w:after="200" w:lineRule="auto" w:line="276"/>
      </w:pPr>
      <w:r>
        <w:rPr>
          <w:b/>
        </w:rPr>
        <w:t xml:space="preserve">Abstract (EN): </w:t>
      </w:r>
      <w:r>
        <w:t>Benzoic acids are widely utilized in synthetic chemistry, pharmaceuticals, and materials science, yet their potential as precursors for linear synthons is severely constrained by the challenge of cleaving their highly stable aromatic C─C bonds. Here, we report that a PDPP (4‐(piperidin‐1‐yl)pyridine) and copper synergistically catalyzed nitrogenation of benzoic acids with a tailored nitrogenation reagent. This protocol efficiently enables the selective decarboxylation and benzene ring opening processes leading to acyclic dinitrile products. The designed new azide reagent plays an essential role in the PDPP‐catalyzed initial step to trigger the selective carboxyl and aromatic C─C bond cleavage process. This synergistic strategy greatly expands the synthetic utility of benzoic acids, providing a direct and practical route to acyclic scaffolds. The aromatic ring‐opening products could be further used in cyclization reactions to realize phenyl ring scaffold hopping.</w:t>
      </w:r>
    </w:p>
    <w:p>
      <w:pPr>
        <w:spacing w:before="120" w:after="120"/>
      </w:pPr>
      <w:r>
        <w:rPr>
          <w:sz w:val="18"/>
        </w:rPr>
        <w:t>——————————————————————————————————————————————————————————————————————</w:t>
      </w:r>
    </w:p>
    <w:p>
      <w:pPr>
        <w:spacing w:before="160" w:after="40" w:line="240" w:lineRule="auto"/>
      </w:pPr>
      <w:r>
        <w:rPr>
          <w:b/>
        </w:rPr>
        <w:t xml:space="preserve">[90] </w:t>
      </w:r>
      <w:hyperlink r:id="rId161">
        <w:r>
          <w:rPr>
            <w:color w:val="1155CC"/>
            <w:u w:val="single"/>
          </w:rPr>
          <w:t>Mizoroki-未受过训练的Ketones的高度反应</w:t>
        </w:r>
      </w:hyperlink>
    </w:p>
    <w:p>
      <w:pPr>
        <w:spacing w:before="0" w:after="80"/>
      </w:pPr>
      <w:r>
        <w:rPr>
          <w:i/>
          <w:sz w:val="20"/>
        </w:rPr>
        <w:t>EN: Stereodivergent Deacylative Mizoroki–Heck Reaction of Unstrained Ketones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62">
        <w:r>
          <w:rPr>
            <w:color w:val="1155CC"/>
            <w:u w:val="single"/>
          </w:rPr>
          <w:t>10.1002/anie.202518599</w:t>
        </w:r>
      </w:hyperlink>
    </w:p>
    <w:p>
      <w:pPr>
        <w:spacing w:before="0" w:after="120"/>
      </w:pPr>
      <w:r>
        <w:rPr>
          <w:b/>
        </w:rPr>
        <w:t xml:space="preserve">Notes: </w:t>
      </w:r>
      <w:r>
        <w:t>abstract_source=crossref</w:t>
      </w:r>
    </w:p>
    <w:p>
      <w:pPr>
        <w:spacing w:before="0" w:after="80" w:lineRule="auto" w:line="276"/>
      </w:pPr>
      <w:r>
        <w:rPr>
          <w:b/>
        </w:rPr>
        <w:t xml:space="preserve">摘要（ZH）: </w:t>
      </w:r>
      <w:r>
        <w:t>抽象Alkene结构是有机合成、药物设计和材料科学中最实用和最广泛使用的结构之一。然而,制定实用战略,从诸如金酮等大量材料中生产如此高价值的化学品仍然难以实现。 我们在这里展示了甲基氯酮和环烷酮的立体分解降解作用 — — 甲基氯酮和环烷酮的峰值反应,通过双光redox/cobalt催化提供E 和Z configed alkenes。 有趣的是,通过明智地选择光电池,通过能量转移催化来实现金枪鱼E/Z的选择性。</w:t>
      </w:r>
    </w:p>
    <w:p>
      <w:pPr>
        <w:spacing w:before="0" w:after="200" w:lineRule="auto" w:line="276"/>
      </w:pPr>
      <w:r>
        <w:rPr>
          <w:b/>
        </w:rPr>
        <w:t xml:space="preserve">Abstract (EN): </w:t>
      </w:r>
      <w:r>
        <w:t>Alkene structures represent one of the most functional and widely used in organic synthesis, drug design, and material science. However, developing a practical strategy to produce such high‐valued chemicals from widely abundant materials, such as ketones, remains elusive. Herein, we present a stereodivergent deacylative Mizoroki–Heck reaction of methyl ketones and cyclic ketones to furnish both</w:t>
      </w:r>
      <w:r>
        <w:t xml:space="preserve"> </w:t>
      </w:r>
      <w:r>
        <w:t>E</w:t>
      </w:r>
      <w:r>
        <w:t xml:space="preserve"> </w:t>
      </w:r>
      <w:r>
        <w:t>‐ and</w:t>
      </w:r>
      <w:r>
        <w:t xml:space="preserve"> </w:t>
      </w:r>
      <w:r>
        <w:t>Z</w:t>
      </w:r>
      <w:r>
        <w:t xml:space="preserve"> </w:t>
      </w:r>
      <w:r>
        <w:t>‐configured alkenes via dual photoredox/cobalt catalysis. Interestingly, the tunable</w:t>
      </w:r>
      <w:r>
        <w:t xml:space="preserve"> </w:t>
      </w:r>
      <w:r>
        <w:t>E</w:t>
      </w:r>
      <w:r>
        <w:t xml:space="preserve"> </w:t>
      </w:r>
      <w:r>
        <w:t>/</w:t>
      </w:r>
      <w:r>
        <w:t>Z</w:t>
      </w:r>
      <w:r>
        <w:t xml:space="preserve"> </w:t>
      </w:r>
      <w:r>
        <w:t>‐selectivity is achieved by energy transfer catalysis via the judicious choice of photocatalyst. This versatile strategy features a broad substrate scope with excellent functional group tolerance and is suitable for late‐stage modification of complex molecules and the one‐pot operation. It also expands the reaction profiles of both deacylative transformation and photoredox/cobalt catalysis.</w:t>
      </w:r>
    </w:p>
    <w:p>
      <w:pPr>
        <w:spacing w:before="120" w:after="120"/>
      </w:pPr>
      <w:r>
        <w:rPr>
          <w:sz w:val="18"/>
        </w:rPr>
        <w:t>——————————————————————————————————————————————————————————————————————</w:t>
      </w:r>
    </w:p>
    <w:p>
      <w:pPr>
        <w:spacing w:before="160" w:after="40" w:line="240" w:lineRule="auto"/>
      </w:pPr>
      <w:r>
        <w:rPr>
          <w:b/>
        </w:rPr>
        <w:t xml:space="preserve">[91] </w:t>
      </w:r>
      <w:hyperlink r:id="rId163">
        <w:r>
          <w:rPr>
            <w:color w:val="1155CC"/>
            <w:u w:val="single"/>
          </w:rPr>
          <w:t>环境合成[3]</w:t>
        </w:r>
      </w:hyperlink>
    </w:p>
    <w:p>
      <w:pPr>
        <w:spacing w:before="0" w:after="80"/>
      </w:pPr>
      <w:r>
        <w:rPr>
          <w:i/>
          <w:sz w:val="20"/>
        </w:rPr>
        <w:t>EN: Synthesis of Enantiopure [3]Cyclorubicenes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64">
        <w:r>
          <w:rPr>
            <w:color w:val="1155CC"/>
            <w:u w:val="single"/>
          </w:rPr>
          <w:t>10.1002/anie.202520880</w:t>
        </w:r>
      </w:hyperlink>
    </w:p>
    <w:p>
      <w:pPr>
        <w:spacing w:before="0" w:after="120"/>
      </w:pPr>
      <w:r>
        <w:rPr>
          <w:b/>
        </w:rPr>
        <w:t xml:space="preserve">Notes: </w:t>
      </w:r>
      <w:r>
        <w:t>abstract_source=crossref</w:t>
      </w:r>
    </w:p>
    <w:p>
      <w:pPr>
        <w:spacing w:before="0" w:after="80" w:lineRule="auto" w:line="276"/>
      </w:pPr>
      <w:r>
        <w:rPr>
          <w:b/>
        </w:rPr>
        <w:t xml:space="preserve">摘要（ZH）: </w:t>
      </w:r>
      <w:r>
        <w:t>近些年来,对手动纳米管和纳米管及其生殖器官特性的兴趣稳步增加,根据对手动纳米管和纳米管的“角体单元”的对应性能,介绍了含有对应性能的五角形综合[3环球菌,它们是切除和潜在先质,是手动甲基纤维纳米管的切除和潜在先质],对由此产生的对应性纳米管电子和手动性能进行了研究,其电子和手动性能是CPP报告的最高不对称值之一,最高值为2.3×10-2。</w:t>
      </w:r>
    </w:p>
    <w:p>
      <w:pPr>
        <w:spacing w:before="0" w:after="200" w:lineRule="auto" w:line="276"/>
      </w:pPr>
      <w:r>
        <w:rPr>
          <w:b/>
        </w:rPr>
        <w:t xml:space="preserve">Abstract (EN): </w:t>
      </w:r>
      <w:r>
        <w:t>The interest in chiral nanohoops and nanotubes as well as their chiroptical properties has steadily increased in recent years. The synthesis of pentagon containing enantiopure [3]cyclorubicenes, which are cutouts and potential precursors of chiral Haeckelite nanotubes is presented, based on enantiopure “corner units”. The resulting enantiopure nanohoops were studied for their electronic and chiroptical properties with one of the highest dissymmetry values reported for CPPs of up to 2.3 × 10</w:t>
      </w:r>
      <w:r>
        <w:t xml:space="preserve"> </w:t>
      </w:r>
      <w:r>
        <w:t>−2</w:t>
      </w:r>
      <w:r>
        <w:t xml:space="preserve"> </w:t>
      </w:r>
      <w:r>
        <w:t>.</w:t>
      </w:r>
    </w:p>
    <w:p>
      <w:pPr>
        <w:spacing w:before="120" w:after="120"/>
      </w:pPr>
      <w:r>
        <w:rPr>
          <w:sz w:val="18"/>
        </w:rPr>
        <w:t>——————————————————————————————————————————————————————————————————————</w:t>
      </w:r>
    </w:p>
    <w:p>
      <w:pPr>
        <w:spacing w:before="160" w:after="40" w:line="240" w:lineRule="auto"/>
      </w:pPr>
      <w:r>
        <w:rPr>
          <w:b/>
        </w:rPr>
        <w:t xml:space="preserve">[92] </w:t>
      </w:r>
      <w:hyperlink r:id="rId165">
        <w:r>
          <w:rPr>
            <w:color w:val="1155CC"/>
            <w:u w:val="single"/>
          </w:rPr>
          <w:t>利用分子光电开关对来自胆酯氢丙丙基纤维素的圆极反射图</w:t>
        </w:r>
      </w:hyperlink>
    </w:p>
    <w:p>
      <w:pPr>
        <w:spacing w:before="0" w:after="80"/>
      </w:pPr>
      <w:r>
        <w:rPr>
          <w:i/>
          <w:sz w:val="20"/>
        </w:rPr>
        <w:t>EN: Tuning the Circularly Polarized Reflection from Cholesteric Hydroxypropyl Cellulose Using Molecular Photoswitches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66">
        <w:r>
          <w:rPr>
            <w:color w:val="1155CC"/>
            <w:u w:val="single"/>
          </w:rPr>
          <w:t>10.1002/anie.202520839</w:t>
        </w:r>
      </w:hyperlink>
    </w:p>
    <w:p>
      <w:pPr>
        <w:spacing w:before="0" w:after="120"/>
      </w:pPr>
      <w:r>
        <w:rPr>
          <w:b/>
        </w:rPr>
        <w:t xml:space="preserve">Notes: </w:t>
      </w:r>
      <w:r>
        <w:t>abstract_source=crossref</w:t>
      </w:r>
    </w:p>
    <w:p>
      <w:pPr>
        <w:spacing w:before="0" w:after="80" w:lineRule="auto" w:line="276"/>
      </w:pPr>
      <w:r>
        <w:rPr>
          <w:b/>
        </w:rPr>
        <w:t xml:space="preserve">摘要（ZH）: </w:t>
      </w:r>
      <w:r>
        <w:t>利用光控制分子液体晶体定序的抽象控制过程在反射器、传感器和金枪鱼光学过滤器中发现广泛应用。在胆固学等手动液晶体中,引入分子开关可以改变中子体之间的手感互动,从而影响对材料结构颜色负责的周期和光谱带。然而,没有报告类似对基于纤维素的胆固聚合物的光控。这里,我们调查在结构有色氢丙基纤维素(HPC)的胆固晶体中间相中添加了精神和手动开关的情况,并监测不同浓度、光化或温度的光谱带变化。虽然有灵敏光学光学。</w:t>
      </w:r>
    </w:p>
    <w:p>
      <w:pPr>
        <w:spacing w:before="0" w:after="200" w:lineRule="auto" w:line="276"/>
      </w:pPr>
      <w:r>
        <w:rPr>
          <w:b/>
        </w:rPr>
        <w:t xml:space="preserve">Abstract (EN): </w:t>
      </w:r>
      <w:r>
        <w:t>Controlling the ordering of molecular liquid crystals using light has found widespread applications in reflectors, sensors, and tunable optical filters. In chiral liquid crystals such as cholesterics, introducing a molecular switch can alter chiral interactions between mesogens and thus affect the periodicity and photonic band responsible for the structural color of the material. However, analogous photo‐control of cellulose‐based cholesteric polymers has not been reported. Here, we investigate the addition of achiral and chiral switches to cholesteric mesophases of structurally colored hydroxypropyl cellulose (HPC) and monitor changes in the photonic bandgap upon varying concentration, illumination, or temperature. While an achiral photoswitch enables reversible tuning of the reflected color upon</w:t>
      </w:r>
      <w:r>
        <w:t xml:space="preserve"> </w:t>
      </w:r>
      <w:r>
        <w:t>trans</w:t>
      </w:r>
      <w:r>
        <w:t xml:space="preserve"> </w:t>
      </w:r>
      <w:r>
        <w:t>‐</w:t>
      </w:r>
      <w:r>
        <w:t xml:space="preserve"> </w:t>
      </w:r>
      <w:r>
        <w:t>cis</w:t>
      </w:r>
      <w:r>
        <w:t xml:space="preserve"> </w:t>
      </w:r>
      <w:r>
        <w:t>photoisomerization, chiral switches (with different pendant groups and</w:t>
      </w:r>
      <w:r>
        <w:t xml:space="preserve"> </w:t>
      </w:r>
      <w:r>
        <w:t>R</w:t>
      </w:r>
      <w:r>
        <w:t xml:space="preserve"> </w:t>
      </w:r>
      <w:r>
        <w:t>/</w:t>
      </w:r>
      <w:r>
        <w:t>S</w:t>
      </w:r>
      <w:r>
        <w:t xml:space="preserve"> </w:t>
      </w:r>
      <w:r>
        <w:t>enantiomers) lead to substantial differences in pitch and polarized reflection during cycles of illumination or heating/cooling–attributed to the complex interplay between the chiralities of the switch and of the host mesophase. A final combination of chiral photoswitch and spiropyran enables independent control of reflected and transmitted color, which can be relevant for cellulose‐based photonic displays, smart labels, or anti‐counterfeiting technology.</w:t>
      </w:r>
    </w:p>
    <w:p>
      <w:pPr>
        <w:spacing w:before="120" w:after="120"/>
      </w:pPr>
      <w:r>
        <w:rPr>
          <w:sz w:val="18"/>
        </w:rPr>
        <w:t>——————————————————————————————————————————————————————————————————————</w:t>
      </w:r>
    </w:p>
    <w:p>
      <w:pPr>
        <w:spacing w:before="160" w:after="40" w:line="240" w:lineRule="auto"/>
      </w:pPr>
      <w:r>
        <w:rPr>
          <w:b/>
        </w:rPr>
        <w:t xml:space="preserve">[93] </w:t>
      </w:r>
      <w:hyperlink r:id="rId167">
        <w:r>
          <w:rPr>
            <w:color w:val="1155CC"/>
            <w:u w:val="single"/>
          </w:rPr>
          <w:t>挥动动力下可持久的 kW 大规模水分分化</w:t>
        </w:r>
      </w:hyperlink>
    </w:p>
    <w:p>
      <w:pPr>
        <w:spacing w:before="0" w:after="80"/>
      </w:pPr>
      <w:r>
        <w:rPr>
          <w:i/>
          <w:sz w:val="20"/>
        </w:rPr>
        <w:t>EN: Transient‐Promoter‐Stabilized NiFe Oxyhydroxide Enables Durable kW‐Scale Water Splitting Under Fluctuating Power</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68">
        <w:r>
          <w:rPr>
            <w:color w:val="1155CC"/>
            <w:u w:val="single"/>
          </w:rPr>
          <w:t>10.1002/anie.202520825</w:t>
        </w:r>
      </w:hyperlink>
    </w:p>
    <w:p>
      <w:pPr>
        <w:spacing w:before="0" w:after="120"/>
      </w:pPr>
      <w:r>
        <w:rPr>
          <w:b/>
        </w:rPr>
        <w:t xml:space="preserve">Notes: </w:t>
      </w:r>
      <w:r>
        <w:t>abstract_source=crossref</w:t>
      </w:r>
    </w:p>
    <w:p>
      <w:pPr>
        <w:spacing w:before="0" w:after="80" w:lineRule="auto" w:line="276"/>
      </w:pPr>
      <w:r>
        <w:rPr>
          <w:b/>
        </w:rPr>
        <w:t xml:space="preserve">摘要（ZH）: </w:t>
      </w:r>
      <w:r>
        <w:t>可再生水电解法摘要提供了通往氢气的碳中性途径,然而大规模部署却因依赖稳定但碳密集的电网电力而受到限制。与可波动的可再生能源直接结合需要能够承受动态操作条件的催化剂和装置。我们在这里介绍了NiFe氢氧化氢氧氧进化反应催化剂的瞬间推进器战略,从Ni 3 Fe 1.2 Cr 0.8 Ox先质中实现,对于千瓦X比例的阴离子交换膜水电解器(AEMWES)而言,这是由Ni 3 Fe 1.2 Cr 0.8 O x 前体实现的。</w:t>
      </w:r>
    </w:p>
    <w:p>
      <w:pPr>
        <w:spacing w:before="0" w:after="200" w:lineRule="auto" w:line="276"/>
      </w:pPr>
      <w:r>
        <w:rPr>
          <w:b/>
        </w:rPr>
        <w:t xml:space="preserve">Abstract (EN): </w:t>
      </w:r>
      <w:r>
        <w:t>Renewable‐powered water electrolysis provides a carbon‐neutral route to hydrogen, yet large‐scale deployment is constrained by reliance on stable but carbon‐intensive grid electricity. Direct integration with fluctuating renewable power requires catalysts and devices that can endure dynamic operating conditions. Here we present a transient‐promoter strategy for NiFe oxyhydroxide oxygen evolution reaction (OER) catalysts, realized from Ni</w:t>
      </w:r>
      <w:r>
        <w:rPr>
          <w:vertAlign w:val="subscript"/>
        </w:rPr>
        <w:t>3</w:t>
      </w:r>
      <w:r>
        <w:t>Fe</w:t>
      </w:r>
      <w:r>
        <w:t xml:space="preserve"> </w:t>
      </w:r>
      <w:r>
        <w:t>1.2</w:t>
      </w:r>
      <w:r>
        <w:t xml:space="preserve"> </w:t>
      </w:r>
      <w:r>
        <w:t>Cr</w:t>
      </w:r>
      <w:r>
        <w:t xml:space="preserve"> </w:t>
      </w:r>
      <w:r>
        <w:t>0.8</w:t>
      </w:r>
      <w:r>
        <w:t xml:space="preserve"> </w:t>
      </w:r>
      <w:r>
        <w:t>O</w:t>
      </w:r>
      <w:r>
        <w:t xml:space="preserve"> </w:t>
      </w:r>
      <w:r>
        <w:t>x</w:t>
      </w:r>
      <w:r>
        <w:t xml:space="preserve"> </w:t>
      </w:r>
      <w:r>
        <w:t>precursor, for kilowatt‐scale anion exchange membrane water electrolyzers (AEMWEs). Ex situ and</w:t>
      </w:r>
      <w:r>
        <w:t xml:space="preserve"> </w:t>
      </w:r>
      <w:r>
        <w:t>operando</w:t>
      </w:r>
      <w:r>
        <w:t xml:space="preserve"> </w:t>
      </w:r>
      <w:r>
        <w:t>spectroscopy establish that Cr (i) modulates Ni/Fe oxidation states to enrich positive charge and facilitate oxyhydroxide formation, (ii) induces porosity that enhances electrolyte penetration and OH</w:t>
      </w:r>
      <w:r>
        <w:t xml:space="preserve"> </w:t>
      </w:r>
      <w:r>
        <w:t>−</w:t>
      </w:r>
      <w:r>
        <w:t>adsorption, and (iii) leaches sacrificially to protect Ni/Fe active sites. Lab‐scale AEMWE device achieves an industrially relevant current density of 1 A cm</w:t>
      </w:r>
      <w:r>
        <w:t xml:space="preserve"> </w:t>
      </w:r>
      <w:r>
        <w:t>−</w:t>
      </w:r>
      <w:r>
        <w:rPr>
          <w:vertAlign w:val="subscript"/>
        </w:rPr>
        <w:t>2</w:t>
      </w:r>
      <w:r>
        <w:t>at a cell voltage of 1.68 V and sustains continuous operation for over 30 days under both constant and fluctuating loads. Scaling from 1 cm</w:t>
      </w:r>
      <w:r>
        <w:rPr>
          <w:vertAlign w:val="subscript"/>
        </w:rPr>
        <w:t>2</w:t>
      </w:r>
      <w:r>
        <w:t>AEMWE to an 8‐cell, 512 cm</w:t>
      </w:r>
      <w:r>
        <w:rPr>
          <w:vertAlign w:val="subscript"/>
        </w:rPr>
        <w:t>2</w:t>
      </w:r>
      <w:r>
        <w:t>stack, the system can handle an electrical power of 2.5 kW at peak, and delivers 1 A cm</w:t>
      </w:r>
      <w:r>
        <w:t xml:space="preserve"> </w:t>
      </w:r>
      <w:r>
        <w:t>−</w:t>
      </w:r>
      <w:r>
        <w:rPr>
          <w:vertAlign w:val="subscript"/>
        </w:rPr>
        <w:t>2</w:t>
      </w:r>
      <w:r>
        <w:t>at 1.78 V per cell at 60 °C. The stack remains resilient over 13 simulated solar cycles (&amp;gt;50 h), underscoring the feasibility of integrating renewable electricity with durable, NiFe oxyhydroxide OER catalyst based AEMWEs.</w:t>
      </w:r>
    </w:p>
    <w:p>
      <w:pPr>
        <w:spacing w:before="120" w:after="120"/>
      </w:pPr>
      <w:r>
        <w:rPr>
          <w:sz w:val="18"/>
        </w:rPr>
        <w:t>——————————————————————————————————————————————————————————————————————</w:t>
      </w:r>
    </w:p>
    <w:p>
      <w:pPr>
        <w:spacing w:before="160" w:after="40" w:line="240" w:lineRule="auto"/>
      </w:pPr>
      <w:r>
        <w:rPr>
          <w:b/>
        </w:rPr>
        <w:t xml:space="preserve">[94] </w:t>
      </w:r>
      <w:hyperlink r:id="rId169">
        <w:r>
          <w:rPr>
            <w:color w:val="1155CC"/>
            <w:u w:val="single"/>
          </w:rPr>
          <w:t>利用聚合化和在Orthoton-Reactivediposants中产生自我大会,设计硬性纳米结构材料:应用于天花网络</w:t>
        </w:r>
      </w:hyperlink>
    </w:p>
    <w:p>
      <w:pPr>
        <w:spacing w:before="0" w:after="80"/>
      </w:pPr>
      <w:r>
        <w:rPr>
          <w:i/>
          <w:sz w:val="20"/>
        </w:rPr>
        <w:t>EN: Using Polymerization‐Induced Self‐Assembly in Orthogonally‐Reactive Dispersants to Design Tough Nanostructured Materials: Application to Epoxy Networks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70">
        <w:r>
          <w:rPr>
            <w:color w:val="1155CC"/>
            <w:u w:val="single"/>
          </w:rPr>
          <w:t>10.1002/anie.202518861</w:t>
        </w:r>
      </w:hyperlink>
    </w:p>
    <w:p>
      <w:pPr>
        <w:spacing w:before="0" w:after="120"/>
      </w:pPr>
      <w:r>
        <w:rPr>
          <w:b/>
        </w:rPr>
        <w:t xml:space="preserve">Notes: </w:t>
      </w:r>
      <w:r>
        <w:t>abstract_source=crossref</w:t>
      </w:r>
    </w:p>
    <w:p>
      <w:pPr>
        <w:spacing w:before="0" w:after="80" w:lineRule="auto" w:line="276"/>
      </w:pPr>
      <w:r>
        <w:rPr>
          <w:b/>
        </w:rPr>
        <w:t xml:space="preserve">摘要（ZH）: </w:t>
      </w:r>
      <w:r>
        <w:t>我们在此报告如何在有孔反应的分散体中实施聚合物诱发自组化方法,以支付纳米结构化聚合物网络的准备费用。精确定义的PMMA bPLMA 块状共聚物自组成不同形态,首先通过环氧单一体分散聚合化(RAFT 分散聚合化)在环氧单一体中获得。随后的过氧化物聚合化(通过步步增长或链增长聚合化)为环氧网络提供了直接的准备,这些网络整合了多种BCP结构,在极低的块状共聚物含量(1% w/w)下,骨折强度显著增强。</w:t>
      </w:r>
    </w:p>
    <w:p>
      <w:pPr>
        <w:spacing w:before="0" w:after="200" w:lineRule="auto" w:line="276"/>
      </w:pPr>
      <w:r>
        <w:rPr>
          <w:b/>
        </w:rPr>
        <w:t xml:space="preserve">Abstract (EN): </w:t>
      </w:r>
      <w:r>
        <w:t>We report here how the polymerization‐induced self‐assembly approach can be implemented in orthogonally reactive dispersants to afford the preparation of nanostructured polymer networks. Precisely‐defined PMMA</w:t>
      </w:r>
      <w:r>
        <w:t xml:space="preserve"> </w:t>
      </w:r>
      <w:r>
        <w:t>‐b‐</w:t>
      </w:r>
      <w:r>
        <w:t xml:space="preserve"> </w:t>
      </w:r>
      <w:r>
        <w:t>PLMA block copolymers self‐assembling into different morphologies are first obtained in epoxy monomers through RAFT dispersion polymerization. The subsequent polymerization of the epoxide (through step growth or chain growth polymerization) affords the straightforward preparation of epoxy networks that integrate diverse BCP structures and exhibit significantly enhanced fracture toughness at extremely low block copolymer content (1% w/w).</w:t>
      </w:r>
    </w:p>
    <w:p>
      <w:pPr>
        <w:spacing w:before="120" w:after="120"/>
      </w:pPr>
      <w:r>
        <w:rPr>
          <w:sz w:val="18"/>
        </w:rPr>
        <w:t>——————————————————————————————————————————————————————————————————————</w:t>
      </w:r>
    </w:p>
    <w:p>
      <w:pPr>
        <w:spacing w:before="160" w:after="40" w:line="240" w:lineRule="auto"/>
      </w:pPr>
      <w:r>
        <w:rPr>
          <w:b/>
        </w:rPr>
        <w:t xml:space="preserve">[95] </w:t>
      </w:r>
      <w:hyperlink r:id="rId171">
        <w:r>
          <w:rPr>
            <w:color w:val="1155CC"/>
            <w:u w:val="single"/>
          </w:rPr>
          <w:t>将Redox-Aactive Hexaazatrinaphyyle 纳入2D导体金属-强力钠电池组织框架</w:t>
        </w:r>
      </w:hyperlink>
    </w:p>
    <w:p>
      <w:pPr>
        <w:spacing w:before="0" w:after="80"/>
      </w:pPr>
      <w:r>
        <w:rPr>
          <w:i/>
          <w:sz w:val="20"/>
        </w:rPr>
        <w:t>EN: Incorporating Redox‐Active Hexaazatrinaphthylene into a 2D Conductive Metal–Organic Framework for Robust Sodium‐Ion Batteries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72">
        <w:r>
          <w:rPr>
            <w:color w:val="1155CC"/>
            <w:u w:val="single"/>
          </w:rPr>
          <w:t>10.1002/anie.202516381</w:t>
        </w:r>
      </w:hyperlink>
    </w:p>
    <w:p>
      <w:pPr>
        <w:spacing w:before="0" w:after="120"/>
      </w:pPr>
      <w:r>
        <w:rPr>
          <w:b/>
        </w:rPr>
        <w:t xml:space="preserve">Notes: </w:t>
      </w:r>
      <w:r>
        <w:t>abstract_source=crossref</w:t>
      </w:r>
    </w:p>
    <w:p>
      <w:pPr>
        <w:spacing w:before="0" w:after="80" w:lineRule="auto" w:line="276"/>
      </w:pPr>
      <w:r>
        <w:rPr>
          <w:b/>
        </w:rPr>
        <w:t xml:space="preserve">摘要（ZH）: </w:t>
      </w:r>
      <w:r>
        <w:t>摘要二维(2D)导导金属-有机框架(cMOFs)由于其导电率、孔径性、适当的跨层间距(有利于离子相互放大)和有机电解解质的稳定性,作为钠电池(SIBs)的阳极材料,具有巨大的前景。然而,创造含有多个再氧化活性场地的环导金属-有机框架(CMOFs)仍然具有挑战性。本文报告了一种以2D为基础的六甲二丁二烯(HATN)cMOF(HATNOn),由协调的红氧化活性Zn 2+通过双(二氧)联系组装配成的六角形棒晶体,其电导性可促进快速的 Na+扩散和储存。作为导体,该配方,该配方为导体。</w:t>
      </w:r>
    </w:p>
    <w:p>
      <w:pPr>
        <w:spacing w:before="0" w:after="200" w:lineRule="auto" w:line="276"/>
      </w:pPr>
      <w:r>
        <w:rPr>
          <w:b/>
        </w:rPr>
        <w:t xml:space="preserve">Abstract (EN): </w:t>
      </w:r>
      <w:r>
        <w:t>Two‐dimensional (2D) conductive metal–organic frameworks (cMOFs) hold tremendous promise as anode materials for sodium‐ion batteries (SIBs), owing to their electrical conductivity, porosity, appropriate interlayer spacing that facilitates ion intercalation, and stability in organic electrolytes. Yet, creating cMOFs hosting multiple redox‐active sites remains challenging. This paper reports a hexaazatrinaphthylene (HATN)‐based 2D cMOF, HATN‐O‐Zn, assembled by coordinating redox‐inactive Zn</w:t>
      </w:r>
      <w:r>
        <w:t xml:space="preserve"> </w:t>
      </w:r>
      <w:r>
        <w:t>2+</w:t>
      </w:r>
      <w:r>
        <w:t xml:space="preserve"> </w:t>
      </w:r>
      <w:r>
        <w:t>through bis(dioxolene) linkages. HATN‐O‐Zn forms hexagonal rod‐like crystals with electrical conductivity that promote rapid Na</w:t>
      </w:r>
      <w:r>
        <w:t xml:space="preserve"> </w:t>
      </w:r>
      <w:r>
        <w:t>+</w:t>
      </w:r>
      <w:r>
        <w:t xml:space="preserve"> </w:t>
      </w:r>
      <w:r>
        <w:t>diffusion and storage. As an anode, this material delivers a high reversible capacity of 319 mAh g</w:t>
      </w:r>
      <w:r>
        <w:t xml:space="preserve"> </w:t>
      </w:r>
      <w:r>
        <w:t>−1</w:t>
      </w:r>
      <w:r>
        <w:t xml:space="preserve"> </w:t>
      </w:r>
      <w:r>
        <w:t>at 0.1 A g</w:t>
      </w:r>
      <w:r>
        <w:t xml:space="preserve"> </w:t>
      </w:r>
      <w:r>
        <w:t>−1</w:t>
      </w:r>
      <w:r>
        <w:t xml:space="preserve"> </w:t>
      </w:r>
      <w:r>
        <w:t>and retains a capacity of 86 mAh g</w:t>
      </w:r>
      <w:r>
        <w:t xml:space="preserve"> </w:t>
      </w:r>
      <w:r>
        <w:t>−1</w:t>
      </w:r>
      <w:r>
        <w:t xml:space="preserve"> </w:t>
      </w:r>
      <w:r>
        <w:t>after 5000 cycles at 1 A g</w:t>
      </w:r>
      <w:r>
        <w:t xml:space="preserve"> </w:t>
      </w:r>
      <w:r>
        <w:t>−1</w:t>
      </w:r>
      <w:r>
        <w:t xml:space="preserve"> </w:t>
      </w:r>
      <w:r>
        <w:t>, demonstrating outstanding cycling stability at room temperature. Notably, HATN‐O‐Zn sustains performance at −20 °C, showing an initial capacity of 117 mAh g</w:t>
      </w:r>
      <w:r>
        <w:t xml:space="preserve"> </w:t>
      </w:r>
      <w:r>
        <w:t>−1</w:t>
      </w:r>
      <w:r>
        <w:t xml:space="preserve"> </w:t>
      </w:r>
      <w:r>
        <w:t>and 84.4% retention after 200 cycles at 0.1 A g</w:t>
      </w:r>
      <w:r>
        <w:t xml:space="preserve"> </w:t>
      </w:r>
      <w:r>
        <w:t>−1</w:t>
      </w:r>
      <w:r>
        <w:t xml:space="preserve"> </w:t>
      </w:r>
      <w:r>
        <w:t>, underscoring stability under harsh conditions. This stability is attributed to the structural robustness provided by redox‐inactive Zn</w:t>
      </w:r>
      <w:r>
        <w:t xml:space="preserve"> </w:t>
      </w:r>
      <w:r>
        <w:t>2+</w:t>
      </w:r>
      <w:r>
        <w:t xml:space="preserve"> </w:t>
      </w:r>
      <w:r>
        <w:t>. Spectroscopic and theoretical analyses reveal that dual redox‐active sites in the HATN moiety and Zn‐bis(dioxolene) linkages facilitate multiple electron transfer. This work highlights the design potential of combining redox‐active ligands with redox‐inactive metal nodes in 2D cMOFs for durable SIB anodes.</w:t>
      </w:r>
    </w:p>
    <w:p>
      <w:pPr>
        <w:spacing w:before="120" w:after="120"/>
      </w:pPr>
      <w:r>
        <w:rPr>
          <w:sz w:val="18"/>
        </w:rPr>
        <w:t>——————————————————————————————————————————————————————————————————————</w:t>
      </w:r>
    </w:p>
    <w:p>
      <w:pPr>
        <w:spacing w:before="160" w:after="40" w:line="240" w:lineRule="auto"/>
      </w:pPr>
      <w:r>
        <w:rPr>
          <w:b/>
        </w:rPr>
        <w:t xml:space="preserve">[96] </w:t>
      </w:r>
      <w:hyperlink r:id="rId173">
        <w:r>
          <w:rPr>
            <w:color w:val="1155CC"/>
            <w:u w:val="single"/>
          </w:rPr>
          <w:t>通过Cyporous/Litthium-Ion Halide 固态电解液解液的All-Solidá State Li-Cu电池</w:t>
        </w:r>
      </w:hyperlink>
    </w:p>
    <w:p>
      <w:pPr>
        <w:spacing w:before="0" w:after="80"/>
      </w:pPr>
      <w:r>
        <w:rPr>
          <w:i/>
          <w:sz w:val="20"/>
        </w:rPr>
        <w:t>EN: An All‐Solid‐State Li–Cu Battery via Cuprous/Lithium‐Ion Halide Solid Electrolyte</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74">
        <w:r>
          <w:rPr>
            <w:color w:val="1155CC"/>
            <w:u w:val="single"/>
          </w:rPr>
          <w:t>10.1002/anie.202518966</w:t>
        </w:r>
      </w:hyperlink>
    </w:p>
    <w:p>
      <w:pPr>
        <w:spacing w:before="0" w:after="120"/>
      </w:pPr>
      <w:r>
        <w:rPr>
          <w:b/>
        </w:rPr>
        <w:t xml:space="preserve">Notes: </w:t>
      </w:r>
      <w:r>
        <w:t>abstract_source=crossref</w:t>
      </w:r>
    </w:p>
    <w:p>
      <w:pPr>
        <w:spacing w:before="0" w:after="80" w:lineRule="auto" w:line="276"/>
      </w:pPr>
      <w:r>
        <w:rPr>
          <w:b/>
        </w:rPr>
        <w:t xml:space="preserve">摘要（ZH）: </w:t>
      </w:r>
      <w:r>
        <w:t>摘要库阴极由于其成本低和容量高,具有巨大的潜力。然而,库离子电解离电解导力有限以及库离子的溶性差,严重阻碍了利库电池的快速发展。 在这里,我们用机械化学方法合成了Cu + halide固体电解液(Cu 2 ZrCl 6, CZC),该方法展示了高室温Cu + 传导性(约14 mS cm-1)和库物种的高溶性。 CuCZZCCu 测量电池展示了维持稳定的Cu的能力。</w:t>
      </w:r>
    </w:p>
    <w:p>
      <w:pPr>
        <w:spacing w:before="0" w:after="200" w:lineRule="auto" w:line="276"/>
      </w:pPr>
      <w:r>
        <w:rPr>
          <w:b/>
        </w:rPr>
        <w:t xml:space="preserve">Abstract (EN): </w:t>
      </w:r>
      <w:r>
        <w:t>The Cu cathode has great potential due to its low cost and high capacity. However, the limited ionic conductivity of the electrolyte for Cu ions and poor solubility of Cu species severely hinder the rapid development of Li–Cu batteries. Herein, we synthesized a Cu</w:t>
      </w:r>
      <w:r>
        <w:t xml:space="preserve"> </w:t>
      </w:r>
      <w:r>
        <w:t>+</w:t>
      </w:r>
      <w:r>
        <w:t xml:space="preserve"> </w:t>
      </w:r>
      <w:r>
        <w:t>halide solid electrolyte (Cu</w:t>
      </w:r>
      <w:r>
        <w:rPr>
          <w:vertAlign w:val="subscript"/>
        </w:rPr>
        <w:t>2</w:t>
      </w:r>
      <w:r>
        <w:t>ZrCl</w:t>
      </w:r>
      <w:r>
        <w:rPr>
          <w:vertAlign w:val="subscript"/>
        </w:rPr>
        <w:t>6</w:t>
      </w:r>
      <w:r>
        <w:t>, CZC) by mechanochemical method, which exhibited a high room‐temperature Cu</w:t>
      </w:r>
      <w:r>
        <w:t xml:space="preserve"> </w:t>
      </w:r>
      <w:r>
        <w:t>+</w:t>
      </w:r>
      <w:r>
        <w:t xml:space="preserve"> </w:t>
      </w:r>
      <w:r>
        <w:t>conductivity (about 14 mS cm</w:t>
      </w:r>
      <w:r>
        <w:t xml:space="preserve"> </w:t>
      </w:r>
      <w:r>
        <w:t>−1</w:t>
      </w:r>
      <w:r>
        <w:t xml:space="preserve"> </w:t>
      </w:r>
      <w:r>
        <w:t>) and high solubility of Cu species. The Cu||CZC||Cu symmetric battery demonstrated the ability to maintain stable Cu</w:t>
      </w:r>
      <w:r>
        <w:t xml:space="preserve"> </w:t>
      </w:r>
      <w:r>
        <w:t>+</w:t>
      </w:r>
      <w:r>
        <w:t xml:space="preserve"> </w:t>
      </w:r>
      <w:r>
        <w:t>plating/stripping over 1000 h at 0.1 mA cm</w:t>
      </w:r>
      <w:r>
        <w:t xml:space="preserve"> </w:t>
      </w:r>
      <w:r>
        <w:t>−2</w:t>
      </w:r>
      <w:r>
        <w:t xml:space="preserve"> </w:t>
      </w:r>
      <w:r>
        <w:t>. We further constructed a model of the synergistic migration and ion exchange of Cu</w:t>
      </w:r>
      <w:r>
        <w:t xml:space="preserve"> </w:t>
      </w:r>
      <w:r>
        <w:t>+</w:t>
      </w:r>
      <w:r>
        <w:t xml:space="preserve"> </w:t>
      </w:r>
      <w:r>
        <w:t>and Li</w:t>
      </w:r>
      <w:r>
        <w:t xml:space="preserve"> </w:t>
      </w:r>
      <w:r>
        <w:t>+</w:t>
      </w:r>
      <w:r>
        <w:t xml:space="preserve"> </w:t>
      </w:r>
      <w:r>
        <w:t>in CZC and Li</w:t>
      </w:r>
      <w:r>
        <w:rPr>
          <w:vertAlign w:val="subscript"/>
        </w:rPr>
        <w:t>2</w:t>
      </w:r>
      <w:r>
        <w:t>ZrCl</w:t>
      </w:r>
      <w:r>
        <w:rPr>
          <w:vertAlign w:val="subscript"/>
        </w:rPr>
        <w:t>6</w:t>
      </w:r>
      <w:r>
        <w:t>electrolytes. Based on this, we assembled the first all‐solid‐state lithium–copper battery (ASSLCB), which delivered a high reversible specific capacity of 360 mAh g</w:t>
      </w:r>
      <w:r>
        <w:t xml:space="preserve"> </w:t>
      </w:r>
      <w:r>
        <w:t>−1</w:t>
      </w:r>
      <w:r>
        <w:t xml:space="preserve"> </w:t>
      </w:r>
      <w:r>
        <w:t>(1.7–3.8 V versus Li⁺/Li, at 37 mA g</w:t>
      </w:r>
      <w:r>
        <w:t xml:space="preserve"> </w:t>
      </w:r>
      <w:r>
        <w:t>−1</w:t>
      </w:r>
      <w:r>
        <w:t xml:space="preserve"> </w:t>
      </w:r>
      <w:r>
        <w:t>) and exhibited outstanding cycling performance across 50 cycles at a current of 62.5 mA g</w:t>
      </w:r>
      <w:r>
        <w:t xml:space="preserve"> </w:t>
      </w:r>
      <w:r>
        <w:t>−1</w:t>
      </w:r>
      <w:r>
        <w:t xml:space="preserve"> </w:t>
      </w:r>
      <w:r>
        <w:t>. Additionally, we designed a cathode‐free ASSLCB, utilizing aluminum foil as the current collector to demonstrate the deposition and dissolution of pure copper metal. This study provides a new design concept for Cu</w:t>
      </w:r>
      <w:r>
        <w:t xml:space="preserve"> </w:t>
      </w:r>
      <w:r>
        <w:t>+</w:t>
      </w:r>
      <w:r>
        <w:t xml:space="preserve"> </w:t>
      </w:r>
      <w:r>
        <w:t>conductors and lays a foundation for the future research of ASSLCBs.</w:t>
      </w:r>
    </w:p>
    <w:p>
      <w:pPr>
        <w:spacing w:before="120" w:after="120"/>
      </w:pPr>
      <w:r>
        <w:rPr>
          <w:sz w:val="18"/>
        </w:rPr>
        <w:t>——————————————————————————————————————————————————————————————————————</w:t>
      </w:r>
    </w:p>
    <w:p>
      <w:pPr>
        <w:spacing w:before="160" w:after="40" w:line="240" w:lineRule="auto"/>
      </w:pPr>
      <w:r>
        <w:rPr>
          <w:b/>
        </w:rPr>
        <w:t xml:space="preserve">[97] </w:t>
      </w:r>
      <w:hyperlink r:id="rId175">
        <w:r>
          <w:rPr>
            <w:color w:val="1155CC"/>
            <w:u w:val="single"/>
          </w:rPr>
          <w:t>水晶包装 - 水晶化学光化异构体化中的轨迹关联</w:t>
        </w:r>
      </w:hyperlink>
    </w:p>
    <w:p>
      <w:pPr>
        <w:spacing w:before="0" w:after="80"/>
      </w:pPr>
      <w:r>
        <w:rPr>
          <w:i/>
          <w:sz w:val="20"/>
        </w:rPr>
        <w:t>EN: Crystal Packing–Trajectory Correlation in Topochemical Photoisomerization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76">
        <w:r>
          <w:rPr>
            <w:color w:val="1155CC"/>
            <w:u w:val="single"/>
          </w:rPr>
          <w:t>10.1002/anie.202518997</w:t>
        </w:r>
      </w:hyperlink>
    </w:p>
    <w:p>
      <w:pPr>
        <w:spacing w:before="0" w:after="120"/>
      </w:pPr>
      <w:r>
        <w:rPr>
          <w:b/>
        </w:rPr>
        <w:t xml:space="preserve">Notes: </w:t>
      </w:r>
      <w:r>
        <w:t>abstract_source=crossref</w:t>
      </w:r>
    </w:p>
    <w:p>
      <w:pPr>
        <w:spacing w:before="0" w:after="80" w:lineRule="auto" w:line="276"/>
      </w:pPr>
      <w:r>
        <w:rPr>
          <w:b/>
        </w:rPr>
        <w:t xml:space="preserve">摘要（ZH）: </w:t>
      </w:r>
      <w:r>
        <w:t>抽象固态光光异构体化往往与松散的分子安排相关,允许有一致性的弹性。在本研究中,我们通过综合一个盐水环衍生物库来探索这一前提,该图书馆中有16个是成功结晶和分析的,其中16个是成功结晶和分析的。值得注意的是,一些平板封闭的晶体在本地环境在反应性结合附近提供了足够的消毒自由时表现出了清晰的光色反应。我们通过系统检查堆叠的元素和量化沿着异构体化轨迹可以进入的体积,我们揭示了本地自由体积与照片反应之间的紧密关联。我们从这些洞察到,我们开发了一个基于晶体结构的分子描述器,以浓缩为根据晶体的分子描述器。</w:t>
      </w:r>
    </w:p>
    <w:p>
      <w:pPr>
        <w:spacing w:before="0" w:after="200" w:lineRule="auto" w:line="276"/>
      </w:pPr>
      <w:r>
        <w:rPr>
          <w:b/>
        </w:rPr>
        <w:t xml:space="preserve">Abstract (EN): </w:t>
      </w:r>
      <w:r>
        <w:t>Solid‐state photoisomerization is often associated with loosely packed molecular arrangements that allow conformational flexibility. In this study, we explore this premise by synthesizing a library of salicylhydrazone derivatives, 16 of which were successfully crystallized and analyzed. Notably, several planarly close‐packed crystals exhibited clear photochromic responses when their local environments provided sufficient steric freedom near the reactive bonds. By systematically examining π–π stacking motifs and quantifying accessible volume along the isomerization trajectory, we reveal a robust correlation between local free volume and photoresponse. From these insights, we develop a crystal‐structure based molecular descriptor that condenses the steric environment into a single‐parameter, the “pedal space” and identify a critical threshold for solid‐state photoreactivity. We term this phenomenon</w:t>
      </w:r>
      <w:r>
        <w:t xml:space="preserve"> </w:t>
      </w:r>
      <w:r>
        <w:t>topochemical photoisomerization</w:t>
      </w:r>
      <w:r>
        <w:t xml:space="preserve"> </w:t>
      </w:r>
      <w:r>
        <w:t>, highlighting how subtle variations in molecular packing, such as slipped versus co‐facial stacking in</w:t>
      </w:r>
      <w:r>
        <w:t xml:space="preserve"> </w:t>
      </w:r>
      <w:r>
        <w:t>N</w:t>
      </w:r>
      <w:r>
        <w:t xml:space="preserve"> </w:t>
      </w:r>
      <w:r>
        <w:t>‐salicylideneaniline derivatives, dictate the resulting photochemical pathways. This study establishes a structural framework for the rational design of solid‐state photoswitchable materials through crystal‐engineering principles in silico, offering a route toward rapid, and cost‐effective development of responsive optoelectronic systems.</w:t>
      </w:r>
    </w:p>
    <w:p>
      <w:pPr>
        <w:spacing w:before="120" w:after="120"/>
      </w:pPr>
      <w:r>
        <w:rPr>
          <w:sz w:val="18"/>
        </w:rPr>
        <w:t>——————————————————————————————————————————————————————————————————————</w:t>
      </w:r>
    </w:p>
    <w:p>
      <w:pPr>
        <w:spacing w:before="160" w:after="40" w:line="240" w:lineRule="auto"/>
      </w:pPr>
      <w:r>
        <w:rPr>
          <w:b/>
        </w:rPr>
        <w:t xml:space="preserve">[98] </w:t>
      </w:r>
      <w:hyperlink r:id="rId177">
        <w:r>
          <w:rPr>
            <w:color w:val="1155CC"/>
            <w:u w:val="single"/>
          </w:rPr>
          <w:t>Blatter和Verdazyl 激进组织与Arynes的反反应:NChiral、Antholmatic Triazines和Tetrazines综合和调查</w:t>
        </w:r>
      </w:hyperlink>
    </w:p>
    <w:p>
      <w:pPr>
        <w:spacing w:before="0" w:after="80"/>
      </w:pPr>
      <w:r>
        <w:rPr>
          <w:i/>
          <w:sz w:val="20"/>
        </w:rPr>
        <w:t>EN: Reaction of Blatter and Verdazyl Radicals with Arynes: Synthesis and Investigation of N‐Chiral, Antiaromatic Triazines, and Tetrazinones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78">
        <w:r>
          <w:rPr>
            <w:color w:val="1155CC"/>
            <w:u w:val="single"/>
          </w:rPr>
          <w:t>10.1002/anie.202520021</w:t>
        </w:r>
      </w:hyperlink>
    </w:p>
    <w:p>
      <w:pPr>
        <w:spacing w:before="0" w:after="120"/>
      </w:pPr>
      <w:r>
        <w:rPr>
          <w:b/>
        </w:rPr>
        <w:t xml:space="preserve">Notes: </w:t>
      </w:r>
      <w:r>
        <w:t>abstract_source=crossref</w:t>
      </w:r>
    </w:p>
    <w:p>
      <w:pPr>
        <w:spacing w:before="0" w:after="80" w:lineRule="auto" w:line="276"/>
      </w:pPr>
      <w:r>
        <w:rPr>
          <w:b/>
        </w:rPr>
        <w:t xml:space="preserve">摘要（ZH）: </w:t>
      </w:r>
      <w:r>
        <w:t>抽象阿瑞恩是有机化学的多功能构件。 与其经过广泛研究的离子反应不同, 与丙烯的激进反应仍然很少被探索。 在这项研究中,我们展示了稳定的布拉特和丙氮基和丙烯基的新型激进消化反应,它提供了多环三氮和四锌的接触途径。 来自布拉特基的N2和N4-亚硝酸三甲苯表现出8电子三氮环的截然不同的弯曲模式,尽管它们的非平面地理分布,但保持了某种程度的抗亚性,正如NICS和ACID的计算所揭示的那样。 值得注意的是,N2-亚硝酸三氮基基基基和N1-Q-Q-Q-Q-N-Q-Q-Q-Q-N4-N-N-N-N-N-N-N-N-N-N-N-N-N-N-N-N-N-N-N-N-N-N-N-N-N-N-N-N-N-N-N-N-N-N-N-N-N-N-</w:t>
      </w:r>
    </w:p>
    <w:p>
      <w:pPr>
        <w:spacing w:before="0" w:after="200" w:lineRule="auto" w:line="276"/>
      </w:pPr>
      <w:r>
        <w:rPr>
          <w:b/>
        </w:rPr>
        <w:t xml:space="preserve">Abstract (EN): </w:t>
      </w:r>
      <w:r>
        <w:t>Arynes are versatile building blocks in organic chemistry. In contrast to their extensively examined ionic reactivity, radical reactions with arynes remain scarcely explored. In this study, we present a novel radical annulation reaction of stable Blatter and verdazyl radicals with arynes, which offers access to polycyclic triazines and tetrazinones. The N2‐ and N4‐annulated triazines derived from Blatter radicals exhibit distinct bending modes of the 8π‐electron triazine ring, yet retain a certain degree of antiaromaticity despite their nonplanar geometries, as revealed by NICS and ACID calculations. Notably, the N2‐annulated triazines feature a strongly pyramidalized nitrogen atom with N‐chirality. Optical resolution yielded pure enantiomers, from which the configurational stability was assessed to determine the N‐inversion barrier. Furthermore, one of the N2‐annulated triazine derivatives displayed intense fluorescence, highlighting its potential as a scaffold for light‐emitting materials, whereas H‐cell cycling studies of the N4‐annulated triazine derivatives demonstrated long‐term stability of the redox process underscoring their utility for battery applications.</w:t>
      </w:r>
    </w:p>
    <w:p>
      <w:pPr>
        <w:spacing w:before="120" w:after="120"/>
      </w:pPr>
      <w:r>
        <w:rPr>
          <w:sz w:val="18"/>
        </w:rPr>
        <w:t>——————————————————————————————————————————————————————————————————————</w:t>
      </w:r>
    </w:p>
    <w:p>
      <w:pPr>
        <w:spacing w:before="160" w:after="40" w:line="240" w:lineRule="auto"/>
      </w:pPr>
      <w:r>
        <w:rPr>
          <w:b/>
        </w:rPr>
        <w:t xml:space="preserve">[99] </w:t>
      </w:r>
      <w:hyperlink r:id="rId179">
        <w:r>
          <w:rPr>
            <w:color w:val="1155CC"/>
            <w:u w:val="single"/>
          </w:rPr>
          <w:t>温度 - 诱发的虫状聚合体水合物中On-Deman和分解的诱发的温度 - 温度 - 诱导的硬性体变化</w:t>
        </w:r>
      </w:hyperlink>
    </w:p>
    <w:p>
      <w:pPr>
        <w:spacing w:before="0" w:after="80"/>
      </w:pPr>
      <w:r>
        <w:rPr>
          <w:i/>
          <w:sz w:val="20"/>
        </w:rPr>
        <w:t>EN: Temperature‐Induced Morphological Transitions for On‐Demand Detachment in Worm‐Based Polymer Hydrogels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80">
        <w:r>
          <w:rPr>
            <w:color w:val="1155CC"/>
            <w:u w:val="single"/>
          </w:rPr>
          <w:t>10.1002/anie.202519031</w:t>
        </w:r>
      </w:hyperlink>
    </w:p>
    <w:p>
      <w:pPr>
        <w:spacing w:before="0" w:after="120"/>
      </w:pPr>
      <w:r>
        <w:rPr>
          <w:b/>
        </w:rPr>
        <w:t xml:space="preserve">Notes: </w:t>
      </w:r>
      <w:r>
        <w:t>abstract_source=crossref</w:t>
      </w:r>
    </w:p>
    <w:p>
      <w:pPr>
        <w:spacing w:before="0" w:after="80" w:lineRule="auto" w:line="276"/>
      </w:pPr>
      <w:r>
        <w:rPr>
          <w:b/>
        </w:rPr>
        <w:t xml:space="preserve">摘要（ZH）: </w:t>
      </w:r>
      <w:r>
        <w:t>抽象温度反应材料对于与按需分解的粘合剂有关的应用至关重要,因为它们能够快速、无损分离,然而,低温反应系统往往缺乏显著的阶段变化,这可能导致不可取的机械与复杂的基底界面交错。 聚合诱发的自我集合(PISA)已被有效用于制造显示温度和诱发阶段过渡的类似蠕虫的流凝胶;然而,在按需分解的分解装置上的应用仍然未得到充分探讨。 在此基础上,我们利用精确的形态调整在广泛的温度范围(1至70°C)上进行调节,以调整水凝层。 我们的水凝显示,从房间的强势粘合状态可以逆转。</w:t>
      </w:r>
    </w:p>
    <w:p>
      <w:pPr>
        <w:spacing w:before="0" w:after="200" w:lineRule="auto" w:line="276"/>
      </w:pPr>
      <w:r>
        <w:rPr>
          <w:b/>
        </w:rPr>
        <w:t xml:space="preserve">Abstract (EN): </w:t>
      </w:r>
      <w:r>
        <w:t>Temperature‐responsive materials are vital for applications relating to on‐demand detachable adhesives, as they enable rapid, damage‐free detachment. However, low‐temperature responsive systems often lack pronounced phase change, which can lead to undesirable mechanical interlocking with complicated substrate interfaces. Polymerisation‐induced self‐assembly (PISA) has been effectively employed to fabricate worm‐like hydrogels exhibiting temperature‐induced phase transitions; however, its application in on‐demand detachment remains underexplored. Building on this, we leverage precise morphological tuning across a broad temperature range (1 to 70 °C) to modulate the hydrogel phase. Our hydrogel exhibits a reversible transition from a robust adhesive state at room temperature to a non‐adhesive liquid phase upon both cooling and heating. This approach overcomes the limitations associated with low‐ and high‐temperature responsive detachment on complex surfaces, thereby broadening its utility.</w:t>
      </w:r>
    </w:p>
    <w:p>
      <w:pPr>
        <w:spacing w:before="120" w:after="120"/>
      </w:pPr>
      <w:r>
        <w:rPr>
          <w:sz w:val="18"/>
        </w:rPr>
        <w:t>——————————————————————————————————————————————————————————————————————</w:t>
      </w:r>
    </w:p>
    <w:p>
      <w:pPr>
        <w:spacing w:before="160" w:after="40" w:line="240" w:lineRule="auto"/>
      </w:pPr>
      <w:r>
        <w:rPr>
          <w:b/>
        </w:rPr>
        <w:t xml:space="preserve">[100] </w:t>
      </w:r>
      <w:hyperlink r:id="rId181">
        <w:r>
          <w:rPr>
            <w:color w:val="1155CC"/>
            <w:u w:val="single"/>
          </w:rPr>
          <w:t>破解 Enaminones 的新光反应</w:t>
        </w:r>
      </w:hyperlink>
    </w:p>
    <w:p>
      <w:pPr>
        <w:spacing w:before="0" w:after="80"/>
      </w:pPr>
      <w:r>
        <w:rPr>
          <w:i/>
          <w:sz w:val="20"/>
        </w:rPr>
        <w:t>EN: Deciphering the Novel Photoreactivity of β‐Enaminones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82">
        <w:r>
          <w:rPr>
            <w:color w:val="1155CC"/>
            <w:u w:val="single"/>
          </w:rPr>
          <w:t>10.1002/anie.202519037</w:t>
        </w:r>
      </w:hyperlink>
    </w:p>
    <w:p>
      <w:pPr>
        <w:spacing w:before="0" w:after="120"/>
      </w:pPr>
      <w:r>
        <w:rPr>
          <w:b/>
        </w:rPr>
        <w:t xml:space="preserve">Notes: </w:t>
      </w:r>
      <w:r>
        <w:t>abstract_source=crossref</w:t>
      </w:r>
    </w:p>
    <w:p>
      <w:pPr>
        <w:spacing w:before="0" w:after="80" w:lineRule="auto" w:line="276"/>
      </w:pPr>
      <w:r>
        <w:rPr>
          <w:b/>
        </w:rPr>
        <w:t xml:space="preserve">摘要（ZH）: </w:t>
      </w:r>
      <w:r>
        <w:t>enaminones新发现的光化学反应机制由femto second 瞬时吸收光谱学和多状态多配置量量化学计算来审查。我们的研究显示,这种光化学反应具有一种以前没有记录的兴奋性神经质质质转移(ESIPT)过程。我们显示,这一过程在结构上和动态上是封闭的,在超长时间域发生,在三个具有两个锥形交叉点和一个单子体交叉点的潜在能源表面上,enaminone在三个潜在的能源表面发生复杂的进化过程。</w:t>
      </w:r>
    </w:p>
    <w:p>
      <w:pPr>
        <w:spacing w:before="0" w:after="200" w:lineRule="auto" w:line="276"/>
      </w:pPr>
      <w:r>
        <w:rPr>
          <w:b/>
        </w:rPr>
        <w:t xml:space="preserve">Abstract (EN): </w:t>
      </w:r>
      <w:r>
        <w:t>The mechanism of a newly discovered photochemical reaction of β‐enaminones is examined by femtosecond transient absorption spectroscopy and multistate multiconfigurational quantum chemical calculations. Our study reveals that this photochemical reaction features a previously undocumented excited‐state‐proton‐transfer (ESIPT) process. We show that this process is structurally and dynamically gated, occurring in ultrafast time domain with complex progression of β‐enaminone along three potential energy surfaces featuring two conical intersections and a singlet‐triplet crossing.</w:t>
      </w:r>
    </w:p>
    <w:p>
      <w:pPr>
        <w:spacing w:before="120" w:after="120"/>
      </w:pPr>
      <w:r>
        <w:rPr>
          <w:sz w:val="18"/>
        </w:rPr>
        <w:t>——————————————————————————————————————————————————————————————————————</w:t>
      </w:r>
    </w:p>
    <w:p>
      <w:pPr>
        <w:spacing w:before="160" w:after="40" w:line="240" w:lineRule="auto"/>
      </w:pPr>
      <w:r>
        <w:rPr>
          <w:b/>
        </w:rPr>
        <w:t xml:space="preserve">[101] </w:t>
      </w:r>
      <w:hyperlink r:id="rId183">
        <w:r>
          <w:rPr>
            <w:color w:val="1155CC"/>
            <w:u w:val="single"/>
          </w:rPr>
          <w:t>将反应路径切换到高高效酸氧氧进化氧化途径</w:t>
        </w:r>
      </w:hyperlink>
    </w:p>
    <w:p>
      <w:pPr>
        <w:spacing w:before="0" w:after="80"/>
      </w:pPr>
      <w:r>
        <w:rPr>
          <w:i/>
          <w:sz w:val="20"/>
        </w:rPr>
        <w:t>EN: Switching the Reaction Pathway to the Oxide Path for High‐Efficiency Acidic Oxygen Evolution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84">
        <w:r>
          <w:rPr>
            <w:color w:val="1155CC"/>
            <w:u w:val="single"/>
          </w:rPr>
          <w:t>10.1002/anie.202520553</w:t>
        </w:r>
      </w:hyperlink>
    </w:p>
    <w:p>
      <w:pPr>
        <w:spacing w:before="0" w:after="120"/>
      </w:pPr>
      <w:r>
        <w:rPr>
          <w:b/>
        </w:rPr>
        <w:t xml:space="preserve">Notes: </w:t>
      </w:r>
      <w:r>
        <w:t>abstract_source=crossref</w:t>
      </w:r>
    </w:p>
    <w:p>
      <w:pPr>
        <w:spacing w:before="0" w:after="80" w:lineRule="auto" w:line="276"/>
      </w:pPr>
      <w:r>
        <w:rPr>
          <w:b/>
        </w:rPr>
        <w:t xml:space="preserve">摘要（ZH）: </w:t>
      </w:r>
      <w:r>
        <w:t>抽象理解动态结构 — — 氧气进化反应(OER)中的活性关系仍然具有挑战性,因为电催化剂的结构复杂性。 在这里,我们使用Ca 2 IrO 4 — — 一种纯边缘共享IrO 6八经六八代形成1D链的模型催化剂 — — 来通过腐蚀抗体(110)和电化学活性(001)两个方面之间的协同互动来解码机械进化。 在低(110)和(001)面比的情况下,Ca 2 IrO 4 (LHCIO) 进行电化活化以形成适应性重建的建筑。</w:t>
      </w:r>
    </w:p>
    <w:p>
      <w:pPr>
        <w:spacing w:before="0" w:after="200" w:lineRule="auto" w:line="276"/>
      </w:pPr>
      <w:r>
        <w:rPr>
          <w:b/>
        </w:rPr>
        <w:t xml:space="preserve">Abstract (EN): </w:t>
      </w:r>
      <w:r>
        <w:t>Understanding dynamic structure–activity relationships in the oxygen evolution reaction (OER) remains challenging due to electrocatalysts’ structural complexity. Here, we employ Ca</w:t>
      </w:r>
      <w:r>
        <w:rPr>
          <w:vertAlign w:val="subscript"/>
        </w:rPr>
        <w:t>2</w:t>
      </w:r>
      <w:r>
        <w:t>IrO</w:t>
      </w:r>
      <w:r>
        <w:rPr>
          <w:vertAlign w:val="subscript"/>
        </w:rPr>
        <w:t>4</w:t>
      </w:r>
      <w:r>
        <w:t>—a model catalyst with exclusively edge‐sharing IrO</w:t>
      </w:r>
      <w:r>
        <w:rPr>
          <w:vertAlign w:val="subscript"/>
        </w:rPr>
        <w:t>6</w:t>
      </w:r>
      <w:r>
        <w:t>octahedra forming 1D chains—to decode mechanistic evolution through synergistic interplay between corrosion‐resistant (110) and electrochemically activable (001) facets. With low (110) and (001) facet ratios, Ca</w:t>
      </w:r>
      <w:r>
        <w:rPr>
          <w:vertAlign w:val="subscript"/>
        </w:rPr>
        <w:t>2</w:t>
      </w:r>
      <w:r>
        <w:t>IrO</w:t>
      </w:r>
      <w:r>
        <w:rPr>
          <w:vertAlign w:val="subscript"/>
        </w:rPr>
        <w:t>4</w:t>
      </w:r>
      <w:r>
        <w:t>(L‐H‐CIO) undergoes electrochemical activation to form an adaptively reconstructed structure, ultimately achieving exceptional OER performance—demonstrating a low overpotential of 279 mV at 10 mA cm</w:t>
      </w:r>
      <w:r>
        <w:t xml:space="preserve"> </w:t>
      </w:r>
      <w:r>
        <w:t>−2</w:t>
      </w:r>
      <w:r>
        <w:t xml:space="preserve"> </w:t>
      </w:r>
      <w:r>
        <w:t>and 200‐h stability without decay. The L‐H‐CIO‐based PEMWE exhibits high electrocatalytic activity (1.78 V @ 2.0 A cm</w:t>
      </w:r>
      <w:r>
        <w:t xml:space="preserve"> </w:t>
      </w:r>
      <w:r>
        <w:t>−2</w:t>
      </w:r>
      <w:r>
        <w:t xml:space="preserve"> </w:t>
      </w:r>
      <w:r>
        <w:t>, 80 °C, 0.11 mg</w:t>
      </w:r>
      <w:r>
        <w:t xml:space="preserve"> </w:t>
      </w:r>
      <w:r>
        <w:t>Ir</w:t>
      </w:r>
      <w:r>
        <w:t xml:space="preserve"> </w:t>
      </w:r>
      <w:r>
        <w:t>cm</w:t>
      </w:r>
      <w:r>
        <w:t xml:space="preserve"> </w:t>
      </w:r>
      <w:r>
        <w:t>−2</w:t>
      </w:r>
      <w:r>
        <w:t xml:space="preserve"> </w:t>
      </w:r>
      <w:r>
        <w:t>) at ampere‐level current densities while demonstrating sustained stability beyond 500 h at 1.0 A cm</w:t>
      </w:r>
      <w:r>
        <w:t xml:space="preserve"> </w:t>
      </w:r>
      <w:r>
        <w:t>−2</w:t>
      </w:r>
      <w:r>
        <w:t xml:space="preserve"> </w:t>
      </w:r>
      <w:r>
        <w:t>. In situ characterization and theoretical calculations reveal that adaptive surface reconstruction drives a mechanistic transition from the adsorbate evolution mechanism (AEM) to the oxide path mechanism (OPM). This shift is structurally anchored by edge‐sharing IrO</w:t>
      </w:r>
      <w:r>
        <w:rPr>
          <w:vertAlign w:val="subscript"/>
        </w:rPr>
        <w:t>6</w:t>
      </w:r>
      <w:r>
        <w:t>octahedra reconstruction (Ir–Ir 2.8 Å) of the (001) surface, which simultaneously downshifts the Ir d‐band center away from the Fermi level. The resultant weakened metal‐intermediate covalency optimizes the adsorption–desorption equilibrium, conferring thermodynamic and kinetic advantages to OPM. Our work establishes adaptive coordination reconstruction as a universal strategy to engineer pre‐catalysts that evolve into high‐efficiency OER phases, providing a roadmap for next‐generation catalyst design.</w:t>
      </w:r>
    </w:p>
    <w:p>
      <w:pPr>
        <w:spacing w:before="120" w:after="120"/>
      </w:pPr>
      <w:r>
        <w:rPr>
          <w:sz w:val="18"/>
        </w:rPr>
        <w:t>——————————————————————————————————————————————————————————————————————</w:t>
      </w:r>
    </w:p>
    <w:p>
      <w:pPr>
        <w:spacing w:before="160" w:after="40" w:line="240" w:lineRule="auto"/>
      </w:pPr>
      <w:r>
        <w:rPr>
          <w:b/>
        </w:rPr>
        <w:t xml:space="preserve">[102] </w:t>
      </w:r>
      <w:hyperlink r:id="rId185">
        <w:r>
          <w:rPr>
            <w:color w:val="1155CC"/>
            <w:u w:val="single"/>
          </w:rPr>
          <w:t>利用空间选择替代苏丁层氧化碳球体结构稳定</w:t>
        </w:r>
      </w:hyperlink>
    </w:p>
    <w:p>
      <w:pPr>
        <w:spacing w:before="0" w:after="80"/>
      </w:pPr>
      <w:r>
        <w:rPr>
          <w:i/>
          <w:sz w:val="20"/>
        </w:rPr>
        <w:t>EN: Spatially Selective Substitution for Structural Stabilization of Sodium Layered Oxide Cathodes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86">
        <w:r>
          <w:rPr>
            <w:color w:val="1155CC"/>
            <w:u w:val="single"/>
          </w:rPr>
          <w:t>10.1002/anie.202519108</w:t>
        </w:r>
      </w:hyperlink>
    </w:p>
    <w:p>
      <w:pPr>
        <w:spacing w:before="0" w:after="120"/>
      </w:pPr>
      <w:r>
        <w:rPr>
          <w:b/>
        </w:rPr>
        <w:t xml:space="preserve">Notes: </w:t>
      </w:r>
      <w:r>
        <w:t>abstract_source=crossref</w:t>
      </w:r>
    </w:p>
    <w:p>
      <w:pPr>
        <w:spacing w:before="0" w:after="80" w:lineRule="auto" w:line="276"/>
      </w:pPr>
      <w:r>
        <w:rPr>
          <w:b/>
        </w:rPr>
        <w:t xml:space="preserve">摘要（ZH）: </w:t>
      </w:r>
      <w:r>
        <w:t>抽象的O3 型层结构过渡金属氧化物被认为具有对钠电池具有前景的阴极材料,因为其容量高,储存特性优异,但实际应用却因电化学循环过程中多阶段过渡造成的结构不稳定而严重受阻。在此,我们提出一个空间选择性的多元素替代战略,以诱导Mg、Cu、Ti和B的空间差异分布,从而增强结构坚固性。这一空间差异化替代结构通过同时抑制内部降解和加强拉特,协同改善了结构稳定性。</w:t>
      </w:r>
    </w:p>
    <w:p>
      <w:pPr>
        <w:spacing w:before="0" w:after="200" w:lineRule="auto" w:line="276"/>
      </w:pPr>
      <w:r>
        <w:rPr>
          <w:b/>
        </w:rPr>
        <w:t xml:space="preserve">Abstract (EN): </w:t>
      </w:r>
      <w:r>
        <w:t>O3‐type layered transition metal oxides are considered promising cathode materials for sodium‐ion batteries (SIBs) due to their high capacity and favorable Na</w:t>
      </w:r>
      <w:r>
        <w:t xml:space="preserve"> </w:t>
      </w:r>
      <w:r>
        <w:t>+</w:t>
      </w:r>
      <w:r>
        <w:t xml:space="preserve"> </w:t>
      </w:r>
      <w:r>
        <w:t>storage characteristics. However, their practical application is severely hindered by structural instability associated with multiphase transitions during electrochemical cycling. Herein, we propose a spatially selective multi‐element substitution strategy that induces spatially differentiated distributions of Mg, Cu, Ti, and B, thereby enhancing structural robustness. This spatially differentiated substitution architecture synergistically improves structural stability by concurrently inhibiting interfacial degradation and strengthening the lattice framework. The optimized composition (NaNi</w:t>
      </w:r>
      <w:r>
        <w:t xml:space="preserve"> </w:t>
      </w:r>
      <w:r>
        <w:t>0.4</w:t>
      </w:r>
      <w:r>
        <w:t xml:space="preserve"> </w:t>
      </w:r>
      <w:r>
        <w:t>Mg</w:t>
      </w:r>
      <w:r>
        <w:t xml:space="preserve"> </w:t>
      </w:r>
      <w:r>
        <w:t>0.05</w:t>
      </w:r>
      <w:r>
        <w:t xml:space="preserve"> </w:t>
      </w:r>
      <w:r>
        <w:t>Cu</w:t>
      </w:r>
      <w:r>
        <w:t xml:space="preserve"> </w:t>
      </w:r>
      <w:r>
        <w:t>0.05</w:t>
      </w:r>
      <w:r>
        <w:t xml:space="preserve"> </w:t>
      </w:r>
      <w:r>
        <w:t>Mn</w:t>
      </w:r>
      <w:r>
        <w:t xml:space="preserve"> </w:t>
      </w:r>
      <w:r>
        <w:t>0.3</w:t>
      </w:r>
      <w:r>
        <w:t xml:space="preserve"> </w:t>
      </w:r>
      <w:r>
        <w:t>Ti</w:t>
      </w:r>
      <w:r>
        <w:t xml:space="preserve"> </w:t>
      </w:r>
      <w:r>
        <w:t>0.2</w:t>
      </w:r>
      <w:r>
        <w:t xml:space="preserve"> </w:t>
      </w:r>
      <w:r>
        <w:t>B</w:t>
      </w:r>
      <w:r>
        <w:t xml:space="preserve"> </w:t>
      </w:r>
      <w:r>
        <w:t>0.05</w:t>
      </w:r>
      <w:r>
        <w:t xml:space="preserve"> </w:t>
      </w:r>
      <w:r>
        <w:t>O</w:t>
      </w:r>
      <w:r>
        <w:rPr>
          <w:vertAlign w:val="subscript"/>
        </w:rPr>
        <w:t>2</w:t>
      </w:r>
      <w:r>
        <w:t>) enables a stabilized O3 → P3 phase transition, which relieves lattice distortion and suppresses structural collapse upon cycling. Density functional theory (DFT) analysis reveals that the strong covalency of B─O bonds is crucial for anchoring the P3 framework. Hence, it delivers superior high‐temperature performance in half cells and durable cycling in full cells (85% capacity retention after 300 cycles at 0.5 C within 1.9–3.9 V). By elucidating the role of spatially selective substitution in structural stabilization, this work provides fundamental insights and paves the way for the design of advanced SIB cathodes.</w:t>
      </w:r>
    </w:p>
    <w:p>
      <w:pPr>
        <w:spacing w:before="120" w:after="120"/>
      </w:pPr>
      <w:r>
        <w:rPr>
          <w:sz w:val="18"/>
        </w:rPr>
        <w:t>——————————————————————————————————————————————————————————————————————</w:t>
      </w:r>
    </w:p>
    <w:p>
      <w:pPr>
        <w:spacing w:before="160" w:after="40" w:line="240" w:lineRule="auto"/>
      </w:pPr>
      <w:r>
        <w:rPr>
          <w:b/>
        </w:rPr>
        <w:t xml:space="preserve">[103] </w:t>
      </w:r>
      <w:hyperlink r:id="rId187">
        <w:r>
          <w:rPr>
            <w:color w:val="1155CC"/>
            <w:u w:val="single"/>
          </w:rPr>
          <w:t>由41Knot到632美元6_32美元连结的地形变异</w:t>
        </w:r>
      </w:hyperlink>
    </w:p>
    <w:p>
      <w:pPr>
        <w:spacing w:before="0" w:after="80"/>
      </w:pPr>
      <w:r>
        <w:rPr>
          <w:i/>
          <w:sz w:val="20"/>
        </w:rPr>
        <w:t>EN: Successive Sulfur Oxidation Directs Topological Transformation From 41 Knot to 632$6_3^2$ Link</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88">
        <w:r>
          <w:rPr>
            <w:color w:val="1155CC"/>
            <w:u w:val="single"/>
          </w:rPr>
          <w:t>10.1002/anie.202520663</w:t>
        </w:r>
      </w:hyperlink>
    </w:p>
    <w:p>
      <w:pPr>
        <w:spacing w:before="0" w:after="120"/>
      </w:pPr>
      <w:r>
        <w:rPr>
          <w:b/>
        </w:rPr>
        <w:t xml:space="preserve">Notes: </w:t>
      </w:r>
      <w:r>
        <w:t>abstract_source=crossref</w:t>
      </w:r>
    </w:p>
    <w:p>
      <w:pPr>
        <w:spacing w:before="0" w:after="80" w:lineRule="auto" w:line="276"/>
      </w:pPr>
      <w:r>
        <w:rPr>
          <w:b/>
        </w:rPr>
        <w:t xml:space="preserve">摘要（ZH）: </w:t>
      </w:r>
      <w:r>
        <w:t>在超分子化学中,实现不同类型地形变异的抽象摘要仍然是一项挑战。在这里,硫氧化被用作触发从结结到链接的地形变异的刺激因素。这一过程始于硫醚型前体M(4,1,1,金属结),该前体通过高产自组结硫桥离子L和B块块块B的自我合成而合成。在氧化反应之后,我们成功地将八核4,1金属结(M)与fou进行了转化。</w:t>
      </w:r>
    </w:p>
    <w:p>
      <w:pPr>
        <w:spacing w:before="0" w:after="200" w:lineRule="auto" w:line="276"/>
      </w:pPr>
      <w:r>
        <w:rPr>
          <w:b/>
        </w:rPr>
        <w:t xml:space="preserve">Abstract (EN): </w:t>
      </w:r>
      <w:r>
        <w:t>Achieving transformation between different types of topologies remains a challenge in supramolecular chemistry. Herein, sulfur oxidation was utilized as the stimuli to trigger topological transformations from knots to links. The process began with a thioether‐type precursor,</w:t>
      </w:r>
      <w:r>
        <w:t xml:space="preserve"> </w:t>
      </w:r>
      <w:r>
        <w:t>M</w:t>
      </w:r>
      <w:r>
        <w:t xml:space="preserve"> </w:t>
      </w:r>
      <w:r>
        <w:t>(4</w:t>
      </w:r>
      <w:r>
        <w:rPr>
          <w:vertAlign w:val="subscript"/>
        </w:rPr>
        <w:t>1</w:t>
      </w:r>
      <w:r>
        <w:t>metallic knot), which was synthesized by self‐assembling the sulfur‐bridged ligand</w:t>
      </w:r>
      <w:r>
        <w:t xml:space="preserve"> </w:t>
      </w:r>
      <w:r>
        <w:t>L</w:t>
      </w:r>
      <w:r>
        <w:t xml:space="preserve"> </w:t>
      </w:r>
      <w:r>
        <w:t>with building block</w:t>
      </w:r>
      <w:r>
        <w:t xml:space="preserve"> </w:t>
      </w:r>
      <w:r>
        <w:t>B</w:t>
      </w:r>
      <w:r>
        <w:t xml:space="preserve"> </w:t>
      </w:r>
      <w:r>
        <w:t>in high yield. Following oxidation reactions, we successfully transformed the octanuclear 4</w:t>
      </w:r>
      <w:r>
        <w:rPr>
          <w:vertAlign w:val="subscript"/>
        </w:rPr>
        <w:t>1</w:t>
      </w:r>
      <w:r>
        <w:t>metallic knot (</w:t>
      </w:r>
      <w:r>
        <w:t xml:space="preserve"> </w:t>
      </w:r>
      <w:r>
        <w:t>M</w:t>
      </w:r>
      <w:r>
        <w:t xml:space="preserve"> </w:t>
      </w:r>
      <w:r>
        <w:t>) with four crossing points into a sulfoxide‐type dodecanuclear  metallic link (</w:t>
      </w:r>
      <w:r>
        <w:t xml:space="preserve"> </w:t>
      </w:r>
      <w:r>
        <w:t>M‐O</w:t>
      </w:r>
      <w:r>
        <w:t xml:space="preserve"> </w:t>
      </w:r>
      <w:r>
        <w:t>) with six crossing points as an intermediate product, and then to a sulfone‐type dodecanuclear  metallic link (</w:t>
      </w:r>
      <w:r>
        <w:t xml:space="preserve"> </w:t>
      </w:r>
      <w:r>
        <w:t>M‐2O</w:t>
      </w:r>
      <w:r>
        <w:t xml:space="preserve"> </w:t>
      </w:r>
      <w:r>
        <w:t>) with six crossing points, which achieves a dual leap in both metal nuclearity and crossing complexity. Remarkably, the key to the transformation lies in using the embedded S‐centres of</w:t>
      </w:r>
      <w:r>
        <w:t xml:space="preserve"> </w:t>
      </w:r>
      <w:r>
        <w:t>M</w:t>
      </w:r>
      <w:r>
        <w:t xml:space="preserve"> </w:t>
      </w:r>
      <w:r>
        <w:t>as molecular triggers and stepwise oxidation (‐S‐→‐S(O)‐→‐S(O)</w:t>
      </w:r>
      <w:r>
        <w:rPr>
          <w:vertAlign w:val="subscript"/>
        </w:rPr>
        <w:t>2</w:t>
      </w:r>
      <w:r>
        <w:t>‐) enabled precise modulation of the geometric configuration of the</w:t>
      </w:r>
      <w:r>
        <w:t xml:space="preserve"> </w:t>
      </w:r>
      <w:r>
        <w:t>sp</w:t>
      </w:r>
      <w:r>
        <w:rPr>
          <w:vertAlign w:val="subscript"/>
        </w:rPr>
        <w:t>3</w:t>
      </w:r>
      <w:r>
        <w:t xml:space="preserve"> </w:t>
      </w:r>
      <w:r>
        <w:t>S‐centres, drastically altering the range of accessible coordination vectors and inducing conformational self‐adaptation among components. This strategy establishes a novel oxidation‐mediated interconversion paradigm among complex topologies, offering new insights for designing dynamic molecular triggers in intelligent material systems.</w:t>
      </w:r>
    </w:p>
    <w:p>
      <w:pPr>
        <w:spacing w:before="120" w:after="120"/>
      </w:pPr>
      <w:r>
        <w:rPr>
          <w:sz w:val="18"/>
        </w:rPr>
        <w:t>——————————————————————————————————————————————————————————————————————</w:t>
      </w:r>
    </w:p>
    <w:p>
      <w:pPr>
        <w:spacing w:before="160" w:after="40" w:line="240" w:lineRule="auto"/>
      </w:pPr>
      <w:r>
        <w:rPr>
          <w:b/>
        </w:rPr>
        <w:t xml:space="preserve">[104] </w:t>
      </w:r>
      <w:hyperlink r:id="rId189">
        <w:r>
          <w:rPr>
            <w:color w:val="1155CC"/>
            <w:u w:val="single"/>
          </w:rPr>
          <w:t>平方平方平极阿尔基利丹复合体</w:t>
        </w:r>
      </w:hyperlink>
    </w:p>
    <w:p>
      <w:pPr>
        <w:spacing w:before="0" w:after="80"/>
      </w:pPr>
      <w:r>
        <w:rPr>
          <w:i/>
          <w:sz w:val="20"/>
        </w:rPr>
        <w:t>EN: Square‐Planar Ruthenium Alkylidyne Complexes Undergo Stepwise Rather Than Concerted [2 + 2] Cycloadditions with Alkynes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90">
        <w:r>
          <w:rPr>
            <w:color w:val="1155CC"/>
            <w:u w:val="single"/>
          </w:rPr>
          <w:t>10.1002/anie.202519905</w:t>
        </w:r>
      </w:hyperlink>
    </w:p>
    <w:p>
      <w:pPr>
        <w:spacing w:before="0" w:after="120"/>
      </w:pPr>
      <w:r>
        <w:rPr>
          <w:b/>
        </w:rPr>
        <w:t xml:space="preserve">Notes: </w:t>
      </w:r>
      <w:r>
        <w:t>abstract_source=crossref</w:t>
      </w:r>
    </w:p>
    <w:p>
      <w:pPr>
        <w:spacing w:before="0" w:after="80" w:lineRule="auto" w:line="276"/>
      </w:pPr>
      <w:r>
        <w:rPr>
          <w:b/>
        </w:rPr>
        <w:t xml:space="preserve">摘要（ZH）: </w:t>
      </w:r>
      <w:r>
        <w:t>平方平面图中的新条目,正式披露4 配置的alkylidyne 亚甲二氮甲烷,将之作为方便和安全的alkylidyne合成物。该方法提供了12号综合体,配有丰富的电子 PNPpincer ligand, 以电子浓缩、电子衰竭和加压的alkynes进行[2+2] 快速循环;这些反应代表了由 d 4 配置的过渡金属Alkylidyne综合体形成金属环丁二烯的第一批例子。然而,这种循环以渐进的方式进行。</w:t>
      </w:r>
    </w:p>
    <w:p>
      <w:pPr>
        <w:spacing w:before="0" w:after="200" w:lineRule="auto" w:line="276"/>
      </w:pPr>
      <w:r>
        <w:rPr>
          <w:b/>
        </w:rPr>
        <w:t xml:space="preserve">Abstract (EN): </w:t>
      </w:r>
      <w:r>
        <w:t>A new entry into square‐planar, formally d</w:t>
      </w:r>
      <w:r>
        <w:rPr>
          <w:vertAlign w:val="subscript"/>
        </w:rPr>
        <w:t>4</w:t>
      </w:r>
      <w:r>
        <w:t>‐configured ruthenium alkylidyne complexes is disclosed, using</w:t>
      </w:r>
      <w:r>
        <w:t xml:space="preserve"> </w:t>
      </w:r>
      <w:r>
        <w:t>p</w:t>
      </w:r>
      <w:r>
        <w:t xml:space="preserve"> </w:t>
      </w:r>
      <w:r>
        <w:t>‐tolyl(trimethylsilyl)diazomethane as a convenient and safe alkylidyne synthon. The method furnished complex</w:t>
      </w:r>
      <w:r>
        <w:rPr>
          <w:vertAlign w:val="subscript"/>
        </w:rPr>
        <w:t>12</w:t>
      </w:r>
      <w:r>
        <w:t>supported by an electron‐rich PNP‐pincer ligand, which undergoes remarkably facile [2 + 2] cycloaddition with electron‐rich, electron‐deficient, and strained alkynes; these reactions represent the first examples of metallacyclobutadiene formation by a d</w:t>
      </w:r>
      <w:r>
        <w:rPr>
          <w:vertAlign w:val="subscript"/>
        </w:rPr>
        <w:t>4</w:t>
      </w:r>
      <w:r>
        <w:t>‐configured transition metal alkylidyne complex. Strikingly, however, the cycloadditions proceed by a stepwise mechanism, which stands in marked contrast to the concerted pathway entertained by all prototypical d</w:t>
      </w:r>
      <w:r>
        <w:rPr>
          <w:vertAlign w:val="subscript"/>
        </w:rPr>
        <w:t>0</w:t>
      </w:r>
      <w:r>
        <w:t>and d</w:t>
      </w:r>
      <w:r>
        <w:rPr>
          <w:vertAlign w:val="subscript"/>
        </w:rPr>
        <w:t>2</w:t>
      </w:r>
      <w:r>
        <w:t>Schrock‐type alkylidynes, including the molybdenum, tungsten, and rhenium complexes that currently dominate the field of alkyne metathesis. In essence, it is the non‐bonding lone pair forming the largely metal‐centered HOMO of significant d</w:t>
      </w:r>
      <w:r>
        <w:t xml:space="preserve"> </w:t>
      </w:r>
      <w:r>
        <w:t>z2</w:t>
      </w:r>
      <w:r>
        <w:t xml:space="preserve"> </w:t>
      </w:r>
      <w:r>
        <w:t>character that accounts for this unorthodox behavior. The newly gained insight into this key reactivity determinant also allows the few other known reactions of formally d</w:t>
      </w:r>
      <w:r>
        <w:rPr>
          <w:vertAlign w:val="subscript"/>
        </w:rPr>
        <w:t>4</w:t>
      </w:r>
      <w:r>
        <w:t>‐configured alkylidene complexes previously described in the literature to be explained and will empower further explorations of their chemistry.</w:t>
      </w:r>
    </w:p>
    <w:p>
      <w:pPr>
        <w:spacing w:before="120" w:after="120"/>
      </w:pPr>
      <w:r>
        <w:rPr>
          <w:sz w:val="18"/>
        </w:rPr>
        <w:t>——————————————————————————————————————————————————————————————————————</w:t>
      </w:r>
    </w:p>
    <w:p>
      <w:pPr>
        <w:spacing w:before="160" w:after="40" w:line="240" w:lineRule="auto"/>
      </w:pPr>
      <w:r>
        <w:rPr>
          <w:b/>
        </w:rPr>
        <w:t xml:space="preserve">[105] </w:t>
      </w:r>
      <w:hyperlink r:id="rId191">
        <w:r>
          <w:rPr>
            <w:color w:val="1155CC"/>
            <w:u w:val="single"/>
          </w:rPr>
          <w:t>C-H BODIPYs的确定</w:t>
        </w:r>
      </w:hyperlink>
    </w:p>
    <w:p>
      <w:pPr>
        <w:spacing w:before="0" w:after="80"/>
      </w:pPr>
      <w:r>
        <w:rPr>
          <w:i/>
          <w:sz w:val="20"/>
        </w:rPr>
        <w:t>EN: Atroposelective Palladium‐Catalyzed γ‐C–H Olefination of BODIPYs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92">
        <w:r>
          <w:rPr>
            <w:color w:val="1155CC"/>
            <w:u w:val="single"/>
          </w:rPr>
          <w:t>10.1002/anie.202519324</w:t>
        </w:r>
      </w:hyperlink>
    </w:p>
    <w:p>
      <w:pPr>
        <w:spacing w:before="0" w:after="120"/>
      </w:pPr>
      <w:r>
        <w:rPr>
          <w:b/>
        </w:rPr>
        <w:t xml:space="preserve">Notes: </w:t>
      </w:r>
      <w:r>
        <w:t>abstract_source=crossref</w:t>
      </w:r>
    </w:p>
    <w:p>
      <w:pPr>
        <w:spacing w:before="0" w:after="80" w:lineRule="auto" w:line="276"/>
      </w:pPr>
      <w:r>
        <w:rPr>
          <w:b/>
        </w:rPr>
        <w:t xml:space="preserve">摘要（ZH）: </w:t>
      </w:r>
      <w:r>
        <w:t>Enantienried BODIPY的抽象合成催化方法的开发代表了这一领域的重大进步。在这里,我们提出了一个强有力的高效战略,用于在BODIPY位置的Pd(II)ccallyz antoropo选择性C-H光化和脱色,这一战略由一个硫醚指导组和一个原生氨基酸衍生离子驱动器加以推动。</w:t>
      </w:r>
    </w:p>
    <w:p>
      <w:pPr>
        <w:spacing w:before="0" w:after="200" w:lineRule="auto" w:line="276"/>
      </w:pPr>
      <w:r>
        <w:rPr>
          <w:b/>
        </w:rPr>
        <w:t xml:space="preserve">Abstract (EN): </w:t>
      </w:r>
      <w:r>
        <w:t>Enantioenriched BODIPYs have emerged as a class of exceptionally valuable fluorophores, distinguished by their remarkable chiroptical properties and versatile applications in bioimaging, molecular sensing, and optoelectronic materials. The development of asymmetric catalytic methodologies for their synthesis represents a significant advancement in this field. Herein, we present a robust and efficient strategy for the Pd(II)‐catalyzed atroposelective C–H olefination and desymmetrization at the γ‐position of BODIPYs, facilitated by a thioether directing group and a chiral amino acid‐derived ligand. This oxidative Heck‐type reaction enables the direct synthesis of a wide array of axially chiral BODIPY derivatives with exceptional E‐selectivity and outstanding enantioselectivities. The resultant chiral fluorophores exhibit tunable photophysical properties, including near‐infrared emission and robust circularly polarized luminescence, and demonstrate excellent biocompatibility in live‐cell imaging. This method establishes a comprehensive platform for the streamlined synthesis of axially chiral BODIPYs, thereby advancing their potential applications in cutting‐edge photonic, biological, and optoelectronic technologies.</w:t>
      </w:r>
    </w:p>
    <w:p>
      <w:pPr>
        <w:spacing w:before="120" w:after="120"/>
      </w:pPr>
      <w:r>
        <w:rPr>
          <w:sz w:val="18"/>
        </w:rPr>
        <w:t>——————————————————————————————————————————————————————————————————————</w:t>
      </w:r>
    </w:p>
    <w:p>
      <w:pPr>
        <w:spacing w:before="160" w:after="40" w:line="240" w:lineRule="auto"/>
      </w:pPr>
      <w:r>
        <w:rPr>
          <w:b/>
        </w:rPr>
        <w:t xml:space="preserve">[106] </w:t>
      </w:r>
      <w:hyperlink r:id="rId193">
        <w:r>
          <w:rPr>
            <w:color w:val="1155CC"/>
            <w:u w:val="single"/>
          </w:rPr>
          <w:t>通过高集压实验和机器学习对1,2-二碳基物质进行普遍优化和再生选择性单体削减</w:t>
        </w:r>
      </w:hyperlink>
    </w:p>
    <w:p>
      <w:pPr>
        <w:spacing w:before="0" w:after="80"/>
      </w:pPr>
      <w:r>
        <w:rPr>
          <w:i/>
          <w:sz w:val="20"/>
        </w:rPr>
        <w:t>EN: Generality‐Driven Optimization of Enantio‐ and Regioselective Mono‐Reduction of 1,2‐Dicarbonyls by High‐Throughput Experimentation and Machine Learning</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94">
        <w:r>
          <w:rPr>
            <w:color w:val="1155CC"/>
            <w:u w:val="single"/>
          </w:rPr>
          <w:t>10.1002/anie.202519425</w:t>
        </w:r>
      </w:hyperlink>
    </w:p>
    <w:p>
      <w:pPr>
        <w:spacing w:before="0" w:after="120"/>
      </w:pPr>
      <w:r>
        <w:rPr>
          <w:b/>
        </w:rPr>
        <w:t xml:space="preserve">Notes: </w:t>
      </w:r>
      <w:r>
        <w:t>abstract_source=crossref</w:t>
      </w:r>
    </w:p>
    <w:p>
      <w:pPr>
        <w:spacing w:before="0" w:after="80" w:lineRule="auto" w:line="276"/>
      </w:pPr>
      <w:r>
        <w:rPr>
          <w:b/>
        </w:rPr>
        <w:t xml:space="preserve">摘要（ZH）: </w:t>
      </w:r>
      <w:r>
        <w:t>长期寻求基础通用性的长期尝试源于单一模型优化的不可预测性。利用高通量实验(HTE),我们提出了一个实用的多基筛选战略,用于减少1,2-二碳基普遍不对称单价。Qaltial 1 H NMR光谱,加上19 F NMR对集合原油混合物同时进行的手性分析,加速了八倍的工作流程。对8个子层的31个有机氧化氮-二氨离子(COBI)变异体的大力筛选甚至解决了乙基/甲基差异。HTE数据在与CGR(反应组合图)的机器学习模型中得到了利用。</w:t>
      </w:r>
    </w:p>
    <w:p>
      <w:pPr>
        <w:spacing w:before="0" w:after="200" w:lineRule="auto" w:line="276"/>
      </w:pPr>
      <w:r>
        <w:rPr>
          <w:b/>
        </w:rPr>
        <w:t xml:space="preserve">Abstract (EN): </w:t>
      </w:r>
      <w:r>
        <w:t>The longstanding quest for substrate generality stems from the unpredictability of single‐model optimization. Leveraging high‐throughput experimentation (HTE), we present a practical multi‐substrate screening strategy for the general asymmetric mono‐reduction of 1,2‐dicarbonyls. Quantitative</w:t>
      </w:r>
      <w:r>
        <w:rPr>
          <w:vertAlign w:val="subscript"/>
        </w:rPr>
        <w:t>1</w:t>
      </w:r>
      <w:r>
        <w:t>H NMR spectroscopy combined with simultaneous chiral analysis by</w:t>
      </w:r>
      <w:r>
        <w:rPr>
          <w:vertAlign w:val="subscript"/>
        </w:rPr>
        <w:t>19</w:t>
      </w:r>
      <w:r>
        <w:t>F NMR for pooled crude mixtures accelerated the workflow eightfold. Robust screening of 31 chiral oxazaborolidinium ion (COBI) variants across eight substrates tackled even ethyl/methyl differentiation. HTE data were utilized in a machine learning (ML) model with CGR (Condensed Graphs of Reaction)‐based descriptors, identifying catalysts for target substrates without quantum chemical calculations. The ARMS (Automated Reaction Mapping for various Substituents) system was introduced to streamline SMILES (Simplified Molecular Input Line Entry System) preprocessing for multi‐substrate datasets. The resulting chiral</w:t>
      </w:r>
      <w:r>
        <w:t xml:space="preserve"> </w:t>
      </w:r>
      <w:r>
        <w:t>α</w:t>
      </w:r>
      <w:r>
        <w:t xml:space="preserve"> </w:t>
      </w:r>
      <w:r>
        <w:t>‐silyloxy ketones, obtained in excellent yields (up to &amp;gt;99%) and selectivities (up to &amp;gt;99% ee, &amp;gt;20:1 r.r.), could be readily transformed into high‐value compounds, such as (</w:t>
      </w:r>
      <w:r>
        <w:t xml:space="preserve"> </w:t>
      </w:r>
      <w:r>
        <w:t>S</w:t>
      </w:r>
      <w:r>
        <w:t xml:space="preserve"> </w:t>
      </w:r>
      <w:r>
        <w:t>)‐bupropion.</w:t>
      </w:r>
    </w:p>
    <w:p>
      <w:pPr>
        <w:spacing w:before="120" w:after="120"/>
      </w:pPr>
      <w:r>
        <w:rPr>
          <w:sz w:val="18"/>
        </w:rPr>
        <w:t>——————————————————————————————————————————————————————————————————————</w:t>
      </w:r>
    </w:p>
    <w:p>
      <w:pPr>
        <w:spacing w:before="160" w:after="40" w:line="240" w:lineRule="auto"/>
      </w:pPr>
      <w:r>
        <w:rPr>
          <w:b/>
        </w:rPr>
        <w:t xml:space="preserve">[107] </w:t>
      </w:r>
      <w:hyperlink r:id="rId195">
        <w:r>
          <w:rPr>
            <w:color w:val="1155CC"/>
            <w:u w:val="single"/>
          </w:rPr>
          <w:t>用于超常和稳定地将低浓度硝化物转化成氨的超常和稳定热聚氨酯的碳聚变碳聚碳/FeP/Fe3O4</w:t>
        </w:r>
      </w:hyperlink>
    </w:p>
    <w:p>
      <w:pPr>
        <w:spacing w:before="0" w:after="80"/>
      </w:pPr>
      <w:r>
        <w:rPr>
          <w:i/>
          <w:sz w:val="20"/>
        </w:rPr>
        <w:t>EN: Charge‐Spin‐Orbit Modulated Carbon‐Encapsulated FeP/Fe3O4 Heterojunctions for Ultrafast and Stable Conversion of Low‐Concentration Nitrate to Ammonia</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96">
        <w:r>
          <w:rPr>
            <w:color w:val="1155CC"/>
            <w:u w:val="single"/>
          </w:rPr>
          <w:t>10.1002/anie.202519571</w:t>
        </w:r>
      </w:hyperlink>
    </w:p>
    <w:p>
      <w:pPr>
        <w:spacing w:before="0" w:after="120"/>
      </w:pPr>
      <w:r>
        <w:rPr>
          <w:b/>
        </w:rPr>
        <w:t xml:space="preserve">Notes: </w:t>
      </w:r>
      <w:r>
        <w:t>abstract_source=crossref</w:t>
      </w:r>
    </w:p>
    <w:p>
      <w:pPr>
        <w:spacing w:before="0" w:after="80" w:lineRule="auto" w:line="276"/>
      </w:pPr>
      <w:r>
        <w:rPr>
          <w:b/>
        </w:rPr>
        <w:t xml:space="preserve">摘要（ZH）: </w:t>
      </w:r>
      <w:r>
        <w:t>尽管取得了一些重要成就,但进展仍然低于预期,特别是在低浓度硝酸盐方面,这主要是因为氢化动力学和干扰物质缓慢。在这项工作中,我们提出,通过工程旋转轨道定向,一个碳密封的FEP/Fe 3 O 4 exergunctions(FeP/Fe 3 O 4@C)使超快和稳定的NH 3电合成从低浓度硝酸盐中产生。</w:t>
      </w:r>
    </w:p>
    <w:p>
      <w:pPr>
        <w:spacing w:before="0" w:after="200" w:lineRule="auto" w:line="276"/>
      </w:pPr>
      <w:r>
        <w:rPr>
          <w:b/>
        </w:rPr>
        <w:t xml:space="preserve">Abstract (EN): </w:t>
      </w:r>
      <w:r>
        <w:t>Electrocatalytic nitrate reduction reaction offers an effective route for ammonia synthesis and actual wastewater treatment. Despite some important achievements, the progress is still low than expected, especially in low‐concentration nitrate, mostly because of slow hydrogenation kinetics and interfering substances. In this work, we presented that, by engineering spin orbital orientation, a carbon‐encapsulated FeP/Fe</w:t>
      </w:r>
      <w:r>
        <w:rPr>
          <w:vertAlign w:val="subscript"/>
        </w:rPr>
        <w:t>3</w:t>
      </w:r>
      <w:r>
        <w:t>O</w:t>
      </w:r>
      <w:r>
        <w:rPr>
          <w:vertAlign w:val="subscript"/>
        </w:rPr>
        <w:t>4</w:t>
      </w:r>
      <w:r>
        <w:t>heterojunctions (FeP/Fe</w:t>
      </w:r>
      <w:r>
        <w:rPr>
          <w:vertAlign w:val="subscript"/>
        </w:rPr>
        <w:t>3</w:t>
      </w:r>
      <w:r>
        <w:t>O</w:t>
      </w:r>
      <w:r>
        <w:rPr>
          <w:vertAlign w:val="subscript"/>
        </w:rPr>
        <w:t>4</w:t>
      </w:r>
      <w:r>
        <w:t>@C) enabled ultrafast and stable NH</w:t>
      </w:r>
      <w:r>
        <w:rPr>
          <w:vertAlign w:val="subscript"/>
        </w:rPr>
        <w:t>3</w:t>
      </w:r>
      <w:r>
        <w:t>electrosynthesis from low‐concentration nitrate. In‐situ characterization and theoretical calculation confirmed that FeP/Fe</w:t>
      </w:r>
      <w:r>
        <w:rPr>
          <w:vertAlign w:val="subscript"/>
        </w:rPr>
        <w:t>3</w:t>
      </w:r>
      <w:r>
        <w:t>O</w:t>
      </w:r>
      <w:r>
        <w:rPr>
          <w:vertAlign w:val="subscript"/>
        </w:rPr>
        <w:t>4</w:t>
      </w:r>
      <w:r>
        <w:t>heterojunctions induced spin orbit splitting of Fe, resulting in electron transition from low spin to high spin. The resulted non‐degenerate orbitals caused the energy levels shift up and guided the electron migration from FeP to Fe</w:t>
      </w:r>
      <w:r>
        <w:rPr>
          <w:vertAlign w:val="subscript"/>
        </w:rPr>
        <w:t>3</w:t>
      </w:r>
      <w:r>
        <w:t>O</w:t>
      </w:r>
      <w:r>
        <w:rPr>
          <w:vertAlign w:val="subscript"/>
        </w:rPr>
        <w:t>4</w:t>
      </w:r>
      <w:r>
        <w:t>, which thus activated additional 3d orbital electron states. This spin orbital orientation further optimized the chemisorption properties of nitrogen‐oxygen intermediates and H* spillover, thus accelerating hydrogenation kinetics for ultrafast NH</w:t>
      </w:r>
      <w:r>
        <w:rPr>
          <w:vertAlign w:val="subscript"/>
        </w:rPr>
        <w:t>3</w:t>
      </w:r>
      <w:r>
        <w:t>electrosynthesis. Meanwhile, FeP/Fe</w:t>
      </w:r>
      <w:r>
        <w:rPr>
          <w:vertAlign w:val="subscript"/>
        </w:rPr>
        <w:t>3</w:t>
      </w:r>
      <w:r>
        <w:t>O</w:t>
      </w:r>
      <w:r>
        <w:rPr>
          <w:vertAlign w:val="subscript"/>
        </w:rPr>
        <w:t>4</w:t>
      </w:r>
      <w:r>
        <w:t>@C electrocatalyst alleviated the phosphate poisoning of active metal sites during industrial wastewater treatment, demonstrating excellent anti‐interference capability and environmental sustainability for real application. This work by modulating the “charge‐spin‐orbit” structure of active sites provided a new strategy for rational design of high‐performance electrocatalysts for various electrocatalytic reactions.</w:t>
      </w:r>
    </w:p>
    <w:p>
      <w:pPr>
        <w:spacing w:before="120" w:after="120"/>
      </w:pPr>
      <w:r>
        <w:rPr>
          <w:sz w:val="18"/>
        </w:rPr>
        <w:t>——————————————————————————————————————————————————————————————————————</w:t>
      </w:r>
    </w:p>
    <w:p>
      <w:pPr>
        <w:spacing w:before="160" w:after="40" w:line="240" w:lineRule="auto"/>
      </w:pPr>
      <w:r>
        <w:rPr>
          <w:b/>
        </w:rPr>
        <w:t xml:space="preserve">[108] </w:t>
      </w:r>
      <w:hyperlink r:id="rId197">
        <w:r>
          <w:rPr>
            <w:color w:val="1155CC"/>
            <w:u w:val="single"/>
          </w:rPr>
          <w:t>Chiral Boron-Formazanates作为多功能 NIR 热带植物板块平台:模块合成、光热转化和可腐化酸 - 基础花粉切换</w:t>
        </w:r>
      </w:hyperlink>
    </w:p>
    <w:p>
      <w:pPr>
        <w:spacing w:before="0" w:after="80"/>
      </w:pPr>
      <w:r>
        <w:rPr>
          <w:i/>
          <w:sz w:val="20"/>
        </w:rPr>
        <w:t>EN: Chiral Boron–Formazanates as a Multifunctional NIR Chiroptical Platform: Modular Synthesis, Photothermal Conversion, and Reversible Acid–Base Chiroptical Switching</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198">
        <w:r>
          <w:rPr>
            <w:color w:val="1155CC"/>
            <w:u w:val="single"/>
          </w:rPr>
          <w:t>10.1002/anie.202519577</w:t>
        </w:r>
      </w:hyperlink>
    </w:p>
    <w:p>
      <w:pPr>
        <w:spacing w:before="0" w:after="120"/>
      </w:pPr>
      <w:r>
        <w:rPr>
          <w:b/>
        </w:rPr>
        <w:t xml:space="preserve">Notes: </w:t>
      </w:r>
      <w:r>
        <w:t>abstract_source=crossref</w:t>
      </w:r>
    </w:p>
    <w:p>
      <w:pPr>
        <w:spacing w:before="0" w:after="80" w:lineRule="auto" w:line="276"/>
      </w:pPr>
      <w:r>
        <w:rPr>
          <w:b/>
        </w:rPr>
        <w:t xml:space="preserve">摘要（ZH）: </w:t>
      </w:r>
      <w:r>
        <w:t>光学和光电子应用的先进光学和光电子应用非常需要具有近红外光学光学活度的抽象奇拉有机材料,但这种材料仍然很少见。 我们在此报告两种补充型的手性原生原生原生原体-正成形亚甲酸盐:(1) 原生原生原生原生原生原生原生原生原生原生原生原色,和(2) 原生原生原体原生原生原体原体,这两种原生原产物均以对应形式(ee&amp;gt;e &amp;gt;95%),通过没有自然分辨率的模块合成途径制成。 据我们所知,这些是首次报告的纯光质成形形形体的示例。 这使得能够直接评估其内在光学和原原性,其中包括宽带NIR圆形(C),包括宽带NIR圆形(C)。</w:t>
      </w:r>
    </w:p>
    <w:p>
      <w:pPr>
        <w:spacing w:before="0" w:after="200" w:lineRule="auto" w:line="276"/>
      </w:pPr>
      <w:r>
        <w:rPr>
          <w:b/>
        </w:rPr>
        <w:t xml:space="preserve">Abstract (EN): </w:t>
      </w:r>
      <w:r>
        <w:t>Chiral organic materials with near‐infrared (NIR) optical activity are highly sought after for advanced photonic and optoelectronic applications but remain rare. Here, we report two complementary types of chiral boron–formazanates: 1) mono‐formazanates bearing 1,1′‐bi‐2‐naphthol (BINOL)‐derived chiral ligands at boron, and 2) bis‐formazanates with embedded chiral backbones, both prepared in enantiopure form (</w:t>
      </w:r>
      <w:r>
        <w:t xml:space="preserve"> </w:t>
      </w:r>
      <w:r>
        <w:t>ee</w:t>
      </w:r>
      <w:r>
        <w:t xml:space="preserve"> </w:t>
      </w:r>
      <w:r>
        <w:t>&amp;gt; 95%) via modular synthetic routes without chiral resolution. To our knowledge, these represent the first reported examples of optically pure formazanates. This enables direct evaluation of their intrinsic optical and chiroptical properties, which include broadband NIR circular dichroism (CD) activity and, in selected cases, NIR‐II fluorescence, aggregation‐induced emission (AIE), NIR circularly polarized luminescence (CPL) activity beyond 800 nm, and fully reversible acid–base chiroptical switching. Mono‐formazanates show high light‐to‐heat conversion and serve as efficient photothermal catalysts for red‐light‐mediated polymerization, while bis‐formazanates exhibit amplified chiroptical responses via exciton‐like coupling. TD‐DFT calculations unveiled the mechanistic aspects of broadband Cotton effects in mono‐formazanates, exciton‐like coupling in bis‐formazanates, and protonation‐induced inversion of chiroptical signals. This work establishes chiral formazanates as a versatile molecular platform for next‐generation NIR‐active chiroptical materials with potential utility in bioimaging, sensing, photothermal therapy, and responsive chiroptical devices.</w:t>
      </w:r>
    </w:p>
    <w:p>
      <w:pPr>
        <w:spacing w:before="120" w:after="120"/>
      </w:pPr>
      <w:r>
        <w:rPr>
          <w:sz w:val="18"/>
        </w:rPr>
        <w:t>——————————————————————————————————————————————————————————————————————</w:t>
      </w:r>
    </w:p>
    <w:p>
      <w:pPr>
        <w:spacing w:before="160" w:after="40" w:line="240" w:lineRule="auto"/>
      </w:pPr>
      <w:r>
        <w:rPr>
          <w:b/>
        </w:rPr>
        <w:t xml:space="preserve">[109] </w:t>
      </w:r>
      <w:hyperlink r:id="rId199">
        <w:r>
          <w:rPr>
            <w:color w:val="1155CC"/>
            <w:u w:val="single"/>
          </w:rPr>
          <w:t>通过电化学直接脱水性脱水性烷基关系建立的四碳中心</w:t>
        </w:r>
      </w:hyperlink>
    </w:p>
    <w:p>
      <w:pPr>
        <w:spacing w:before="0" w:after="80"/>
      </w:pPr>
      <w:r>
        <w:rPr>
          <w:i/>
          <w:sz w:val="20"/>
        </w:rPr>
        <w:t>EN: Quaternary Carbon Centers via Electrochemical Direct Dehydroxylative Alkylation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00">
        <w:r>
          <w:rPr>
            <w:color w:val="1155CC"/>
            <w:u w:val="single"/>
          </w:rPr>
          <w:t>10.1002/anie.202520816</w:t>
        </w:r>
      </w:hyperlink>
    </w:p>
    <w:p>
      <w:pPr>
        <w:spacing w:before="0" w:after="120"/>
      </w:pPr>
      <w:r>
        <w:rPr>
          <w:b/>
        </w:rPr>
        <w:t xml:space="preserve">Notes: </w:t>
      </w:r>
      <w:r>
        <w:t>abstract_source=crossref</w:t>
      </w:r>
    </w:p>
    <w:p>
      <w:pPr>
        <w:spacing w:before="0" w:after="80" w:lineRule="auto" w:line="276"/>
      </w:pPr>
      <w:r>
        <w:rPr>
          <w:b/>
        </w:rPr>
        <w:t xml:space="preserve">摘要（ZH）: </w:t>
      </w:r>
      <w:r>
        <w:t>摘要 建造所有碳碳之四体中心仍然是有机合成中一项艰巨的挑战,因为适合的前体可获取性不高,而且不易获得,因此有机合成中仍面临巨大的挑战。在此,我们报告了通过极地转导机制对三级酒精直接脱氧性烷基直接脱氧融化的模块化电化学战略。这个统一的激活平台使得C(sp 3)-C(sp 3)-C(sp 3)能够与电子失密的烷和苯基氯化物组成联结,在轻度、操作简单的条件下使用现成的试剂。这种转变的关键是使用基于卤化的试剂,将刘易斯酸促发的C-OH粘结液液液。</w:t>
      </w:r>
    </w:p>
    <w:p>
      <w:pPr>
        <w:spacing w:before="0" w:after="200" w:lineRule="auto" w:line="276"/>
      </w:pPr>
      <w:r>
        <w:rPr>
          <w:b/>
        </w:rPr>
        <w:t xml:space="preserve">Abstract (EN): </w:t>
      </w:r>
      <w:r>
        <w:t>The construction of all‐carbon quaternary centers remains a formidable challenge in organic synthesis due to the steric congestion and limited accessibility of suitable precursors. Herein, we report a modular electrochemical strategy for the direct dehydroxylative alkylation of tertiary alcohols via a polar‐to‐radical transduction mechanism. This unified activation platform enables C(sp</w:t>
      </w:r>
      <w:r>
        <w:rPr>
          <w:vertAlign w:val="subscript"/>
        </w:rPr>
        <w:t>3</w:t>
      </w:r>
      <w:r>
        <w:t>)─C(sp</w:t>
      </w:r>
      <w:r>
        <w:rPr>
          <w:vertAlign w:val="subscript"/>
        </w:rPr>
        <w:t>3</w:t>
      </w:r>
      <w:r>
        <w:t>) bond formation with electron‐deficient alkenes and benzyl chlorides, employing readily available reagents under mild, operationally simple conditions. Key to this transformation is the use of halide‐based reagents that mediate Lewis acid‐promoted C─OH bond cleavage while enabling subsequent radical generation via cathodic reduction. The method exhibits broad substrate scope, including complex and functionalized tertiary alcohols, diverse Michael acceptors, and sterically hindered coupling partners. It is further applicable to the late‐stage modification of bioactive molecules and scalable synthesis. Mechanistic studies support the involvement of both carbocation and carbon radical intermediates, validating the effectiveness of this dual‐mode strategy. This work provides a general and practical approach to quaternary carbon construction from unactivated tertiary alcohols, expanding the synthetic toolbox for C(sp</w:t>
      </w:r>
      <w:r>
        <w:rPr>
          <w:vertAlign w:val="subscript"/>
        </w:rPr>
        <w:t>3</w:t>
      </w:r>
      <w:r>
        <w:t>)─C(sp</w:t>
      </w:r>
      <w:r>
        <w:rPr>
          <w:vertAlign w:val="subscript"/>
        </w:rPr>
        <w:t>3</w:t>
      </w:r>
      <w:r>
        <w:t>) bond formation.</w:t>
      </w:r>
    </w:p>
    <w:p>
      <w:pPr>
        <w:spacing w:before="120" w:after="120"/>
      </w:pPr>
      <w:r>
        <w:rPr>
          <w:sz w:val="18"/>
        </w:rPr>
        <w:t>——————————————————————————————————————————————————————————————————————</w:t>
      </w:r>
    </w:p>
    <w:p>
      <w:pPr>
        <w:spacing w:before="160" w:after="40" w:line="240" w:lineRule="auto"/>
      </w:pPr>
      <w:r>
        <w:rPr>
          <w:b/>
        </w:rPr>
        <w:t xml:space="preserve">[110] </w:t>
      </w:r>
      <w:hyperlink r:id="rId201">
        <w:r>
          <w:rPr>
            <w:color w:val="1155CC"/>
            <w:u w:val="single"/>
          </w:rPr>
          <w:t>稀有地球元素和(+5)化合物挑战的最高氧化氧化度国家</w:t>
        </w:r>
      </w:hyperlink>
    </w:p>
    <w:p>
      <w:pPr>
        <w:spacing w:before="0" w:after="80"/>
      </w:pPr>
      <w:r>
        <w:rPr>
          <w:i/>
          <w:sz w:val="20"/>
        </w:rPr>
        <w:t>EN: The Highest Oxidation States of the Rare‐Earth Elements and the Challenge of Praseodymium(+5) Compounds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02">
        <w:r>
          <w:rPr>
            <w:color w:val="1155CC"/>
            <w:u w:val="single"/>
          </w:rPr>
          <w:t>10.1002/anie.202520932</w:t>
        </w:r>
      </w:hyperlink>
    </w:p>
    <w:p>
      <w:pPr>
        <w:spacing w:before="0" w:after="120"/>
      </w:pPr>
      <w:r>
        <w:rPr>
          <w:b/>
        </w:rPr>
        <w:t xml:space="preserve">Notes: </w:t>
      </w:r>
      <w:r>
        <w:t>abstract_source=crossref</w:t>
      </w:r>
    </w:p>
    <w:p>
      <w:pPr>
        <w:spacing w:before="0" w:after="80" w:lineRule="auto" w:line="276"/>
      </w:pPr>
      <w:r>
        <w:rPr>
          <w:b/>
        </w:rPr>
        <w:t xml:space="preserve">摘要（ZH）: </w:t>
      </w:r>
      <w:r>
        <w:t>国家抽象氧化理论是现代实践和理论化学中最重要的黑奴主义概念之一,其探索加深了我们对这一概念的理解,加深了我们对这个概念以及元素家族某些基本特性的理解。然而,国际化联定义明确的氧化状态导致在边缘情况中展开讨论,需要从概念上明确和详细了解电子结构。我们的审查侧重于17个稀土元素(REEs: Sc, Y, La-Luu)的令人感兴趣的案例的高氧化状态,并特别关注某些新的钚化合物中的+5氧化状态。我们从早期的投机到天然气阶段首次确定Pr(+5)到最近发现的摩尔库拉,我们提供了全面的概览。</w:t>
      </w:r>
    </w:p>
    <w:p>
      <w:pPr>
        <w:spacing w:before="0" w:after="200" w:lineRule="auto" w:line="276"/>
      </w:pPr>
      <w:r>
        <w:rPr>
          <w:b/>
        </w:rPr>
        <w:t xml:space="preserve">Abstract (EN): </w:t>
      </w:r>
      <w:r>
        <w:t>Oxidation‐State is one of the most important heuristic concepts in modern practical and theoretical chemistry. Its exploration deepens our understanding of both this concept as well as some fundamental properties of the element families. However, the well‐defined oxidation state of the IUPAC leads to discussions in borderline cases, where conceptual clarity and detailed knowledge of the electronic structure are required. Our review focuses on the high oxidation states of the intriguing case of the 17 rare‐earth elements (REEs: Sc, Y, La─Lu), with particular attention to the + 5 oxidation state in some new praseodymium compounds. We provide a comprehensive overview from early speculation to the first identification of Pr(+5) in the gas phase to its recent molecular and solid compounds. We explain why high‐valent REE compounds are so difficult to synthesize, from the perspective of atomic 4f valence orbital radii and energies. The predicted and synthesized Pr(+5) compounds with F, O, or N ligands pave the way for the development of new complexes and extended periodic networks in the field of highly‐oxidized rare‐earth chemistry. Our aim is to summarize current knowledge, distill emerging insights, and offer a roadmap for future investigations into the higher oxidation states of these elements.</w:t>
      </w:r>
    </w:p>
    <w:p>
      <w:pPr>
        <w:spacing w:before="120" w:after="120"/>
      </w:pPr>
      <w:r>
        <w:rPr>
          <w:sz w:val="18"/>
        </w:rPr>
        <w:t>——————————————————————————————————————————————————————————————————————</w:t>
      </w:r>
    </w:p>
    <w:p>
      <w:pPr>
        <w:spacing w:before="160" w:after="40" w:line="240" w:lineRule="auto"/>
      </w:pPr>
      <w:r>
        <w:rPr>
          <w:b/>
        </w:rPr>
        <w:t xml:space="preserve">[111] </w:t>
      </w:r>
      <w:hyperlink r:id="rId203">
        <w:r>
          <w:rPr>
            <w:color w:val="1155CC"/>
            <w:u w:val="single"/>
          </w:rPr>
          <w:t>Tetrakisimidazalium 盐的两种不同有机金属电池的等级制、模板控制的自控自制</w:t>
        </w:r>
      </w:hyperlink>
    </w:p>
    <w:p>
      <w:pPr>
        <w:spacing w:before="0" w:after="80"/>
      </w:pPr>
      <w:r>
        <w:rPr>
          <w:i/>
          <w:sz w:val="20"/>
        </w:rPr>
        <w:t>EN: Hierarchical, Template‐Controlled Self‐Assembly of Two Different Organometallic Capsules from a Tetrakisimidazolium Salt</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04">
        <w:r>
          <w:rPr>
            <w:color w:val="1155CC"/>
            <w:u w:val="single"/>
          </w:rPr>
          <w:t>10.1002/anie.202520814</w:t>
        </w:r>
      </w:hyperlink>
    </w:p>
    <w:p>
      <w:pPr>
        <w:spacing w:before="0" w:after="120"/>
      </w:pPr>
      <w:r>
        <w:rPr>
          <w:b/>
        </w:rPr>
        <w:t xml:space="preserve">Notes: </w:t>
      </w:r>
      <w:r>
        <w:t>abstract_source=crossref</w:t>
      </w:r>
    </w:p>
    <w:p>
      <w:pPr>
        <w:spacing w:before="0" w:after="80" w:lineRule="auto" w:line="276"/>
      </w:pPr>
      <w:r>
        <w:rPr>
          <w:b/>
        </w:rPr>
        <w:t xml:space="preserve">摘要（ZH）: </w:t>
      </w:r>
      <w:r>
        <w:t>在超分子有机金属化学领域,通过金属碳联结对分子纳米囊囊组件进行抽象控制构成了一项重大挑战。在这里,我们展示了两个纳米的多十二核有机金属胶囊的建造情况,[{Ag(CH 3 CN) 4 (BF 4) 8 Ag 12 (1) 6] (BF 4) 5 和 [(CF 3 SO 3]</w:t>
      </w:r>
    </w:p>
    <w:p>
      <w:pPr>
        <w:spacing w:before="0" w:after="200" w:lineRule="auto" w:line="276"/>
      </w:pPr>
      <w:r>
        <w:rPr>
          <w:b/>
        </w:rPr>
        <w:t xml:space="preserve">Abstract (EN): </w:t>
      </w:r>
      <w:r>
        <w:t>Controlling the assembly of molecular nanocapsules through metal‐carbon bonds constitutes a major challenge in the field of supramolecular organometallic chemistry. Here, we demonstrate the construction of two nanosized dodecanuclear organometallic capsules, [{Ag(CH</w:t>
      </w:r>
      <w:r>
        <w:rPr>
          <w:vertAlign w:val="subscript"/>
        </w:rPr>
        <w:t>3</w:t>
      </w:r>
      <w:r>
        <w:t>CN)</w:t>
      </w:r>
      <w:r>
        <w:rPr>
          <w:vertAlign w:val="subscript"/>
        </w:rPr>
        <w:t>4</w:t>
      </w:r>
      <w:r>
        <w:t>(BF</w:t>
      </w:r>
      <w:r>
        <w:rPr>
          <w:vertAlign w:val="subscript"/>
        </w:rPr>
        <w:t>4</w:t>
      </w:r>
      <w:r>
        <w:t>)</w:t>
      </w:r>
      <w:r>
        <w:rPr>
          <w:vertAlign w:val="subscript"/>
        </w:rPr>
        <w:t>8</w:t>
      </w:r>
      <w:r>
        <w:t>}⊂Ag</w:t>
      </w:r>
      <w:r>
        <w:rPr>
          <w:vertAlign w:val="subscript"/>
        </w:rPr>
        <w:t>12</w:t>
      </w:r>
      <w:r>
        <w:t>(</w:t>
      </w:r>
      <w:r>
        <w:rPr>
          <w:vertAlign w:val="subscript"/>
        </w:rPr>
        <w:t>1</w:t>
      </w:r>
      <w:r>
        <w:t>)</w:t>
      </w:r>
      <w:r>
        <w:rPr>
          <w:vertAlign w:val="subscript"/>
        </w:rPr>
        <w:t>6</w:t>
      </w:r>
      <w:r>
        <w:t>](BF</w:t>
      </w:r>
      <w:r>
        <w:rPr>
          <w:vertAlign w:val="subscript"/>
        </w:rPr>
        <w:t>4</w:t>
      </w:r>
      <w:r>
        <w:t>)</w:t>
      </w:r>
      <w:r>
        <w:rPr>
          <w:vertAlign w:val="subscript"/>
        </w:rPr>
        <w:t>5</w:t>
      </w:r>
      <w:r>
        <w:t>and [(CF</w:t>
      </w:r>
      <w:r>
        <w:rPr>
          <w:vertAlign w:val="subscript"/>
        </w:rPr>
        <w:t>3</w:t>
      </w:r>
      <w:r>
        <w:t>SO</w:t>
      </w:r>
      <w:r>
        <w:rPr>
          <w:vertAlign w:val="subscript"/>
        </w:rPr>
        <w:t>3</w:t>
      </w:r>
      <w:r>
        <w:t>)</w:t>
      </w:r>
      <w:r>
        <w:rPr>
          <w:vertAlign w:val="subscript"/>
        </w:rPr>
        <w:t>8</w:t>
      </w:r>
      <w:r>
        <w:t>⊂Ag</w:t>
      </w:r>
      <w:r>
        <w:rPr>
          <w:vertAlign w:val="subscript"/>
        </w:rPr>
        <w:t>12</w:t>
      </w:r>
      <w:r>
        <w:t>(</w:t>
      </w:r>
      <w:r>
        <w:rPr>
          <w:vertAlign w:val="subscript"/>
        </w:rPr>
        <w:t>1</w:t>
      </w:r>
      <w:r>
        <w:t>)</w:t>
      </w:r>
      <w:r>
        <w:rPr>
          <w:vertAlign w:val="subscript"/>
        </w:rPr>
        <w:t>6</w:t>
      </w:r>
      <w:r>
        <w:t>](CF</w:t>
      </w:r>
      <w:r>
        <w:rPr>
          <w:vertAlign w:val="subscript"/>
        </w:rPr>
        <w:t>3</w:t>
      </w:r>
      <w:r>
        <w:t>SO</w:t>
      </w:r>
      <w:r>
        <w:rPr>
          <w:vertAlign w:val="subscript"/>
        </w:rPr>
        <w:t>3</w:t>
      </w:r>
      <w:r>
        <w:t>)</w:t>
      </w:r>
      <w:r>
        <w:rPr>
          <w:vertAlign w:val="subscript"/>
        </w:rPr>
        <w:t>4</w:t>
      </w:r>
      <w:r>
        <w:t>from the calix[4]resorcinarene‐based tetrakisimidazolium salts H</w:t>
      </w:r>
      <w:r>
        <w:rPr>
          <w:vertAlign w:val="subscript"/>
        </w:rPr>
        <w:t>4</w:t>
      </w:r>
      <w:r>
        <w:t>‐</w:t>
      </w:r>
      <w:r>
        <w:rPr>
          <w:vertAlign w:val="subscript"/>
        </w:rPr>
        <w:t>1</w:t>
      </w:r>
      <w:r>
        <w:t>(X)</w:t>
      </w:r>
      <w:r>
        <w:rPr>
          <w:vertAlign w:val="subscript"/>
        </w:rPr>
        <w:t>4</w:t>
      </w:r>
      <w:r>
        <w:t>and Ag</w:t>
      </w:r>
      <w:r>
        <w:t xml:space="preserve"> </w:t>
      </w:r>
      <w:r>
        <w:t>I</w:t>
      </w:r>
      <w:r>
        <w:t xml:space="preserve"> </w:t>
      </w:r>
      <w:r>
        <w:t>ions employing the metal‐carbene directed self‐assembly and hierarchical template strategies. An [Ag(CH</w:t>
      </w:r>
      <w:r>
        <w:rPr>
          <w:vertAlign w:val="subscript"/>
        </w:rPr>
        <w:t>3</w:t>
      </w:r>
      <w:r>
        <w:t>CH)</w:t>
      </w:r>
      <w:r>
        <w:rPr>
          <w:vertAlign w:val="subscript"/>
        </w:rPr>
        <w:t>4</w:t>
      </w:r>
      <w:r>
        <w:t>(BF</w:t>
      </w:r>
      <w:r>
        <w:rPr>
          <w:vertAlign w:val="subscript"/>
        </w:rPr>
        <w:t>4</w:t>
      </w:r>
      <w:r>
        <w:t>)</w:t>
      </w:r>
      <w:r>
        <w:rPr>
          <w:vertAlign w:val="subscript"/>
        </w:rPr>
        <w:t>8</w:t>
      </w:r>
      <w:r>
        <w:t>]</w:t>
      </w:r>
      <w:r>
        <w:t xml:space="preserve"> </w:t>
      </w:r>
      <w:r>
        <w:t>7−</w:t>
      </w:r>
      <w:r>
        <w:t>anion or eight triflate anions served as templates. The dodecanuclear capsules are the largest poly‐NHC‐derived assemblies known so far. Salt H</w:t>
      </w:r>
      <w:r>
        <w:rPr>
          <w:vertAlign w:val="subscript"/>
        </w:rPr>
        <w:t>4</w:t>
      </w:r>
      <w:r>
        <w:t>‐</w:t>
      </w:r>
      <w:r>
        <w:rPr>
          <w:vertAlign w:val="subscript"/>
        </w:rPr>
        <w:t>1</w:t>
      </w:r>
      <w:r>
        <w:t>(SbF</w:t>
      </w:r>
      <w:r>
        <w:rPr>
          <w:vertAlign w:val="subscript"/>
        </w:rPr>
        <w:t>6</w:t>
      </w:r>
      <w:r>
        <w:t>)</w:t>
      </w:r>
      <w:r>
        <w:rPr>
          <w:vertAlign w:val="subscript"/>
        </w:rPr>
        <w:t>4</w:t>
      </w:r>
      <w:r>
        <w:t>reacts with Ag</w:t>
      </w:r>
      <w:r>
        <w:rPr>
          <w:vertAlign w:val="subscript"/>
        </w:rPr>
        <w:t>2</w:t>
      </w:r>
      <w:r>
        <w:t>O to give the tetranuclear assembly [(SbF</w:t>
      </w:r>
      <w:r>
        <w:rPr>
          <w:vertAlign w:val="subscript"/>
        </w:rPr>
        <w:t>6</w:t>
      </w:r>
      <w:r>
        <w:t>)⊂Ag</w:t>
      </w:r>
      <w:r>
        <w:rPr>
          <w:vertAlign w:val="subscript"/>
        </w:rPr>
        <w:t>4</w:t>
      </w:r>
      <w:r>
        <w:t>(</w:t>
      </w:r>
      <w:r>
        <w:rPr>
          <w:vertAlign w:val="subscript"/>
        </w:rPr>
        <w:t>1</w:t>
      </w:r>
      <w:r>
        <w:t>)</w:t>
      </w:r>
      <w:r>
        <w:rPr>
          <w:vertAlign w:val="subscript"/>
        </w:rPr>
        <w:t>2</w:t>
      </w:r>
      <w:r>
        <w:t>](SbF</w:t>
      </w:r>
      <w:r>
        <w:rPr>
          <w:vertAlign w:val="subscript"/>
        </w:rPr>
        <w:t>6</w:t>
      </w:r>
      <w:r>
        <w:t>)</w:t>
      </w:r>
      <w:r>
        <w:rPr>
          <w:vertAlign w:val="subscript"/>
        </w:rPr>
        <w:t>3</w:t>
      </w:r>
      <w:r>
        <w:t>featuring an encapsulated SbF</w:t>
      </w:r>
      <w:r>
        <w:rPr>
          <w:vertAlign w:val="subscript"/>
        </w:rPr>
        <w:t>6</w:t>
      </w:r>
      <w:r>
        <w:t>−</w:t>
      </w:r>
      <w:r>
        <w:t>anion. Transmetalation of the tetra‐NHC ligands from silver to gold yielded in all cases tetranuclear assemblies of type [Au</w:t>
      </w:r>
      <w:r>
        <w:rPr>
          <w:vertAlign w:val="subscript"/>
        </w:rPr>
        <w:t>4</w:t>
      </w:r>
      <w:r>
        <w:t>(</w:t>
      </w:r>
      <w:r>
        <w:rPr>
          <w:vertAlign w:val="subscript"/>
        </w:rPr>
        <w:t>1</w:t>
      </w:r>
      <w:r>
        <w:t>)</w:t>
      </w:r>
      <w:r>
        <w:rPr>
          <w:vertAlign w:val="subscript"/>
        </w:rPr>
        <w:t>2</w:t>
      </w:r>
      <w:r>
        <w:t>]X</w:t>
      </w:r>
      <w:r>
        <w:rPr>
          <w:vertAlign w:val="subscript"/>
        </w:rPr>
        <w:t>4</w:t>
      </w:r>
      <w:r>
        <w:t>.</w:t>
      </w:r>
    </w:p>
    <w:p>
      <w:pPr>
        <w:spacing w:before="120" w:after="120"/>
      </w:pPr>
      <w:r>
        <w:rPr>
          <w:sz w:val="18"/>
        </w:rPr>
        <w:t>——————————————————————————————————————————————————————————————————————</w:t>
      </w:r>
    </w:p>
    <w:p>
      <w:pPr>
        <w:spacing w:before="160" w:after="40" w:line="240" w:lineRule="auto"/>
      </w:pPr>
      <w:r>
        <w:rPr>
          <w:b/>
        </w:rPr>
        <w:t xml:space="preserve">[112] </w:t>
      </w:r>
      <w:hyperlink r:id="rId205">
        <w:r>
          <w:rPr>
            <w:color w:val="1155CC"/>
            <w:u w:val="single"/>
          </w:rPr>
          <w:t>以压压超压2伏的多子子子激光器(Perovskite/Silcon Tandem太阳能电池组)的模拟吸附方向</w:t>
        </w:r>
      </w:hyperlink>
    </w:p>
    <w:p>
      <w:pPr>
        <w:spacing w:before="0" w:after="80"/>
      </w:pPr>
      <w:r>
        <w:rPr>
          <w:i/>
          <w:sz w:val="20"/>
        </w:rPr>
        <w:t>EN: Modulating Adsorption Orientation of Multi‐Site Ligand Enables Perovskite/Silicon Tandem Solar Cells with Voltage Exceeding 2 V</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06">
        <w:r>
          <w:rPr>
            <w:color w:val="1155CC"/>
            <w:u w:val="single"/>
          </w:rPr>
          <w:t>10.1002/anie.202519659</w:t>
        </w:r>
      </w:hyperlink>
    </w:p>
    <w:p>
      <w:pPr>
        <w:spacing w:before="0" w:after="120"/>
      </w:pPr>
      <w:r>
        <w:rPr>
          <w:b/>
        </w:rPr>
        <w:t xml:space="preserve">Notes: </w:t>
      </w:r>
      <w:r>
        <w:t>abstract_source=crossref</w:t>
      </w:r>
    </w:p>
    <w:p>
      <w:pPr>
        <w:spacing w:before="0" w:after="80" w:lineRule="auto" w:line="276"/>
      </w:pPr>
      <w:r>
        <w:rPr>
          <w:b/>
        </w:rPr>
        <w:t xml:space="preserve">摘要（ZH）: </w:t>
      </w:r>
      <w:r>
        <w:t>Penovskite/充电器运输层界面的抽象理性分子设计为抑制在全新星/硅同步太阳能电池中的非放射性再组合提供了有效方法,然而,这一设计涉及缺陷消能和充电运输之间的权衡,因为多地点消能分子总是会引入阻力屏障。在这里,我们使用三丁基平面分子、三丁基苯磺酸(3A4ClBZS)作为多功能修饰器,可以同时抑制非放射性再组合并增强电子转移。具体来说,将苯环与磺酸(+SO3H)和氨基(+NH2)功能化。</w:t>
      </w:r>
    </w:p>
    <w:p>
      <w:pPr>
        <w:spacing w:before="0" w:after="200" w:lineRule="auto" w:line="276"/>
      </w:pPr>
      <w:r>
        <w:rPr>
          <w:b/>
        </w:rPr>
        <w:t xml:space="preserve">Abstract (EN): </w:t>
      </w:r>
      <w:r>
        <w:t>Rational molecular design at the perovskite/charge transport layer interface offers an effective approach for suppressing non‐radiative recombination in perovskite/silicon tandem solar cells (TSC). However, the design involves a tradeoff between defect passivation and charge transport, as multi‐site passivation molecules always introduce a resistive barrier. Herein, we employ a triple‐site planar molecule, 3‐amino‐4‐chlorobenzenesulfonic acid (3A4Cl‐BZS), as a multifunctional modifier that can concurrently suppress non‐radiative recombination and enhance electron transfer. Specifically, functionalizing the benzene ring with sulfonic acid (‐SO</w:t>
      </w:r>
      <w:r>
        <w:rPr>
          <w:vertAlign w:val="subscript"/>
        </w:rPr>
        <w:t>3</w:t>
      </w:r>
      <w:r>
        <w:t>H) and amino (‐NH</w:t>
      </w:r>
      <w:r>
        <w:rPr>
          <w:vertAlign w:val="subscript"/>
        </w:rPr>
        <w:t>2</w:t>
      </w:r>
      <w:r>
        <w:t>) groups enhances the passivation of undercoordinated Pb</w:t>
      </w:r>
      <w:r>
        <w:t xml:space="preserve"> </w:t>
      </w:r>
      <w:r>
        <w:t>2+</w:t>
      </w:r>
      <w:r>
        <w:t xml:space="preserve"> </w:t>
      </w:r>
      <w:r>
        <w:t>and I</w:t>
      </w:r>
      <w:r>
        <w:t xml:space="preserve"> </w:t>
      </w:r>
      <w:r>
        <w:t>−</w:t>
      </w:r>
      <w:r>
        <w:t>defects via coordination and hydrogen bonding, respectively, and incorporating a chlorine group promotes the parallel adsorption on the perovskite surface. The parallel configuration, rather than vertical orientation, minimizes the distance between the active site and the perovskite defects, significantly boosting passivation efficacy and mitigating the resistive barrier. Consequently, 1.67 eV bandgap perovskite solar cells achieve a power conversion efficiency (PCE) of 23.55%. Furthermore, integrating this cell into perovskite/silicon TSC yields a high voltage of over 2 volts and a PCE of 31.42% adopting a planar silicon sub‐cell. Remarkably, encapsulated tandem devices retain over 80% of their initial PCE after 1960 h of maximum power point tracking under 1‐sun illumination at 25 °C.</w:t>
      </w:r>
    </w:p>
    <w:p>
      <w:pPr>
        <w:spacing w:before="120" w:after="120"/>
      </w:pPr>
      <w:r>
        <w:rPr>
          <w:sz w:val="18"/>
        </w:rPr>
        <w:t>——————————————————————————————————————————————————————————————————————</w:t>
      </w:r>
    </w:p>
    <w:p>
      <w:pPr>
        <w:spacing w:before="160" w:after="40" w:line="240" w:lineRule="auto"/>
      </w:pPr>
      <w:r>
        <w:rPr>
          <w:b/>
        </w:rPr>
        <w:t xml:space="preserve">[113] </w:t>
      </w:r>
      <w:hyperlink r:id="rId207">
        <w:r>
          <w:rPr>
            <w:color w:val="1155CC"/>
            <w:u w:val="single"/>
          </w:rPr>
          <w:t>高选择性光能催化硝酸盐-氨-氨-氨-氨-氨的AgCu Dual-Single-Atom催化剂空间吸附和转化场点脱钩</w:t>
        </w:r>
      </w:hyperlink>
    </w:p>
    <w:p>
      <w:pPr>
        <w:spacing w:before="0" w:after="80"/>
      </w:pPr>
      <w:r>
        <w:rPr>
          <w:i/>
          <w:sz w:val="20"/>
        </w:rPr>
        <w:t>EN: Spatial Decoupling of Adsorption and Transformation Sites on Ag‐Cu Dual‐Single‐Atom Catalysts for Highly Selective Photocatalytic Nitrate‐to‐Ammonia Reduction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08">
        <w:r>
          <w:rPr>
            <w:color w:val="1155CC"/>
            <w:u w:val="single"/>
          </w:rPr>
          <w:t>10.1002/anie.202516964</w:t>
        </w:r>
      </w:hyperlink>
    </w:p>
    <w:p>
      <w:pPr>
        <w:spacing w:before="0" w:after="120"/>
      </w:pPr>
      <w:r>
        <w:rPr>
          <w:b/>
        </w:rPr>
        <w:t xml:space="preserve">Notes: </w:t>
      </w:r>
      <w:r>
        <w:t>abstract_source=crossref</w:t>
      </w:r>
    </w:p>
    <w:p>
      <w:pPr>
        <w:spacing w:before="0" w:after="80" w:lineRule="auto" w:line="276"/>
      </w:pPr>
      <w:r>
        <w:rPr>
          <w:b/>
        </w:rPr>
        <w:t xml:space="preserve">摘要（ZH）: </w:t>
      </w:r>
      <w:r>
        <w:t>氨(NH 3)排减量(NH 3)为同时进行NH 3合成和废水补救提供了一个可持续的解决方案。 然而,实现高选择性具有挑战性,受到缓慢的动能反应和寄生虫反应的困扰。 在这次研究中,我们合理地设计了一个协同的AGQC 3 N 4(AgCuCN)双亚原子催化剂,该催化剂包含一个空间分解的协同计划。 我们证明,恶性Cu 1网站是刘易斯酸中心。</w:t>
      </w:r>
    </w:p>
    <w:p>
      <w:pPr>
        <w:spacing w:before="0" w:after="200" w:lineRule="auto" w:line="276"/>
      </w:pPr>
      <w:r>
        <w:rPr>
          <w:b/>
        </w:rPr>
        <w:t xml:space="preserve">Abstract (EN): </w:t>
      </w:r>
      <w:r>
        <w:t>Photocatalytic nitrate (NO</w:t>
      </w:r>
      <w:r>
        <w:rPr>
          <w:vertAlign w:val="subscript"/>
        </w:rPr>
        <w:t>3</w:t>
      </w:r>
      <w:r>
        <w:t>–</w:t>
      </w:r>
      <w:r>
        <w:t xml:space="preserve"> </w:t>
      </w:r>
      <w:r>
        <w:t>) reduction to ammonia (NH</w:t>
      </w:r>
      <w:r>
        <w:rPr>
          <w:vertAlign w:val="subscript"/>
        </w:rPr>
        <w:t>3</w:t>
      </w:r>
      <w:r>
        <w:t>) presents a sustainable solution for simultaneous NH</w:t>
      </w:r>
      <w:r>
        <w:rPr>
          <w:vertAlign w:val="subscript"/>
        </w:rPr>
        <w:t>3</w:t>
      </w:r>
      <w:r>
        <w:t>synthesis and wastewater remediation. However, achieving high selectivity is challenging, plagued by sluggish kinetics and parasitic side reactions. In this study, we rationally design a synergistic Ag‐Cu dual‐atom catalyst on g‐C</w:t>
      </w:r>
      <w:r>
        <w:rPr>
          <w:vertAlign w:val="subscript"/>
        </w:rPr>
        <w:t>3</w:t>
      </w:r>
      <w:r>
        <w:t>N</w:t>
      </w:r>
      <w:r>
        <w:rPr>
          <w:vertAlign w:val="subscript"/>
        </w:rPr>
        <w:t>4</w:t>
      </w:r>
      <w:r>
        <w:t>(AgCu‐CN) that embodies a spatially decoupled tandem scheme. We demonstrate that the oxophilic Cu</w:t>
      </w:r>
      <w:r>
        <w:rPr>
          <w:vertAlign w:val="subscript"/>
        </w:rPr>
        <w:t>1</w:t>
      </w:r>
      <w:r>
        <w:t>site serve as Lewis acid centers to efficiently capture and activate NO</w:t>
      </w:r>
      <w:r>
        <w:rPr>
          <w:vertAlign w:val="subscript"/>
        </w:rPr>
        <w:t>3</w:t>
      </w:r>
      <w:r>
        <w:t>–</w:t>
      </w:r>
      <w:r>
        <w:t xml:space="preserve"> </w:t>
      </w:r>
      <w:r>
        <w:t>, before the crucial *NO intermediate is shuttled to adjacent Ag</w:t>
      </w:r>
      <w:r>
        <w:rPr>
          <w:vertAlign w:val="subscript"/>
        </w:rPr>
        <w:t>1</w:t>
      </w:r>
      <w:r>
        <w:t>site, which is intrinsically inert toward the hydrogen evolution reaction, act as dedicated hydrogenation center for rapid and deep *NO reduction. This atomic‐level synergy manifests in a state‐of‐the‐art performance, with AgCu‐CN delivering an impressive 98% NH</w:t>
      </w:r>
      <w:r>
        <w:rPr>
          <w:vertAlign w:val="subscript"/>
        </w:rPr>
        <w:t>3</w:t>
      </w:r>
      <w:r>
        <w:t>selectivity and a production rate of 630.5 µmol h</w:t>
      </w:r>
      <w:r>
        <w:t xml:space="preserve"> </w:t>
      </w:r>
      <w:r>
        <w:t>−1</w:t>
      </w:r>
      <w:r>
        <w:t xml:space="preserve"> </w:t>
      </w:r>
      <w:r>
        <w:t>g</w:t>
      </w:r>
      <w:r>
        <w:t xml:space="preserve"> </w:t>
      </w:r>
      <w:r>
        <w:t>−1</w:t>
      </w:r>
      <w:r>
        <w:t xml:space="preserve"> </w:t>
      </w:r>
      <w:r>
        <w:t>under visible light. In situ spectroscopic studies and theoretical calculations corroborate the tandem mechanism and the critical role of the Ag‐Cu dual sites in steering reaction selectivity. This study establishes a powerful tandem catalytic design principle to manage the selectivity challenges in complex multi‐proton/electron reactions.</w:t>
      </w:r>
    </w:p>
    <w:p>
      <w:pPr>
        <w:spacing w:before="120" w:after="120"/>
      </w:pPr>
      <w:r>
        <w:rPr>
          <w:sz w:val="18"/>
        </w:rPr>
        <w:t>——————————————————————————————————————————————————————————————————————</w:t>
      </w:r>
    </w:p>
    <w:p>
      <w:pPr>
        <w:spacing w:before="160" w:after="40" w:line="240" w:lineRule="auto"/>
      </w:pPr>
      <w:r>
        <w:rPr>
          <w:b/>
        </w:rPr>
        <w:t xml:space="preserve">[114] </w:t>
      </w:r>
      <w:hyperlink r:id="rId209">
        <w:r>
          <w:rPr>
            <w:color w:val="1155CC"/>
            <w:u w:val="single"/>
          </w:rPr>
          <w:t>玻璃: 在建筑化硅中的中等DNA水晶</w:t>
        </w:r>
      </w:hyperlink>
    </w:p>
    <w:p>
      <w:pPr>
        <w:spacing w:before="0" w:after="80"/>
      </w:pPr>
      <w:r>
        <w:rPr>
          <w:i/>
          <w:sz w:val="20"/>
        </w:rPr>
        <w:t>EN: DNA Glass: Encasing Diffraction‐Quality, Mesoporous DNA Crystals in Architected Silica</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10">
        <w:r>
          <w:rPr>
            <w:color w:val="1155CC"/>
            <w:u w:val="single"/>
          </w:rPr>
          <w:t>10.1002/anie.202516745</w:t>
        </w:r>
      </w:hyperlink>
    </w:p>
    <w:p>
      <w:pPr>
        <w:spacing w:before="0" w:after="120"/>
      </w:pPr>
      <w:r>
        <w:rPr>
          <w:b/>
        </w:rPr>
        <w:t xml:space="preserve">Notes: </w:t>
      </w:r>
      <w:r>
        <w:t>abstract_source=crossref</w:t>
      </w:r>
    </w:p>
    <w:p>
      <w:pPr>
        <w:spacing w:before="0" w:after="80" w:lineRule="auto" w:line="276"/>
      </w:pPr>
      <w:r>
        <w:rPr>
          <w:b/>
        </w:rPr>
        <w:t xml:space="preserve">摘要（ZH）: </w:t>
      </w:r>
      <w:r>
        <w:t>抽象的自组装DNA晶体在过去20年中作为在纳米尺度上组织物质的高效和有效手段出现,但事实证明,这些顶层的功能化具有挑战性,因为保持结构完整性需要生理缓冲条件来保持结构完整性。在这个手稿中,我们展示了使用溶胶化学的杂质DNA晶体的硅化作用。我们确定了产生最小涂层厚度以给予环境保护的反应条件,我们随后测量了这种保护能力,以适应各种压力,包括热、低电离子强度溶液、有机溶剂和无防护的冷冻。我们通过将金属离子和染料浸入硅涂层之后的衬垫中,我们展示了晶体的汞。</w:t>
      </w:r>
    </w:p>
    <w:p>
      <w:pPr>
        <w:spacing w:before="0" w:after="200" w:lineRule="auto" w:line="276"/>
      </w:pPr>
      <w:r>
        <w:rPr>
          <w:b/>
        </w:rPr>
        <w:t xml:space="preserve">Abstract (EN): </w:t>
      </w:r>
      <w:r>
        <w:t>Self‐assembling DNA crystals have emerged over the last two decades as an efficient and effective means of organizing matter at the nanoscale, but functionalization of these lattices has proved challenging as physiological buffer conditions are required to maintain structural integrity. In this manuscript, we demonstrate the silicification of mesoporous DNA crystals using sol–gel chemistry. We identify reaction conditions that produce the minimum coating thickness to confer environmental protection, and we subsequently measure this protective ability to various stressors, including heat, low ionic strength solution, organic solvents, and unprotected freezing. By soaking metal ions and dyes into the lattice after silica coating, we demonstrate that the crystals maintain their pores and that the major groove of the DNA can still be used as a sequence‐specific template for chemical reactions. We image a library of different crystal motifs by electron microscopy, and we perform X‐ray diffraction on these crystals, both with and without cryoprotection, to determine the structure of the DNA frame, underscoring the conserved molecular order after coating. We anticipate these mesoporous silica composites will find use in applications involving extreme, nonphysiological conditions and in experiments which utilize the DNA glass described here as a template for chemical reactions on the internal surface of architected materials.</w:t>
      </w:r>
    </w:p>
    <w:p>
      <w:pPr>
        <w:spacing w:before="120" w:after="120"/>
      </w:pPr>
      <w:r>
        <w:rPr>
          <w:sz w:val="18"/>
        </w:rPr>
        <w:t>——————————————————————————————————————————————————————————————————————</w:t>
      </w:r>
    </w:p>
    <w:p>
      <w:pPr>
        <w:spacing w:before="160" w:after="40" w:line="240" w:lineRule="auto"/>
      </w:pPr>
      <w:r>
        <w:rPr>
          <w:b/>
        </w:rPr>
        <w:t xml:space="preserve">[115] </w:t>
      </w:r>
      <w:hyperlink r:id="rId211">
        <w:r>
          <w:rPr>
            <w:color w:val="1155CC"/>
            <w:u w:val="single"/>
          </w:rPr>
          <w:t>由振力强交叠引发的聚集和阶段过渡</w:t>
        </w:r>
      </w:hyperlink>
    </w:p>
    <w:p>
      <w:pPr>
        <w:spacing w:before="0" w:after="80"/>
      </w:pPr>
      <w:r>
        <w:rPr>
          <w:i/>
          <w:sz w:val="20"/>
        </w:rPr>
        <w:t>EN: Cluster Formation and Phase Transitions Induced by Vibrational Strong Coupling</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12">
        <w:r>
          <w:rPr>
            <w:color w:val="1155CC"/>
            <w:u w:val="single"/>
          </w:rPr>
          <w:t>10.1002/anie.202516917</w:t>
        </w:r>
      </w:hyperlink>
    </w:p>
    <w:p>
      <w:pPr>
        <w:spacing w:before="0" w:after="120"/>
      </w:pPr>
      <w:r>
        <w:rPr>
          <w:b/>
        </w:rPr>
        <w:t xml:space="preserve">Notes: </w:t>
      </w:r>
      <w:r>
        <w:t>abstract_source=crossref</w:t>
      </w:r>
    </w:p>
    <w:p>
      <w:pPr>
        <w:spacing w:before="0" w:after="80" w:lineRule="auto" w:line="276"/>
      </w:pPr>
      <w:r>
        <w:rPr>
          <w:b/>
        </w:rPr>
        <w:t xml:space="preserve">摘要（ZH）: </w:t>
      </w:r>
      <w:r>
        <w:t>事实证明,抽象振动强结合大大改变了分子和材料的化学和物理特性。我们在这里报告了在液相中各种分子(如甲苯和水)的非“非“非”射线性射线散变,发现在紫外线溶剂振动带(IR)在VSC上可见的溶剂振动波段中,有2个数量级的强度增强。结果显示,增强的散射是由于形成可能由各组组成的新阶段造成的。VSC阶段在温度和溶剂成分方面经历了一个明确界定的转变。这一发现对了解VSC如何影响化学反应和自聚体等分子过程具有重大影响。</w:t>
      </w:r>
    </w:p>
    <w:p>
      <w:pPr>
        <w:spacing w:before="0" w:after="200" w:lineRule="auto" w:line="276"/>
      </w:pPr>
      <w:r>
        <w:rPr>
          <w:b/>
        </w:rPr>
        <w:t xml:space="preserve">Abstract (EN): </w:t>
      </w:r>
      <w:r>
        <w:t>Vibrational strong coupling (VSC) has been shown to significantly modify the chemical and physical properties of molecules and materials. Here we report the non‐resonant Rayleigh scattering of various molecules in liquid phase, such as toluene and water, and find that it is enhanced by ca. two orders of magnitude in the visible upon VSC of vibrational bands of the solvent in the infrared (IR). The results show that the enhanced scattering is due to the formation of new phase possibly consisting of clusters. The VSC phase undergoes a well‐defined transition with temperature and solvent composition. This finding has significant consequences for understanding how VSC influences molecular processes such as chemical reactivity and self‐assembly.</w:t>
      </w:r>
    </w:p>
    <w:p>
      <w:pPr>
        <w:spacing w:before="120" w:after="120"/>
      </w:pPr>
      <w:r>
        <w:rPr>
          <w:sz w:val="18"/>
        </w:rPr>
        <w:t>——————————————————————————————————————————————————————————————————————</w:t>
      </w:r>
    </w:p>
    <w:p>
      <w:pPr>
        <w:spacing w:before="160" w:after="40" w:line="240" w:lineRule="auto"/>
      </w:pPr>
      <w:r>
        <w:rPr>
          <w:b/>
        </w:rPr>
        <w:t xml:space="preserve">[116] </w:t>
      </w:r>
      <w:hyperlink r:id="rId213">
        <w:r>
          <w:rPr>
            <w:color w:val="1155CC"/>
            <w:u w:val="single"/>
          </w:rPr>
          <w:t>加速质子化,以高效减少二氧化碳电向CO2</w:t>
        </w:r>
      </w:hyperlink>
    </w:p>
    <w:p>
      <w:pPr>
        <w:spacing w:before="0" w:after="80"/>
      </w:pPr>
      <w:r>
        <w:rPr>
          <w:i/>
          <w:sz w:val="20"/>
        </w:rPr>
        <w:t>EN: Ultrasmall Nickel Nanoclusters Accelerating Protonation for Efficient CO2 Electroreduction towards CO</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14">
        <w:r>
          <w:rPr>
            <w:color w:val="1155CC"/>
            <w:u w:val="single"/>
          </w:rPr>
          <w:t>10.1002/anie.202518107</w:t>
        </w:r>
      </w:hyperlink>
    </w:p>
    <w:p>
      <w:pPr>
        <w:spacing w:before="0" w:after="120"/>
      </w:pPr>
      <w:r>
        <w:rPr>
          <w:b/>
        </w:rPr>
        <w:t xml:space="preserve">Notes: </w:t>
      </w:r>
      <w:r>
        <w:t>abstract_source=crossref</w:t>
      </w:r>
    </w:p>
    <w:p>
      <w:pPr>
        <w:spacing w:before="0" w:after="80" w:lineRule="auto" w:line="276"/>
      </w:pPr>
      <w:r>
        <w:rPr>
          <w:b/>
        </w:rPr>
        <w:t xml:space="preserve">摘要（ZH）: </w:t>
      </w:r>
      <w:r>
        <w:t>摘要质子相混合电子传输,特别是质子步骤,被广泛认为是电化学CO2减少(CO 2 RR)电化学CO2减少(CO 2 RR)的动能瓶颈。因此,移动催化剂微结构以加速质子化,已成为从CO2升至CO选择性的一个很有希望的战略。这里,我们报告通过H2大气下含硝基先质的单步热解而制造的超小型尼纳米集束催化剂(称为Ni 3-N-C),与常规的Ni-N-C和对称Ni-N 4相比,我们报告的是超小型尼纳米集催化剂(称为Ni 3-N-C)。</w:t>
      </w:r>
    </w:p>
    <w:p>
      <w:pPr>
        <w:spacing w:before="0" w:after="200" w:lineRule="auto" w:line="276"/>
      </w:pPr>
      <w:r>
        <w:rPr>
          <w:b/>
        </w:rPr>
        <w:t xml:space="preserve">Abstract (EN): </w:t>
      </w:r>
      <w:r>
        <w:t>Proton‐coupled electron transfer (PCET), particularly the protonation step is widely recognized as the kinetic bottleneck in electrochemical CO</w:t>
      </w:r>
      <w:r>
        <w:rPr>
          <w:vertAlign w:val="subscript"/>
        </w:rPr>
        <w:t>2</w:t>
      </w:r>
      <w:r>
        <w:t>reduction (CO</w:t>
      </w:r>
      <w:r>
        <w:rPr>
          <w:vertAlign w:val="subscript"/>
        </w:rPr>
        <w:t>2</w:t>
      </w:r>
      <w:r>
        <w:t>RR). Modulating catalyst microstructures to accelerate protonation has thus emerged as a promising strategy to boost from CO</w:t>
      </w:r>
      <w:r>
        <w:rPr>
          <w:vertAlign w:val="subscript"/>
        </w:rPr>
        <w:t>2</w:t>
      </w:r>
      <w:r>
        <w:t>to CO selectivity. Here, we report ultrasmall Ni nanocluster catalysts (denoted as Ni</w:t>
      </w:r>
      <w:r>
        <w:rPr>
          <w:vertAlign w:val="subscript"/>
        </w:rPr>
        <w:t>3</w:t>
      </w:r>
      <w:r>
        <w:t>─N─C) prepared via one‐step pyrolysis of Ni‐containing precursors under H</w:t>
      </w:r>
      <w:r>
        <w:rPr>
          <w:vertAlign w:val="subscript"/>
        </w:rPr>
        <w:t>2</w:t>
      </w:r>
      <w:r>
        <w:t>atmosphere. Compared to conventional Ni─N─C with symmetric Ni─N</w:t>
      </w:r>
      <w:r>
        <w:rPr>
          <w:vertAlign w:val="subscript"/>
        </w:rPr>
        <w:t>4</w:t>
      </w:r>
      <w:r>
        <w:t>motifs, Ni</w:t>
      </w:r>
      <w:r>
        <w:rPr>
          <w:vertAlign w:val="subscript"/>
        </w:rPr>
        <w:t>3</w:t>
      </w:r>
      <w:r>
        <w:t>─N─C displays similar physicochemical characteristics—Ni loading, defect density, surface area—yet exhibits distinct local Ni coordination environments. These sub‐nanoclusters markedly enhance CO</w:t>
      </w:r>
      <w:r>
        <w:rPr>
          <w:vertAlign w:val="subscript"/>
        </w:rPr>
        <w:t>2</w:t>
      </w:r>
      <w:r>
        <w:t>RR performance, delivering &amp;gt; 90% CO Faradaic efficiency (FE</w:t>
      </w:r>
      <w:r>
        <w:t xml:space="preserve"> </w:t>
      </w:r>
      <w:r>
        <w:t>CO</w:t>
      </w:r>
      <w:r>
        <w:t xml:space="preserve"> </w:t>
      </w:r>
      <w:r>
        <w:t>) across −0.6 to −1.0 V versus RHE, with a peak FE</w:t>
      </w:r>
      <w:r>
        <w:t xml:space="preserve"> </w:t>
      </w:r>
      <w:r>
        <w:t>CO</w:t>
      </w:r>
      <w:r>
        <w:t xml:space="preserve"> </w:t>
      </w:r>
      <w:r>
        <w:t>of ∼95% at −0.8 V. Density functional theory calculations reveal that Ni</w:t>
      </w:r>
      <w:r>
        <w:rPr>
          <w:vertAlign w:val="subscript"/>
        </w:rPr>
        <w:t>3</w:t>
      </w:r>
      <w:r>
        <w:t>─N─C substantially lowers the energy barrier for *COOH formation owing to altered adsorption configurations, thereby facilitating the rate‐limiting protonation step. In situ FTIR measurements further confirm the accelerated *COOH formation on Ni</w:t>
      </w:r>
      <w:r>
        <w:rPr>
          <w:vertAlign w:val="subscript"/>
        </w:rPr>
        <w:t>3</w:t>
      </w:r>
      <w:r>
        <w:t>─N─C surfaces. This work highlights the critical role of Ni sub‐nanoclusters in PCET modulation and establishes a rational design principle for nanocluster‐based catalysts in CO</w:t>
      </w:r>
      <w:r>
        <w:rPr>
          <w:vertAlign w:val="subscript"/>
        </w:rPr>
        <w:t>2</w:t>
      </w:r>
      <w:r>
        <w:t>RR.</w:t>
      </w:r>
    </w:p>
    <w:p>
      <w:pPr>
        <w:spacing w:before="120" w:after="120"/>
      </w:pPr>
      <w:r>
        <w:rPr>
          <w:sz w:val="18"/>
        </w:rPr>
        <w:t>——————————————————————————————————————————————————————————————————————</w:t>
      </w:r>
    </w:p>
    <w:p>
      <w:pPr>
        <w:spacing w:before="160" w:after="40" w:line="240" w:lineRule="auto"/>
      </w:pPr>
      <w:r>
        <w:rPr>
          <w:b/>
        </w:rPr>
        <w:t xml:space="preserve">[117] </w:t>
      </w:r>
      <w:hyperlink r:id="rId215">
        <w:r>
          <w:rPr>
            <w:color w:val="1155CC"/>
            <w:u w:val="single"/>
          </w:rPr>
          <w:t>以电解法实现安全稳定的锂电池化学</w:t>
        </w:r>
      </w:hyperlink>
    </w:p>
    <w:p>
      <w:pPr>
        <w:spacing w:before="0" w:after="80"/>
      </w:pPr>
      <w:r>
        <w:rPr>
          <w:i/>
          <w:sz w:val="20"/>
        </w:rPr>
        <w:t>EN: Chlorinated‐Solvent‐Based Electrolyte for Safe and Stable Lithium Battery Chemistry</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16">
        <w:r>
          <w:rPr>
            <w:color w:val="1155CC"/>
            <w:u w:val="single"/>
          </w:rPr>
          <w:t>10.1002/anie.202516987</w:t>
        </w:r>
      </w:hyperlink>
    </w:p>
    <w:p>
      <w:pPr>
        <w:spacing w:before="0" w:after="120"/>
      </w:pPr>
      <w:r>
        <w:rPr>
          <w:b/>
        </w:rPr>
        <w:t xml:space="preserve">Notes: </w:t>
      </w:r>
      <w:r>
        <w:t>abstract_source=crossref</w:t>
      </w:r>
    </w:p>
    <w:p>
      <w:pPr>
        <w:spacing w:before="0" w:after="80" w:lineRule="auto" w:line="276"/>
      </w:pPr>
      <w:r>
        <w:rPr>
          <w:b/>
        </w:rPr>
        <w:t xml:space="preserve">摘要（ZH）: </w:t>
      </w:r>
      <w:r>
        <w:t>目前的锂电池电池技术受到安全考虑的极大限制。氟化和有机磷溶剂可以减少电溶解的易燃性。然而,这些溶剂对于电动阳极来说并不是有效的阻燃剂。在这里,我们首次报告了一种全氯化溶液设计战略,以便通过长效、非易燃和防火的电解解剂,使氯化醚电解槽能够实现耐用、非易燃和防火的电解密。我们证明,氯化醚电解解槽中的过早电池故障主要是由于LICl丰固电解电解相断裂产生的低阳极兼容性以及当前铝收集器的腐化作用造成的,而通过制成氯碳酸胶片和促销能够有效克服这些现象。</w:t>
      </w:r>
    </w:p>
    <w:p>
      <w:pPr>
        <w:spacing w:before="0" w:after="200" w:lineRule="auto" w:line="276"/>
      </w:pPr>
      <w:r>
        <w:rPr>
          <w:b/>
        </w:rPr>
        <w:t xml:space="preserve">Abstract (EN): </w:t>
      </w:r>
      <w:r>
        <w:t>The current lithium battery technology is greatly limited by safety concerns. Fluorinated and organophosphorus solvents can reduce the electrolyte flammability. However, these solvents are not fire‐retardant efficiently for lithiated anodes. Here, for the first time, we report an all‐chlorinated‐solvent design strategy to enable electrolytes with durability, non‐flammability and fire‐proof. We demonstrate that the premature battery failure in chlorinated ether electrolytes is mainly caused by the low anode compatibility and aluminum current collector corrosion originating from the dissolution of LiCl‐rich solid electrolyte interphase, which can be efficiently overcome by interphase regulation via film‐forming chlorinated carbonate and promoted anion reduction. These insights were applied to graphite||LiFePO</w:t>
      </w:r>
      <w:r>
        <w:rPr>
          <w:vertAlign w:val="subscript"/>
        </w:rPr>
        <w:t>4</w:t>
      </w:r>
      <w:r>
        <w:t>full cells, which presented high capacity retention together with promising safety assurance under thermal, electrical and mechanical abuse conditions, outperforming traditional electrolytes. We also applied the as‐developed fire‐proof electrolytes to 4.4 V high‐loading Li||LiNi</w:t>
      </w:r>
      <w:r>
        <w:t xml:space="preserve"> </w:t>
      </w:r>
      <w:r>
        <w:t>0.8</w:t>
      </w:r>
      <w:r>
        <w:t xml:space="preserve"> </w:t>
      </w:r>
      <w:r>
        <w:t>Co</w:t>
      </w:r>
      <w:r>
        <w:t xml:space="preserve"> </w:t>
      </w:r>
      <w:r>
        <w:t>0.1</w:t>
      </w:r>
      <w:r>
        <w:t xml:space="preserve"> </w:t>
      </w:r>
      <w:r>
        <w:t>Mn</w:t>
      </w:r>
      <w:r>
        <w:t xml:space="preserve"> </w:t>
      </w:r>
      <w:r>
        <w:t>0.1</w:t>
      </w:r>
      <w:r>
        <w:t xml:space="preserve"> </w:t>
      </w:r>
      <w:r>
        <w:t>O</w:t>
      </w:r>
      <w:r>
        <w:rPr>
          <w:vertAlign w:val="subscript"/>
        </w:rPr>
        <w:t>2</w:t>
      </w:r>
      <w:r>
        <w:t>cells and attained durable cycling features without current collector corrosion. This work provides the design criteria for developing fire‐retardant electrolytes for highly safe lithium batteries.</w:t>
      </w:r>
    </w:p>
    <w:p>
      <w:pPr>
        <w:spacing w:before="120" w:after="120"/>
      </w:pPr>
      <w:r>
        <w:rPr>
          <w:sz w:val="18"/>
        </w:rPr>
        <w:t>——————————————————————————————————————————————————————————————————————</w:t>
      </w:r>
    </w:p>
    <w:p>
      <w:pPr>
        <w:spacing w:before="160" w:after="40" w:line="240" w:lineRule="auto"/>
      </w:pPr>
      <w:r>
        <w:rPr>
          <w:b/>
        </w:rPr>
        <w:t xml:space="preserve">[118] </w:t>
      </w:r>
      <w:hyperlink r:id="rId217">
        <w:r>
          <w:rPr>
            <w:color w:val="1155CC"/>
            <w:u w:val="single"/>
          </w:rPr>
          <w:t>高原子本表性高本表性离心性接近的电合合体能够使中间原子氢流波流向高成形反电离交换膜水电解器的氢进化进化</w:t>
        </w:r>
      </w:hyperlink>
    </w:p>
    <w:p>
      <w:pPr>
        <w:spacing w:before="0" w:after="80"/>
      </w:pPr>
      <w:r>
        <w:rPr>
          <w:i/>
          <w:sz w:val="20"/>
        </w:rPr>
        <w:t>EN: High‐Entropy Topologically Close‐Packed Ir Alloys Enable Interatomic Hydrogen Spillover for Hydrogen Evolution toward High‐Performing Anion Exchange Membrane Water Electrolyzers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18">
        <w:r>
          <w:rPr>
            <w:color w:val="1155CC"/>
            <w:u w:val="single"/>
          </w:rPr>
          <w:t>10.1002/anie.202517120</w:t>
        </w:r>
      </w:hyperlink>
    </w:p>
    <w:p>
      <w:pPr>
        <w:spacing w:before="0" w:after="120"/>
      </w:pPr>
      <w:r>
        <w:rPr>
          <w:b/>
        </w:rPr>
        <w:t xml:space="preserve">Notes: </w:t>
      </w:r>
      <w:r>
        <w:t>abstract_source=crossref</w:t>
      </w:r>
    </w:p>
    <w:p>
      <w:pPr>
        <w:spacing w:before="0" w:after="80" w:lineRule="auto" w:line="276"/>
      </w:pPr>
      <w:r>
        <w:rPr>
          <w:b/>
        </w:rPr>
        <w:t xml:space="preserve">摘要（ZH）: </w:t>
      </w:r>
      <w:r>
        <w:t>碱性氢进化反应(HER)的效率受到活性氢供应不足的严格限制。 这里, 我们开发高湿性表面封闭的C15( IrRh) 2 PrNdTb纳米晶体, 其间氢从恶性毒素地点( Pr/ Nd/ Tb) 向核生殖点( Ir/ Rh) 传播增强( 作为高效的HER电催化剂, 用于电离交换膜水电解器( AEMWES) 。 与混乱的对应方( A1) 相比, 2 Pr/ Nd/ Tb 具有更高协调性的Pr/ Nd/ Tb 和 与压缩的Ir- Ir( Rh) 债券的IR/ Rh 更电子化环境。 在 1.0 M KOH, C15&amp;( IrRh) 中, C15( IrRh)</w:t>
      </w:r>
    </w:p>
    <w:p>
      <w:pPr>
        <w:spacing w:before="0" w:after="200" w:lineRule="auto" w:line="276"/>
      </w:pPr>
      <w:r>
        <w:rPr>
          <w:b/>
        </w:rPr>
        <w:t xml:space="preserve">Abstract (EN): </w:t>
      </w:r>
      <w:r>
        <w:t>The efficiency of alkaline hydrogen evolution reaction (HER) is strictly restricted by the insufficient active hydrogen supply. Here, we develop high‐entropy topologically close‐packed C15‐(IrRh)</w:t>
      </w:r>
      <w:r>
        <w:rPr>
          <w:vertAlign w:val="subscript"/>
        </w:rPr>
        <w:t>2</w:t>
      </w:r>
      <w:r>
        <w:t>PrNdTb nanocrystals with enhanced interatomic hydrogen spillover from oxophilic sites (Pr/Nd/Tb) to nucleophilic sites (Ir/Rh) as efficient HER electrocatalysts for anion exchange membrane water electrolyzers (AEMWEs). Compared to the disordered (A1) counterpart, intermetallic C15‐(IrRh)</w:t>
      </w:r>
      <w:r>
        <w:rPr>
          <w:vertAlign w:val="subscript"/>
        </w:rPr>
        <w:t>2</w:t>
      </w:r>
      <w:r>
        <w:t>PrNdTb features a higher coordination number for Pr/Nd/Tb and a more electron‐rich environment for Ir/Rh with compressed Ir–Ir(Rh) bonds. In 1.0 M KOH, C15‐(IrRh)</w:t>
      </w:r>
      <w:r>
        <w:rPr>
          <w:vertAlign w:val="subscript"/>
        </w:rPr>
        <w:t>2</w:t>
      </w:r>
      <w:r>
        <w:t>PrNdTb reveals an ultralow HER overpotential of only 8 and 34 mV to reach 10 and 100 mA cm</w:t>
      </w:r>
      <w:r>
        <w:t xml:space="preserve"> </w:t>
      </w:r>
      <w:r>
        <w:t>−2</w:t>
      </w:r>
      <w:r>
        <w:t xml:space="preserve"> </w:t>
      </w:r>
      <w:r>
        <w:t>, respectively. The AEMWE with C15‐(IrRh)</w:t>
      </w:r>
      <w:r>
        <w:rPr>
          <w:vertAlign w:val="subscript"/>
        </w:rPr>
        <w:t>2</w:t>
      </w:r>
      <w:r>
        <w:t>PrNdTb cathode delivers an industrial‐level current density of 1 A cm</w:t>
      </w:r>
      <w:r>
        <w:t xml:space="preserve"> </w:t>
      </w:r>
      <w:r>
        <w:t>−2</w:t>
      </w:r>
      <w:r>
        <w:t xml:space="preserve"> </w:t>
      </w:r>
      <w:r>
        <w:t>at only 1.69 V, and could be operated stably for over 2000 h (64 µV h</w:t>
      </w:r>
      <w:r>
        <w:t xml:space="preserve"> </w:t>
      </w:r>
      <w:r>
        <w:t>−1</w:t>
      </w:r>
      <w:r>
        <w:t xml:space="preserve"> </w:t>
      </w:r>
      <w:r>
        <w:t>loss), representing one of the best alkaline HER catalysts ever reported. The markedly enhanced hydrogen adsorption/desorption kinetics on C15‐(IrRh)</w:t>
      </w:r>
      <w:r>
        <w:rPr>
          <w:vertAlign w:val="subscript"/>
        </w:rPr>
        <w:t>2</w:t>
      </w:r>
      <w:r>
        <w:t>PrNdTb demonstrates an additional active hydrogen migration step via hydrogen spillover during HER. Density functional theory (DFT) calculations indicate that the strong</w:t>
      </w:r>
      <w:r>
        <w:t xml:space="preserve"> </w:t>
      </w:r>
      <w:r>
        <w:t>d</w:t>
      </w:r>
      <w:r>
        <w:t xml:space="preserve"> </w:t>
      </w:r>
      <w:r>
        <w:t>‐</w:t>
      </w:r>
      <w:r>
        <w:t xml:space="preserve"> </w:t>
      </w:r>
      <w:r>
        <w:t>f</w:t>
      </w:r>
      <w:r>
        <w:t xml:space="preserve"> </w:t>
      </w:r>
      <w:r>
        <w:t>orbital coupling in C15‐(IrRh)</w:t>
      </w:r>
      <w:r>
        <w:rPr>
          <w:vertAlign w:val="subscript"/>
        </w:rPr>
        <w:t>2</w:t>
      </w:r>
      <w:r>
        <w:t>PrNdTb establishes efficient interatomic hydrogen spillover pathways through Pr(Nd/Tb)–Ir(Rh) hollow site to Ir(Rh)–Ir(Rh) bridge site to Ir(Rh)–Ir(Rh) hollow site, thereby accelerating HER kinetics.</w:t>
      </w:r>
    </w:p>
    <w:p>
      <w:pPr>
        <w:spacing w:before="120" w:after="120"/>
      </w:pPr>
      <w:r>
        <w:rPr>
          <w:sz w:val="18"/>
        </w:rPr>
        <w:t>——————————————————————————————————————————————————————————————————————</w:t>
      </w:r>
    </w:p>
    <w:p>
      <w:pPr>
        <w:spacing w:before="160" w:after="40" w:line="240" w:lineRule="auto"/>
      </w:pPr>
      <w:r>
        <w:rPr>
          <w:b/>
        </w:rPr>
        <w:t xml:space="preserve">[119] </w:t>
      </w:r>
      <w:hyperlink r:id="rId219">
        <w:r>
          <w:rPr>
            <w:color w:val="1155CC"/>
            <w:u w:val="single"/>
          </w:rPr>
          <w:t>BiOCl固体聚合体电解板填充器水晶面板工程</w:t>
        </w:r>
      </w:hyperlink>
    </w:p>
    <w:p>
      <w:pPr>
        <w:spacing w:before="0" w:after="80"/>
      </w:pPr>
      <w:r>
        <w:rPr>
          <w:i/>
          <w:sz w:val="20"/>
        </w:rPr>
        <w:t>EN: Crystal Facet Engineering of BiOCl Fillers in Solid Polymer Electrolytes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20">
        <w:r>
          <w:rPr>
            <w:color w:val="1155CC"/>
            <w:u w:val="single"/>
          </w:rPr>
          <w:t>10.1002/anie.202517142</w:t>
        </w:r>
      </w:hyperlink>
    </w:p>
    <w:p>
      <w:pPr>
        <w:spacing w:before="0" w:after="120"/>
      </w:pPr>
      <w:r>
        <w:rPr>
          <w:b/>
        </w:rPr>
        <w:t xml:space="preserve">Notes: </w:t>
      </w:r>
      <w:r>
        <w:t>abstract_source=crossref</w:t>
      </w:r>
    </w:p>
    <w:p>
      <w:pPr>
        <w:spacing w:before="0" w:after="80" w:lineRule="auto" w:line="276"/>
      </w:pPr>
      <w:r>
        <w:rPr>
          <w:b/>
        </w:rPr>
        <w:t xml:space="preserve">摘要（ZH）: </w:t>
      </w:r>
      <w:r>
        <w:t>将适当的无机填充器纳入聚合物矩阵是提高其性能的正常而有效的方法。尽管对新型填充器进行了广泛研究,但合成聚合物中填充晶体的作用仍未得到探讨。在这项工作中,接触 {001} 和 {010} 的BiOCl纳米表(BOC/001和BOC/010)被有选择地用作合成复合固体聚合物电解液的填充器(CSPEBOC)。计算和实验测量都表明,BOC/010 的填充器可以更有效地促进LITFSI的分离,并有助于更快的Li+。</w:t>
      </w:r>
    </w:p>
    <w:p>
      <w:pPr>
        <w:spacing w:before="0" w:after="200" w:lineRule="auto" w:line="276"/>
      </w:pPr>
      <w:r>
        <w:rPr>
          <w:b/>
        </w:rPr>
        <w:t xml:space="preserve">Abstract (EN): </w:t>
      </w:r>
      <w:r>
        <w:t>Solid polymer electrolytes (SPEs) have attracted much attention due to their high flexibility and good interfacial contact with electrodes. Incorporating appropriate inorganic fillers into the polymer matrix is a normal and effective method to improve its performance. Despite extensive research on novel fillers, the role of filler crystal facets in SPEs remains unexplored. In this work, BiOCl nanosheets with exposed {001} and {010} facets (BOC‐001 and BOC‐010) are selectively applied as fillers to form composite solid polymer electrolytes (CSPE‐BOC). Both calculations and experimental measurements reveal that filler of BOC‐010 promote the dissociation of LiTFSI more effectively and facilitate faster Li</w:t>
      </w:r>
      <w:r>
        <w:t xml:space="preserve"> </w:t>
      </w:r>
      <w:r>
        <w:t>+</w:t>
      </w:r>
      <w:r>
        <w:t xml:space="preserve"> </w:t>
      </w:r>
      <w:r>
        <w:t>migration on its surface, compared to BOC‐001. As a result, CSPE‐10BOC‐010 exhibits an enhanced Li</w:t>
      </w:r>
      <w:r>
        <w:t xml:space="preserve"> </w:t>
      </w:r>
      <w:r>
        <w:t>+</w:t>
      </w:r>
      <w:r>
        <w:t xml:space="preserve"> </w:t>
      </w:r>
      <w:r>
        <w:t>ionic conductivity (0.83 mS cm</w:t>
      </w:r>
      <w:r>
        <w:t xml:space="preserve"> </w:t>
      </w:r>
      <w:r>
        <w:t>−1</w:t>
      </w:r>
      <w:r>
        <w:t xml:space="preserve"> </w:t>
      </w:r>
      <w:r>
        <w:t>at 60 °C) and Li</w:t>
      </w:r>
      <w:r>
        <w:t xml:space="preserve"> </w:t>
      </w:r>
      <w:r>
        <w:t>+</w:t>
      </w:r>
      <w:r>
        <w:t xml:space="preserve"> </w:t>
      </w:r>
      <w:r>
        <w:t>transference number (0.38). The Li symmetric cells with the CSPE‐BOC‐010 exhibit an ultra‐long lifespan, with more than 2,000 hours of stable cycling at 0.2 mA cm</w:t>
      </w:r>
      <w:r>
        <w:t xml:space="preserve"> </w:t>
      </w:r>
      <w:r>
        <w:t>−2</w:t>
      </w:r>
      <w:r>
        <w:t xml:space="preserve"> </w:t>
      </w:r>
      <w:r>
        <w:t>. The Li/CSPE‐10BOC‐010/LFP battery also has an excellent cycling performance at 60 °C, retaining140 mA h g</w:t>
      </w:r>
      <w:r>
        <w:t xml:space="preserve"> </w:t>
      </w:r>
      <w:r>
        <w:t>−1</w:t>
      </w:r>
      <w:r>
        <w:t xml:space="preserve"> </w:t>
      </w:r>
      <w:r>
        <w:t>at 1 C after 390 cycles. This work deepens the understanding of the crystal plane characteristics of fillers in SPEs and offers a novel, promising strategy to enhance SPE performance.</w:t>
      </w:r>
    </w:p>
    <w:p>
      <w:pPr>
        <w:spacing w:before="120" w:after="120"/>
      </w:pPr>
      <w:r>
        <w:rPr>
          <w:sz w:val="18"/>
        </w:rPr>
        <w:t>——————————————————————————————————————————————————————————————————————</w:t>
      </w:r>
    </w:p>
    <w:p>
      <w:pPr>
        <w:spacing w:before="160" w:after="40" w:line="240" w:lineRule="auto"/>
      </w:pPr>
      <w:r>
        <w:rPr>
          <w:b/>
        </w:rPr>
        <w:t xml:space="preserve">[120] </w:t>
      </w:r>
      <w:hyperlink r:id="rId221">
        <w:r>
          <w:rPr>
            <w:color w:val="1155CC"/>
            <w:u w:val="single"/>
          </w:rPr>
          <w:t>使用HER2/EGFFR 双价亲和蛋白质药物的共价癌症治疗</w:t>
        </w:r>
      </w:hyperlink>
    </w:p>
    <w:p>
      <w:pPr>
        <w:spacing w:before="0" w:after="80"/>
      </w:pPr>
      <w:r>
        <w:rPr>
          <w:i/>
          <w:sz w:val="20"/>
        </w:rPr>
        <w:t>EN: Synergistic SuFEx‐Driven Covalent Cancer Therapy Using a HER2/EGFR Bivalent Affinity Protein Drug</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22">
        <w:r>
          <w:rPr>
            <w:color w:val="1155CC"/>
            <w:u w:val="single"/>
          </w:rPr>
          <w:t>10.1002/anie.202517155</w:t>
        </w:r>
      </w:hyperlink>
    </w:p>
    <w:p>
      <w:pPr>
        <w:spacing w:before="0" w:after="120"/>
      </w:pPr>
      <w:r>
        <w:rPr>
          <w:b/>
        </w:rPr>
        <w:t xml:space="preserve">Notes: </w:t>
      </w:r>
      <w:r>
        <w:t>abstract_source=crossref</w:t>
      </w:r>
    </w:p>
    <w:p>
      <w:pPr>
        <w:spacing w:before="0" w:after="80" w:lineRule="auto" w:line="276"/>
      </w:pPr>
      <w:r>
        <w:rPr>
          <w:b/>
        </w:rPr>
        <w:t xml:space="preserve">摘要（ZH）: </w:t>
      </w:r>
      <w:r>
        <w:t>将硫化物交换(SuFEx)化学化学纳入蛋白质中,大大推进了其在生物领域的应用。然而,其蛋白质的亚最佳反应率限制了共价交叉链接的效力。在本研究中,我们开发了双价亲和蛋白质药物,将双价替代氟硫酸盐(MFS)链接与双目标亲和蛋白质药物(可同时以HER2和EGFR为对象的双目标)相联。从HER2/EGFR 辅助的多价互动中受益,获得的双价亲和亲和蛋白蛋白性蛋白质药物与两个MFS弹头的双价交叉链接性能显示出共价交叉链接性能的提高,比单价链接性能高440%和630%。一般而言,双价亲和性蛋白分解分泌。</w:t>
      </w:r>
    </w:p>
    <w:p>
      <w:pPr>
        <w:spacing w:before="0" w:after="200" w:lineRule="auto" w:line="276"/>
      </w:pPr>
      <w:r>
        <w:rPr>
          <w:b/>
        </w:rPr>
        <w:t xml:space="preserve">Abstract (EN): </w:t>
      </w:r>
      <w:r>
        <w:t>The integration of sulfur fluoride exchange (SuFEx) chemistry into proteins is significantly advancing their applications in biological fields. However, its suboptimal reaction rates in proteins limit the effectiveness of covalent crosslinking. In this study, we develop a bivalent affinity protein drug by chemically coupling maleimide‐substituted aryl fluorosulfate (MFS) linkers to a dual‐targeting affinity protein drug that can covalently target both HER2 and EGFR. Benefiting from the HER2/EGFR ligand‐assisted multivalent interactions, the obtained bivalent affinity protein drug with two MFS warheads exhibits an enhancement of covalent cross‐link performance, which is 440% and 630% higher than that of monovalent ones. Generally, the bivalent affinity protein drug achieves over 80% covalent binding efficiency to its targets within 12 h and ultimately achieves 290% to 340% higher intracellular uptake and 360% to 460% longer tumor retention compared with that of monovalent or non‐covalent control. Consequently, this bivalent affinity protein drug showed extraordinary antitumor efficacy in HER2/EGFR‐positive pancreatic tumor models with a tumor inhibition rate (TIR) of 90.4%, which was significantly higher than that of monovalent or non‐covalent ones (28.4% to 66.9%). In brief, this SuFEx‐engineered, bivalent targeted strategy provides a promising platform for the design of covalent protein drugs in the future.</w:t>
      </w:r>
    </w:p>
    <w:p>
      <w:pPr>
        <w:spacing w:before="120" w:after="120"/>
      </w:pPr>
      <w:r>
        <w:rPr>
          <w:sz w:val="18"/>
        </w:rPr>
        <w:t>——————————————————————————————————————————————————————————————————————</w:t>
      </w:r>
    </w:p>
    <w:p>
      <w:pPr>
        <w:spacing w:before="160" w:after="40" w:line="240" w:lineRule="auto"/>
      </w:pPr>
      <w:r>
        <w:rPr>
          <w:b/>
        </w:rPr>
        <w:t xml:space="preserve">[121] </w:t>
      </w:r>
      <w:hyperlink r:id="rId223">
        <w:r>
          <w:rPr>
            <w:color w:val="1155CC"/>
            <w:u w:val="single"/>
          </w:rPr>
          <w:t>在P和M Sub-Helical域内活动的多分子分子纳诺维主义者</w:t>
        </w:r>
      </w:hyperlink>
    </w:p>
    <w:p>
      <w:pPr>
        <w:spacing w:before="0" w:after="80"/>
      </w:pPr>
      <w:r>
        <w:rPr>
          <w:i/>
          <w:sz w:val="20"/>
        </w:rPr>
        <w:t>EN: Conformation‐Matched Symbiotic Noncovalent Sites Facilitated Supramolecular Nanotwists Featuring both P and M Sub‐Helical Domains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24">
        <w:r>
          <w:rPr>
            <w:color w:val="1155CC"/>
            <w:u w:val="single"/>
          </w:rPr>
          <w:t>10.1002/anie.202516712</w:t>
        </w:r>
      </w:hyperlink>
    </w:p>
    <w:p>
      <w:pPr>
        <w:spacing w:before="0" w:after="120"/>
      </w:pPr>
      <w:r>
        <w:rPr>
          <w:b/>
        </w:rPr>
        <w:t xml:space="preserve">Notes: </w:t>
      </w:r>
      <w:r>
        <w:t>abstract_source=crossref</w:t>
      </w:r>
    </w:p>
    <w:p>
      <w:pPr>
        <w:spacing w:before="0" w:after="80" w:lineRule="auto" w:line="276"/>
      </w:pPr>
      <w:r>
        <w:rPr>
          <w:b/>
        </w:rPr>
        <w:t xml:space="preserve">摘要（ZH）: </w:t>
      </w:r>
      <w:r>
        <w:t>抽象生活系统可以使用同质体块来同时制造与手性相异的多种结构(例如右和左撇子聚苯乙烯二型肝脏),以维持生物结构的三维相容和功能,但由于难以为不同手性转移建立精确的非共性模式,在人造系统中实现这一过程仍是一个特殊的挑战。 我们在此报告一项战略,通过在双苯九衍生物(LCN)的终端中微妙地引入共生非共性非共性点,来制造以P和M为主的热性纳米纤维(P和M子)。</w:t>
      </w:r>
    </w:p>
    <w:p>
      <w:pPr>
        <w:spacing w:before="0" w:after="200" w:lineRule="auto" w:line="276"/>
      </w:pPr>
      <w:r>
        <w:rPr>
          <w:b/>
        </w:rPr>
        <w:t xml:space="preserve">Abstract (EN): </w:t>
      </w:r>
      <w:r>
        <w:t>Living system can use homochiral blocks to simultaneously fabricate diverse structures with opposite chirality (e.g., right‐handed α‐helices and left‐handed polyproline‐II helices) for maintaining three‐dimensional conformations and functions of biostructures, but realizing this process in artificial systems remains exceptional challenge due to difficulty in constructing precise noncovalent pattern for diverse chirality transfer. Herein, we report a strategy to fabricate helical nanofibers featuring P and M sub‐domains by delicately introducing symbiotic noncovalent sites in the terminal of</w:t>
      </w:r>
      <w:r>
        <w:t xml:space="preserve"> </w:t>
      </w:r>
      <w:r>
        <w:t>l</w:t>
      </w:r>
      <w:r>
        <w:t xml:space="preserve"> </w:t>
      </w:r>
      <w:r>
        <w:t>‐phenylalanine derivatives (LCN). Benefiting from the conformation match of LCN, two symbiotic sites (C≡N, Ar─H</w:t>
      </w:r>
      <w:r>
        <w:t xml:space="preserve"> </w:t>
      </w:r>
      <w:r>
        <w:t>ortho</w:t>
      </w:r>
      <w:r>
        <w:t xml:space="preserve"> </w:t>
      </w:r>
      <w:r>
        <w:t>) in terminal cyanophenyl group can synergistically form noncovalent with different sites (C≡N⋯H</w:t>
      </w:r>
      <w:r>
        <w:t xml:space="preserve"> </w:t>
      </w:r>
      <w:r>
        <w:t>meta</w:t>
      </w:r>
      <w:r>
        <w:t xml:space="preserve"> </w:t>
      </w:r>
      <w:r>
        <w:t>─Ar; Ar─H</w:t>
      </w:r>
      <w:r>
        <w:t xml:space="preserve"> </w:t>
      </w:r>
      <w:r>
        <w:t>ortho</w:t>
      </w:r>
      <w:r>
        <w:t xml:space="preserve"> </w:t>
      </w:r>
      <w:r>
        <w:t>⋯N≡C), resulting in a precise noncovalent network. Furthermore, these two noncovalent facilitate the simultaneous formation of M‐type and P‐type domains due to their opposite spatial direction. Similar phenomenon is also observed from symbiotic sites in another terminal hydroxy group (O, H), further confirming an unusual chirality transfer where molecular homochirality propagates to supramolecular domains with opposite handedness. Besides, these helical domains can further cooperatively organize into higher‐order P‐type helices, in which fiber longitudinal axes aligns with the screw axes of noncovalent‐defined helices. This study accelerates the understanding of diverse chirality transfer based on homochirality in nature and takes into a realm of constructing helical nanostructures with diverse sub‐helices by homochiral blocks.</w:t>
      </w:r>
    </w:p>
    <w:p>
      <w:pPr>
        <w:spacing w:before="120" w:after="120"/>
      </w:pPr>
      <w:r>
        <w:rPr>
          <w:sz w:val="18"/>
        </w:rPr>
        <w:t>——————————————————————————————————————————————————————————————————————</w:t>
      </w:r>
    </w:p>
    <w:p>
      <w:pPr>
        <w:spacing w:before="160" w:after="40" w:line="240" w:lineRule="auto"/>
      </w:pPr>
      <w:r>
        <w:rPr>
          <w:b/>
        </w:rPr>
        <w:t xml:space="preserve">[122] </w:t>
      </w:r>
      <w:hyperlink r:id="rId225">
        <w:r>
          <w:rPr>
            <w:color w:val="1155CC"/>
            <w:u w:val="single"/>
          </w:rPr>
          <w:t>Norbornadiene 四环环环烷二氧化物光光光光光和太阳热能储存的移动</w:t>
        </w:r>
      </w:hyperlink>
    </w:p>
    <w:p>
      <w:pPr>
        <w:spacing w:before="0" w:after="80"/>
      </w:pPr>
      <w:r>
        <w:rPr>
          <w:i/>
          <w:sz w:val="20"/>
        </w:rPr>
        <w:t>EN: Modulation of Photoluminescence and Solar Thermal Energy Storage in Norbornadiene–Quadricyclane Dimers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26">
        <w:r>
          <w:rPr>
            <w:color w:val="1155CC"/>
            <w:u w:val="single"/>
          </w:rPr>
          <w:t>10.1002/anie.202516629</w:t>
        </w:r>
      </w:hyperlink>
    </w:p>
    <w:p>
      <w:pPr>
        <w:spacing w:before="0" w:after="120"/>
      </w:pPr>
      <w:r>
        <w:rPr>
          <w:b/>
        </w:rPr>
        <w:t xml:space="preserve">Notes: </w:t>
      </w:r>
      <w:r>
        <w:t>abstract_source=crossref</w:t>
      </w:r>
    </w:p>
    <w:p>
      <w:pPr>
        <w:spacing w:before="0" w:after="80" w:lineRule="auto" w:line="276"/>
      </w:pPr>
      <w:r>
        <w:rPr>
          <w:b/>
        </w:rPr>
        <w:t xml:space="preserve">摘要（ZH）: </w:t>
      </w:r>
      <w:r>
        <w:t>本摘要 Norbornadiene/ qidricanane (NBD/QC) 光电开关配对是一个充满希望的分子太阳热能量储存系统。 配有两个或两个以上光电的多色磷系统可以提供红色转换吸收、高能量密度和额外功能。 这里,一系列正正旋和双倍替代NBD角体,它们带有甲氧、乙氧(溶解性)和西诺组,并结合了它们MOST的特性进行了综合评估。 与单体相比,硬币显示红色转换吸收和改良的太阳频谱匹配,由于它们的捐赠者是接受者,设计了448-488纳米的起始点和延伸的聚合。 一项关键发现是金枪鱼。</w:t>
      </w:r>
    </w:p>
    <w:p>
      <w:pPr>
        <w:spacing w:before="0" w:after="200" w:lineRule="auto" w:line="276"/>
      </w:pPr>
      <w:r>
        <w:rPr>
          <w:b/>
        </w:rPr>
        <w:t xml:space="preserve">Abstract (EN): </w:t>
      </w:r>
      <w:r>
        <w:t>The norbornadiene/quadricyclane (NBD/QC) photoswitch pair is a promising system for molecular solar thermal (MOST) energy storage. Multichromophoric systems with two or more photoswitches can offer red‐shifted absorption, higher energy densities, and additional functionality. Here, a series of</w:t>
      </w:r>
      <w:r>
        <w:t xml:space="preserve"> </w:t>
      </w:r>
      <w:r>
        <w:t>ortho</w:t>
      </w:r>
      <w:r>
        <w:t xml:space="preserve"> </w:t>
      </w:r>
      <w:r>
        <w:t>‐ and</w:t>
      </w:r>
      <w:r>
        <w:t xml:space="preserve"> </w:t>
      </w:r>
      <w:r>
        <w:t>para</w:t>
      </w:r>
      <w:r>
        <w:t xml:space="preserve"> </w:t>
      </w:r>
      <w:r>
        <w:t>‐substituted NBD dimers bearing methoxy, hexoxy (for solubility), and cyano groups were synthesised and evaluated for their MOST properties. Compared to monomers, the dimers display red‐shifted absorption and improved solar spectrum match, with onsets between 448–488 nm, owing to their donor–acceptor design and extended conjugation. A key finding is the tunable relationship between molecular structure, photoluminescence and photoisomerisation:</w:t>
      </w:r>
      <w:r>
        <w:t xml:space="preserve"> </w:t>
      </w:r>
      <w:r>
        <w:t>para</w:t>
      </w:r>
      <w:r>
        <w:t xml:space="preserve"> </w:t>
      </w:r>
      <w:r>
        <w:t>‐dimers exhibit efficient fluorescence, whilst</w:t>
      </w:r>
      <w:r>
        <w:t xml:space="preserve"> </w:t>
      </w:r>
      <w:r>
        <w:t>ortho</w:t>
      </w:r>
      <w:r>
        <w:t xml:space="preserve"> </w:t>
      </w:r>
      <w:r>
        <w:t>‐dimers are superior photoswitches with quantum yields of isomerisation, Φ</w:t>
      </w:r>
      <w:r>
        <w:t xml:space="preserve"> </w:t>
      </w:r>
      <w:r>
        <w:t>i</w:t>
      </w:r>
      <w:r>
        <w:t xml:space="preserve"> </w:t>
      </w:r>
      <w:r>
        <w:t>, up to 63%. Solvent choice further modulates behaviour; Φ</w:t>
      </w:r>
      <w:r>
        <w:t xml:space="preserve"> </w:t>
      </w:r>
      <w:r>
        <w:t>i</w:t>
      </w:r>
      <w:r>
        <w:t xml:space="preserve"> </w:t>
      </w:r>
      <w:r>
        <w:t>is higher in acetonitrile, whereas fluorescence is more efficient in toluene. This interplay allows tailoring for specific functions. The best‐performing photoswitches were studied in a liquid‐chip device, achieving a record solar conversion efficiency of 2.9%. Catalytic back‐conversion using cobalt phthalocyanine on carbon and macroscopic heat release experiments at 0.1 M yielded a 5.78 °C temperature increase. This first experimental macroscopic heat release of a dimeric system provides important insights into design challenges and opportunities for advancing multichromophoric systems towards MOST applications.</w:t>
      </w:r>
    </w:p>
    <w:p>
      <w:pPr>
        <w:spacing w:before="120" w:after="120"/>
      </w:pPr>
      <w:r>
        <w:rPr>
          <w:sz w:val="18"/>
        </w:rPr>
        <w:t>——————————————————————————————————————————————————————————————————————</w:t>
      </w:r>
    </w:p>
    <w:p>
      <w:pPr>
        <w:spacing w:before="160" w:after="40" w:line="240" w:lineRule="auto"/>
      </w:pPr>
      <w:r>
        <w:rPr>
          <w:b/>
        </w:rPr>
        <w:t xml:space="preserve">[123] </w:t>
      </w:r>
      <w:hyperlink r:id="rId227">
        <w:r>
          <w:rPr>
            <w:color w:val="1155CC"/>
            <w:u w:val="single"/>
          </w:rPr>
          <w:t>三氟甲烷与有机硫化物试剂脱硫:氟化烷的机制和合成</w:t>
        </w:r>
      </w:hyperlink>
    </w:p>
    <w:p>
      <w:pPr>
        <w:spacing w:before="0" w:after="80"/>
      </w:pPr>
      <w:r>
        <w:rPr>
          <w:i/>
          <w:sz w:val="20"/>
        </w:rPr>
        <w:t>EN: Defluoroalkylation of Trifluoromethane with Organolithium Reagents: Mechanism and Synthesis of Fluoroalkenes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28">
        <w:r>
          <w:rPr>
            <w:color w:val="1155CC"/>
            <w:u w:val="single"/>
          </w:rPr>
          <w:t>10.1002/anie.202516598</w:t>
        </w:r>
      </w:hyperlink>
    </w:p>
    <w:p>
      <w:pPr>
        <w:spacing w:before="0" w:after="120"/>
      </w:pPr>
      <w:r>
        <w:rPr>
          <w:b/>
        </w:rPr>
        <w:t xml:space="preserve">Notes: </w:t>
      </w:r>
      <w:r>
        <w:t>abstract_source=crossref</w:t>
      </w:r>
    </w:p>
    <w:p>
      <w:pPr>
        <w:spacing w:before="0" w:after="80" w:lineRule="auto" w:line="276"/>
      </w:pPr>
      <w:r>
        <w:rPr>
          <w:b/>
        </w:rPr>
        <w:t xml:space="preserve">摘要（ZH）: </w:t>
      </w:r>
      <w:r>
        <w:t>三氟甲烷(HCF 3, HFC-23)是氟聚合物生产的副产品,其应用有限,通常在生产时储存或销毁,但如果释放到环境中,是一种强大的温室气体,其全球升温潜能值为CO 2的14 600倍。 用于HCF 3升级的国家化学技术通常是在保护CF 3组时产生的。</w:t>
      </w:r>
    </w:p>
    <w:p>
      <w:pPr>
        <w:spacing w:before="0" w:after="200" w:lineRule="auto" w:line="276"/>
      </w:pPr>
      <w:r>
        <w:rPr>
          <w:b/>
        </w:rPr>
        <w:t xml:space="preserve">Abstract (EN): </w:t>
      </w:r>
      <w:r>
        <w:t>Trifluoromethane (HCF</w:t>
      </w:r>
      <w:r>
        <w:rPr>
          <w:vertAlign w:val="subscript"/>
        </w:rPr>
        <w:t>3</w:t>
      </w:r>
      <w:r>
        <w:t>, HFC‐23) is a byproduct of fluoropolymer production that has limited applications. It is often stored or destroyed at the point of production, but if released into the environment is a potent greenhouse gas with a global warming potential of 14 600 times that of CO</w:t>
      </w:r>
      <w:r>
        <w:rPr>
          <w:vertAlign w:val="subscript"/>
        </w:rPr>
        <w:t>2</w:t>
      </w:r>
      <w:r>
        <w:t>. State‐of‐the‐art chemical technologies for upgrading HCF</w:t>
      </w:r>
      <w:r>
        <w:rPr>
          <w:vertAlign w:val="subscript"/>
        </w:rPr>
        <w:t>3</w:t>
      </w:r>
      <w:r>
        <w:t>typically occur with conservation of the CF</w:t>
      </w:r>
      <w:r>
        <w:rPr>
          <w:vertAlign w:val="subscript"/>
        </w:rPr>
        <w:t>3</w:t>
      </w:r>
      <w:r>
        <w:t>group. These approaches will come under increased scrutiny as concern over the environmental impact of perfluoroalkyl substances (PFAS) continues to grow. A more sustainable approach involves synthetic transformations that repurpose the atomic content of HCF</w:t>
      </w:r>
      <w:r>
        <w:rPr>
          <w:vertAlign w:val="subscript"/>
        </w:rPr>
        <w:t>3</w:t>
      </w:r>
      <w:r>
        <w:t>while also destroying the CF</w:t>
      </w:r>
      <w:r>
        <w:rPr>
          <w:vertAlign w:val="subscript"/>
        </w:rPr>
        <w:t>3</w:t>
      </w:r>
      <w:r>
        <w:t>group. In this paper, we report a rare example of the transformation of HCF</w:t>
      </w:r>
      <w:r>
        <w:rPr>
          <w:vertAlign w:val="subscript"/>
        </w:rPr>
        <w:t>3</w:t>
      </w:r>
      <w:r>
        <w:t>into a fluoroalkene functional group through defluoroalkylation. We rationalise product formation through DFT calculations, scale‐up the synthesis through continuous flow methods, and show that a fluoroalkene reagent derived from HCF</w:t>
      </w:r>
      <w:r>
        <w:rPr>
          <w:vertAlign w:val="subscript"/>
        </w:rPr>
        <w:t>3</w:t>
      </w:r>
      <w:r>
        <w:t>is a competent nucleophile for the fluoroethenylation of a range of aldehydes.</w:t>
      </w:r>
    </w:p>
    <w:p>
      <w:pPr>
        <w:spacing w:before="120" w:after="120"/>
      </w:pPr>
      <w:r>
        <w:rPr>
          <w:sz w:val="18"/>
        </w:rPr>
        <w:t>——————————————————————————————————————————————————————————————————————</w:t>
      </w:r>
    </w:p>
    <w:p>
      <w:pPr>
        <w:spacing w:before="160" w:after="40" w:line="240" w:lineRule="auto"/>
      </w:pPr>
      <w:r>
        <w:rPr>
          <w:b/>
        </w:rPr>
        <w:t xml:space="preserve">[124] </w:t>
      </w:r>
      <w:hyperlink r:id="rId229">
        <w:r>
          <w:rPr>
            <w:color w:val="1155CC"/>
            <w:u w:val="single"/>
          </w:rPr>
          <w:t>通过配有硅波拉烷的箱式碳酸正式集中直接接触阿基博兰</w:t>
        </w:r>
      </w:hyperlink>
    </w:p>
    <w:p>
      <w:pPr>
        <w:spacing w:before="0" w:after="80"/>
      </w:pPr>
      <w:r>
        <w:rPr>
          <w:i/>
          <w:sz w:val="20"/>
        </w:rPr>
        <w:t>EN: Direct Access to Acylboranes via Formal Condensation of Carboxylic Acids with Ligated Boranes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30">
        <w:r>
          <w:rPr>
            <w:color w:val="1155CC"/>
            <w:u w:val="single"/>
          </w:rPr>
          <w:t>10.1002/anie.202516826</w:t>
        </w:r>
      </w:hyperlink>
    </w:p>
    <w:p>
      <w:pPr>
        <w:spacing w:before="0" w:after="120"/>
      </w:pPr>
      <w:r>
        <w:rPr>
          <w:b/>
        </w:rPr>
        <w:t xml:space="preserve">Notes: </w:t>
      </w:r>
      <w:r>
        <w:t>abstract_source=crossref</w:t>
      </w:r>
    </w:p>
    <w:p>
      <w:pPr>
        <w:spacing w:before="0" w:after="80" w:lineRule="auto" w:line="276"/>
      </w:pPr>
      <w:r>
        <w:rPr>
          <w:b/>
        </w:rPr>
        <w:t xml:space="preserve">摘要（ZH）: </w:t>
      </w:r>
      <w:r>
        <w:t>合成化学界长期以来一直关注乙酰碳球物种的独特合成潜力,该摘要长期以来吸引了合成化学界的注意,但其更广泛的应用却因编写该摘要时遇到的挑战而受到限制。 在这项工作中,我们报告了一种机械上截然不同的基C(acyl)-B交叉组合战略,这种战略使得随时可得的碳酸和易于获取的离子体野猪之间能够“正式凝结 ” 。 这一转变的成功取决于磷离心机的独特使用,这在芳香蜜的稳定性和回活动之间实现了最佳平衡。 这种方法显示了一种具有高度实用用途的广泛的基底范围,其战略价值通过多种下层得到了进一步强调。</w:t>
      </w:r>
    </w:p>
    <w:p>
      <w:pPr>
        <w:spacing w:before="0" w:after="200" w:lineRule="auto" w:line="276"/>
      </w:pPr>
      <w:r>
        <w:rPr>
          <w:b/>
        </w:rPr>
        <w:t xml:space="preserve">Abstract (EN): </w:t>
      </w:r>
      <w:r>
        <w:t>The unique synthetic potential of acylboron species has long attracted attention from the synthetic chemistry community, but their broader application has been limited by challenges associated with their preparation. In this work, we report a mechanistically distinct radical‐based C(acyl)–B cross‐coupling strategy that enables a “formal condensation” between readily available carboxylic acids and easily accessible ligated boranes. The success of this transformation relies on the distinctive use of a phosphonite ligand, which achieves an optimal balance between the stability and reactivity of the borane moiety. This method demonstrates a broad substrate scope with high practical utility, and its strategic value has been further highlighted through diverse downstream derivatizations of the resulting acylborane compounds.</w:t>
      </w:r>
    </w:p>
    <w:p>
      <w:pPr>
        <w:spacing w:before="120" w:after="120"/>
      </w:pPr>
      <w:r>
        <w:rPr>
          <w:sz w:val="18"/>
        </w:rPr>
        <w:t>——————————————————————————————————————————————————————————————————————</w:t>
      </w:r>
    </w:p>
    <w:p>
      <w:pPr>
        <w:spacing w:before="160" w:after="40" w:line="240" w:lineRule="auto"/>
      </w:pPr>
      <w:r>
        <w:rPr>
          <w:b/>
        </w:rPr>
        <w:t xml:space="preserve">[125] </w:t>
      </w:r>
      <w:hyperlink r:id="rId231">
        <w:r>
          <w:rPr>
            <w:color w:val="1155CC"/>
            <w:u w:val="single"/>
          </w:rPr>
          <w:t>Mg-Pt Mg-Pt 混合金属氢化催化剂抗CO毒剂的工程阶段</w:t>
        </w:r>
      </w:hyperlink>
    </w:p>
    <w:p>
      <w:pPr>
        <w:spacing w:before="0" w:after="80"/>
      </w:pPr>
      <w:r>
        <w:rPr>
          <w:i/>
          <w:sz w:val="20"/>
        </w:rPr>
        <w:t>EN: Phase Engineering of Mg–Pt Intermetallic Hydrogenation Catalysts for CO Poisoning Resistance</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32">
        <w:r>
          <w:rPr>
            <w:color w:val="1155CC"/>
            <w:u w:val="single"/>
          </w:rPr>
          <w:t>10.1002/anie.202516790</w:t>
        </w:r>
      </w:hyperlink>
    </w:p>
    <w:p>
      <w:pPr>
        <w:spacing w:before="0" w:after="120"/>
      </w:pPr>
      <w:r>
        <w:rPr>
          <w:b/>
        </w:rPr>
        <w:t xml:space="preserve">Notes: </w:t>
      </w:r>
      <w:r>
        <w:t>abstract_source=crossref</w:t>
      </w:r>
    </w:p>
    <w:p>
      <w:pPr>
        <w:spacing w:before="0" w:after="80" w:lineRule="auto" w:line="276"/>
      </w:pPr>
      <w:r>
        <w:rPr>
          <w:b/>
        </w:rPr>
        <w:t xml:space="preserve">摘要（ZH）: </w:t>
      </w:r>
      <w:r>
        <w:t>白金金属(PGMs)是工业氢化反应的有效催化剂,但对CO(ppm水平)极为敏感,直接利用含有COCO的工业原油是不可能做到的。 我们在此报告了通过精确控制Pt纳米粒子和Mg支持的活性金属-支持相互作用(RMSI)实现的Mg-Pt中间金属催化剂的阶段工程。 通过操纵Pt晶体性,我们合成了两个不同的阶段,即Mg 29 Pt 4和Mg 3 Pt。 在有CO的情况下,Mg 29 Pt 4。</w:t>
      </w:r>
    </w:p>
    <w:p>
      <w:pPr>
        <w:spacing w:before="0" w:after="200" w:lineRule="auto" w:line="276"/>
      </w:pPr>
      <w:r>
        <w:rPr>
          <w:b/>
        </w:rPr>
        <w:t xml:space="preserve">Abstract (EN): </w:t>
      </w:r>
      <w:r>
        <w:t>Platinum group metals (PGMs) are efficient catalysts for industrial hydrogenation reactions but are extremely sensitive to CO (ppm levels), making the direct utilization of industrial crude hydrogen containing CO infeasible. Herein, we report the phase engineering of Mg–Pt intermetallic catalysts achieved through the precise control of reactive metal–support interactions (RMSIs) between Pt nanoparticles (NPs) and Mg supports. By manipulating Pt crystallinity, we synthesized two distinct phases, Mg</w:t>
      </w:r>
      <w:r>
        <w:rPr>
          <w:vertAlign w:val="subscript"/>
        </w:rPr>
        <w:t>29</w:t>
      </w:r>
      <w:r>
        <w:t>Pt</w:t>
      </w:r>
      <w:r>
        <w:rPr>
          <w:vertAlign w:val="subscript"/>
        </w:rPr>
        <w:t>4</w:t>
      </w:r>
      <w:r>
        <w:t>and Mg</w:t>
      </w:r>
      <w:r>
        <w:rPr>
          <w:vertAlign w:val="subscript"/>
        </w:rPr>
        <w:t>3</w:t>
      </w:r>
      <w:r>
        <w:t>Pt. In the presence of CO, Mg</w:t>
      </w:r>
      <w:r>
        <w:rPr>
          <w:vertAlign w:val="subscript"/>
        </w:rPr>
        <w:t>29</w:t>
      </w:r>
      <w:r>
        <w:t>Pt</w:t>
      </w:r>
      <w:r>
        <w:rPr>
          <w:vertAlign w:val="subscript"/>
        </w:rPr>
        <w:t>4</w:t>
      </w:r>
      <w:r>
        <w:t>demonstrates remarkable activity for selective hydrogenation reactions, contrasting sharply with the almost complete deactivation of metallic Pt. Notably, Mg</w:t>
      </w:r>
      <w:r>
        <w:rPr>
          <w:vertAlign w:val="subscript"/>
        </w:rPr>
        <w:t>29</w:t>
      </w:r>
      <w:r>
        <w:t>Pt</w:t>
      </w:r>
      <w:r>
        <w:rPr>
          <w:vertAlign w:val="subscript"/>
        </w:rPr>
        <w:t>4</w:t>
      </w:r>
      <w:r>
        <w:t>retains ∼88% of its original activity when exposed to 0.2 vol% CO, a typical industrial crude hydrogen concentration, outperforming state‐of‐the‐art Pt catalysts. This superior CO tolerance arises from its electron‐rich Pt sites and low d‐band center, which suppress electron donation from CO 5σ orbitals to Pt 5d orbitals while hindering electron back‐donation from Pt d orbitals to CO 2π* antibonding orbitals. Moreover, Mg</w:t>
      </w:r>
      <w:r>
        <w:rPr>
          <w:vertAlign w:val="subscript"/>
        </w:rPr>
        <w:t>29</w:t>
      </w:r>
      <w:r>
        <w:t>Pt</w:t>
      </w:r>
      <w:r>
        <w:rPr>
          <w:vertAlign w:val="subscript"/>
        </w:rPr>
        <w:t>4</w:t>
      </w:r>
      <w:r>
        <w:t>also facilitates the hydrogenation of diverse functional groups, including alkynes, aldehydes, and nitroarenes, while maintaining excellent CO tolerance. This work demonstrates that manipulating the electronic properties of Pt single‐atom sites can alter CO adsorption behavior, enabling the design of efficient Pt catalysts for anti‐CO poisoning.</w:t>
      </w:r>
    </w:p>
    <w:p>
      <w:pPr>
        <w:spacing w:before="120" w:after="120"/>
      </w:pPr>
      <w:r>
        <w:rPr>
          <w:sz w:val="18"/>
        </w:rPr>
        <w:t>——————————————————————————————————————————————————————————————————————</w:t>
      </w:r>
    </w:p>
    <w:p>
      <w:pPr>
        <w:spacing w:before="160" w:after="40" w:line="240" w:lineRule="auto"/>
      </w:pPr>
      <w:r>
        <w:rPr>
          <w:b/>
        </w:rPr>
        <w:t xml:space="preserve">[126] </w:t>
      </w:r>
      <w:hyperlink r:id="rId233">
        <w:r>
          <w:rPr>
            <w:color w:val="1155CC"/>
            <w:u w:val="single"/>
          </w:rPr>
          <w:t>锂电池电解液化电池中锂保质特征的普遍原则</w:t>
        </w:r>
      </w:hyperlink>
    </w:p>
    <w:p>
      <w:pPr>
        <w:spacing w:before="0" w:after="80"/>
      </w:pPr>
      <w:r>
        <w:rPr>
          <w:i/>
          <w:sz w:val="20"/>
        </w:rPr>
        <w:t>EN: A Universal Principle of Lithium Bond Characteristics in Lithium Battery Electrolytes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34">
        <w:r>
          <w:rPr>
            <w:color w:val="1155CC"/>
            <w:u w:val="single"/>
          </w:rPr>
          <w:t>10.1002/anie.202517523</w:t>
        </w:r>
      </w:hyperlink>
    </w:p>
    <w:p>
      <w:pPr>
        <w:spacing w:before="0" w:after="120"/>
      </w:pPr>
      <w:r>
        <w:rPr>
          <w:b/>
        </w:rPr>
        <w:t xml:space="preserve">Notes: </w:t>
      </w:r>
      <w:r>
        <w:t>abstract_source=crossref</w:t>
      </w:r>
    </w:p>
    <w:p>
      <w:pPr>
        <w:spacing w:before="0" w:after="80" w:lineRule="auto" w:line="276"/>
      </w:pPr>
      <w:r>
        <w:rPr>
          <w:b/>
        </w:rPr>
        <w:t xml:space="preserve">摘要（ZH）: </w:t>
      </w:r>
      <w:r>
        <w:t>理解锂(Li)与协同化合物之间的相互作用是阐明李电池的工作机制和为新兴电池材料的设计原则提供信息的基础。李债券,类似于氢债券,在这些相互作用中发挥着中心作用。然而,由于电池系统的复杂性,李债券在使用李电池中的特点没有得到充分探讨,这阻碍了在使用电池中推进李债券理论。在这项工作中,通过将理论计算和机器学习技术结合起来,确立了李债券的普遍原则。使用有机电解作为模型系统,首先核实了李债券的普遍存在,特别是按hig键进行验证。</w:t>
      </w:r>
    </w:p>
    <w:p>
      <w:pPr>
        <w:spacing w:before="0" w:after="200" w:lineRule="auto" w:line="276"/>
      </w:pPr>
      <w:r>
        <w:rPr>
          <w:b/>
        </w:rPr>
        <w:t xml:space="preserve">Abstract (EN): </w:t>
      </w:r>
      <w:r>
        <w:t>Understanding the interactions between lithium (Li) and coordinated compounds is fundamental to elucidating the working mechanisms of Li batteries and informing the design principles of emerging battery materials. Li bonds, analogous to hydrogen bonds, play a central role in these interactions. However, the characteristics of Li bonds in working Li batteries are not fully explored due to the complexity of battery systems, hindering the advancement of Li bond theory in working batteries. In this work, a universal principle of Li bonds is established by combining theoretical calculations and machine learning techniques. Using organic electrolytes as modeling systems, the universal existence of Li bonds was first verified, particularly under high‐salt‐concentration conditions. A distinct characteristic of a coordination number of four was also demonstrated, distinguishing Li bonds from ionic bonds, consistent with electron localization region deviations around Li‐ions. The influence of electrolyte components on Li bond characteristics was further revealed by</w:t>
      </w:r>
      <w:r>
        <w:rPr>
          <w:vertAlign w:val="subscript"/>
        </w:rPr>
        <w:t>7</w:t>
      </w:r>
      <w:r>
        <w:t>Li nuclear magnetic resonance (NMR) chemical shifts, and an ensemble machine learning model was constructed that quantitatively predicts</w:t>
      </w:r>
      <w:r>
        <w:rPr>
          <w:vertAlign w:val="subscript"/>
        </w:rPr>
        <w:t>7</w:t>
      </w:r>
      <w:r>
        <w:t>Li NMR chemical shifts with high accuracy. This work establishes a universal principle of Li bond characteristics in batteries, advancing fundamental Li chemistry, and guiding rational design for next‐generation Li batteries.</w:t>
      </w:r>
    </w:p>
    <w:p>
      <w:pPr>
        <w:spacing w:before="120" w:after="120"/>
      </w:pPr>
      <w:r>
        <w:rPr>
          <w:sz w:val="18"/>
        </w:rPr>
        <w:t>——————————————————————————————————————————————————————————————————————</w:t>
      </w:r>
    </w:p>
    <w:p>
      <w:pPr>
        <w:spacing w:before="160" w:after="40" w:line="240" w:lineRule="auto"/>
      </w:pPr>
      <w:r>
        <w:rPr>
          <w:b/>
        </w:rPr>
        <w:t xml:space="preserve">[127] </w:t>
      </w:r>
      <w:hyperlink r:id="rId235">
        <w:r>
          <w:rPr>
            <w:color w:val="1155CC"/>
            <w:u w:val="single"/>
          </w:rPr>
          <w:t>一次碰撞 -- -- 两种异质原子:Azasilabenzens气相配制</w:t>
        </w:r>
      </w:hyperlink>
    </w:p>
    <w:p>
      <w:pPr>
        <w:spacing w:before="0" w:after="80"/>
      </w:pPr>
      <w:r>
        <w:rPr>
          <w:i/>
          <w:sz w:val="20"/>
        </w:rPr>
        <w:t>EN: One Collision – Two Heteroatoms: Gas‐Phase Preparation of Azasilabenzenes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36">
        <w:r>
          <w:rPr>
            <w:color w:val="1155CC"/>
            <w:u w:val="single"/>
          </w:rPr>
          <w:t>10.1002/anie.202517656</w:t>
        </w:r>
      </w:hyperlink>
    </w:p>
    <w:p>
      <w:pPr>
        <w:spacing w:before="0" w:after="120"/>
      </w:pPr>
      <w:r>
        <w:rPr>
          <w:b/>
        </w:rPr>
        <w:t xml:space="preserve">Notes: </w:t>
      </w:r>
      <w:r>
        <w:t>abstract_source=crossref</w:t>
      </w:r>
    </w:p>
    <w:p>
      <w:pPr>
        <w:spacing w:before="0" w:after="80" w:lineRule="auto" w:line="276"/>
      </w:pPr>
      <w:r>
        <w:rPr>
          <w:b/>
        </w:rPr>
        <w:t xml:space="preserve">摘要（ZH）: </w:t>
      </w:r>
      <w:r>
        <w:t>抽象自然在关键生物分子合成过程中长期偏爱循环,特别是杂环分子。硅替代碳氢化合物因其独特的化学结合和电子结构,与等价碳对等物相比,其独特的化学结合和电子结构受到越来越多的关注。然而,含有硅的杂环分子的合成仍然是一个重大挑战。在这项工作中,我们调查导致硅和含氮芳烃的循环循环反应机制,在这种循环中,硅和氮原子被紧邻地置于一个芳香、六人环中:azasilabenzenes。这是通过硅亚硝基(SiN)与1,3丁二烯(C)之间的反应实现的。</w:t>
      </w:r>
    </w:p>
    <w:p>
      <w:pPr>
        <w:spacing w:before="0" w:after="200" w:lineRule="auto" w:line="276"/>
      </w:pPr>
      <w:r>
        <w:rPr>
          <w:b/>
        </w:rPr>
        <w:t xml:space="preserve">Abstract (EN): </w:t>
      </w:r>
      <w:r>
        <w:t>Nature has long favored cyclic, particularly heterocyclic, molecules in the synthesis of key biomolecules. Silicon‐substituted hydrocarbons have gained increasing attention due to their unique chemical bonding and electronic structure compared to their iso‐valent carbon counterparts. However, the synthesis of silicon‐containing heterocyclic molecules remains a significant challenge. In this work, we investigate the reaction mechanism leading to a sparsely explored class of silicon‐ and nitrogen‐containing aromatic heterocycles, in which silicon and nitrogen atoms are positioned adjacently within an aromatic, six‐membered ring: azasilabenzenes. This is achieved through the reaction of the silicon nitride (SiN) radical with 1,3‐butadiene (C</w:t>
      </w:r>
      <w:r>
        <w:rPr>
          <w:vertAlign w:val="subscript"/>
        </w:rPr>
        <w:t>4</w:t>
      </w:r>
      <w:r>
        <w:t>H</w:t>
      </w:r>
      <w:r>
        <w:rPr>
          <w:vertAlign w:val="subscript"/>
        </w:rPr>
        <w:t>6</w:t>
      </w:r>
      <w:r>
        <w:t>) via single collision conditions, exploiting a crossed molecular beam experiment combined with electronic structure calculations and statistical analysis. Our results reveal the formation of two novel cyclic products: 1‐aza‐2‐silacyclohexa‐3,5‐dien‐2‐ylidene and 1‐aza‐2‐silabenzene. Interestingly, this reaction contrasts with the iso‐valent system involving the cyano radical (CN) and 1,3‐butadiene (C</w:t>
      </w:r>
      <w:r>
        <w:rPr>
          <w:vertAlign w:val="subscript"/>
        </w:rPr>
        <w:t>4</w:t>
      </w:r>
      <w:r>
        <w:t>H</w:t>
      </w:r>
      <w:r>
        <w:rPr>
          <w:vertAlign w:val="subscript"/>
        </w:rPr>
        <w:t>6</w:t>
      </w:r>
      <w:r>
        <w:t>), which predominantly yields an acyclic product (1‐cyano‐1,3‐butadiene) via a simple addition–elimination pathway. In addition to elucidating the reaction pathways, this study also provides insights into the nature of bonding and atomic interactions in the resulting products, offering a deeper understanding of structure–stability relationships in silicon–nitrogen heterocycles and the counterintuitive concept of iso‐valency.</w:t>
      </w:r>
    </w:p>
    <w:p>
      <w:pPr>
        <w:spacing w:before="120" w:after="120"/>
      </w:pPr>
      <w:r>
        <w:rPr>
          <w:sz w:val="18"/>
        </w:rPr>
        <w:t>——————————————————————————————————————————————————————————————————————</w:t>
      </w:r>
    </w:p>
    <w:p>
      <w:pPr>
        <w:spacing w:before="160" w:after="40" w:line="240" w:lineRule="auto"/>
      </w:pPr>
      <w:r>
        <w:rPr>
          <w:b/>
        </w:rPr>
        <w:t xml:space="preserve">[128] </w:t>
      </w:r>
      <w:hyperlink r:id="rId237">
        <w:r>
          <w:rPr>
            <w:color w:val="1155CC"/>
            <w:u w:val="single"/>
          </w:rPr>
          <w:t>用于在广pH范围内高效硝酸硝酸铵-氨溶化电解的双丙烯酯单氮催化剂的DFT-指导设计和合成</w:t>
        </w:r>
      </w:hyperlink>
    </w:p>
    <w:p>
      <w:pPr>
        <w:spacing w:before="0" w:after="80"/>
      </w:pPr>
      <w:r>
        <w:rPr>
          <w:i/>
          <w:sz w:val="20"/>
        </w:rPr>
        <w:t>EN: DFT‐Guided Design and Synthesis of Bipyridine‐Anchored Copper Single‐Atom Catalysts for Efficient Nitrate‐to‐Ammonia Electroreduction Across a Broad pH Range</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38">
        <w:r>
          <w:rPr>
            <w:color w:val="1155CC"/>
            <w:u w:val="single"/>
          </w:rPr>
          <w:t>10.1002/anie.202517715</w:t>
        </w:r>
      </w:hyperlink>
    </w:p>
    <w:p>
      <w:pPr>
        <w:spacing w:before="0" w:after="120"/>
      </w:pPr>
      <w:r>
        <w:rPr>
          <w:b/>
        </w:rPr>
        <w:t xml:space="preserve">Notes: </w:t>
      </w:r>
      <w:r>
        <w:t>abstract_source=crossref</w:t>
      </w:r>
    </w:p>
    <w:p>
      <w:pPr>
        <w:spacing w:before="0" w:after="80" w:lineRule="auto" w:line="276"/>
      </w:pPr>
      <w:r>
        <w:rPr>
          <w:b/>
        </w:rPr>
        <w:t xml:space="preserve">摘要（ZH）: </w:t>
      </w:r>
      <w:r>
        <w:t>硝酸盐电化学转化为氨电化学是减轻硝酸盐污染的一种有效方法,同时也为氨合成提供了可持续的战略。开发具有成本效益的电催化剂,在硝酸减少反应中表现出高活度和选择性高(N3 RR),是一个巨大的挑战。在这里,我们通过理论筛选和精确合成技术,展示了NO 3 AR(SACs)单子原子催化剂的合理设计。计算前已经对3 ARCs进行了预估。</w:t>
      </w:r>
    </w:p>
    <w:p>
      <w:pPr>
        <w:spacing w:before="0" w:after="200" w:lineRule="auto" w:line="276"/>
      </w:pPr>
      <w:r>
        <w:rPr>
          <w:b/>
        </w:rPr>
        <w:t xml:space="preserve">Abstract (EN): </w:t>
      </w:r>
      <w:r>
        <w:t>The electrochemical conversion of nitrate to ammonia represents an efficient approach to alleviate nitrate pollution, concurrently providing a sustainable strategy for ammonia synthesis. The development of cost‐effective electrocatalysts that exhibit both high activity and selectivity in nitrate reduction reaction (NO</w:t>
      </w:r>
      <w:r>
        <w:rPr>
          <w:vertAlign w:val="subscript"/>
        </w:rPr>
        <w:t>3</w:t>
      </w:r>
      <w:r>
        <w:t>RR) constitutes a substantial challenge. Herein, we demonstrate the rational design of single‐atom catalysts (SACs) for the NO</w:t>
      </w:r>
      <w:r>
        <w:rPr>
          <w:vertAlign w:val="subscript"/>
        </w:rPr>
        <w:t>3</w:t>
      </w:r>
      <w:r>
        <w:t>RR through theoretical screening and precise synthesis techniques. A series of bipyridine‐anchored 3</w:t>
      </w:r>
      <w:r>
        <w:t xml:space="preserve"> </w:t>
      </w:r>
      <w:r>
        <w:t>d</w:t>
      </w:r>
      <w:r>
        <w:t xml:space="preserve"> </w:t>
      </w:r>
      <w:r>
        <w:t>transition metal SACs has been computationally pre‐evaluated for their NO</w:t>
      </w:r>
      <w:r>
        <w:rPr>
          <w:vertAlign w:val="subscript"/>
        </w:rPr>
        <w:t>3</w:t>
      </w:r>
      <w:r>
        <w:t>RR activity and selectivity, and bipyridine‐Cu SAC stands out as the optimal candidate. Guided by the computational predictions, the bipyridine‐Cu encapsulated inside a zirconium‐containing metal–organic framework (namely Cu‐SA/UiO‐bpy) is synthesized and achieves an impressive ammonia yield rate of 7.4 mg</w:t>
      </w:r>
      <w:r>
        <w:t xml:space="preserve"> </w:t>
      </w:r>
      <w:r>
        <w:t>NH3</w:t>
      </w:r>
      <w:r>
        <w:t xml:space="preserve"> </w:t>
      </w:r>
      <w:r>
        <w:t>h</w:t>
      </w:r>
      <w:r>
        <w:t xml:space="preserve"> </w:t>
      </w:r>
      <w:r>
        <w:t>−1</w:t>
      </w:r>
      <w:r>
        <w:t xml:space="preserve"> </w:t>
      </w:r>
      <w:r>
        <w:t>cm</w:t>
      </w:r>
      <w:r>
        <w:t xml:space="preserve"> </w:t>
      </w:r>
      <w:r>
        <w:t>−2</w:t>
      </w:r>
      <w:r>
        <w:t xml:space="preserve"> </w:t>
      </w:r>
      <w:r>
        <w:t>and a faradaic efficiency of 98.1% in NO</w:t>
      </w:r>
      <w:r>
        <w:rPr>
          <w:vertAlign w:val="subscript"/>
        </w:rPr>
        <w:t>3</w:t>
      </w:r>
      <w:r>
        <w:t>RR under neutral conditions. Additionally, Cu‐SA/UiO‐bpy exhibits remarkable catalytic performance (FE &amp;gt; 90%) across a wide pH range. In situ characterizations and theoretical calculations further reveal that bipyridine‐Cu sites facilitate the interfacial dissociation of water and the efficient generation of reactive hydrogen species, enabling the selective hydrogenation of NO</w:t>
      </w:r>
      <w:r>
        <w:t xml:space="preserve"> </w:t>
      </w:r>
      <w:r>
        <w:t>x</w:t>
      </w:r>
      <w:r>
        <w:t xml:space="preserve"> </w:t>
      </w:r>
      <w:r>
        <w:t>intermediates into ammonia. This integration of a data‐driven approach with precise synthesis presents a novel paradigm for developing high‐performance catalysts toward NO</w:t>
      </w:r>
      <w:r>
        <w:rPr>
          <w:vertAlign w:val="subscript"/>
        </w:rPr>
        <w:t>3</w:t>
      </w:r>
      <w:r>
        <w:t>RR and other catalytic applications.</w:t>
      </w:r>
    </w:p>
    <w:p>
      <w:pPr>
        <w:spacing w:before="120" w:after="120"/>
      </w:pPr>
      <w:r>
        <w:rPr>
          <w:sz w:val="18"/>
        </w:rPr>
        <w:t>——————————————————————————————————————————————————————————————————————</w:t>
      </w:r>
    </w:p>
    <w:p>
      <w:pPr>
        <w:spacing w:before="160" w:after="40" w:line="240" w:lineRule="auto"/>
      </w:pPr>
      <w:r>
        <w:rPr>
          <w:b/>
        </w:rPr>
        <w:t xml:space="preserve">[129] </w:t>
      </w:r>
      <w:hyperlink r:id="rId239">
        <w:r>
          <w:rPr>
            <w:color w:val="1155CC"/>
            <w:u w:val="single"/>
          </w:rPr>
          <w:t>稳定液层硅层阴极表层的地表空空置工程第一循环红化器</w:t>
        </w:r>
      </w:hyperlink>
    </w:p>
    <w:p>
      <w:pPr>
        <w:spacing w:before="0" w:after="80"/>
      </w:pPr>
      <w:r>
        <w:rPr>
          <w:i/>
          <w:sz w:val="20"/>
        </w:rPr>
        <w:t>EN: Surface Vacancy Engineering Re‐Routes First‐Cycle Redox for Stabilized Li‐Rich Layered Cathodes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40">
        <w:r>
          <w:rPr>
            <w:color w:val="1155CC"/>
            <w:u w:val="single"/>
          </w:rPr>
          <w:t>10.1002/anie.202517720</w:t>
        </w:r>
      </w:hyperlink>
    </w:p>
    <w:p>
      <w:pPr>
        <w:spacing w:before="0" w:after="120"/>
      </w:pPr>
      <w:r>
        <w:rPr>
          <w:b/>
        </w:rPr>
        <w:t xml:space="preserve">Notes: </w:t>
      </w:r>
      <w:r>
        <w:t>abstract_source=crossref</w:t>
      </w:r>
    </w:p>
    <w:p>
      <w:pPr>
        <w:spacing w:before="0" w:after="80" w:lineRule="auto" w:line="276"/>
      </w:pPr>
      <w:r>
        <w:rPr>
          <w:b/>
        </w:rPr>
        <w:t xml:space="preserve">摘要（ZH）: </w:t>
      </w:r>
      <w:r>
        <w:t>摘要我们证明,原子规模表面紊乱能够控制液态氧化二氧化物的第一周期再氧化序列,消除氧释放的有害过程,消除降低性能的液压崩溃。在利 1.14 Ni0.32 Mn 0.54 O 2 (LNMO)中,一种简单的化学处理方法引入了限于颗粒表面的氧和过渡性金属(TM)空缺,同时保留散积层框架。多式同步器分析显示,这些空缺引发早期氧氧化低于4.4 V,延迟镍氧化。</w:t>
      </w:r>
    </w:p>
    <w:p>
      <w:pPr>
        <w:spacing w:before="0" w:after="200" w:lineRule="auto" w:line="276"/>
      </w:pPr>
      <w:r>
        <w:rPr>
          <w:b/>
        </w:rPr>
        <w:t xml:space="preserve">Abstract (EN): </w:t>
      </w:r>
      <w:r>
        <w:t>We demonstrate that atomic‐scale surface disorder can control the</w:t>
      </w:r>
      <w:r>
        <w:t xml:space="preserve"> </w:t>
      </w:r>
      <w:r>
        <w:t>first‐cycle redox sequence</w:t>
      </w:r>
      <w:r>
        <w:t xml:space="preserve"> </w:t>
      </w:r>
      <w:r>
        <w:t>of Li‐rich layered oxides, eliminating the detrimental process of oxygen release and lattice collapse that degrades performance. In Li</w:t>
      </w:r>
      <w:r>
        <w:t xml:space="preserve"> </w:t>
      </w:r>
      <w:r>
        <w:t>1.14</w:t>
      </w:r>
      <w:r>
        <w:t xml:space="preserve"> </w:t>
      </w:r>
      <w:r>
        <w:t>Ni</w:t>
      </w:r>
      <w:r>
        <w:t xml:space="preserve"> </w:t>
      </w:r>
      <w:r>
        <w:t>0.32</w:t>
      </w:r>
      <w:r>
        <w:t xml:space="preserve"> </w:t>
      </w:r>
      <w:r>
        <w:t>Mn</w:t>
      </w:r>
      <w:r>
        <w:t xml:space="preserve"> </w:t>
      </w:r>
      <w:r>
        <w:t>0.54</w:t>
      </w:r>
      <w:r>
        <w:t xml:space="preserve"> </w:t>
      </w:r>
      <w:r>
        <w:t>O</w:t>
      </w:r>
      <w:r>
        <w:rPr>
          <w:vertAlign w:val="subscript"/>
        </w:rPr>
        <w:t>2</w:t>
      </w:r>
      <w:r>
        <w:t>(LNMO), a simple chemical treatment introduces oxygen and transition metal (TM) vacancies confined to the particle surface while preserving the bulk layered framework. Multi‐modal synchrotron analyses reveal that these vacancies trigger an early oxygen oxidation below 4.4 V, delay nickel oxidation to higher potential, and suppress the formation of covalent Ni</w:t>
      </w:r>
      <w:r>
        <w:t xml:space="preserve"> </w:t>
      </w:r>
      <w:r>
        <w:t>4+</w:t>
      </w:r>
      <w:r>
        <w:t xml:space="preserve"> </w:t>
      </w:r>
      <w:r>
        <w:t>─O states. This modified pathway prevents irreversible oxygen release, suppresses manganese dissolution, and maintains metal‐oxygen coordination at high voltages. Consequently, the treated cathode delivers higher first‐cycle Coulombic efficiency (CE), mitigated voltage fade, and superior capacity retention. By directly linking engineered surface disorder to redox reactions and associated structural transformations, this work establishes a general design principle for durable, high‐energy‐density cathodes.</w:t>
      </w:r>
    </w:p>
    <w:p>
      <w:pPr>
        <w:spacing w:before="120" w:after="120"/>
      </w:pPr>
      <w:r>
        <w:rPr>
          <w:sz w:val="18"/>
        </w:rPr>
        <w:t>——————————————————————————————————————————————————————————————————————</w:t>
      </w:r>
    </w:p>
    <w:p>
      <w:pPr>
        <w:spacing w:before="160" w:after="40" w:line="240" w:lineRule="auto"/>
      </w:pPr>
      <w:r>
        <w:rPr>
          <w:b/>
        </w:rPr>
        <w:t xml:space="preserve">[130] </w:t>
      </w:r>
      <w:hyperlink r:id="rId241">
        <w:r>
          <w:rPr>
            <w:color w:val="1155CC"/>
            <w:u w:val="single"/>
          </w:rPr>
          <w:t>Plasmonic Metal-Moleculle 界面传输充电器载荷承载器的二次二次稳定</w:t>
        </w:r>
      </w:hyperlink>
    </w:p>
    <w:p>
      <w:pPr>
        <w:spacing w:before="0" w:after="80"/>
      </w:pPr>
      <w:r>
        <w:rPr>
          <w:i/>
          <w:sz w:val="20"/>
        </w:rPr>
        <w:t>EN: Picosecond Stabilization of Transferred Charge Carriers at Plasmonic Metal–Molecule Interfaces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42">
        <w:r>
          <w:rPr>
            <w:color w:val="1155CC"/>
            <w:u w:val="single"/>
          </w:rPr>
          <w:t>10.1002/anie.202517934</w:t>
        </w:r>
      </w:hyperlink>
    </w:p>
    <w:p>
      <w:pPr>
        <w:spacing w:before="0" w:after="120"/>
      </w:pPr>
      <w:r>
        <w:rPr>
          <w:b/>
        </w:rPr>
        <w:t xml:space="preserve">Notes: </w:t>
      </w:r>
      <w:r>
        <w:t>abstract_source=crossref</w:t>
      </w:r>
    </w:p>
    <w:p>
      <w:pPr>
        <w:spacing w:before="0" w:after="80" w:lineRule="auto" w:line="276"/>
      </w:pPr>
      <w:r>
        <w:rPr>
          <w:b/>
        </w:rPr>
        <w:t xml:space="preserve">摘要（ZH）: </w:t>
      </w:r>
      <w:r>
        <w:t>电磁等离子纳米粒子在广光谱范围内有效地吸收光,使能源能够转移至相邻分子或半导体,用于光催化应用;然而,充电承运人参与这些传输过程的性质和时间尺度仍然是持续辩论的主题;在本研究中,我们使用宽频 femto 第二次时间溶解红外光谱仪(1100-3000厘米-1)作为免费载体的敏感探测器,以调查银纳米粒子上粘附的选定分子的电源转移动态。</w:t>
      </w:r>
    </w:p>
    <w:p>
      <w:pPr>
        <w:spacing w:before="0" w:after="200" w:lineRule="auto" w:line="276"/>
      </w:pPr>
      <w:r>
        <w:rPr>
          <w:b/>
        </w:rPr>
        <w:t xml:space="preserve">Abstract (EN): </w:t>
      </w:r>
      <w:r>
        <w:t>Plasmonic nanoparticles efficiently absorb light across a broad spectral range, enabling energy transfer to adjacent molecules or semiconductors for photocatalytic applications. However, the nature and timescale of charge carrier involvement in these transfer processes remain a subject of ongoing debate. In this study, we employ broad‐band femtosecond time‐resolved infrared spectroscopy (1100–3000 cm</w:t>
      </w:r>
      <w:r>
        <w:t xml:space="preserve"> </w:t>
      </w:r>
      <w:r>
        <w:t>−1</w:t>
      </w:r>
      <w:r>
        <w:t xml:space="preserve"> </w:t>
      </w:r>
      <w:r>
        <w:t>) as a sensitive probe of free charge carriers to investigate charge transfer dynamics in selected molecules adsorbed on silver nanoparticles. Charge transfer is observed exclusively under resonant excitation of the plasmon and in the presence of adsorbed molecules. Notably, the dynamics of the resulting infrared absorption vary significantly with probe frequency and molecular identity. By applying both Drude and Polaron models, we present compelling evidence that the transferred charge carriers undergo stabilization through solvation and polaron formation. As a consequence, the molecule‐specific time constants for charge back‐transfer extend well beyond the commonly assumed sub‐picosecond regime, indicating a more complex relaxation landscape. Furthermore, the temporal evolution of light‐induced changes in molecular IR modes closely parallels that of the free carrier signal, reinforcing the presence of strong charge carrier–adsorbate interactions.</w:t>
      </w:r>
    </w:p>
    <w:p>
      <w:pPr>
        <w:spacing w:before="120" w:after="120"/>
      </w:pPr>
      <w:r>
        <w:rPr>
          <w:sz w:val="18"/>
        </w:rPr>
        <w:t>——————————————————————————————————————————————————————————————————————</w:t>
      </w:r>
    </w:p>
    <w:p>
      <w:pPr>
        <w:spacing w:before="160" w:after="40" w:line="240" w:lineRule="auto"/>
      </w:pPr>
      <w:r>
        <w:rPr>
          <w:b/>
        </w:rPr>
        <w:t xml:space="preserve">[131] </w:t>
      </w:r>
      <w:hyperlink r:id="rId243">
        <w:r>
          <w:rPr>
            <w:color w:val="1155CC"/>
            <w:u w:val="single"/>
          </w:rPr>
          <w:t>用于增强质子导导的基于聚氧代元的超模分子组别的结构效应</w:t>
        </w:r>
      </w:hyperlink>
    </w:p>
    <w:p>
      <w:pPr>
        <w:spacing w:before="0" w:after="80"/>
      </w:pPr>
      <w:r>
        <w:rPr>
          <w:i/>
          <w:sz w:val="20"/>
        </w:rPr>
        <w:t>EN: Structural Effects in Polyoxometalate‐Based Supramolecular Assemblies for Enhanced Proton Conduction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44">
        <w:r>
          <w:rPr>
            <w:color w:val="1155CC"/>
            <w:u w:val="single"/>
          </w:rPr>
          <w:t>10.1002/anie.202517958</w:t>
        </w:r>
      </w:hyperlink>
    </w:p>
    <w:p>
      <w:pPr>
        <w:spacing w:before="0" w:after="120"/>
      </w:pPr>
      <w:r>
        <w:rPr>
          <w:b/>
        </w:rPr>
        <w:t xml:space="preserve">Notes: </w:t>
      </w:r>
      <w:r>
        <w:t>abstract_source=crossref</w:t>
      </w:r>
    </w:p>
    <w:p>
      <w:pPr>
        <w:spacing w:before="0" w:after="80" w:lineRule="auto" w:line="276"/>
      </w:pPr>
      <w:r>
        <w:rPr>
          <w:b/>
        </w:rPr>
        <w:t xml:space="preserve">摘要（ZH）: </w:t>
      </w:r>
      <w:r>
        <w:t>具有工程充电器-辅助氢化管网络的抽象质子导体对于推进质子交换膜燃料电池(PEMFCs)至关重要。 此处,一个新型的质子导超分子集群([Bi 6 O 5 (OH) 3] 2.24 [PW 12 O 40] 1 [NO 3] 2.4 [H 3 O] 5.8, BPN)已经合成,并进行了属性分析。</w:t>
      </w:r>
    </w:p>
    <w:p>
      <w:pPr>
        <w:spacing w:before="0" w:after="200" w:lineRule="auto" w:line="276"/>
      </w:pPr>
      <w:r>
        <w:rPr>
          <w:b/>
        </w:rPr>
        <w:t xml:space="preserve">Abstract (EN): </w:t>
      </w:r>
      <w:r>
        <w:t>Proton conductors with engineered charge‐assisted hydrogen‐bonding networks are pivotal for advancing proton exchange membrane fuel cells (PEMFCs). Herein, a novel proton‐conducting supramolecular clusters, ([Bi</w:t>
      </w:r>
      <w:r>
        <w:rPr>
          <w:vertAlign w:val="subscript"/>
        </w:rPr>
        <w:t>6</w:t>
      </w:r>
      <w:r>
        <w:t>O</w:t>
      </w:r>
      <w:r>
        <w:rPr>
          <w:vertAlign w:val="subscript"/>
        </w:rPr>
        <w:t>5</w:t>
      </w:r>
      <w:r>
        <w:t>(OH)</w:t>
      </w:r>
      <w:r>
        <w:rPr>
          <w:vertAlign w:val="subscript"/>
        </w:rPr>
        <w:t>3</w:t>
      </w:r>
      <w:r>
        <w:t>]</w:t>
      </w:r>
      <w:r>
        <w:t xml:space="preserve"> </w:t>
      </w:r>
      <w:r>
        <w:t>2.24</w:t>
      </w:r>
      <w:r>
        <w:t xml:space="preserve"> </w:t>
      </w:r>
      <w:r>
        <w:t>[PW</w:t>
      </w:r>
      <w:r>
        <w:rPr>
          <w:vertAlign w:val="subscript"/>
        </w:rPr>
        <w:t>12</w:t>
      </w:r>
      <w:r>
        <w:t>O</w:t>
      </w:r>
      <w:r>
        <w:rPr>
          <w:vertAlign w:val="subscript"/>
        </w:rPr>
        <w:t>40</w:t>
      </w:r>
      <w:r>
        <w:t>]</w:t>
      </w:r>
      <w:r>
        <w:rPr>
          <w:vertAlign w:val="subscript"/>
        </w:rPr>
        <w:t>1</w:t>
      </w:r>
      <w:r>
        <w:t>[NO</w:t>
      </w:r>
      <w:r>
        <w:rPr>
          <w:vertAlign w:val="subscript"/>
        </w:rPr>
        <w:t>3</w:t>
      </w:r>
      <w:r>
        <w:t>]</w:t>
      </w:r>
      <w:r>
        <w:t xml:space="preserve"> </w:t>
      </w:r>
      <w:r>
        <w:t>2.4</w:t>
      </w:r>
      <w:r>
        <w:t xml:space="preserve"> </w:t>
      </w:r>
      <w:r>
        <w:t>[H</w:t>
      </w:r>
      <w:r>
        <w:rPr>
          <w:vertAlign w:val="subscript"/>
        </w:rPr>
        <w:t>3</w:t>
      </w:r>
      <w:r>
        <w:t>O]</w:t>
      </w:r>
      <w:r>
        <w:t xml:space="preserve"> </w:t>
      </w:r>
      <w:r>
        <w:t>5.8</w:t>
      </w:r>
      <w:r>
        <w:t xml:space="preserve"> </w:t>
      </w:r>
      <w:r>
        <w:t>, BPN) has been synthesized and characterized. Molecular dynamics (MD) simulations reveal that charge‐assisted dynamic O─H⋯O hydrogen bonds mediate the supramolecular assembly, while water molecules facilitate proton transport pathways. The material exhibits a maximum proton conductivity of 0.12 S cm</w:t>
      </w:r>
      <w:r>
        <w:t xml:space="preserve"> </w:t>
      </w:r>
      <w:r>
        <w:t>−1</w:t>
      </w:r>
      <w:r>
        <w:t xml:space="preserve"> </w:t>
      </w:r>
      <w:r>
        <w:t>at 90 °C and 97% (RH) relative humidity, which is comparable to that of Nafion. The spin‐lattice relaxation time (</w:t>
      </w:r>
      <w:r>
        <w:t xml:space="preserve"> </w:t>
      </w:r>
      <w:r>
        <w:t>T</w:t>
      </w:r>
      <w:r>
        <w:rPr>
          <w:vertAlign w:val="subscript"/>
        </w:rPr>
        <w:t>1</w:t>
      </w:r>
      <w:r>
        <w:t>) of the Bi–O adsorbed protons is significantly shorter than that of the W‐O adsorbed protons, indicating that the protons at the Bi–O sites have a higher migration rate.</w:t>
      </w:r>
      <w:r>
        <w:rPr>
          <w:vertAlign w:val="subscript"/>
        </w:rPr>
        <w:t>1</w:t>
      </w:r>
      <w:r>
        <w:t>H magic‐angle spinning NMR (</w:t>
      </w:r>
      <w:r>
        <w:rPr>
          <w:vertAlign w:val="subscript"/>
        </w:rPr>
        <w:t>1</w:t>
      </w:r>
      <w:r>
        <w:t>H MAS NMR) and density functional theory (DFT) calculations reveal [Bi</w:t>
      </w:r>
      <w:r>
        <w:rPr>
          <w:vertAlign w:val="subscript"/>
        </w:rPr>
        <w:t>6</w:t>
      </w:r>
      <w:r>
        <w:t>O</w:t>
      </w:r>
      <w:r>
        <w:rPr>
          <w:vertAlign w:val="subscript"/>
        </w:rPr>
        <w:t>8</w:t>
      </w:r>
      <w:r>
        <w:t>] enhances proton mobility, while [PW</w:t>
      </w:r>
      <w:r>
        <w:rPr>
          <w:vertAlign w:val="subscript"/>
        </w:rPr>
        <w:t>12</w:t>
      </w:r>
      <w:r>
        <w:t>O</w:t>
      </w:r>
      <w:r>
        <w:rPr>
          <w:vertAlign w:val="subscript"/>
        </w:rPr>
        <w:t>40</w:t>
      </w:r>
      <w:r>
        <w:t>] stabilizes transition states, lowering the activation barrier to 0.14 eV. The BPN‐Nafion hybrid membrane enhances direct methanol fuel cell performance with an open‐circuit voltage of 0.82 V and power density of 86 mW cm</w:t>
      </w:r>
      <w:r>
        <w:t xml:space="preserve"> </w:t>
      </w:r>
      <w:r>
        <w:t>−2</w:t>
      </w:r>
      <w:r>
        <w:t xml:space="preserve"> </w:t>
      </w:r>
      <w:r>
        <w:t>. This integrative design strategy—synergizing inorganic cluster units with dynamic hydrogen‐bonding networks—establishes a scalable platform for developing PEMFC materials with programmable proton transport pathways and improved operational stability.</w:t>
      </w:r>
    </w:p>
    <w:p>
      <w:pPr>
        <w:spacing w:before="120" w:after="120"/>
      </w:pPr>
      <w:r>
        <w:rPr>
          <w:sz w:val="18"/>
        </w:rPr>
        <w:t>——————————————————————————————————————————————————————————————————————</w:t>
      </w:r>
    </w:p>
    <w:p>
      <w:pPr>
        <w:spacing w:before="160" w:after="40" w:line="240" w:lineRule="auto"/>
      </w:pPr>
      <w:r>
        <w:rPr>
          <w:b/>
        </w:rPr>
        <w:t xml:space="preserve">[132] </w:t>
      </w:r>
      <w:hyperlink r:id="rId245">
        <w:r>
          <w:rPr>
            <w:color w:val="1155CC"/>
            <w:u w:val="single"/>
          </w:rPr>
          <w:t>Nylon66Derived Diamine的Dinitrile 高效电合成,由高活性Mn-O-Co Motifs在Spinel Oxides中生成</w:t>
        </w:r>
      </w:hyperlink>
    </w:p>
    <w:p>
      <w:pPr>
        <w:spacing w:before="0" w:after="80"/>
      </w:pPr>
      <w:r>
        <w:rPr>
          <w:i/>
          <w:sz w:val="20"/>
        </w:rPr>
        <w:t>EN: Efficient Electrosynthesis of Dinitrile from Nylon‐66‐Derived Diamine Enabled by Highly Active Mn–O–Co Motifs in Spinel Oxides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46">
        <w:r>
          <w:rPr>
            <w:color w:val="1155CC"/>
            <w:u w:val="single"/>
          </w:rPr>
          <w:t>10.1002/anie.202516581</w:t>
        </w:r>
      </w:hyperlink>
    </w:p>
    <w:p>
      <w:pPr>
        <w:spacing w:before="0" w:after="120"/>
      </w:pPr>
      <w:r>
        <w:rPr>
          <w:b/>
        </w:rPr>
        <w:t xml:space="preserve">Notes: </w:t>
      </w:r>
      <w:r>
        <w:t>abstract_source=crossref</w:t>
      </w:r>
    </w:p>
    <w:p>
      <w:pPr>
        <w:spacing w:before="0" w:after="80" w:lineRule="auto" w:line="276"/>
      </w:pPr>
      <w:r>
        <w:rPr>
          <w:b/>
        </w:rPr>
        <w:t xml:space="preserve">摘要（ZH）: </w:t>
      </w:r>
      <w:r>
        <w:t>Appionrile(ADN)是能源储存装置和聚合物制造中的关键构件,主要通过丁二烯氢氰化来实现,但这一方法受到能源需求苛刻和对高毒性氰化氢的依赖,从而对环境和安全构成重大关切。在这里,我们利用Mn doped Co 3 O 4催化剂(MnôCo 3 O 4),为ADN从废物尼龙66合成而制定了可持续的电改造战略。Mn doping战略Co 3 O O 。</w:t>
      </w:r>
    </w:p>
    <w:p>
      <w:pPr>
        <w:spacing w:before="0" w:after="200" w:lineRule="auto" w:line="276"/>
      </w:pPr>
      <w:r>
        <w:rPr>
          <w:b/>
        </w:rPr>
        <w:t xml:space="preserve">Abstract (EN): </w:t>
      </w:r>
      <w:r>
        <w:t>Conventional industrial production of adiponitrile (ADN), a critical building block in energy storage devices and polymer manufacturing, is predominately achieved via butadiene hydrocyanation. However, this method suffers from harsh energy demand and reliance on highly toxic hydrogen cyanide, thereby posing significant environmental and safety concerns. Herein, we developed a sustainable electroreforming strategy for ADN synthesis from waste nylon‐66 using Mn doped Co</w:t>
      </w:r>
      <w:r>
        <w:rPr>
          <w:vertAlign w:val="subscript"/>
        </w:rPr>
        <w:t>3</w:t>
      </w:r>
      <w:r>
        <w:t>O</w:t>
      </w:r>
      <w:r>
        <w:rPr>
          <w:vertAlign w:val="subscript"/>
        </w:rPr>
        <w:t>4</w:t>
      </w:r>
      <w:r>
        <w:t>(Mn‐Co</w:t>
      </w:r>
      <w:r>
        <w:rPr>
          <w:vertAlign w:val="subscript"/>
        </w:rPr>
        <w:t>3</w:t>
      </w:r>
      <w:r>
        <w:t>O</w:t>
      </w:r>
      <w:r>
        <w:rPr>
          <w:vertAlign w:val="subscript"/>
        </w:rPr>
        <w:t>4</w:t>
      </w:r>
      <w:r>
        <w:t>) catalyst. Mn doping strategy endows Co</w:t>
      </w:r>
      <w:r>
        <w:rPr>
          <w:vertAlign w:val="subscript"/>
        </w:rPr>
        <w:t>3</w:t>
      </w:r>
      <w:r>
        <w:t>O</w:t>
      </w:r>
      <w:r>
        <w:rPr>
          <w:vertAlign w:val="subscript"/>
        </w:rPr>
        <w:t>4</w:t>
      </w:r>
      <w:r>
        <w:t>with enhanced activity toward electrooxidation of nylon‐66‐derived hexamethylenediamine (HMD). Combined experimental and theoretical investigations reveal that the selective incorporation of Mn into octahedral Co</w:t>
      </w:r>
      <w:r>
        <w:t xml:space="preserve"> </w:t>
      </w:r>
      <w:r>
        <w:t>3+</w:t>
      </w:r>
      <w:r>
        <w:t xml:space="preserve"> </w:t>
      </w:r>
      <w:r>
        <w:t>sites creates highly active Mn–O–Co motifs, which concurrently enables HMD adsorption at Mn sites and the formation of reactive hydroxyl species at Co sites. Such a synergistic interaction between Mn and Co sites promotes N─H bond activation, enabling Mn–Co</w:t>
      </w:r>
      <w:r>
        <w:rPr>
          <w:vertAlign w:val="subscript"/>
        </w:rPr>
        <w:t>3</w:t>
      </w:r>
      <w:r>
        <w:t>O</w:t>
      </w:r>
      <w:r>
        <w:rPr>
          <w:vertAlign w:val="subscript"/>
        </w:rPr>
        <w:t>4</w:t>
      </w:r>
      <w:r>
        <w:t>to achieve a high Faradaic efficiency of ADN (93%) at 200 mA cm</w:t>
      </w:r>
      <w:r>
        <w:t xml:space="preserve"> </w:t>
      </w:r>
      <w:r>
        <w:t>−2</w:t>
      </w:r>
      <w:r>
        <w:t xml:space="preserve"> </w:t>
      </w:r>
      <w:r>
        <w:t>, with a yield rate of 0.87 mmol cm</w:t>
      </w:r>
      <w:r>
        <w:t xml:space="preserve"> </w:t>
      </w:r>
      <w:r>
        <w:t>−2</w:t>
      </w:r>
      <w:r>
        <w:t xml:space="preserve"> </w:t>
      </w:r>
      <w:r>
        <w:t>h</w:t>
      </w:r>
      <w:r>
        <w:t xml:space="preserve"> </w:t>
      </w:r>
      <w:r>
        <w:t>−1</w:t>
      </w:r>
      <w:r>
        <w:t xml:space="preserve"> </w:t>
      </w:r>
      <w:r>
        <w:t>. Furthermore, our study demonstrates a scalable route to generate high‐purity ADN from end‐of‐life cable ties through acidic hydrolysis treatment followed by two‐electrode electrolysis, achieving an overall yield of 95%. This work offers a sustainable approach for ADN electrosynthesis from waste plastics leveraging renewable electricity.</w:t>
      </w:r>
    </w:p>
    <w:p>
      <w:pPr>
        <w:spacing w:before="120" w:after="120"/>
      </w:pPr>
      <w:r>
        <w:rPr>
          <w:sz w:val="18"/>
        </w:rPr>
        <w:t>——————————————————————————————————————————————————————————————————————</w:t>
      </w:r>
    </w:p>
    <w:p>
      <w:pPr>
        <w:spacing w:before="160" w:after="40" w:line="240" w:lineRule="auto"/>
      </w:pPr>
      <w:r>
        <w:rPr>
          <w:b/>
        </w:rPr>
        <w:t xml:space="preserve">[133] </w:t>
      </w:r>
      <w:hyperlink r:id="rId247">
        <w:r>
          <w:rPr>
            <w:color w:val="1155CC"/>
            <w:u w:val="single"/>
          </w:rPr>
          <w:t>在Squarine-Naphthale DiimideSquarine 散装p/n Heterojunction中进行溶剂</w:t>
        </w:r>
      </w:hyperlink>
    </w:p>
    <w:p>
      <w:pPr>
        <w:spacing w:before="0" w:after="80"/>
      </w:pPr>
      <w:r>
        <w:rPr>
          <w:i/>
          <w:sz w:val="20"/>
        </w:rPr>
        <w:t>EN: Solvent‐Controlled Supramolecular Polymerization and Morphology‐Depended Photoconductivity Modulation in a Squaraine‐Naphthalene Diimide‐Squaraine Bulk p/n Heterojunction</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48">
        <w:r>
          <w:rPr>
            <w:color w:val="1155CC"/>
            <w:u w:val="single"/>
          </w:rPr>
          <w:t>10.1002/anie.202516556</w:t>
        </w:r>
      </w:hyperlink>
    </w:p>
    <w:p>
      <w:pPr>
        <w:spacing w:before="0" w:after="120"/>
      </w:pPr>
      <w:r>
        <w:rPr>
          <w:b/>
        </w:rPr>
        <w:t xml:space="preserve">Notes: </w:t>
      </w:r>
      <w:r>
        <w:t>abstract_source=crossref</w:t>
      </w:r>
    </w:p>
    <w:p>
      <w:pPr>
        <w:spacing w:before="0" w:after="80" w:lineRule="auto" w:line="276"/>
      </w:pPr>
      <w:r>
        <w:rPr>
          <w:b/>
        </w:rPr>
        <w:t xml:space="preserve">摘要（ZH）: </w:t>
      </w:r>
      <w:r>
        <w:t>我们设计了一个捐赠者-接受者-捐赠者(D-A-D)分子(TISQ ), 由作为电子捐献者的电子和作为电子接受者的环烷二酰胺组成,通过促进氢联结的氨化链连接连接起来。 这个分子自相分离,根据溶剂的性质而使捐赠者和接受者或接受者之间的空间隔离。 在极地溶剂中,J类型集成通过合作的核核-延长机制形成,而在低极溶剂中,H类型集成通过异体路径形成。 微小分析显示,J类型集成采用纳米粒状形态,而H类型集成则形成更高级的纤维结构。</w:t>
      </w:r>
    </w:p>
    <w:p>
      <w:pPr>
        <w:spacing w:before="0" w:after="200" w:lineRule="auto" w:line="276"/>
      </w:pPr>
      <w:r>
        <w:rPr>
          <w:b/>
        </w:rPr>
        <w:t xml:space="preserve">Abstract (EN): </w:t>
      </w:r>
      <w:r>
        <w:t>We designed a donor–acceptor–donor (D–A–D) molecule,</w:t>
      </w:r>
      <w:r>
        <w:t xml:space="preserve"> </w:t>
      </w:r>
      <w:r>
        <w:t>TISQ</w:t>
      </w:r>
      <w:r>
        <w:t xml:space="preserve"> </w:t>
      </w:r>
      <w:r>
        <w:t>, consisting of squaraine as the electron donor and naphthalene diimide as the electron acceptor, connected via amide linkages that promote hydrogen bonding. This molecule undergoes self‐assembly with spatial segregation of donor and acceptor moieties depending on the nature of the solvent. In polar solvents, J‐type aggregates are formed via a cooperative nucleation–elongation mechanism, whereas in low‐polarity solvents, H‐type aggregates are formed through an isodesmic pathway. Microscopic analyses showed that J‐type aggregates adopt nanoparticle‐like morphologies, whereas H‐type aggregates assemble into higher‐order fibrous structures. Photoconductivity measurements demonstrated that J‐type aggregates exhibit enhanced charge transport relative to H‐type aggregates. The maximum transient photoconductivity (</w:t>
      </w:r>
      <w:r>
        <w:t xml:space="preserve"> </w:t>
      </w:r>
      <w:r>
        <w:t>φ</w:t>
      </w:r>
      <w:r>
        <w:t xml:space="preserve"> </w:t>
      </w:r>
      <w:r>
        <w:t>Σ</w:t>
      </w:r>
      <w:r>
        <w:t xml:space="preserve"> </w:t>
      </w:r>
      <w:r>
        <w:t>μ</w:t>
      </w:r>
      <w:r>
        <w:t xml:space="preserve"> </w:t>
      </w:r>
      <w:r>
        <w:t>) of the J‐type aggregate thin film reached 6.5 × 10</w:t>
      </w:r>
      <w:r>
        <w:t xml:space="preserve"> </w:t>
      </w:r>
      <w:r>
        <w:t>−5</w:t>
      </w:r>
      <w:r>
        <w:t xml:space="preserve"> </w:t>
      </w:r>
      <w:r>
        <w:t>cm</w:t>
      </w:r>
      <w:r>
        <w:rPr>
          <w:vertAlign w:val="subscript"/>
        </w:rPr>
        <w:t>2</w:t>
      </w:r>
      <w:r>
        <w:t>V</w:t>
      </w:r>
      <w:r>
        <w:t xml:space="preserve"> </w:t>
      </w:r>
      <w:r>
        <w:t>−1</w:t>
      </w:r>
      <w:r>
        <w:t xml:space="preserve"> </w:t>
      </w:r>
      <w:r>
        <w:t>s</w:t>
      </w:r>
      <w:r>
        <w:t xml:space="preserve"> </w:t>
      </w:r>
      <w:r>
        <w:t>−1</w:t>
      </w:r>
      <w:r>
        <w:t xml:space="preserve"> </w:t>
      </w:r>
      <w:r>
        <w:t>, exhibiting a photoconductivity 2.0 times greater than that of the H‐type aggregate thin film (3.2 × 10</w:t>
      </w:r>
      <w:r>
        <w:t xml:space="preserve"> </w:t>
      </w:r>
      <w:r>
        <w:t>−5</w:t>
      </w:r>
      <w:r>
        <w:t xml:space="preserve"> </w:t>
      </w:r>
      <w:r>
        <w:t>cm</w:t>
      </w:r>
      <w:r>
        <w:rPr>
          <w:vertAlign w:val="subscript"/>
        </w:rPr>
        <w:t>2</w:t>
      </w:r>
      <w:r>
        <w:t>V</w:t>
      </w:r>
      <w:r>
        <w:t xml:space="preserve"> </w:t>
      </w:r>
      <w:r>
        <w:t>−1</w:t>
      </w:r>
      <w:r>
        <w:t xml:space="preserve"> </w:t>
      </w:r>
      <w:r>
        <w:t>s</w:t>
      </w:r>
      <w:r>
        <w:t xml:space="preserve"> </w:t>
      </w:r>
      <w:r>
        <w:t>−1</w:t>
      </w:r>
      <w:r>
        <w:t xml:space="preserve"> </w:t>
      </w:r>
      <w:r>
        <w:t>). Although bulk heterojunction solar cells with photoactive layers of the D–A–D molecule face challenges in forming continuous macroscopic p/n heterojunctions, these findings underscore that controlled self‐assembly of D–A–D molecules facilitates the formation of nanoscale p/n heterojunctions and the aggregate morphology plays a critical role in the charge transport.</w:t>
      </w:r>
    </w:p>
    <w:p>
      <w:pPr>
        <w:spacing w:before="120" w:after="120"/>
      </w:pPr>
      <w:r>
        <w:rPr>
          <w:sz w:val="18"/>
        </w:rPr>
        <w:t>——————————————————————————————————————————————————————————————————————</w:t>
      </w:r>
    </w:p>
    <w:p>
      <w:pPr>
        <w:spacing w:before="160" w:after="40" w:line="240" w:lineRule="auto"/>
      </w:pPr>
      <w:r>
        <w:rPr>
          <w:b/>
        </w:rPr>
        <w:t xml:space="preserve">[134] </w:t>
      </w:r>
      <w:hyperlink r:id="rId249">
        <w:r>
          <w:rPr>
            <w:color w:val="1155CC"/>
            <w:u w:val="single"/>
          </w:rPr>
          <w:t>在最低盐碱条件下稳定硅阳极的溶解沙壳工程增强添加作用</w:t>
        </w:r>
      </w:hyperlink>
    </w:p>
    <w:p>
      <w:pPr>
        <w:spacing w:before="0" w:after="80"/>
      </w:pPr>
      <w:r>
        <w:rPr>
          <w:i/>
          <w:sz w:val="20"/>
        </w:rPr>
        <w:t>EN: Solvation‐Shell Engineering Enables Additive‐Dominated Coordination for Stable Silicon Anodes Under Minimal Salt Conditions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50">
        <w:r>
          <w:rPr>
            <w:color w:val="1155CC"/>
            <w:u w:val="single"/>
          </w:rPr>
          <w:t>10.1002/anie.202518092</w:t>
        </w:r>
      </w:hyperlink>
    </w:p>
    <w:p>
      <w:pPr>
        <w:spacing w:before="0" w:after="120"/>
      </w:pPr>
      <w:r>
        <w:rPr>
          <w:b/>
        </w:rPr>
        <w:t xml:space="preserve">Notes: </w:t>
      </w:r>
      <w:r>
        <w:t>abstract_source=crossref</w:t>
      </w:r>
    </w:p>
    <w:p>
      <w:pPr>
        <w:spacing w:before="0" w:after="80" w:lineRule="auto" w:line="276"/>
      </w:pPr>
      <w:r>
        <w:rPr>
          <w:b/>
        </w:rPr>
        <w:t xml:space="preserve">摘要（ZH）: </w:t>
      </w:r>
      <w:r>
        <w:t>抽象构造稳定的固态电解间链(SEI)对于在下一代锂锂电池(LIBs)中促成高容量合金阳极至关重要,然而,基于高盐浓度或昂贵添加剂的常规战略受到高成本、粘度和不兼容性的限制。在此,我们制定了溶解工程战略,通过尽量减少参与离子,增加Li+溶液罐体中添加的分子的协调数量。DMM/THF/FEC(4:3:3:3)的低容量电解法由0.2 MLFSI(LiPF 6)组成的低容量离子电解法(4:3:3xVol%)使得以添加剂为主的协调和有利于形成一个统一的、氟富的SEI。</w:t>
      </w:r>
    </w:p>
    <w:p>
      <w:pPr>
        <w:spacing w:before="0" w:after="200" w:lineRule="auto" w:line="276"/>
      </w:pPr>
      <w:r>
        <w:rPr>
          <w:b/>
        </w:rPr>
        <w:t xml:space="preserve">Abstract (EN): </w:t>
      </w:r>
      <w:r>
        <w:t>Constructing a stable solid electrolyte interphase (SEI) is essential for enabling high‐capacity alloying anodes in next‐generation lithium‐ion batteries (LIBs). However, conventional strategies based on high salt concentrations or expensive additives are limited by high cost, viscosity, and poor compatibility. Herein, we develop a solvation engineering strategy to increase the coordination number of additive molecules in the Li⁺ solvation shell by minimizing anion participation. A low‐salt electrolyte composed of 0.2 M LiFSI (LiPF</w:t>
      </w:r>
      <w:r>
        <w:rPr>
          <w:vertAlign w:val="subscript"/>
        </w:rPr>
        <w:t>6</w:t>
      </w:r>
      <w:r>
        <w:t>) in DMM/THF/FEC (4:3:3 by vol%) enables additive‐dominated coordination and facilitates the formation of a uniform, fluorine‐rich SEI. Characterizations including molecular dynamics simulations, spectroscopy, and 3D electrode reconstruction confirm this tailored solvation environment stabilizes the Si interface and mitigates volume‐induced degradation. As a result, silicon anode exhibits a specific capacity of ∼2000 mAh g</w:t>
      </w:r>
      <w:r>
        <w:t xml:space="preserve"> </w:t>
      </w:r>
      <w:r>
        <w:t>−1</w:t>
      </w:r>
      <w:r>
        <w:t xml:space="preserve"> </w:t>
      </w:r>
      <w:r>
        <w:t>over 200 cycles, while graphite anodes retain 96% capacity after 500 cycles. Stable cycling performances can also be achieved in different pouch cells. This work underscores the critical importance of additive coordination control in electrolyte design and provides a broadly applicable, cost‐effective strategy for advancing alloy‐type anodes in practical LIB systems.</w:t>
      </w:r>
    </w:p>
    <w:p>
      <w:pPr>
        <w:spacing w:before="120" w:after="120"/>
      </w:pPr>
      <w:r>
        <w:rPr>
          <w:sz w:val="18"/>
        </w:rPr>
        <w:t>——————————————————————————————————————————————————————————————————————</w:t>
      </w:r>
    </w:p>
    <w:p>
      <w:pPr>
        <w:spacing w:before="160" w:after="40" w:line="240" w:lineRule="auto"/>
      </w:pPr>
      <w:r>
        <w:rPr>
          <w:b/>
        </w:rPr>
        <w:t xml:space="preserve">[135] </w:t>
      </w:r>
      <w:hyperlink r:id="rId251">
        <w:r>
          <w:rPr>
            <w:color w:val="1155CC"/>
            <w:u w:val="single"/>
          </w:rPr>
          <w:t>Cation  介质化的弱化溶解化学能让冷冻剂和压缩的 Gel 聚合体 电解器</w:t>
        </w:r>
      </w:hyperlink>
    </w:p>
    <w:p>
      <w:pPr>
        <w:spacing w:before="0" w:after="80"/>
      </w:pPr>
      <w:r>
        <w:rPr>
          <w:i/>
          <w:sz w:val="20"/>
        </w:rPr>
        <w:t>EN: Cation‐π Mediated Weak Solvation Chemistry Enables Dendrite‐Suppressed Gel Polymer Electrolytes</w:t>
      </w:r>
    </w:p>
    <w:p>
      <w:pPr>
        <w:spacing w:before="0" w:after="120"/>
      </w:pPr>
      <w:r>
        <w:rPr>
          <w:b/>
        </w:rPr>
        <w:t xml:space="preserve">Source: </w:t>
      </w:r>
      <w:r>
        <w:t>Wiley: Angewandte Chemie International Edition: Table of Contents</w:t>
      </w:r>
      <w:r>
        <w:t xml:space="preserve">    </w:t>
      </w:r>
      <w:r>
        <w:rPr>
          <w:b/>
        </w:rPr>
        <w:t xml:space="preserve">Pub date: </w:t>
      </w:r>
      <w:r>
        <w:t>2026-01-03 06:15:46+00:00</w:t>
      </w:r>
      <w:r>
        <w:t xml:space="preserve">    </w:t>
      </w:r>
      <w:r>
        <w:rPr>
          <w:b/>
        </w:rPr>
        <w:t xml:space="preserve">DOI: </w:t>
      </w:r>
      <w:hyperlink r:id="rId252">
        <w:r>
          <w:rPr>
            <w:color w:val="1155CC"/>
            <w:u w:val="single"/>
          </w:rPr>
          <w:t>10.1002/anie.202517516</w:t>
        </w:r>
      </w:hyperlink>
    </w:p>
    <w:p>
      <w:pPr>
        <w:spacing w:before="0" w:after="120"/>
      </w:pPr>
      <w:r>
        <w:rPr>
          <w:b/>
        </w:rPr>
        <w:t xml:space="preserve">Notes: </w:t>
      </w:r>
      <w:r>
        <w:t>abstract_source=crossref</w:t>
      </w:r>
    </w:p>
    <w:p>
      <w:pPr>
        <w:spacing w:before="0" w:after="80" w:lineRule="auto" w:line="276"/>
      </w:pPr>
      <w:r>
        <w:rPr>
          <w:b/>
        </w:rPr>
        <w:t xml:space="preserve">摘要（ZH）: </w:t>
      </w:r>
      <w:r>
        <w:t>抽象聚合物电解解液(GPE)尽管具有灵活性、非渗漏性和可加工性,但作为高能密度锂电池的有前途的电子解解解液剂候选者,持续面临由强力溶化相互作用造成的高溶解能量的挑战。这种高溶解能会影响异性运动力,导致不均匀的锂沉积和无法控制的锂脱晶体生长。在这项研究中,我们发现,侧链中芳香环的离心电子云可以引入cation--互动,以改造薄弱的溶解结构,大大减少脱尘障碍。此外,还证明cation-cl互动具有竞争性地扰乱了Li+。</w:t>
      </w:r>
    </w:p>
    <w:p>
      <w:pPr>
        <w:spacing w:before="0" w:after="200" w:lineRule="auto" w:line="276"/>
      </w:pPr>
      <w:r>
        <w:rPr>
          <w:b/>
        </w:rPr>
        <w:t xml:space="preserve">Abstract (EN): </w:t>
      </w:r>
      <w:r>
        <w:t>Gel polymer electrolytes (GPEs), despite their flexibility, non‐leakage, and processability as promising candidates of electrolytes for high‐energy‐density lithium batteries, persistently face the challenge of high desolvation energy caused by robust solvation interactions. Such high desolvation energy compromises interfacial kinetics, resulting in uneven lithium deposition and uncontrollable lithium dendrite growth. In this study, we reveal that the off‐domain π‐electron cloud of the aromatic ring in the side chains can introduce cation−π interactions to engineer weakly solvated structures, substantially reducing desolvation barriers. In addition, it is demonstrated that cation−π interactions competitively disrupt Li</w:t>
      </w:r>
      <w:r>
        <w:t xml:space="preserve"> </w:t>
      </w:r>
      <w:r>
        <w:t>+</w:t>
      </w:r>
      <w:r>
        <w:t xml:space="preserve"> </w:t>
      </w:r>
      <w:r>
        <w:t>−solvent coordination, attenuating binding forces between Li</w:t>
      </w:r>
      <w:r>
        <w:t xml:space="preserve"> </w:t>
      </w:r>
      <w:r>
        <w:t>+</w:t>
      </w:r>
      <w:r>
        <w:t xml:space="preserve"> </w:t>
      </w:r>
      <w:r>
        <w:t>and solvent molecules to promote rapid interfacial kinetics, thereby suppressing the lithium dendrite growth and enhancing interfacial stability. As a result, the cation−π chemistry enables Li||Li symmetric cell to achieve stable lithium plating/stripping over 2000 h, whereas Li||LFP full cell retains 91.6% capacity after 900 cycles at 1 C. Remarkably, 1.0 Ah pouch cell preserves 94.6% capacity after 300 cycles, and the 4.5 Ah pouch cell delivers a stable energy density of 321 Wh kg</w:t>
      </w:r>
      <w:r>
        <w:t xml:space="preserve"> </w:t>
      </w:r>
      <w:r>
        <w:t>−1</w:t>
      </w:r>
      <w:r>
        <w:t xml:space="preserve"> </w:t>
      </w:r>
      <w:r>
        <w:t>. This cation−π mediated weak solvation chemistry provides valuable guidance for developing high‐performance gel polymer lithium batteries.</w:t>
      </w:r>
    </w:p>
    <w:p>
      <w:pPr>
        <w:spacing w:before="120" w:after="120"/>
      </w:pPr>
      <w:r>
        <w:rPr>
          <w:sz w:val="18"/>
        </w:rPr>
        <w:t>——————————————————————————————————————————————————————————————————————</w:t>
      </w:r>
    </w:p>
    <w:p>
      <w:pPr>
        <w:spacing w:before="160" w:after="40" w:line="240" w:lineRule="auto"/>
      </w:pPr>
      <w:r>
        <w:rPr>
          <w:b/>
        </w:rPr>
        <w:t xml:space="preserve">[136] </w:t>
      </w:r>
      <w:hyperlink r:id="rId253">
        <w:r>
          <w:rPr>
            <w:color w:val="1155CC"/>
            <w:u w:val="single"/>
          </w:rPr>
          <w:t>加速愈合创伤的快速诊断性口腔微环境</w:t>
        </w:r>
      </w:hyperlink>
    </w:p>
    <w:p>
      <w:pPr>
        <w:spacing w:before="0" w:after="80"/>
      </w:pPr>
      <w:r>
        <w:rPr>
          <w:i/>
          <w:sz w:val="20"/>
        </w:rPr>
        <w:t>EN: Charge‐Driven Bioshield Remodels Diabetic Oral Microenvironment for Accelerated Wound Healing</w:t>
      </w:r>
    </w:p>
    <w:p>
      <w:pPr>
        <w:spacing w:before="0" w:after="120"/>
      </w:pPr>
      <w:r>
        <w:rPr>
          <w:b/>
        </w:rPr>
        <w:t xml:space="preserve">Source: </w:t>
      </w:r>
      <w:r>
        <w:t>Wiley: Advanced Materials: Table of Contents</w:t>
      </w:r>
      <w:r>
        <w:t xml:space="preserve">    </w:t>
      </w:r>
      <w:r>
        <w:rPr>
          <w:b/>
        </w:rPr>
        <w:t xml:space="preserve">Pub date: </w:t>
      </w:r>
      <w:r>
        <w:t>2026-01-03 06:18:28+00:00</w:t>
      </w:r>
      <w:r>
        <w:t xml:space="preserve">    </w:t>
      </w:r>
      <w:r>
        <w:rPr>
          <w:b/>
        </w:rPr>
        <w:t xml:space="preserve">DOI: </w:t>
      </w:r>
      <w:hyperlink r:id="rId254">
        <w:r>
          <w:rPr>
            <w:color w:val="1155CC"/>
            <w:u w:val="single"/>
          </w:rPr>
          <w:t>10.1002/adma.202516778</w:t>
        </w:r>
      </w:hyperlink>
    </w:p>
    <w:p>
      <w:pPr>
        <w:spacing w:before="0" w:after="120"/>
      </w:pPr>
      <w:r>
        <w:rPr>
          <w:b/>
        </w:rPr>
        <w:t xml:space="preserve">Notes: </w:t>
      </w:r>
      <w:r>
        <w:t>abstract_source=crossref</w:t>
      </w:r>
    </w:p>
    <w:p>
      <w:pPr>
        <w:spacing w:before="0" w:after="80" w:lineRule="auto" w:line="276"/>
      </w:pPr>
      <w:r>
        <w:rPr>
          <w:b/>
        </w:rPr>
        <w:t xml:space="preserve">摘要（ZH）: </w:t>
      </w:r>
      <w:r>
        <w:t>ABSTACT 糖尿病慢性伤口,特别是在潮湿和机械活跃的口腔环境中,由于中微营养素外细胞陷阱(NETs)中枢炎、生物纤维感染和细胞外基体缺陷的改造,对治疗构成巨大的挑战。为了应对这一挑战,我们开发了一种蛋白基粘合生物屏蔽,通过物理阻塞和静电互动的联合行动发挥作用,同时作为细菌屏障和耐热层凝固器发挥作用,从而重新激活枢纽粘合信号。蛋白质高密度碱性碱性残留物建立了一个强大的粘合网络,以抵御动态口腔环境,同时形成持久性抗菌性生物屏蔽。值得注意的是,粘合生物屏蔽物的净电荷很高。</w:t>
      </w:r>
    </w:p>
    <w:p>
      <w:pPr>
        <w:spacing w:before="0" w:after="200" w:lineRule="auto" w:line="276"/>
      </w:pPr>
      <w:r>
        <w:rPr>
          <w:b/>
        </w:rPr>
        <w:t xml:space="preserve">Abstract (EN): </w:t>
      </w:r>
      <w:r>
        <w:t>Diabetic chronic wounds, especially in the moist and mechanically dynamic oral environment, pose a significant therapeutic challenge due to neutrophil extracellular traps (NETs)‐mediated inflammation, biofilm infections, and extracellular matrix remodeling defects. To address this challenge, we develop a protein‐based adhesive bioshield, functioning through the combined action of physical blocking and electrostatic interaction, that simultaneously acts as a bacterial barrier and NETs scavenger, thereby reactivating the focal adhesion signaling. The protein's high‐density lysine residues establish a robust adhesion network that resists the dynamic oral environment while creating a persistent antibacterial bioshield. Notably, the high net charge of adhesive bioshield enables rapid NETs neutralization by electrostatically binding cell‐free DNA (cfDNA), which reduces local NETs levels and inflammatory responses. This NETs clearance subsequently alleviates inflammation‐mediated suppression of focal adhesion signaling, which coordinately accelerates diabetic wound healing through enhanced epithelial migration, endothelial proliferation, and angiogenesis. Overall, this study presents a charge‐driven therapeutic strategy that targets NETs‐mediated inflammation, offering an alternative approach for managing diabetic wounds in dynamic and wet environments.</w:t>
      </w:r>
    </w:p>
    <w:p>
      <w:pPr>
        <w:spacing w:before="120" w:after="120"/>
      </w:pPr>
      <w:r>
        <w:rPr>
          <w:sz w:val="18"/>
        </w:rPr>
        <w:t>——————————————————————————————————————————————————————————————————————</w:t>
      </w:r>
    </w:p>
    <w:p>
      <w:pPr>
        <w:spacing w:before="160" w:after="40" w:line="240" w:lineRule="auto"/>
      </w:pPr>
      <w:r>
        <w:rPr>
          <w:b/>
        </w:rPr>
        <w:t xml:space="preserve">[137] </w:t>
      </w:r>
      <w:hyperlink r:id="rId255">
        <w:r>
          <w:rPr>
            <w:color w:val="1155CC"/>
            <w:u w:val="single"/>
          </w:rPr>
          <w:t>以 Imine 连接的共值有机框架使高性能天基天基Perovskite 太阳能电池得以高性能</w:t>
        </w:r>
      </w:hyperlink>
    </w:p>
    <w:p>
      <w:pPr>
        <w:spacing w:before="0" w:after="80"/>
      </w:pPr>
      <w:r>
        <w:rPr>
          <w:i/>
          <w:sz w:val="20"/>
        </w:rPr>
        <w:t>EN: Multidentate Chelation by Imine‐Linked Covalent Organic Framework Enables High‐Performance Tin‐Based Perovskite Solar Cells</w:t>
      </w:r>
    </w:p>
    <w:p>
      <w:pPr>
        <w:spacing w:before="0" w:after="120"/>
      </w:pPr>
      <w:r>
        <w:rPr>
          <w:b/>
        </w:rPr>
        <w:t xml:space="preserve">Source: </w:t>
      </w:r>
      <w:r>
        <w:t>Wiley: Advanced Materials: Table of Contents</w:t>
      </w:r>
      <w:r>
        <w:t xml:space="preserve">    </w:t>
      </w:r>
      <w:r>
        <w:rPr>
          <w:b/>
        </w:rPr>
        <w:t xml:space="preserve">Pub date: </w:t>
      </w:r>
      <w:r>
        <w:t>2026-01-03 06:19:18+00:00</w:t>
      </w:r>
      <w:r>
        <w:t xml:space="preserve">    </w:t>
      </w:r>
      <w:r>
        <w:rPr>
          <w:b/>
        </w:rPr>
        <w:t xml:space="preserve">DOI: </w:t>
      </w:r>
      <w:hyperlink r:id="rId256">
        <w:r>
          <w:rPr>
            <w:color w:val="1155CC"/>
            <w:u w:val="single"/>
          </w:rPr>
          <w:t>10.1002/adma.202519934</w:t>
        </w:r>
      </w:hyperlink>
    </w:p>
    <w:p>
      <w:pPr>
        <w:spacing w:before="0" w:after="120"/>
      </w:pPr>
      <w:r>
        <w:rPr>
          <w:b/>
        </w:rPr>
        <w:t xml:space="preserve">Notes: </w:t>
      </w:r>
      <w:r>
        <w:t>abstract_source=crossref</w:t>
      </w:r>
    </w:p>
    <w:p>
      <w:pPr>
        <w:spacing w:before="0" w:after="80" w:lineRule="auto" w:line="276"/>
      </w:pPr>
      <w:r>
        <w:rPr>
          <w:b/>
        </w:rPr>
        <w:t xml:space="preserve">摘要（ZH）: </w:t>
      </w:r>
      <w:r>
        <w:t>ABSTACT Tin-Bin-basic perovskite太阳能电池(TPSC)是一种极有希望的光伏发电技术,因为其生态友好和接近光谱带,接近单一枢纽效率限度,但是,在以锡为基地的Penovskites中,Sn 2 + 离子的快速氧化导致高缺陷密度并妨碍电荷运输,极大地限制了设备性能。 在本研究报告中,我们报告了首次使用两个与IMine-connex-convironor covalent 有机框架的情况,这两个框架包含大量表面结合组,即BCTB-BTD-COF和BTBTB-BSD-COF,作为TPSC的前体添加剂。两个COF都有效地抑制了Sn 2+离子的氧化,以及Sn 2和Sn COF。</w:t>
      </w:r>
    </w:p>
    <w:p>
      <w:pPr>
        <w:spacing w:before="0" w:after="200" w:lineRule="auto" w:line="276"/>
      </w:pPr>
      <w:r>
        <w:rPr>
          <w:b/>
        </w:rPr>
        <w:t xml:space="preserve">Abstract (EN): </w:t>
      </w:r>
      <w:r>
        <w:t>Tin‐based perovskite solar cells (TPSCs) represent a highly promising photovoltaic technology owing to their eco‐friendliness and near‐ideal bandgap, which approaches the single‐junction efficiency limit. However, the rapid oxidation of Sn</w:t>
      </w:r>
      <w:r>
        <w:rPr>
          <w:vertAlign w:val="subscript"/>
        </w:rPr>
        <w:t>2</w:t>
      </w:r>
      <w:r>
        <w:t>+</w:t>
      </w:r>
      <w:r>
        <w:t xml:space="preserve"> </w:t>
      </w:r>
      <w:r>
        <w:t>ions in tin‐based perovskites induces high defect densities and hampers charge transport, significantly limiting device performance. In this study, we report the first use of two imine‐linked donor–acceptor covalent organic frameworks (COFs) featuring abundant surface binding groups, BCTB‐BTD‐COF and BCTB‐BSD‐COF, as precursor additives for TPSCs. Both COFs effectively suppress oxidation of Sn</w:t>
      </w:r>
      <w:r>
        <w:t xml:space="preserve"> </w:t>
      </w:r>
      <w:r>
        <w:t>2+</w:t>
      </w:r>
      <w:r>
        <w:t xml:space="preserve"> </w:t>
      </w:r>
      <w:r>
        <w:t>ions and passivate defects, while BCTB‐BSD‐COF exhibits superior performance through multidentate chelation, enabling defect passivation, reduced non‐radiative recombination, and optimized interfacial energy‐level alignment. Consequently, the addition of COFs significantly improved the performance of TPSCs, while BCTB‐BSD‐COF‐based TPSCs achieve a champion power conversion efficiency of 16.29% (certified 15.88%) with an open‐circuit voltage of 0.95 V and a fill factor of 79.47%. These devices also demonstrate exceptional stability, retaining 85% of its initial PCE after 35 days of continuous illumination. This work presents a novel strategy for passivating defects in TPSCs and offers a promising pathway toward high‐performance TPSCs.</w:t>
      </w:r>
    </w:p>
    <w:p>
      <w:pPr>
        <w:spacing w:before="120" w:after="120"/>
      </w:pPr>
      <w:r>
        <w:rPr>
          <w:sz w:val="18"/>
        </w:rPr>
        <w:t>——————————————————————————————————————————————————————————————————————</w:t>
      </w:r>
    </w:p>
    <w:p>
      <w:pPr>
        <w:spacing w:before="160" w:after="40" w:line="240" w:lineRule="auto"/>
      </w:pPr>
      <w:r>
        <w:rPr>
          <w:b/>
        </w:rPr>
        <w:t xml:space="preserve">[138] </w:t>
      </w:r>
      <w:hyperlink r:id="rId257">
        <w:r>
          <w:rPr>
            <w:color w:val="1155CC"/>
            <w:u w:val="single"/>
          </w:rPr>
          <w:t>扩大共值有机框架的结构和功能多样性</w:t>
        </w:r>
      </w:hyperlink>
    </w:p>
    <w:p>
      <w:pPr>
        <w:spacing w:before="0" w:after="80"/>
      </w:pPr>
      <w:r>
        <w:rPr>
          <w:i/>
          <w:sz w:val="20"/>
        </w:rPr>
        <w:t>EN: Engineering Heterocyclic Linkages to Expand the Structural and Functional Diversity of Covalent Organic Frameworks</w:t>
      </w:r>
    </w:p>
    <w:p>
      <w:pPr>
        <w:spacing w:before="0" w:after="120"/>
      </w:pPr>
      <w:r>
        <w:rPr>
          <w:b/>
        </w:rPr>
        <w:t xml:space="preserve">Source: </w:t>
      </w:r>
      <w:r>
        <w:t>Wiley: Angewandte Chemie International Edition: Table of Contents</w:t>
      </w:r>
      <w:r>
        <w:t xml:space="preserve">    </w:t>
      </w:r>
      <w:r>
        <w:rPr>
          <w:b/>
        </w:rPr>
        <w:t xml:space="preserve">Pub date: </w:t>
      </w:r>
      <w:r>
        <w:t>2026-01-03 06:20:07+00:00</w:t>
      </w:r>
      <w:r>
        <w:t xml:space="preserve">    </w:t>
      </w:r>
      <w:r>
        <w:rPr>
          <w:b/>
        </w:rPr>
        <w:t xml:space="preserve">DOI: </w:t>
      </w:r>
      <w:hyperlink r:id="rId258">
        <w:r>
          <w:rPr>
            <w:color w:val="1155CC"/>
            <w:u w:val="single"/>
          </w:rPr>
          <w:t>10.1002/anie.202516352</w:t>
        </w:r>
      </w:hyperlink>
    </w:p>
    <w:p>
      <w:pPr>
        <w:spacing w:before="0" w:after="120"/>
      </w:pPr>
      <w:r>
        <w:rPr>
          <w:b/>
        </w:rPr>
        <w:t xml:space="preserve">Notes: </w:t>
      </w:r>
      <w:r>
        <w:t>abstract_source=crossref</w:t>
      </w:r>
    </w:p>
    <w:p>
      <w:pPr>
        <w:spacing w:before="0" w:after="80" w:lineRule="auto" w:line="276"/>
      </w:pPr>
      <w:r>
        <w:rPr>
          <w:b/>
        </w:rPr>
        <w:t xml:space="preserve">摘要（ZH）: </w:t>
      </w:r>
      <w:r>
        <w:t>热循环相关连合有机框架(HCHCOF)是一很有希望的晶状多孔聚合物类别,通过将有机模块通过环环环藻状体与扩展结构连接起来,从而将有机模块与扩展结构连接起来。HCCOF由于其牢固的联系、扩大的凝聚和丰富的异氧化场地而得到了相当的重视。这些内在特征使得HCCOF具有高度的化学稳定性、增强的轻丰收能力以及可金枪鱼的再氧化活动,从而使它们有希望广泛应用的系统,例如分离、催化、感测、发光、生物医学、能源储存和环境补救。本审查的目的是全面概述所采用的新合成和合成后改造战略。</w:t>
      </w:r>
    </w:p>
    <w:p>
      <w:pPr>
        <w:spacing w:before="0" w:after="200" w:lineRule="auto" w:line="276"/>
      </w:pPr>
      <w:r>
        <w:rPr>
          <w:b/>
        </w:rPr>
        <w:t xml:space="preserve">Abstract (EN): </w:t>
      </w:r>
      <w:r>
        <w:t>Heterocycle‐linked covalent organic frameworks (HC‐COFs) are a promising class of crystalline porous polymers constructed by linking organic modules into extended structures via heterocyclic moieties. HC‐COFs have received considerable attention due to their robust linkages, extended π‐conjugation and abundant heteroatomic sites. These intrinsic characteristics endow HC‐COFs with high chemical stability, enhanced light‐harvesting ability, and tunable redox activity, thus making them promising systems for widespread applications such as separation, catalysis, sensing, luminescence, biomedicine, energy storage, and environmental remediation. This review aims to provide a comprehensive overview of de novo synthesis and post‐synthetic modification strategies employed for the production of HC‐COFs, along with their physicochemical properties and representative applications. Finally, we highlight the future opportunities and challenges of HC‐COFs for next generation functional materials. This review would offer an insightful understanding of the subtle interplay between heterocyclic linkages and overall skeleton, thus providing a useful guidance on how to further solve the COF trilemma regarding crystallinity, stability and functionality.</w:t>
      </w:r>
    </w:p>
    <w:p>
      <w:pPr>
        <w:spacing w:before="120" w:after="120"/>
      </w:pPr>
      <w:r>
        <w:rPr>
          <w:sz w:val="18"/>
        </w:rPr>
        <w:t>——————————————————————————————————————————————————————————————————————</w:t>
      </w:r>
    </w:p>
    <w:p>
      <w:pPr>
        <w:spacing w:before="160" w:after="40" w:line="240" w:lineRule="auto"/>
      </w:pPr>
      <w:r>
        <w:rPr>
          <w:b/>
        </w:rPr>
        <w:t xml:space="preserve">[139] </w:t>
      </w:r>
      <w:hyperlink r:id="rId259">
        <w:r>
          <w:rPr>
            <w:color w:val="1155CC"/>
            <w:u w:val="single"/>
          </w:rPr>
          <w:t>打破效率壁垒:两渠道能源转让使Er3-Doped Cs3DyI6纳米晶体的1540 nm NIR LED记录记录</w:t>
        </w:r>
      </w:hyperlink>
    </w:p>
    <w:p>
      <w:pPr>
        <w:spacing w:before="0" w:after="80"/>
      </w:pPr>
      <w:r>
        <w:rPr>
          <w:i/>
          <w:sz w:val="20"/>
        </w:rPr>
        <w:t>EN: Breaking Efficiency Barrier: Dual‐Channel Energy Transfer Enables Record 1540 nm NIR LEDs from Er3+‐Doped Cs3DyI6 Nanocrystals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60">
        <w:r>
          <w:rPr>
            <w:color w:val="1155CC"/>
            <w:u w:val="single"/>
          </w:rPr>
          <w:t>10.1002/adma.202512712</w:t>
        </w:r>
      </w:hyperlink>
    </w:p>
    <w:p>
      <w:pPr>
        <w:spacing w:before="0" w:after="120"/>
      </w:pPr>
      <w:r>
        <w:rPr>
          <w:b/>
        </w:rPr>
        <w:t xml:space="preserve">Notes: </w:t>
      </w:r>
      <w:r>
        <w:t>abstract_source=crossref</w:t>
      </w:r>
    </w:p>
    <w:p>
      <w:pPr>
        <w:spacing w:before="0" w:after="80" w:lineRule="auto" w:line="276"/>
      </w:pPr>
      <w:r>
        <w:rPr>
          <w:b/>
        </w:rPr>
        <w:t xml:space="preserve">摘要（ZH）: </w:t>
      </w:r>
      <w:r>
        <w:t>Er 3+ + 1.54微米光源发射二极管(LED)在光学通信中运行,对综合光子系统的发展至关重要,鉴于迫切需要高效、稳定、高成本效益和低压驱动的1.54微米光源,使用四角相位结构设计了三硝基锡基金属卤化物Cs 3 DyI 6:Er 3+纳米晶体体。</w:t>
      </w:r>
    </w:p>
    <w:p>
      <w:pPr>
        <w:spacing w:before="0" w:after="200" w:lineRule="auto" w:line="276"/>
      </w:pPr>
      <w:r>
        <w:rPr>
          <w:b/>
        </w:rPr>
        <w:t xml:space="preserve">Abstract (EN): </w:t>
      </w:r>
      <w:r>
        <w:t>Er</w:t>
      </w:r>
      <w:r>
        <w:t xml:space="preserve"> </w:t>
      </w:r>
      <w:r>
        <w:t>3+</w:t>
      </w:r>
      <w:r>
        <w:t xml:space="preserve"> </w:t>
      </w:r>
      <w:r>
        <w:t>‐doped 1.54 µm light‐emitting diodes (LEDs) operating in the optical communication C‐band are central to the development of integrated photonic systems. Given the pressing need for efficient, stable, cost‐effective, and low‐voltage‐driven 1.54 µm light sources, a lanthanide‐based metal halide Cs</w:t>
      </w:r>
      <w:r>
        <w:rPr>
          <w:vertAlign w:val="subscript"/>
        </w:rPr>
        <w:t>3</w:t>
      </w:r>
      <w:r>
        <w:t>DyI</w:t>
      </w:r>
      <w:r>
        <w:rPr>
          <w:vertAlign w:val="subscript"/>
        </w:rPr>
        <w:t>6</w:t>
      </w:r>
      <w:r>
        <w:t>:Er</w:t>
      </w:r>
      <w:r>
        <w:t xml:space="preserve"> </w:t>
      </w:r>
      <w:r>
        <w:t>3+</w:t>
      </w:r>
      <w:r>
        <w:t xml:space="preserve"> </w:t>
      </w:r>
      <w:r>
        <w:t>nanocrystal is engineered with a tetragonal phase structure. The study reveals a unique dual‐channel energy transfer mechanism. The 574 nm emission, stemming from</w:t>
      </w:r>
      <w:r>
        <w:rPr>
          <w:vertAlign w:val="subscript"/>
        </w:rPr>
        <w:t>4</w:t>
      </w:r>
      <w:r>
        <w:t>F</w:t>
      </w:r>
      <w:r>
        <w:t xml:space="preserve"> </w:t>
      </w:r>
      <w:r>
        <w:t>9/2</w:t>
      </w:r>
      <w:r>
        <w:t xml:space="preserve"> </w:t>
      </w:r>
      <w:r>
        <w:t>‐</w:t>
      </w:r>
      <w:r>
        <w:rPr>
          <w:vertAlign w:val="subscript"/>
        </w:rPr>
        <w:t>2</w:t>
      </w:r>
      <w:r>
        <w:t>H</w:t>
      </w:r>
      <w:r>
        <w:t xml:space="preserve"> </w:t>
      </w:r>
      <w:r>
        <w:t>13/2</w:t>
      </w:r>
      <w:r>
        <w:t xml:space="preserve"> </w:t>
      </w:r>
      <w:r>
        <w:t>orbital transitions of Dy</w:t>
      </w:r>
      <w:r>
        <w:t xml:space="preserve"> </w:t>
      </w:r>
      <w:r>
        <w:t>3+</w:t>
      </w:r>
      <w:r>
        <w:t xml:space="preserve"> </w:t>
      </w:r>
      <w:r>
        <w:t>ions, enables phonon‐assistant energy transfer to excite</w:t>
      </w:r>
      <w:r>
        <w:rPr>
          <w:vertAlign w:val="subscript"/>
        </w:rPr>
        <w:t>4</w:t>
      </w:r>
      <w:r>
        <w:t>I</w:t>
      </w:r>
      <w:r>
        <w:t xml:space="preserve"> </w:t>
      </w:r>
      <w:r>
        <w:t>15/2</w:t>
      </w:r>
      <w:r>
        <w:t xml:space="preserve"> </w:t>
      </w:r>
      <w:r>
        <w:t>‐</w:t>
      </w:r>
      <w:r>
        <w:rPr>
          <w:vertAlign w:val="subscript"/>
        </w:rPr>
        <w:t>4</w:t>
      </w:r>
      <w:r>
        <w:t>S</w:t>
      </w:r>
      <w:r>
        <w:t xml:space="preserve"> </w:t>
      </w:r>
      <w:r>
        <w:t>3/2</w:t>
      </w:r>
      <w:r>
        <w:t xml:space="preserve"> </w:t>
      </w:r>
      <w:r>
        <w:t>of Er</w:t>
      </w:r>
      <w:r>
        <w:t xml:space="preserve"> </w:t>
      </w:r>
      <w:r>
        <w:t>3+</w:t>
      </w:r>
      <w:r>
        <w:t xml:space="preserve"> </w:t>
      </w:r>
      <w:r>
        <w:t>ions. Meanwhile, self‐trapped excitons (STEs) contribute additional energy via a 488 nm broadband emission to excite</w:t>
      </w:r>
      <w:r>
        <w:rPr>
          <w:vertAlign w:val="subscript"/>
        </w:rPr>
        <w:t>4</w:t>
      </w:r>
      <w:r>
        <w:t>I</w:t>
      </w:r>
      <w:r>
        <w:t xml:space="preserve"> </w:t>
      </w:r>
      <w:r>
        <w:t>15/2</w:t>
      </w:r>
      <w:r>
        <w:t xml:space="preserve"> </w:t>
      </w:r>
      <w:r>
        <w:t>‐</w:t>
      </w:r>
      <w:r>
        <w:rPr>
          <w:vertAlign w:val="subscript"/>
        </w:rPr>
        <w:t>4</w:t>
      </w:r>
      <w:r>
        <w:t>F</w:t>
      </w:r>
      <w:r>
        <w:t xml:space="preserve"> </w:t>
      </w:r>
      <w:r>
        <w:t>7/2</w:t>
      </w:r>
      <w:r>
        <w:t xml:space="preserve"> </w:t>
      </w:r>
      <w:r>
        <w:t>of Er</w:t>
      </w:r>
      <w:r>
        <w:t xml:space="preserve"> </w:t>
      </w:r>
      <w:r>
        <w:t>3+</w:t>
      </w:r>
      <w:r>
        <w:t xml:space="preserve"> </w:t>
      </w:r>
      <w:r>
        <w:t>. The two pathways synergize to facilitate efficient 1.54 µm emission from Er</w:t>
      </w:r>
      <w:r>
        <w:t xml:space="preserve"> </w:t>
      </w:r>
      <w:r>
        <w:t>3+</w:t>
      </w:r>
      <w:r>
        <w:t xml:space="preserve"> </w:t>
      </w:r>
      <w:r>
        <w:t>ions, overcoming limitations of traditional single‐path energy transfer systems. To optimize device performance, 2,4,6‐triphenyl‐1,3,5‐trioxane (TPPO) is employed for passivating surface defects to enhance the overall photoluminescence quantum yield up to 87.4%. Precise control of the LiF interlayer thickness (1–2 nm) achieves balanced electron–hole injection, significantly improving both external quantum efficiency (EQE) and operational stability. The fabricated infrared LED device demonstrates outstanding performance, with a record EQE of 2.76% at 1.54 µm and a half‐life of 345 min, marking a significant milestone in optical communication technology.</w:t>
      </w:r>
    </w:p>
    <w:p>
      <w:pPr>
        <w:spacing w:before="120" w:after="120"/>
      </w:pPr>
      <w:r>
        <w:rPr>
          <w:sz w:val="18"/>
        </w:rPr>
        <w:t>——————————————————————————————————————————————————————————————————————</w:t>
      </w:r>
    </w:p>
    <w:p>
      <w:pPr>
        <w:spacing w:before="160" w:after="40" w:line="240" w:lineRule="auto"/>
      </w:pPr>
      <w:r>
        <w:rPr>
          <w:b/>
        </w:rPr>
        <w:t xml:space="preserve">[140] </w:t>
      </w:r>
      <w:hyperlink r:id="rId261">
        <w:r>
          <w:rPr>
            <w:color w:val="1155CC"/>
            <w:u w:val="single"/>
          </w:rPr>
          <w:t>从分子到模块:膜系统的高级特性</w:t>
        </w:r>
      </w:hyperlink>
    </w:p>
    <w:p>
      <w:pPr>
        <w:spacing w:before="0" w:after="80"/>
      </w:pPr>
      <w:r>
        <w:rPr>
          <w:i/>
          <w:sz w:val="20"/>
        </w:rPr>
        <w:t>EN: From Molecules to Modules: Advanced Characterization of Membrane Systems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62">
        <w:r>
          <w:rPr>
            <w:color w:val="1155CC"/>
            <w:u w:val="single"/>
          </w:rPr>
          <w:t>10.1002/adma.202513056</w:t>
        </w:r>
      </w:hyperlink>
    </w:p>
    <w:p>
      <w:pPr>
        <w:spacing w:before="0" w:after="120"/>
      </w:pPr>
      <w:r>
        <w:rPr>
          <w:b/>
        </w:rPr>
        <w:t xml:space="preserve">Notes: </w:t>
      </w:r>
      <w:r>
        <w:t>abstract_source=crossref</w:t>
      </w:r>
    </w:p>
    <w:p>
      <w:pPr>
        <w:spacing w:before="0" w:after="80" w:lineRule="auto" w:line="276"/>
      </w:pPr>
      <w:r>
        <w:rPr>
          <w:b/>
        </w:rPr>
        <w:t xml:space="preserve">摘要（ZH）: </w:t>
      </w:r>
      <w:r>
        <w:t>精密的定性工具对于辨别分离机制、揭示降解过程、设计新的材料和材料系统以应对新的和正在出现的挑战至关重要。 追求下一代水和能源应用膜需要了解分子规模、中间尺度和宏观尺度上的现象。这一视角突出了先进的辨别技术,用以阐明和提高薄膜性能,同时解决在现实条件下确定薄膜特征所涉及的基本权衡问题。</w:t>
      </w:r>
    </w:p>
    <w:p>
      <w:pPr>
        <w:spacing w:before="0" w:after="200" w:lineRule="auto" w:line="276"/>
      </w:pPr>
      <w:r>
        <w:rPr>
          <w:b/>
        </w:rPr>
        <w:t xml:space="preserve">Abstract (EN): </w:t>
      </w:r>
      <w:r>
        <w:t>Membrane technologies can enhance the efficiency and selectivity of chemical separations in energy‐water systems. Advanced characterization tools are critical for discerning separation mechanisms, revealing degradation processes, and designing novel materials and material systems for new and emerging challenges. The pursuit of next‐generation membranes for water and energy applications requires understanding phenomena at the molecular scale, mesoscale, and macroscale. This perspective highlights advanced characterization techniques for elucidating and enhancing membrane performance, while addressing fundamental trade‐offs involved in characterizing membranes under realistic conditions.</w:t>
      </w:r>
    </w:p>
    <w:p>
      <w:pPr>
        <w:spacing w:before="120" w:after="120"/>
      </w:pPr>
      <w:r>
        <w:rPr>
          <w:sz w:val="18"/>
        </w:rPr>
        <w:t>——————————————————————————————————————————————————————————————————————</w:t>
      </w:r>
    </w:p>
    <w:p>
      <w:pPr>
        <w:spacing w:before="160" w:after="40" w:line="240" w:lineRule="auto"/>
      </w:pPr>
      <w:r>
        <w:rPr>
          <w:b/>
        </w:rPr>
        <w:t xml:space="preserve">[141] </w:t>
      </w:r>
      <w:hyperlink r:id="rId263">
        <w:r>
          <w:rPr>
            <w:color w:val="1155CC"/>
            <w:u w:val="single"/>
          </w:rPr>
          <w:t>具有高辐照抗药性、可探测X射线的单晶体</w:t>
        </w:r>
      </w:hyperlink>
    </w:p>
    <w:p>
      <w:pPr>
        <w:spacing w:before="0" w:after="80"/>
      </w:pPr>
      <w:r>
        <w:rPr>
          <w:i/>
          <w:sz w:val="20"/>
        </w:rPr>
        <w:t>EN: Growth of Two‐Inch Perovskite CsPbBr3 Single‐Crystal with High Irradiation Resistance for X‐ray Detection</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64">
        <w:r>
          <w:rPr>
            <w:color w:val="1155CC"/>
            <w:u w:val="single"/>
          </w:rPr>
          <w:t>10.1002/adma.202512788</w:t>
        </w:r>
      </w:hyperlink>
    </w:p>
    <w:p>
      <w:pPr>
        <w:spacing w:before="0" w:after="120"/>
      </w:pPr>
      <w:r>
        <w:rPr>
          <w:b/>
        </w:rPr>
        <w:t xml:space="preserve">Notes: </w:t>
      </w:r>
      <w:r>
        <w:t>abstract_source=crossref</w:t>
      </w:r>
    </w:p>
    <w:p>
      <w:pPr>
        <w:spacing w:before="0" w:after="80" w:lineRule="auto" w:line="276"/>
      </w:pPr>
      <w:r>
        <w:rPr>
          <w:b/>
        </w:rPr>
        <w:t xml:space="preserve">摘要（ZH）: </w:t>
      </w:r>
      <w:r>
        <w:t>3个晶体由于其极好的光电子特性,在光和X射线探测中显示出很大的希望,然而,在高能辐照下大型单晶体(SC)的生长和基于CsPBBR 3 的基于CsPBR 3 的X射线探测器的稳定性仍未得到探索。在这项研究中,使用垂直布桥曼(VB)方法开发了2英寸CsPbBR 3 的单晶体,在接触60 度高能辐射后,对X射线探测的抗辐射性进行了调查。与未经辐照的样品相比,这些晶体是晶体。</w:t>
      </w:r>
    </w:p>
    <w:p>
      <w:pPr>
        <w:spacing w:before="0" w:after="200" w:lineRule="auto" w:line="276"/>
      </w:pPr>
      <w:r>
        <w:rPr>
          <w:b/>
        </w:rPr>
        <w:t xml:space="preserve">Abstract (EN): </w:t>
      </w:r>
      <w:r>
        <w:t>All‐inorganic perovskite CsPbBr</w:t>
      </w:r>
      <w:r>
        <w:rPr>
          <w:vertAlign w:val="subscript"/>
        </w:rPr>
        <w:t>3</w:t>
      </w:r>
      <w:r>
        <w:t>crystals have demonstrated considerable promise in γ‐ray and X‐ray detection, owing to their excellent optoelectronic properties. However, the growth of large single crystals (SCs) and the stability of CsPbBr</w:t>
      </w:r>
      <w:r>
        <w:rPr>
          <w:vertAlign w:val="subscript"/>
        </w:rPr>
        <w:t>3</w:t>
      </w:r>
      <w:r>
        <w:t>‐based X‐ray detectors under high‐energy radiation exposure remain unexplored. In this study, a two‐inch CsPbBr</w:t>
      </w:r>
      <w:r>
        <w:rPr>
          <w:vertAlign w:val="subscript"/>
        </w:rPr>
        <w:t>3</w:t>
      </w:r>
      <w:r>
        <w:t>single‐crystal is grown using the vertical Bridgman (VB) method, and its irradiation resistance in X‐ray detection performance is investigated after exposure to</w:t>
      </w:r>
      <w:r>
        <w:rPr>
          <w:vertAlign w:val="subscript"/>
        </w:rPr>
        <w:t>60</w:t>
      </w:r>
      <w:r>
        <w:t>Co γ‐ray radiation. Compared with unirradiated samples, the crystals irradiated with a dose of 10 Mrad exhibit a higher trap density (1.59 × 10</w:t>
      </w:r>
      <w:r>
        <w:rPr>
          <w:vertAlign w:val="subscript"/>
        </w:rPr>
        <w:t>10</w:t>
      </w:r>
      <w:r>
        <w:t>cm</w:t>
      </w:r>
      <w:r>
        <w:t xml:space="preserve"> </w:t>
      </w:r>
      <w:r>
        <w:t>−3</w:t>
      </w:r>
      <w:r>
        <w:t xml:space="preserve"> </w:t>
      </w:r>
      <w:r>
        <w:t>) and a lower resistivity (8.2 × 10</w:t>
      </w:r>
      <w:r>
        <w:rPr>
          <w:vertAlign w:val="subscript"/>
        </w:rPr>
        <w:t>7</w:t>
      </w:r>
      <w:r>
        <w:t>Ω cm). However, the Bi/CsPbBr</w:t>
      </w:r>
      <w:r>
        <w:rPr>
          <w:vertAlign w:val="subscript"/>
        </w:rPr>
        <w:t>3</w:t>
      </w:r>
      <w:r>
        <w:t>/Au devices with asymmetric electrode structure exhibit an enhanced signal‐to‐noise ratio (14), a stable and low dark current density (7 nA cm</w:t>
      </w:r>
      <w:r>
        <w:t xml:space="preserve"> </w:t>
      </w:r>
      <w:r>
        <w:t>−2</w:t>
      </w:r>
      <w:r>
        <w:t xml:space="preserve"> </w:t>
      </w:r>
      <w:r>
        <w:t>) with a current drift of 5.8 × 10</w:t>
      </w:r>
      <w:r>
        <w:t xml:space="preserve"> </w:t>
      </w:r>
      <w:r>
        <w:t>−15</w:t>
      </w:r>
      <w:r>
        <w:t xml:space="preserve"> </w:t>
      </w:r>
      <w:r>
        <w:t>A cm</w:t>
      </w:r>
      <w:r>
        <w:t xml:space="preserve"> </w:t>
      </w:r>
      <w:r>
        <w:t>−1</w:t>
      </w:r>
      <w:r>
        <w:t xml:space="preserve"> </w:t>
      </w:r>
      <w:r>
        <w:t>s</w:t>
      </w:r>
      <w:r>
        <w:t xml:space="preserve"> </w:t>
      </w:r>
      <w:r>
        <w:t>−1</w:t>
      </w:r>
      <w:r>
        <w:t xml:space="preserve"> </w:t>
      </w:r>
      <w:r>
        <w:t>V</w:t>
      </w:r>
      <w:r>
        <w:t xml:space="preserve"> </w:t>
      </w:r>
      <w:r>
        <w:t>−1</w:t>
      </w:r>
      <w:r>
        <w:t xml:space="preserve"> </w:t>
      </w:r>
      <w:r>
        <w:t>, and a high sensitivity of 55722 µC Gyair</w:t>
      </w:r>
      <w:r>
        <w:t xml:space="preserve"> </w:t>
      </w:r>
      <w:r>
        <w:t>−1</w:t>
      </w:r>
      <w:r>
        <w:t xml:space="preserve"> </w:t>
      </w:r>
      <w:r>
        <w:t>cm</w:t>
      </w:r>
      <w:r>
        <w:t xml:space="preserve"> </w:t>
      </w:r>
      <w:r>
        <w:t>−2</w:t>
      </w:r>
      <w:r>
        <w:t xml:space="preserve"> </w:t>
      </w:r>
      <w:r>
        <w:t>for X‐ray detection at an electric field of 3000 V cm</w:t>
      </w:r>
      <w:r>
        <w:t xml:space="preserve"> </w:t>
      </w:r>
      <w:r>
        <w:t>−1</w:t>
      </w:r>
      <w:r>
        <w:t xml:space="preserve"> </w:t>
      </w:r>
      <w:r>
        <w:t>. Moreover, the irradiated device remained stable X‐ray response characteristics after 220 days aging. These findings highlight the exceptional defect tolerance and irradiation stability of CsPbBr</w:t>
      </w:r>
      <w:r>
        <w:rPr>
          <w:vertAlign w:val="subscript"/>
        </w:rPr>
        <w:t>3</w:t>
      </w:r>
      <w:r>
        <w:t>devices for high‐performance radiation detections, offering critical insights for their long‐term deployment in high‐radiation environments.</w:t>
      </w:r>
    </w:p>
    <w:p>
      <w:pPr>
        <w:spacing w:before="120" w:after="120"/>
      </w:pPr>
      <w:r>
        <w:rPr>
          <w:sz w:val="18"/>
        </w:rPr>
        <w:t>——————————————————————————————————————————————————————————————————————</w:t>
      </w:r>
    </w:p>
    <w:p>
      <w:pPr>
        <w:spacing w:before="160" w:after="40" w:line="240" w:lineRule="auto"/>
      </w:pPr>
      <w:r>
        <w:rPr>
          <w:b/>
        </w:rPr>
        <w:t xml:space="preserve">[142] </w:t>
      </w:r>
      <w:hyperlink r:id="rId265">
        <w:r>
          <w:rPr>
            <w:color w:val="1155CC"/>
            <w:u w:val="single"/>
          </w:rPr>
          <w:t>用于固态电池的可逆离离子运输和储存</w:t>
        </w:r>
      </w:hyperlink>
    </w:p>
    <w:p>
      <w:pPr>
        <w:spacing w:before="0" w:after="80"/>
      </w:pPr>
      <w:r>
        <w:rPr>
          <w:i/>
          <w:sz w:val="20"/>
        </w:rPr>
        <w:t>EN: Potential‐Gated Polymer Integrates Reversible Ion Transport and Storage for solid‐state Batteries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66">
        <w:r>
          <w:rPr>
            <w:color w:val="1155CC"/>
            <w:u w:val="single"/>
          </w:rPr>
          <w:t>10.1002/adma.202513365</w:t>
        </w:r>
      </w:hyperlink>
    </w:p>
    <w:p>
      <w:pPr>
        <w:spacing w:before="0" w:after="120"/>
      </w:pPr>
      <w:r>
        <w:rPr>
          <w:b/>
        </w:rPr>
        <w:t xml:space="preserve">Notes: </w:t>
      </w:r>
      <w:r>
        <w:t>abstract_source=crossref</w:t>
      </w:r>
    </w:p>
    <w:p>
      <w:pPr>
        <w:spacing w:before="0" w:after="80" w:lineRule="auto" w:line="276"/>
      </w:pPr>
      <w:r>
        <w:rPr>
          <w:b/>
        </w:rPr>
        <w:t xml:space="preserve">摘要（ZH）: </w:t>
      </w:r>
      <w:r>
        <w:t>摘要 实心固态电池的开发受到其高抗酸性和缓慢扩散特性的阻碍,这主要是由于固电解液和电极之间的不同界面。这里介绍了一个全新聚合电离电解材料(P(EO 2 +S 3)),该物质将李+运输和红氧化反应点三硫化物连接的乙烷氧化物组相互结合,显示出一种固电解液具有有利的电导力,而其可逆的红氧化物活性在2.5 V相对于利+/利之间,产生491.7的高反向能力。</w:t>
      </w:r>
    </w:p>
    <w:p>
      <w:pPr>
        <w:spacing w:before="0" w:after="200" w:lineRule="auto" w:line="276"/>
      </w:pPr>
      <w:r>
        <w:rPr>
          <w:b/>
        </w:rPr>
        <w:t xml:space="preserve">Abstract (EN): </w:t>
      </w:r>
      <w:r>
        <w:t>The development of practical solid‐state batteries is hindered by their high interfacial resistance and sluggish diffusion properties, primarily due to the heterogeneous interfaces between the solid electrolyte and the electrode. Here, an all‐in‐one polymer electrode‐electrolyte material (P(EO</w:t>
      </w:r>
      <w:r>
        <w:rPr>
          <w:vertAlign w:val="subscript"/>
        </w:rPr>
        <w:t>2</w:t>
      </w:r>
      <w:r>
        <w:t>‐S</w:t>
      </w:r>
      <w:r>
        <w:rPr>
          <w:vertAlign w:val="subscript"/>
        </w:rPr>
        <w:t>3</w:t>
      </w:r>
      <w:r>
        <w:t>)) is presented, which covalently integrates ethylene oxide groups for Li</w:t>
      </w:r>
      <w:r>
        <w:t xml:space="preserve"> </w:t>
      </w:r>
      <w:r>
        <w:t>+</w:t>
      </w:r>
      <w:r>
        <w:t xml:space="preserve"> </w:t>
      </w:r>
      <w:r>
        <w:t>transport and trisulfide linkages for redox‐active sites. This material exhibits favorable ionic conductivity as a solid electrolyte, while its reversible redox activity activates below 2.5 V versus Li⁺/Li, delivering a high reversible capacity of 491.7 mAh g</w:t>
      </w:r>
      <w:r>
        <w:t xml:space="preserve"> </w:t>
      </w:r>
      <w:r>
        <w:t>−1</w:t>
      </w:r>
      <w:r>
        <w:t xml:space="preserve"> </w:t>
      </w:r>
      <w:r>
        <w:t>. Leveraging P(EO</w:t>
      </w:r>
      <w:r>
        <w:rPr>
          <w:vertAlign w:val="subscript"/>
        </w:rPr>
        <w:t>2</w:t>
      </w:r>
      <w:r>
        <w:t>‐S</w:t>
      </w:r>
      <w:r>
        <w:rPr>
          <w:vertAlign w:val="subscript"/>
        </w:rPr>
        <w:t>3</w:t>
      </w:r>
      <w:r>
        <w:t>) as both cathode and electrolyte, integrated cells (P(EO</w:t>
      </w:r>
      <w:r>
        <w:rPr>
          <w:vertAlign w:val="subscript"/>
        </w:rPr>
        <w:t>2</w:t>
      </w:r>
      <w:r>
        <w:t>‐S</w:t>
      </w:r>
      <w:r>
        <w:rPr>
          <w:vertAlign w:val="subscript"/>
        </w:rPr>
        <w:t>3</w:t>
      </w:r>
      <w:r>
        <w:t>)@CP|P(EO</w:t>
      </w:r>
      <w:r>
        <w:rPr>
          <w:vertAlign w:val="subscript"/>
        </w:rPr>
        <w:t>2</w:t>
      </w:r>
      <w:r>
        <w:t>‐S</w:t>
      </w:r>
      <w:r>
        <w:rPr>
          <w:vertAlign w:val="subscript"/>
        </w:rPr>
        <w:t>3</w:t>
      </w:r>
      <w:r>
        <w:t>)|Li) exhibit accelerated electrochemical kinetics while maintaining cycling stability in flexible devices over 20 000 bending cycles. As a redox‐active catholyte of LiFePO</w:t>
      </w:r>
      <w:r>
        <w:rPr>
          <w:vertAlign w:val="subscript"/>
        </w:rPr>
        <w:t>4</w:t>
      </w:r>
      <w:r>
        <w:t>, P(EO</w:t>
      </w:r>
      <w:r>
        <w:rPr>
          <w:vertAlign w:val="subscript"/>
        </w:rPr>
        <w:t>2</w:t>
      </w:r>
      <w:r>
        <w:t>‐S</w:t>
      </w:r>
      <w:r>
        <w:rPr>
          <w:vertAlign w:val="subscript"/>
        </w:rPr>
        <w:t>3</w:t>
      </w:r>
      <w:r>
        <w:t>) increases the capacity of the composite cathode to 358.3 mAh g</w:t>
      </w:r>
      <w:r>
        <w:t xml:space="preserve"> </w:t>
      </w:r>
      <w:r>
        <w:t>−1</w:t>
      </w:r>
      <w:r>
        <w:t xml:space="preserve"> </w:t>
      </w:r>
      <w:r>
        <w:t>based on LiFePO</w:t>
      </w:r>
      <w:r>
        <w:rPr>
          <w:vertAlign w:val="subscript"/>
        </w:rPr>
        <w:t>4</w:t>
      </w:r>
      <w:r>
        <w:t>mass, achieving an electrode energy density of 585.9 Wh kg</w:t>
      </w:r>
      <w:r>
        <w:t xml:space="preserve"> </w:t>
      </w:r>
      <w:r>
        <w:t>−1</w:t>
      </w:r>
      <w:r>
        <w:t xml:space="preserve"> </w:t>
      </w:r>
      <w:r>
        <w:t>. This work establishes a new paradigm for multifunctional polymers that integrates ion transport and storage, offering a versatile platform for flexible, high‐energy solid‐state batteries.</w:t>
      </w:r>
    </w:p>
    <w:p>
      <w:pPr>
        <w:spacing w:before="120" w:after="120"/>
      </w:pPr>
      <w:r>
        <w:rPr>
          <w:sz w:val="18"/>
        </w:rPr>
        <w:t>——————————————————————————————————————————————————————————————————————</w:t>
      </w:r>
    </w:p>
    <w:p>
      <w:pPr>
        <w:spacing w:before="160" w:after="40" w:line="240" w:lineRule="auto"/>
      </w:pPr>
      <w:r>
        <w:rPr>
          <w:b/>
        </w:rPr>
        <w:t xml:space="preserve">[143] </w:t>
      </w:r>
      <w:hyperlink r:id="rId267">
        <w:r>
          <w:rPr>
            <w:color w:val="1155CC"/>
            <w:u w:val="single"/>
          </w:rPr>
          <w:t>通过综合共价结合和病理触发器对组织伤害修补中精密微环境重新规划方案进行精密微环境重新规划</w:t>
        </w:r>
      </w:hyperlink>
    </w:p>
    <w:p>
      <w:pPr>
        <w:spacing w:before="0" w:after="80"/>
      </w:pPr>
      <w:r>
        <w:rPr>
          <w:i/>
          <w:sz w:val="20"/>
        </w:rPr>
        <w:t>EN: Spatiotemporally Engineered Protein Delivery via Integrated Covalent Coupling and Pathological Triggers for Precision Microenvironment Reprogramming in Tissue Injury Repair</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68">
        <w:r>
          <w:rPr>
            <w:color w:val="1155CC"/>
            <w:u w:val="single"/>
          </w:rPr>
          <w:t>10.1002/adma.202512554</w:t>
        </w:r>
      </w:hyperlink>
    </w:p>
    <w:p>
      <w:pPr>
        <w:spacing w:before="0" w:after="120"/>
      </w:pPr>
      <w:r>
        <w:rPr>
          <w:b/>
        </w:rPr>
        <w:t xml:space="preserve">Notes: </w:t>
      </w:r>
      <w:r>
        <w:t>abstract_source=crossref</w:t>
      </w:r>
    </w:p>
    <w:p>
      <w:pPr>
        <w:spacing w:before="0" w:after="80" w:lineRule="auto" w:line="276"/>
      </w:pPr>
      <w:r>
        <w:rPr>
          <w:b/>
        </w:rPr>
        <w:t xml:space="preserve">摘要（ZH）: </w:t>
      </w:r>
      <w:r>
        <w:t>抽象组织伤害是一个复杂的微观环境,具有时间病理动力,需要精确的治疗战略;然而,目前的干预措施缺乏能够准确应对和调节微环境动态变化的有效措施;因此,以共价同共和和和酶反应释放为基础的生物材料驱动平台,能够对再生因素和免疫分子因素进行即时控制交付;在组织伤害之后,组织伤害、早期先期预发激素和延迟的金属蛋白质矩阵2(MMP2)作为与微环境演变的不同阶段相对应的内生触发器。</w:t>
      </w:r>
    </w:p>
    <w:p>
      <w:pPr>
        <w:spacing w:before="0" w:after="200" w:lineRule="auto" w:line="276"/>
      </w:pPr>
      <w:r>
        <w:rPr>
          <w:b/>
        </w:rPr>
        <w:t xml:space="preserve">Abstract (EN): </w:t>
      </w:r>
      <w:r>
        <w:t>Tissue injury presents a complex microenvironment with temporal pathological dynamics, necessitating precision therapeutic strategies. However, current interventions lack effective measures that precisely respond to and modulate the dynamic changes in the microenvironment. Herein, a biomaterial‐driven platform based on covalent conjugation and enzyme‐responsive release, enabling the spatiotemporally controlled delivery of regenerative and immunomodulatory factors, is developed. Following tissue injury, the early‐phase protease thrombin and the delayed‐phase matrix metalloproteinase‐2 (MMP2) serve as endogenous triggers that correspond to distinct stages of the microenvironmental evolution. By site‐specific covalent conjugation via Sortase A (SrtA)‐mediated transpeptidation to intraluminal aligned fibers, combined with outer encapsulation within T‐HA (thrombin‐responsive cleavable hyaluronic acid gel), it is discovered that sequential delivery (CNTF/FGF2 followed by IL‐4) significantly enhances spinal cord injury (SCI) recovery compared to reverse sequencing (IL‐4 followed by CNTF/FGF2). Likewise, SrtA‐mediated protein conjugation to HA demonstrates that FGF2 delivery preceding IL‐4 resulted in superior cardiac functional restoration in the myocardial infarction (MI) model. This spatiotemporally system optimizes the critical therapeutic window for inflammation and tissue remodeling after injury, offering a versatile paradigm for addressing the challenges posed by the dynamic nature of injured tissues.</w:t>
      </w:r>
    </w:p>
    <w:p>
      <w:pPr>
        <w:spacing w:before="120" w:after="120"/>
      </w:pPr>
      <w:r>
        <w:rPr>
          <w:sz w:val="18"/>
        </w:rPr>
        <w:t>——————————————————————————————————————————————————————————————————————</w:t>
      </w:r>
    </w:p>
    <w:p>
      <w:pPr>
        <w:spacing w:before="160" w:after="40" w:line="240" w:lineRule="auto"/>
      </w:pPr>
      <w:r>
        <w:rPr>
          <w:b/>
        </w:rPr>
        <w:t xml:space="preserve">[144] </w:t>
      </w:r>
      <w:hyperlink r:id="rId269">
        <w:r>
          <w:rPr>
            <w:color w:val="1155CC"/>
            <w:u w:val="single"/>
          </w:rPr>
          <w:t>原子散散射鲁单原子和关于CeAlOx用于增强光电热催化剂CO2氢化的Nanop粒子之间的协同作用</w:t>
        </w:r>
      </w:hyperlink>
    </w:p>
    <w:p>
      <w:pPr>
        <w:spacing w:before="0" w:after="80"/>
      </w:pPr>
      <w:r>
        <w:rPr>
          <w:i/>
          <w:sz w:val="20"/>
        </w:rPr>
        <w:t>EN: Synergies Between Atomically Dispersed Ru Single Atoms and Nanoparticles on CeAlOx for Enhanced Photo‐Thermal Catalytic CO2 Hydrogenation</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70">
        <w:r>
          <w:rPr>
            <w:color w:val="1155CC"/>
            <w:u w:val="single"/>
          </w:rPr>
          <w:t>10.1002/adma.202512793</w:t>
        </w:r>
      </w:hyperlink>
    </w:p>
    <w:p>
      <w:pPr>
        <w:spacing w:before="0" w:after="120"/>
      </w:pPr>
      <w:r>
        <w:rPr>
          <w:b/>
        </w:rPr>
        <w:t xml:space="preserve">Notes: </w:t>
      </w:r>
      <w:r>
        <w:t>abstract_source=crossref</w:t>
      </w:r>
    </w:p>
    <w:p>
      <w:pPr>
        <w:spacing w:before="0" w:after="80" w:lineRule="auto" w:line="276"/>
      </w:pPr>
      <w:r>
        <w:rPr>
          <w:b/>
        </w:rPr>
        <w:t xml:space="preserve">摘要（ZH）: </w:t>
      </w:r>
      <w:r>
        <w:t>将单亚原子物种和纳米粒子结合在一起的抽象异种催化剂,使原子利用最大化,氢分解以引起氢化反应,然而,在合成过程中保持稳定的金属负荷方面的挑战使与单亚原子和纳米粒子基系统的直接性能比较复杂化,后者模糊了对其催化潜力的合理评估。</w:t>
      </w:r>
    </w:p>
    <w:p>
      <w:pPr>
        <w:spacing w:before="0" w:after="200" w:lineRule="auto" w:line="276"/>
      </w:pPr>
      <w:r>
        <w:rPr>
          <w:b/>
        </w:rPr>
        <w:t xml:space="preserve">Abstract (EN): </w:t>
      </w:r>
      <w:r>
        <w:t>Heterogeneous catalysts integrating single‐atom species and nanoparticles maximize atom utilization and hydrogen dissociation for hydrogenation reactions. However, challenges in maintaining consistent metal loadings during synthesis complicate direct performance comparisons with the single‐atom and nanoparticle‐based systems, which obscures rational assessment of their catalytic potential. Herein, Ru</w:t>
      </w:r>
      <w:r>
        <w:t xml:space="preserve"> </w:t>
      </w:r>
      <w:r>
        <w:t>1+NPs</w:t>
      </w:r>
      <w:r>
        <w:t xml:space="preserve"> </w:t>
      </w:r>
      <w:r>
        <w:t>/CeAlO</w:t>
      </w:r>
      <w:r>
        <w:t xml:space="preserve"> </w:t>
      </w:r>
      <w:r>
        <w:t>x</w:t>
      </w:r>
      <w:r>
        <w:t xml:space="preserve"> </w:t>
      </w:r>
      <w:r>
        <w:t>photothermal catalysts are reported which leverage the synergy between Ru single atoms and Ru nanoparticles to enhance CO</w:t>
      </w:r>
      <w:r>
        <w:rPr>
          <w:vertAlign w:val="subscript"/>
        </w:rPr>
        <w:t>2</w:t>
      </w:r>
      <w:r>
        <w:t>hydrogenation to CH</w:t>
      </w:r>
      <w:r>
        <w:rPr>
          <w:vertAlign w:val="subscript"/>
        </w:rPr>
        <w:t>4</w:t>
      </w:r>
      <w:r>
        <w:t>. Under light irradiation (3.1 W cm</w:t>
      </w:r>
      <w:r>
        <w:t xml:space="preserve"> </w:t>
      </w:r>
      <w:r>
        <w:t>−2</w:t>
      </w:r>
      <w:r>
        <w:t xml:space="preserve"> </w:t>
      </w:r>
      <w:r>
        <w:t>, 200–1100 nm) at 200 °C, the Ru</w:t>
      </w:r>
      <w:r>
        <w:t xml:space="preserve"> </w:t>
      </w:r>
      <w:r>
        <w:t>1+NPs</w:t>
      </w:r>
      <w:r>
        <w:t xml:space="preserve"> </w:t>
      </w:r>
      <w:r>
        <w:t>/CeAlO</w:t>
      </w:r>
      <w:r>
        <w:t xml:space="preserve"> </w:t>
      </w:r>
      <w:r>
        <w:t>x</w:t>
      </w:r>
      <w:r>
        <w:t xml:space="preserve"> </w:t>
      </w:r>
      <w:r>
        <w:t>catalyst achieves a CH</w:t>
      </w:r>
      <w:r>
        <w:rPr>
          <w:vertAlign w:val="subscript"/>
        </w:rPr>
        <w:t>4</w:t>
      </w:r>
      <w:r>
        <w:t>production rate of 197.2 mmol g</w:t>
      </w:r>
      <w:r>
        <w:t xml:space="preserve"> </w:t>
      </w:r>
      <w:r>
        <w:t>cat</w:t>
      </w:r>
      <w:r>
        <w:t xml:space="preserve"> </w:t>
      </w:r>
      <w:r>
        <w:t>−1</w:t>
      </w:r>
      <w:r>
        <w:t xml:space="preserve"> </w:t>
      </w:r>
      <w:r>
        <w:t>h</w:t>
      </w:r>
      <w:r>
        <w:t xml:space="preserve"> </w:t>
      </w:r>
      <w:r>
        <w:t>−1</w:t>
      </w:r>
      <w:r>
        <w:t xml:space="preserve"> </w:t>
      </w:r>
      <w:r>
        <w:t>with near‐100% selectivity, surpassing single‐atom Ru</w:t>
      </w:r>
      <w:r>
        <w:rPr>
          <w:vertAlign w:val="subscript"/>
        </w:rPr>
        <w:t>1</w:t>
      </w:r>
      <w:r>
        <w:t>/CeAlO</w:t>
      </w:r>
      <w:r>
        <w:t xml:space="preserve"> </w:t>
      </w:r>
      <w:r>
        <w:t>x</w:t>
      </w:r>
      <w:r>
        <w:t xml:space="preserve"> </w:t>
      </w:r>
      <w:r>
        <w:t>catalysts and nanoparticle‐based Ru</w:t>
      </w:r>
      <w:r>
        <w:t xml:space="preserve"> </w:t>
      </w:r>
      <w:r>
        <w:t>NPs</w:t>
      </w:r>
      <w:r>
        <w:t xml:space="preserve"> </w:t>
      </w:r>
      <w:r>
        <w:t>/CeAlO</w:t>
      </w:r>
      <w:r>
        <w:t xml:space="preserve"> </w:t>
      </w:r>
      <w:r>
        <w:t>x</w:t>
      </w:r>
      <w:r>
        <w:t xml:space="preserve"> </w:t>
      </w:r>
      <w:r>
        <w:t>catalysts, with equivalent metal contents. Mechanistic studies revealed that in Ru</w:t>
      </w:r>
      <w:r>
        <w:t xml:space="preserve"> </w:t>
      </w:r>
      <w:r>
        <w:t>1+NPs</w:t>
      </w:r>
      <w:r>
        <w:t xml:space="preserve"> </w:t>
      </w:r>
      <w:r>
        <w:t>/CeAlO</w:t>
      </w:r>
      <w:r>
        <w:t xml:space="preserve"> </w:t>
      </w:r>
      <w:r>
        <w:t>x</w:t>
      </w:r>
      <w:r>
        <w:t xml:space="preserve"> </w:t>
      </w:r>
      <w:r>
        <w:t>catalysts, Ru single atoms facilitate CO</w:t>
      </w:r>
      <w:r>
        <w:rPr>
          <w:vertAlign w:val="subscript"/>
        </w:rPr>
        <w:t>2</w:t>
      </w:r>
      <w:r>
        <w:t>adsorption/activation and subsequent conversion, while Ru nanoparticles promote H</w:t>
      </w:r>
      <w:r>
        <w:rPr>
          <w:vertAlign w:val="subscript"/>
        </w:rPr>
        <w:t>2</w:t>
      </w:r>
      <w:r>
        <w:t>dissociation, with their synergistic interplay driving superior performance. Moreover, the CeAlO</w:t>
      </w:r>
      <w:r>
        <w:t xml:space="preserve"> </w:t>
      </w:r>
      <w:r>
        <w:t>x</w:t>
      </w:r>
      <w:r>
        <w:t xml:space="preserve"> </w:t>
      </w:r>
      <w:r>
        <w:t>support effectively stabilizes the dual‐site structure and facilitates the formation of reaction intermediates through its abundant oxygen vacancies and surface Lewis acid‐base pairs, thereby further enhancing the catalytic reaction. This work highlights the critical role of synergistic effects between single atoms and nanoparticles, offering new approaches for designing high‐efficiency hydrogenation catalysts.</w:t>
      </w:r>
    </w:p>
    <w:p>
      <w:pPr>
        <w:spacing w:before="120" w:after="120"/>
      </w:pPr>
      <w:r>
        <w:rPr>
          <w:sz w:val="18"/>
        </w:rPr>
        <w:t>——————————————————————————————————————————————————————————————————————</w:t>
      </w:r>
    </w:p>
    <w:p>
      <w:pPr>
        <w:spacing w:before="160" w:after="40" w:line="240" w:lineRule="auto"/>
      </w:pPr>
      <w:r>
        <w:rPr>
          <w:b/>
        </w:rPr>
        <w:t xml:space="preserve">[145] </w:t>
      </w:r>
      <w:hyperlink r:id="rId271">
        <w:r>
          <w:rPr>
            <w:color w:val="1155CC"/>
            <w:u w:val="single"/>
          </w:rPr>
          <w:t>高性能潮温-可靠能源收获和电离逻辑操作的三层纳米二解二极管</w:t>
        </w:r>
      </w:hyperlink>
    </w:p>
    <w:p>
      <w:pPr>
        <w:spacing w:before="0" w:after="80"/>
      </w:pPr>
      <w:r>
        <w:rPr>
          <w:i/>
          <w:sz w:val="20"/>
        </w:rPr>
        <w:t>EN: A Trilayer Nanofluidic Ionic Diode for High‐Performance Moisture‐Enabled Energy Harvesting and Ionic Logic Operations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72">
        <w:r>
          <w:rPr>
            <w:color w:val="1155CC"/>
            <w:u w:val="single"/>
          </w:rPr>
          <w:t>10.1002/adma.202513405</w:t>
        </w:r>
      </w:hyperlink>
    </w:p>
    <w:p>
      <w:pPr>
        <w:spacing w:before="0" w:after="120"/>
      </w:pPr>
      <w:r>
        <w:rPr>
          <w:b/>
        </w:rPr>
        <w:t xml:space="preserve">Notes: </w:t>
      </w:r>
      <w:r>
        <w:t>abstract_source=crossref</w:t>
      </w:r>
    </w:p>
    <w:p>
      <w:pPr>
        <w:spacing w:before="0" w:after="80" w:lineRule="auto" w:line="276"/>
      </w:pPr>
      <w:r>
        <w:rPr>
          <w:b/>
        </w:rPr>
        <w:t xml:space="preserve">摘要（ZH）: </w:t>
      </w:r>
      <w:r>
        <w:t>Nanofluidic Nanofluidic ionic二极管能够通过封闭的纳米通道进行定向离子运输,这为能源收获和电离子应用带来了巨大希望。然而,由于载体发电量不足和装置性能不稳定,它们利用水力发电的发展仍然受到限制。这里,报告有三层纳米氟化二离子基润滑电发电机,将积极充电织物、氯化锂中性织物和负充电织物纳入pi配置。 中性合血层促进高效的水吸收和离子分离,而相邻的充电层则以石墨氧化物形成的纳米通道为特征。</w:t>
      </w:r>
    </w:p>
    <w:p>
      <w:pPr>
        <w:spacing w:before="0" w:after="200" w:lineRule="auto" w:line="276"/>
      </w:pPr>
      <w:r>
        <w:rPr>
          <w:b/>
        </w:rPr>
        <w:t xml:space="preserve">Abstract (EN): </w:t>
      </w:r>
      <w:r>
        <w:t>Nanofluidic ionic diodes enable directional ion transport through confined nanochannels, holding great promise for energy harvesting and iontronic applications. However, their development in moisture‐enabled power generation remains limited by insufficient carrier generation and unstable device performance. Here, a trilayer nanofluidic ionic diode‐based moist‐electric generator is reported, integrating positively charged fabrics, lithium chloride‐doped neutral fabrics, and negatively charged fabrics into a</w:t>
      </w:r>
      <w:r>
        <w:t xml:space="preserve"> </w:t>
      </w:r>
      <w:r>
        <w:t>p‐i‐n</w:t>
      </w:r>
      <w:r>
        <w:t xml:space="preserve"> </w:t>
      </w:r>
      <w:r>
        <w:t>configuration. The hygroscopic neutral layer promotes efficient moisture absorption and ion dissociation, while the adjacent charged layers, featuring nanochannels formed by graphene oxides, establish a built‐in electric field to rectify cation and anion fluxes. This unique structural and functional synergy enables continuous carrier generation and directional transport, achieving both a remarkable voltage of ≈1.38 V and a current of ≈35 µA cm</w:t>
      </w:r>
      <w:r>
        <w:t xml:space="preserve"> </w:t>
      </w:r>
      <w:r>
        <w:t>−2</w:t>
      </w:r>
      <w:r>
        <w:t xml:space="preserve"> </w:t>
      </w:r>
      <w:r>
        <w:t>and further exhibiting a peak voltage of ≈1.6 V with stable operation for over 600 h by employing active metal electrodes. Beyond energy harvesting, the diode‐like rectification allows implementation of ionic logic gates and foldable configurations for powering portable electronics. This work establishes a versatile platform for high‐performance nanofluidic diode‐based devices, bridging sustainable power generation with emerging iontronic systems.</w:t>
      </w:r>
    </w:p>
    <w:p>
      <w:pPr>
        <w:spacing w:before="120" w:after="120"/>
      </w:pPr>
      <w:r>
        <w:rPr>
          <w:sz w:val="18"/>
        </w:rPr>
        <w:t>——————————————————————————————————————————————————————————————————————</w:t>
      </w:r>
    </w:p>
    <w:p>
      <w:pPr>
        <w:spacing w:before="160" w:after="40" w:line="240" w:lineRule="auto"/>
      </w:pPr>
      <w:r>
        <w:rPr>
          <w:b/>
        </w:rPr>
        <w:t xml:space="preserve">[146] </w:t>
      </w:r>
      <w:hyperlink r:id="rId273">
        <w:r>
          <w:rPr>
            <w:color w:val="1155CC"/>
            <w:u w:val="single"/>
          </w:rPr>
          <w:t>直接从低质量矿井提取锂</w:t>
        </w:r>
      </w:hyperlink>
    </w:p>
    <w:p>
      <w:pPr>
        <w:spacing w:before="0" w:after="80"/>
      </w:pPr>
      <w:r>
        <w:rPr>
          <w:i/>
          <w:sz w:val="20"/>
        </w:rPr>
        <w:t>EN: Solar‐Driven Direct Lithium Extraction from Low‐Quality Brines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74">
        <w:r>
          <w:rPr>
            <w:color w:val="1155CC"/>
            <w:u w:val="single"/>
          </w:rPr>
          <w:t>10.1002/adma.202512998</w:t>
        </w:r>
      </w:hyperlink>
    </w:p>
    <w:p>
      <w:pPr>
        <w:spacing w:before="0" w:after="120"/>
      </w:pPr>
      <w:r>
        <w:rPr>
          <w:b/>
        </w:rPr>
        <w:t xml:space="preserve">Notes: </w:t>
      </w:r>
      <w:r>
        <w:t>abstract_source=crossref</w:t>
      </w:r>
    </w:p>
    <w:p>
      <w:pPr>
        <w:spacing w:before="0" w:after="80" w:lineRule="auto" w:line="276"/>
      </w:pPr>
      <w:r>
        <w:rPr>
          <w:b/>
        </w:rPr>
        <w:t xml:space="preserve">摘要（ZH）: </w:t>
      </w:r>
      <w:r>
        <w:t>摘要由于在能源转换促进脱碳方面的关键作用,可持续锂(Li)供应已变得日益重要,由于储量无限和分布多样,低质量的盐水具有巨大潜力,但希望获得绿色和成本效益高的提炼技术,以对付低李浓度和高镁--锂比率。太阳能驱动的直接锂抽取系统,结合常规蒸发和脱硫技术,可以克服目前李采掘的挑战,有望在同时生产淡水的同时,推动利用低质量的盐水。然而,有关SDLE系统的基本建筑原则和基本物理过程仍全面被发现。</w:t>
      </w:r>
    </w:p>
    <w:p>
      <w:pPr>
        <w:spacing w:before="0" w:after="200" w:lineRule="auto" w:line="276"/>
      </w:pPr>
      <w:r>
        <w:rPr>
          <w:b/>
        </w:rPr>
        <w:t xml:space="preserve">Abstract (EN): </w:t>
      </w:r>
      <w:r>
        <w:t>Owing to the crucial role in energy transformation for decarbonization, sustainable lithium (Li) supply has become growingly critical. Low‐quality brines hold vast potential due to infinite reserves and diverse distribution but desire green and cost‐effective extraction techniques against low Li concentrations and high magnesium‐to‐lithium ratios. Solar‐driven direct lithium extraction (SDLE) systems combining conventional evaporation and DLE techniques can overcome the present challenges of Li extraction, promising to advance the exploitation of low‐quality brines while simultaneously producing fresh water. However, the underlying construction principles and fundamental physical processes concerning SDLE systems are still uncovered comprehensively. This review first reveals the high‐efficient and energy‐effective Li extraction mechanisms from low‐quality brines. Then, this work systematically presents construction and enhancement strategies, and the latest advancements and engineering applications of various SDLE systems, covering adsorption, membrane separation, crystallization separation, and electrochemical extraction. Furthermore, this work highlights the rational design of SDLE devices for water‐Li co‐production. Finally, this work discusses the challenges and future prospects for realizing SDLE systems from lab discovery to scale‐up field demonstration. This review aims to bridge the gap between fundamental science and practical engineering behind the SDLE, unlocking different insights for resource sustainability and low‐grade brines mining.</w:t>
      </w:r>
    </w:p>
    <w:p>
      <w:pPr>
        <w:spacing w:before="120" w:after="120"/>
      </w:pPr>
      <w:r>
        <w:rPr>
          <w:sz w:val="18"/>
        </w:rPr>
        <w:t>——————————————————————————————————————————————————————————————————————</w:t>
      </w:r>
    </w:p>
    <w:p>
      <w:pPr>
        <w:spacing w:before="160" w:after="40" w:line="240" w:lineRule="auto"/>
      </w:pPr>
      <w:r>
        <w:rPr>
          <w:b/>
        </w:rPr>
        <w:t xml:space="preserve">[147] </w:t>
      </w:r>
      <w:hyperlink r:id="rId275">
        <w:r>
          <w:rPr>
            <w:color w:val="1155CC"/>
            <w:u w:val="single"/>
          </w:rPr>
          <w:t>共同值有机框架和碳氮化复合物促进可扩展的太阳能改革</w:t>
        </w:r>
      </w:hyperlink>
    </w:p>
    <w:p>
      <w:pPr>
        <w:spacing w:before="0" w:after="80"/>
      </w:pPr>
      <w:r>
        <w:rPr>
          <w:i/>
          <w:sz w:val="20"/>
        </w:rPr>
        <w:t>EN: Covalent Organic Framework and Carbon Nitride Composite for Scalable Solar Reforming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76">
        <w:r>
          <w:rPr>
            <w:color w:val="1155CC"/>
            <w:u w:val="single"/>
          </w:rPr>
          <w:t>10.1002/adma.202513457</w:t>
        </w:r>
      </w:hyperlink>
    </w:p>
    <w:p>
      <w:pPr>
        <w:spacing w:before="0" w:after="120"/>
      </w:pPr>
      <w:r>
        <w:rPr>
          <w:b/>
        </w:rPr>
        <w:t xml:space="preserve">Notes: </w:t>
      </w:r>
      <w:r>
        <w:t>abstract_source=crossref</w:t>
      </w:r>
    </w:p>
    <w:p>
      <w:pPr>
        <w:spacing w:before="0" w:after="80" w:lineRule="auto" w:line="276"/>
      </w:pPr>
      <w:r>
        <w:rPr>
          <w:b/>
        </w:rPr>
        <w:t xml:space="preserve">摘要（ZH）: </w:t>
      </w:r>
      <w:r>
        <w:t>太阳能抽象改革利用阳光对废物进行评估,为循环化学提供了一条有希望的道路,但大多数现有系统在腐蚀性条件下运作,缺乏可缩放性和可处理性,或者在氧化性废物的定量化过程中缺乏选择性。这里报告了模块组合复合光电催化剂,其中包括晶状共价有机框架(COF)、氰化氮(CNx)、锡氧化氮(ITO)和镍基分子催化剂(NimME),能够在pH中性水下利用可见光推动有选择的废物定量化和H2生成。</w:t>
      </w:r>
    </w:p>
    <w:p>
      <w:pPr>
        <w:spacing w:before="0" w:after="200" w:lineRule="auto" w:line="276"/>
      </w:pPr>
      <w:r>
        <w:rPr>
          <w:b/>
        </w:rPr>
        <w:t xml:space="preserve">Abstract (EN): </w:t>
      </w:r>
      <w:r>
        <w:t>Solar reforming uses sunlight to valorize waste and offers a promising route to circular chemistry, but most current systems operate under corrosive conditions, lack scalability and processability, or suffer from poor selectivity in oxidative waste valorization. Here, a modular composite photocatalyst, comprising a crystalline covalent organic framework (COF), cyanamide‐functionalized carbon nitride (CN</w:t>
      </w:r>
      <w:r>
        <w:t xml:space="preserve"> </w:t>
      </w:r>
      <w:r>
        <w:t>x</w:t>
      </w:r>
      <w:r>
        <w:t xml:space="preserve"> </w:t>
      </w:r>
      <w:r>
        <w:t>), indium tin oxide (ITO), and a nickel‐based molecular catalyst (NiME), capable of driving selective waste valorization and H</w:t>
      </w:r>
      <w:r>
        <w:rPr>
          <w:vertAlign w:val="subscript"/>
        </w:rPr>
        <w:t>2</w:t>
      </w:r>
      <w:r>
        <w:t>generation using visible light under pH neutral aqueous conditions is reported. The porous structure of the COF provides nanoconfinement, thereby supporting the targeted oxidation of polyols and sugars into formate (HCOO</w:t>
      </w:r>
      <w:r>
        <w:t xml:space="preserve"> </w:t>
      </w:r>
      <w:r>
        <w:t>−</w:t>
      </w:r>
      <w:r>
        <w:t>), while carbon nitride in the presence of the molecular catalyst facilitates H</w:t>
      </w:r>
      <w:r>
        <w:rPr>
          <w:vertAlign w:val="subscript"/>
        </w:rPr>
        <w:t>2</w:t>
      </w:r>
      <w:r>
        <w:t>evolution. ITO functions as a solid‐state electron mediator, enabling coupled oxidative and reductive processes for the concurrent solar‐driven production of H</w:t>
      </w:r>
      <w:r>
        <w:rPr>
          <w:vertAlign w:val="subscript"/>
        </w:rPr>
        <w:t>2</w:t>
      </w:r>
      <w:r>
        <w:t>and HCOO</w:t>
      </w:r>
      <w:r>
        <w:t xml:space="preserve"> </w:t>
      </w:r>
      <w:r>
        <w:t>−</w:t>
      </w:r>
      <w:r>
        <w:t>. The high processability of the COF|ITO|CN</w:t>
      </w:r>
      <w:r>
        <w:t xml:space="preserve"> </w:t>
      </w:r>
      <w:r>
        <w:t>x</w:t>
      </w:r>
      <w:r>
        <w:t xml:space="preserve"> </w:t>
      </w:r>
      <w:r>
        <w:t>|NiME composite allows for the construction of a standalone photoleaf and photopanel, which have been integrated into a single‐window and a scalable multi‐window reactor, respectively. Continuous operability over seven days, along with testing under outdoor conditions with pretreated plastic under direct sunlight, offers a pathway toward practical and scalable solar reforming using structurally tunable organic semiconductor composites.</w:t>
      </w:r>
    </w:p>
    <w:p>
      <w:pPr>
        <w:spacing w:before="120" w:after="120"/>
      </w:pPr>
      <w:r>
        <w:rPr>
          <w:sz w:val="18"/>
        </w:rPr>
        <w:t>——————————————————————————————————————————————————————————————————————</w:t>
      </w:r>
    </w:p>
    <w:p>
      <w:pPr>
        <w:spacing w:before="160" w:after="40" w:line="240" w:lineRule="auto"/>
      </w:pPr>
      <w:r>
        <w:rPr>
          <w:b/>
        </w:rPr>
        <w:t xml:space="preserve">[148] </w:t>
      </w:r>
      <w:hyperlink r:id="rId277">
        <w:r>
          <w:rPr>
            <w:color w:val="1155CC"/>
            <w:u w:val="single"/>
          </w:rPr>
          <w:t>CO Lattice 加速碘红氧化动力学公司当地共原子的加固多亚热水平分化</w:t>
        </w:r>
      </w:hyperlink>
    </w:p>
    <w:p>
      <w:pPr>
        <w:spacing w:before="0" w:after="80"/>
      </w:pPr>
      <w:r>
        <w:rPr>
          <w:i/>
          <w:sz w:val="20"/>
        </w:rPr>
        <w:t>EN: Intensifying D‐Orbitals Energy Level Splitting of Local Co Atoms in CoO Lattice for Accelerated Iodine Redox Kinetics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78">
        <w:r>
          <w:rPr>
            <w:color w:val="1155CC"/>
            <w:u w:val="single"/>
          </w:rPr>
          <w:t>10.1002/adma.202513526</w:t>
        </w:r>
      </w:hyperlink>
    </w:p>
    <w:p>
      <w:pPr>
        <w:spacing w:before="0" w:after="120"/>
      </w:pPr>
      <w:r>
        <w:rPr>
          <w:b/>
        </w:rPr>
        <w:t xml:space="preserve">Notes: </w:t>
      </w:r>
      <w:r>
        <w:t>abstract_source=crossref</w:t>
      </w:r>
    </w:p>
    <w:p>
      <w:pPr>
        <w:spacing w:before="0" w:after="80" w:lineRule="auto" w:line="276"/>
      </w:pPr>
      <w:r>
        <w:rPr>
          <w:b/>
        </w:rPr>
        <w:t xml:space="preserve">摘要（ZH）: </w:t>
      </w:r>
      <w:r>
        <w:t>有关催化剂电子结构的抽象模拟,以尽量扩大催化剂的力量,这是应对锌-碘电池(ZIBs)所面临挑战的关键,包括穿梭效应和碘阴极缓慢的红氧化动能,因此,氧气空缺被创新地引入CoO Lattice,以便在碳纳米纤维所支持的碳纳米纤维(HCoOO 1-x /CNFs)中创建高螺旋状态共活性场地。这一简单战略强化了Co 3轨道的晶体分割,优化了Co 3轨道和碘物种之间的旋转轨道联动。</w:t>
      </w:r>
    </w:p>
    <w:p>
      <w:pPr>
        <w:spacing w:before="0" w:after="200" w:lineRule="auto" w:line="276"/>
      </w:pPr>
      <w:r>
        <w:rPr>
          <w:b/>
        </w:rPr>
        <w:t xml:space="preserve">Abstract (EN): </w:t>
      </w:r>
      <w:r>
        <w:t>Modulating the electronic structure of catalysts to maximize their power holds the key to address the challenges faced by zinc‐iodine batteries (ZIBs), including the shuttle effect and slow redox kinetics at the iodine cathode. Herein, oxygen vacancies is innovatively introduced into CoO lattice to create high‐spin‐state Co active sites in nonstoichiometric CoO</w:t>
      </w:r>
      <w:r>
        <w:t xml:space="preserve"> </w:t>
      </w:r>
      <w:r>
        <w:t>1₋x</w:t>
      </w:r>
      <w:r>
        <w:t xml:space="preserve"> </w:t>
      </w:r>
      <w:r>
        <w:t>nanocrystals supported by carbon nanofibers (H‐CoO</w:t>
      </w:r>
      <w:r>
        <w:t xml:space="preserve"> </w:t>
      </w:r>
      <w:r>
        <w:t>1₋x</w:t>
      </w:r>
      <w:r>
        <w:t xml:space="preserve"> </w:t>
      </w:r>
      <w:r>
        <w:t>/CNFs). This simple strategy intensifies crystal field splitting of Co 3d orbitals, optimizing the spin‐orbital coupling between Co 3d orbitals and iodine species. The resulting enhanced availability of more unpaired electrons in non‐degenerate e</w:t>
      </w:r>
      <w:r>
        <w:t xml:space="preserve"> </w:t>
      </w:r>
      <w:r>
        <w:t>g</w:t>
      </w:r>
      <w:r>
        <w:t xml:space="preserve"> </w:t>
      </w:r>
      <w:r>
        <w:t>orbitals facilitates faster electron donation/acceptance during iodine redox reactions, thus improved reaction kinetics. Therefore, the assembled ZIBs employing H‐CoO</w:t>
      </w:r>
      <w:r>
        <w:t xml:space="preserve"> </w:t>
      </w:r>
      <w:r>
        <w:t>1₋x</w:t>
      </w:r>
      <w:r>
        <w:t xml:space="preserve"> </w:t>
      </w:r>
      <w:r>
        <w:t>/CNFs/I</w:t>
      </w:r>
      <w:r>
        <w:rPr>
          <w:vertAlign w:val="subscript"/>
        </w:rPr>
        <w:t>2</w:t>
      </w:r>
      <w:r>
        <w:t>cathode acquires a narrower overpotential gap (37 mV), higher initial capacity (203.0 mAh g</w:t>
      </w:r>
      <w:r>
        <w:t xml:space="preserve"> </w:t>
      </w:r>
      <w:r>
        <w:t>‒1</w:t>
      </w:r>
      <w:r>
        <w:t xml:space="preserve"> </w:t>
      </w:r>
      <w:r>
        <w:t>), and better cycling stability (96.0% capacity retention after 2200 cycles at 0.5 A g</w:t>
      </w:r>
      <w:r>
        <w:t xml:space="preserve"> </w:t>
      </w:r>
      <w:r>
        <w:t>‒1</w:t>
      </w:r>
      <w:r>
        <w:t xml:space="preserve"> </w:t>
      </w:r>
      <w:r>
        <w:t>) compared to the CoO/CNFs/I</w:t>
      </w:r>
      <w:r>
        <w:rPr>
          <w:vertAlign w:val="subscript"/>
        </w:rPr>
        <w:t>2</w:t>
      </w:r>
      <w:r>
        <w:t>cathode without experiencing defect engineering (109 mV/192.6 mAh g</w:t>
      </w:r>
      <w:r>
        <w:t xml:space="preserve"> </w:t>
      </w:r>
      <w:r>
        <w:t>‒1</w:t>
      </w:r>
      <w:r>
        <w:t xml:space="preserve"> </w:t>
      </w:r>
      <w:r>
        <w:t>/74.7% after 1000 cycles). This work opens new avenues for maximizing the potential power of cathode host catalysts, making immediate contributions to the advancement of aqueous halogen batteries.</w:t>
      </w:r>
    </w:p>
    <w:p>
      <w:pPr>
        <w:spacing w:before="120" w:after="120"/>
      </w:pPr>
      <w:r>
        <w:rPr>
          <w:sz w:val="18"/>
        </w:rPr>
        <w:t>——————————————————————————————————————————————————————————————————————</w:t>
      </w:r>
    </w:p>
    <w:p>
      <w:pPr>
        <w:spacing w:before="160" w:after="40" w:line="240" w:lineRule="auto"/>
      </w:pPr>
      <w:r>
        <w:rPr>
          <w:b/>
        </w:rPr>
        <w:t xml:space="preserve">[149] </w:t>
      </w:r>
      <w:hyperlink r:id="rId279">
        <w:r>
          <w:rPr>
            <w:color w:val="1155CC"/>
            <w:u w:val="single"/>
          </w:rPr>
          <w:t>地方化的同位素结构加强废液锂电池电池的再生</w:t>
        </w:r>
      </w:hyperlink>
    </w:p>
    <w:p>
      <w:pPr>
        <w:spacing w:before="0" w:after="80"/>
      </w:pPr>
      <w:r>
        <w:rPr>
          <w:i/>
          <w:sz w:val="20"/>
        </w:rPr>
        <w:t>EN: Adaptive Localized Ectopic Structure Enhances Regeneration of Spent Lithium‐Ion Battery Cathodes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80">
        <w:r>
          <w:rPr>
            <w:color w:val="1155CC"/>
            <w:u w:val="single"/>
          </w:rPr>
          <w:t>10.1002/adma.202513547</w:t>
        </w:r>
      </w:hyperlink>
    </w:p>
    <w:p>
      <w:pPr>
        <w:spacing w:before="0" w:after="120"/>
      </w:pPr>
      <w:r>
        <w:rPr>
          <w:b/>
        </w:rPr>
        <w:t xml:space="preserve">Notes: </w:t>
      </w:r>
      <w:r>
        <w:t>abstract_source=crossref</w:t>
      </w:r>
    </w:p>
    <w:p>
      <w:pPr>
        <w:spacing w:before="0" w:after="80" w:lineRule="auto" w:line="276"/>
      </w:pPr>
      <w:r>
        <w:rPr>
          <w:b/>
        </w:rPr>
        <w:t xml:space="preserve">摘要（ZH）: </w:t>
      </w:r>
      <w:r>
        <w:t>抽象直接再生已经成为回收用过的锂-离子电池的新兴战略,但恢复阴极退化的晶体结构仍是一个重大障碍。在这里,开发出一种具有丰富锂(Li)含量的新颖的精密电压溶剂(Li),不仅促使形成一个适应性强的当地电子专流结构(ALES),其特点是无序和局部化,而且还有助于分离阴极板和补充耗竭元素。在ALES中,电子专流钴(Co)点通过扩大硅板和形成与低分子C3+的八面协调,促进李+扩散,而电子专流液调节CO-O的相互作用,Coll。</w:t>
      </w:r>
    </w:p>
    <w:p>
      <w:pPr>
        <w:spacing w:before="0" w:after="200" w:lineRule="auto" w:line="276"/>
      </w:pPr>
      <w:r>
        <w:rPr>
          <w:b/>
        </w:rPr>
        <w:t xml:space="preserve">Abstract (EN): </w:t>
      </w:r>
      <w:r>
        <w:t>Direct regeneration has emerged as a budding strategy for recycling spent lithium‐ion batteries, yet restoring the degraded crystal structure of the cathode remains a momentous handicap. Here, a novel deep eutectic solvent rich in lithium (Li) is developed that not only induces the formation of an adaptive local ectopic structure (ALES) characterized by disordered and localized cations, but also facilitates the separation of cathode sheets and replenishes depleted elements. Within ALES, ectopic cobalt (Co) sites boost Li</w:t>
      </w:r>
      <w:r>
        <w:t xml:space="preserve"> </w:t>
      </w:r>
      <w:r>
        <w:t>+</w:t>
      </w:r>
      <w:r>
        <w:t xml:space="preserve"> </w:t>
      </w:r>
      <w:r>
        <w:t>diffusion by expanding the Li slab and forming octahedral coordination with low‐spin Co</w:t>
      </w:r>
      <w:r>
        <w:t xml:space="preserve"> </w:t>
      </w:r>
      <w:r>
        <w:t>3+</w:t>
      </w:r>
      <w:r>
        <w:t xml:space="preserve"> </w:t>
      </w:r>
      <w:r>
        <w:t>, while ectopic Li modulates Co─O interactions, collaboratively impeding long‐range structural disorder, mitigating lattice stress, and reducing charge density fluctuations. The synergistic interaction between the ectopic Co and Li enables in situ structural repair of spent lithium cobalt oxide (LCO), thereby restoring crystallinity and enhancing electrochemical performance. The regenerated LCO delivers a reversible capacity of 183.08 mAh g</w:t>
      </w:r>
      <w:r>
        <w:t xml:space="preserve"> </w:t>
      </w:r>
      <w:r>
        <w:t>−1</w:t>
      </w:r>
      <w:r>
        <w:t xml:space="preserve"> </w:t>
      </w:r>
      <w:r>
        <w:t>at 0.2 C, with 87.01% capacity retention after 200 cycles at 0.5 C, outperforming commercial counterparts. This study offers a new pathway for addressing an urgent bottleneck in structure‐targeted LIB regeneration.</w:t>
      </w:r>
    </w:p>
    <w:p>
      <w:pPr>
        <w:spacing w:before="120" w:after="120"/>
      </w:pPr>
      <w:r>
        <w:rPr>
          <w:sz w:val="18"/>
        </w:rPr>
        <w:t>——————————————————————————————————————————————————————————————————————</w:t>
      </w:r>
    </w:p>
    <w:p>
      <w:pPr>
        <w:spacing w:before="160" w:after="40" w:line="240" w:lineRule="auto"/>
      </w:pPr>
      <w:r>
        <w:rPr>
          <w:b/>
        </w:rPr>
        <w:t xml:space="preserve">[150] </w:t>
      </w:r>
      <w:hyperlink r:id="rId281">
        <w:r>
          <w:rPr>
            <w:color w:val="1155CC"/>
            <w:u w:val="single"/>
          </w:rPr>
          <w:t>MnO2 Cathhodes 的动态保护多发光源: 高级 ZincIon 电池循环性能的离子排序和结构保护</w:t>
        </w:r>
      </w:hyperlink>
    </w:p>
    <w:p>
      <w:pPr>
        <w:spacing w:before="0" w:after="80"/>
      </w:pPr>
      <w:r>
        <w:rPr>
          <w:i/>
          <w:sz w:val="20"/>
        </w:rPr>
        <w:t>EN: Dynamic Protective Multi‐Layers for MnO2 Cathodes: Ion Sorting and Structural Protection for Superior Zinc‐Ion Battery Cycling Performance</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82">
        <w:r>
          <w:rPr>
            <w:color w:val="1155CC"/>
            <w:u w:val="single"/>
          </w:rPr>
          <w:t>10.1002/adma.202513548</w:t>
        </w:r>
      </w:hyperlink>
    </w:p>
    <w:p>
      <w:pPr>
        <w:spacing w:before="0" w:after="120"/>
      </w:pPr>
      <w:r>
        <w:rPr>
          <w:b/>
        </w:rPr>
        <w:t xml:space="preserve">Notes: </w:t>
      </w:r>
      <w:r>
        <w:t>abstract_source=crossref</w:t>
      </w:r>
    </w:p>
    <w:p>
      <w:pPr>
        <w:spacing w:before="0" w:after="80" w:lineRule="auto" w:line="276"/>
      </w:pPr>
      <w:r>
        <w:rPr>
          <w:b/>
        </w:rPr>
        <w:t xml:space="preserve">摘要（ZH）: </w:t>
      </w:r>
      <w:r>
        <w:t>抽象水锌金属电池(AZMBs)具有高度安全、低成本和生态友好的特点,其中锰基环球因其丰富和理论能力高而突出,但诸如铁合金崩溃、Mn解体和运动力迟钝等失败行为阻碍其应用。在此,通过一个简单的单步制造过程设计了一个动态多保护界面,模拟生物膜和细胞壁的结构和功能属性,由三个不同层次组成:一个外高的氧化氧化物层,它能加强化学稳定性,有选择地促进质子间变,同时管理Zn 2+的相互变换。</w:t>
      </w:r>
    </w:p>
    <w:p>
      <w:pPr>
        <w:spacing w:before="0" w:after="200" w:lineRule="auto" w:line="276"/>
      </w:pPr>
      <w:r>
        <w:rPr>
          <w:b/>
        </w:rPr>
        <w:t xml:space="preserve">Abstract (EN): </w:t>
      </w:r>
      <w:r>
        <w:t>Aqueous zinc metal batteries (AZMBs) are characterized by high safety, low cost, and eco‐friendliness, among which manganese‐based cathodes stand out due to their abundance and high theoretical capacity. However, failure behaviors such as lattice collapse, Mn dissolution, and sluggish kinetics hinder their application. Herein, a dynamic multi‐protective interface has been designed through a simple one‐step manufacturing process, emulating the structural and functional attributes of biological membranes and cell walls. It comprises three distinct layers: an outer high‐valent oxide layer that enhances chemical stability and selectively facilitates proton intercalation while governing the intercalation of Zn</w:t>
      </w:r>
      <w:r>
        <w:t xml:space="preserve"> </w:t>
      </w:r>
      <w:r>
        <w:t>2+</w:t>
      </w:r>
      <w:r>
        <w:t xml:space="preserve"> </w:t>
      </w:r>
      <w:r>
        <w:t>; a middle low‐valent oxide and metal composite layer, which functions as a buffer to selectively adsorb Mn</w:t>
      </w:r>
      <w:r>
        <w:t xml:space="preserve"> </w:t>
      </w:r>
      <w:r>
        <w:t>2+</w:t>
      </w:r>
      <w:r>
        <w:t xml:space="preserve"> </w:t>
      </w:r>
      <w:r>
        <w:t>, thereby inhibiting Mn dissolution and augmenting the chemical stability of the cathode; and an inner heterojunction layer, which boosts conductivity and alleviates Jahn–Teller distortion through lattice distortion and entropy‐mediated electronic delocalization. The surface modified cathode exhibits outstanding stability, with nearly zero capacity decay observed over 300 cycles at a low current density of 0.4 A g</w:t>
      </w:r>
      <w:r>
        <w:t xml:space="preserve"> </w:t>
      </w:r>
      <w:r>
        <w:t>−1</w:t>
      </w:r>
      <w:r>
        <w:t xml:space="preserve"> </w:t>
      </w:r>
      <w:r>
        <w:t>, and 15 000 cycles under a high current of 10 A g</w:t>
      </w:r>
      <w:r>
        <w:t xml:space="preserve"> </w:t>
      </w:r>
      <w:r>
        <w:t>−1</w:t>
      </w:r>
      <w:r>
        <w:t xml:space="preserve"> </w:t>
      </w:r>
      <w:r>
        <w:t>. With significantly enhanced cycling stability, rate capability, and electrochemical reversibility, this strategy presents a promising solution for high‐performance MnO</w:t>
      </w:r>
      <w:r>
        <w:rPr>
          <w:vertAlign w:val="subscript"/>
        </w:rPr>
        <w:t>2</w:t>
      </w:r>
      <w:r>
        <w:t>‐based cathodes in AZMBs.</w:t>
      </w:r>
    </w:p>
    <w:p>
      <w:pPr>
        <w:spacing w:before="120" w:after="120"/>
      </w:pPr>
      <w:r>
        <w:rPr>
          <w:sz w:val="18"/>
        </w:rPr>
        <w:t>——————————————————————————————————————————————————————————————————————</w:t>
      </w:r>
    </w:p>
    <w:p>
      <w:pPr>
        <w:spacing w:before="160" w:after="40" w:line="240" w:lineRule="auto"/>
      </w:pPr>
      <w:r>
        <w:rPr>
          <w:b/>
        </w:rPr>
        <w:t xml:space="preserve">[151] </w:t>
      </w:r>
      <w:hyperlink r:id="rId283">
        <w:r>
          <w:rPr>
            <w:color w:val="1155CC"/>
            <w:u w:val="single"/>
          </w:rPr>
          <w:t>Perovskite太阳能电池和单元高性能高能能促进可控制的单层大会</w:t>
        </w:r>
      </w:hyperlink>
    </w:p>
    <w:p>
      <w:pPr>
        <w:spacing w:before="0" w:after="80"/>
      </w:pPr>
      <w:r>
        <w:rPr>
          <w:i/>
          <w:sz w:val="20"/>
        </w:rPr>
        <w:t>EN: Pre‐Anchored Ionic Bond Mediators Enabling Controllable Monolayer Assembly for High‐Performance Perovskite Solar Cells and Modules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84">
        <w:r>
          <w:rPr>
            <w:color w:val="1155CC"/>
            <w:u w:val="single"/>
          </w:rPr>
          <w:t>10.1002/adma.202513600</w:t>
        </w:r>
      </w:hyperlink>
    </w:p>
    <w:p>
      <w:pPr>
        <w:spacing w:before="0" w:after="120"/>
      </w:pPr>
      <w:r>
        <w:rPr>
          <w:b/>
        </w:rPr>
        <w:t xml:space="preserve">Notes: </w:t>
      </w:r>
      <w:r>
        <w:t>abstract_source=crossref</w:t>
      </w:r>
    </w:p>
    <w:p>
      <w:pPr>
        <w:spacing w:before="0" w:after="80" w:lineRule="auto" w:line="276"/>
      </w:pPr>
      <w:r>
        <w:rPr>
          <w:b/>
        </w:rPr>
        <w:t xml:space="preserve">摘要（ZH）: </w:t>
      </w:r>
      <w:r>
        <w:t>抽象自组自成一体的单层(SAM)已成为高高效过气太阳能电池(PSC)不可或缺的洞类选择性接触。然而,通过湿沉积形成密密、统一的SAM,由于两个热动力上可行但相互竞争的过程而带来了挑战:SAM分子的自我聚合和铬吸附驱动基底锚定。在这里,介绍了SAM组装的快速和可控制战略,由前接合的离子键调解调器促成。 镍氧化物(NiO x ) 的预先合成的ARG分子可以通过离子联结互动削弱SAM分子的两栖性质,同时也起到立体屏障的作用,从而抑制了自我分离。</w:t>
      </w:r>
    </w:p>
    <w:p>
      <w:pPr>
        <w:spacing w:before="0" w:after="200" w:lineRule="auto" w:line="276"/>
      </w:pPr>
      <w:r>
        <w:rPr>
          <w:b/>
        </w:rPr>
        <w:t xml:space="preserve">Abstract (EN): </w:t>
      </w:r>
      <w:r>
        <w:t>Self‐assembled monolayer (SAM) has emerged as an indispensable hole‐selective contact for high‐efficiency perovskite solar cells (PSCs). However, the formation of dense, uniform SAMs via wet deposition poses challenges due to two thermodynamically feasible yet competing processes: the self‐aggregation of SAM molecules and chemisorption‐driven substrate anchoring. Herein, a rapid and controllable strategy for SAM assembly is presented, enabled by pre‐adsorbed ionic bond mediators. The pre‐anchored arginine (Arg) molecules on nickel oxid (NiO</w:t>
      </w:r>
      <w:r>
        <w:t xml:space="preserve"> </w:t>
      </w:r>
      <w:r>
        <w:t>x</w:t>
      </w:r>
      <w:r>
        <w:t xml:space="preserve"> </w:t>
      </w:r>
      <w:r>
        <w:t>) can weaken the amphiphilic nature of SAM molecules through ionic bond interaction, while also acting as steric barriers, thereby suppressing the self‐aggregation of SAM molecules. This strategy is compatible with both spin‐coating and blade‐coating techniques, enabling rapid and controllable assembly of high‐quality SAM of [4‐(3,6‐dimethyl‐9H‐carbazol‐9‐yl) butyl] phosphonic acid. Moreover, the polar guanidinium tail of Arg passivates defects at the buried perovskite interface while strengthening interfacial coupling with the perovskite layer–enhancing both mechanical stability and electrical contact. Benefiting from these synergistic effects, the PSCs achieve high PCEs of up to 26.67% and 21.05% for small‐area devices (active area: 0.049 cm</w:t>
      </w:r>
      <w:r>
        <w:rPr>
          <w:vertAlign w:val="subscript"/>
        </w:rPr>
        <w:t>2</w:t>
      </w:r>
      <w:r>
        <w:t>) and large‐area modules (active area: 64.68 cm</w:t>
      </w:r>
      <w:r>
        <w:rPr>
          <w:vertAlign w:val="subscript"/>
        </w:rPr>
        <w:t>2</w:t>
      </w:r>
      <w:r>
        <w:t>), respectively. Notably, the devices exhibit exceptional operational stability, retaining 93% of their initial PCE after 1700 h of maximum power point tracking under the ISOS‐L‐2 protocol.</w:t>
      </w:r>
    </w:p>
    <w:p>
      <w:pPr>
        <w:spacing w:before="120" w:after="120"/>
      </w:pPr>
      <w:r>
        <w:rPr>
          <w:sz w:val="18"/>
        </w:rPr>
        <w:t>——————————————————————————————————————————————————————————————————————</w:t>
      </w:r>
    </w:p>
    <w:p>
      <w:pPr>
        <w:spacing w:before="160" w:after="40" w:line="240" w:lineRule="auto"/>
      </w:pPr>
      <w:r>
        <w:rPr>
          <w:b/>
        </w:rPr>
        <w:t xml:space="preserve">[152] </w:t>
      </w:r>
      <w:hyperlink r:id="rId285">
        <w:r>
          <w:rPr>
            <w:color w:val="1155CC"/>
            <w:u w:val="single"/>
          </w:rPr>
          <w:t>以具有历史等级的聚合物为功能的瓦费(Wafer)基础自由自由转移单晶线纳米膜</w:t>
        </w:r>
      </w:hyperlink>
    </w:p>
    <w:p>
      <w:pPr>
        <w:spacing w:before="0" w:after="80"/>
      </w:pPr>
      <w:r>
        <w:rPr>
          <w:i/>
          <w:sz w:val="20"/>
        </w:rPr>
        <w:t>EN: Crack‐Free Transfer of Wafer‐Scale Freestanding Single‐Crystalline Nanomembranes Enabled by Elastically Graded Polymer</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86">
        <w:r>
          <w:rPr>
            <w:color w:val="1155CC"/>
            <w:u w:val="single"/>
          </w:rPr>
          <w:t>10.1002/adma.202513080</w:t>
        </w:r>
      </w:hyperlink>
    </w:p>
    <w:p>
      <w:pPr>
        <w:spacing w:before="0" w:after="120"/>
      </w:pPr>
      <w:r>
        <w:rPr>
          <w:b/>
        </w:rPr>
        <w:t xml:space="preserve">Notes: </w:t>
      </w:r>
      <w:r>
        <w:t>abstract_source=crossref</w:t>
      </w:r>
    </w:p>
    <w:p>
      <w:pPr>
        <w:spacing w:before="0" w:after="80" w:lineRule="auto" w:line="276"/>
      </w:pPr>
      <w:r>
        <w:rPr>
          <w:b/>
        </w:rPr>
        <w:t xml:space="preserve">摘要（ZH）: </w:t>
      </w:r>
      <w:r>
        <w:t>作为基础研究和先进电子应用的有希望的平台,独立单晶线纳米膜已日益受到越来越多的关注,但氧化亚胺膜内上层压力梯度产生的内部压力梯度在制造过程中往往导致高裂痕密度,导致产量不尽人意和可靠性有限。在这里,正在开发一种弹性分级聚合物(EGP)支持,使单晶线氧化亚氮膜的无裂变规模转移成为可能。在EGP中工程的弹性梯度可容纳氧化亚氮膜的内部菌株,从而有效地将升降期间的裂痕形成最小化。值得注意的是,这种在空间上控制聚合物与升降过程中的硬度的能力。</w:t>
      </w:r>
    </w:p>
    <w:p>
      <w:pPr>
        <w:spacing w:before="0" w:after="200" w:lineRule="auto" w:line="276"/>
      </w:pPr>
      <w:r>
        <w:rPr>
          <w:b/>
        </w:rPr>
        <w:t xml:space="preserve">Abstract (EN): </w:t>
      </w:r>
      <w:r>
        <w:t>Freestanding single‐crystalline nanomembranes have gained increasing attention as promising platforms for both fundamental research and advanced electronic applications. However, internal stress gradients arising from epitaxial strain within the oxide membranes often result in high crack density during fabrication, leading to unsatisfactory yield and limited reliability. Here, an elastically graded polymer (EGP) support that enables wafer‐scale crack‐free transfer of single‐crystalline oxide membranes are developed. The engineered elastic gradient within the EGP accommodates the internal strain of the oxide membrane, effectively minimizing crack formation during lift‐off. Notably, this ability to spatially control the interfacial stiffness between the polymer and the oxide film enables crack suppression under both tensile and compressive strain. This approach provides a robust and scalable route to producing high‐quality freestanding oxide membranes, paving the way not only for their integration into novel device architecture but also opening new avenues for scientific exploration of functional systems.</w:t>
      </w:r>
    </w:p>
    <w:p>
      <w:pPr>
        <w:spacing w:before="120" w:after="120"/>
      </w:pPr>
      <w:r>
        <w:rPr>
          <w:sz w:val="18"/>
        </w:rPr>
        <w:t>——————————————————————————————————————————————————————————————————————</w:t>
      </w:r>
    </w:p>
    <w:p>
      <w:pPr>
        <w:spacing w:before="160" w:after="40" w:line="240" w:lineRule="auto"/>
      </w:pPr>
      <w:r>
        <w:rPr>
          <w:b/>
        </w:rPr>
        <w:t xml:space="preserve">[153] </w:t>
      </w:r>
      <w:hyperlink r:id="rId287">
        <w:r>
          <w:rPr>
            <w:color w:val="1155CC"/>
            <w:u w:val="single"/>
          </w:rPr>
          <w:t>Gbits/ SN 高级加密光谱无线通信,通过高性能软体有机超光谱仪启用</w:t>
        </w:r>
      </w:hyperlink>
    </w:p>
    <w:p>
      <w:pPr>
        <w:spacing w:before="0" w:after="80"/>
      </w:pPr>
      <w:r>
        <w:rPr>
          <w:i/>
          <w:sz w:val="20"/>
        </w:rPr>
        <w:t>EN: Gbits/s‐Level Encrypted Spectral Wireless Communication Enabled by High‐Performance Flexible Organic Hyperspectrometer</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88">
        <w:r>
          <w:rPr>
            <w:color w:val="1155CC"/>
            <w:u w:val="single"/>
          </w:rPr>
          <w:t>10.1002/adma.202513003</w:t>
        </w:r>
      </w:hyperlink>
    </w:p>
    <w:p>
      <w:pPr>
        <w:spacing w:before="0" w:after="120"/>
      </w:pPr>
      <w:r>
        <w:rPr>
          <w:b/>
        </w:rPr>
        <w:t xml:space="preserve">Notes: </w:t>
      </w:r>
      <w:r>
        <w:t>abstract_source=crossref</w:t>
      </w:r>
    </w:p>
    <w:p>
      <w:pPr>
        <w:spacing w:before="0" w:after="80" w:lineRule="auto" w:line="276"/>
      </w:pPr>
      <w:r>
        <w:rPr>
          <w:b/>
        </w:rPr>
        <w:t xml:space="preserve">摘要（ZH）: </w:t>
      </w:r>
      <w:r>
        <w:t>信息时代数据指数指数指数式的抽象增长将传统光学通信技术推到了其局限性,包括低效率光谱利用、缓慢的数据率和固有的安全脆弱性。 此处,建议采用灵活、微型和高性性能有机高光谱无线通信(SWC)技术的改造性高速有机光谱无线通信(SWC)技术,该技术由灵活、微型和高性能有机高光谱仪提供,将超高速数据传输与硬件级加密相结合。通过协同将有机光探测阵列与金枪鱼易反应和光谱可接收有机过滤器相结合,有机超光谱仪的光谱探测范围为400-900纳米,分辨率为1.08纳米,精确度为0.60。</w:t>
      </w:r>
    </w:p>
    <w:p>
      <w:pPr>
        <w:spacing w:before="0" w:after="200" w:lineRule="auto" w:line="276"/>
      </w:pPr>
      <w:r>
        <w:rPr>
          <w:b/>
        </w:rPr>
        <w:t xml:space="preserve">Abstract (EN): </w:t>
      </w:r>
      <w:r>
        <w:t>The exponential growth of data in the information era has pushed conventional optical communication technology to its limitations, including inefficient spectral utilization, slow data rate, and inherent security vulnerabilities. Here, a transformative high‐speed organic spectral wireless communication (SWC) technology enabled by a flexible, miniaturized, and high‐performance organic hyperspectrometer is proposed that integrates ultrahigh‐speed data transmission with hardware‐level encryption. By synergistically combining organic photodetector arrays with tunable responsivities and spectral‐tunable organic filters, the organic hyperspectrometer achieves a broad spectral detection range of 400 to 900 nm, resolution of 1.08 nm, accuracy of 0.60 nm, and response time of 684 ns. Unlike prior optical wireless communication systems, the organic hyperspectrometer‐based SWC platform uniquely decodes high‐speed encrypted data at the hardware level, which is a breakthrough in secure, high‐speed, and high‐capacity communication. Harnessing the full visible‐to‐near‐infrared spectrum, the SWC system achieves a theoretical data rate of 9.1 Gbits s</w:t>
      </w:r>
      <w:r>
        <w:t xml:space="preserve"> </w:t>
      </w:r>
      <w:r>
        <w:t>−1</w:t>
      </w:r>
      <w:r>
        <w:t xml:space="preserve"> </w:t>
      </w:r>
      <w:r>
        <w:t>, ranking as the highest‐speed organic optical communication system. Furthermore, the intrinsic flexibility and bandgap‐tunability of organic materials enable unparalleled portability, adaptability, and scalability of organic SWC, establishing a scalable framework for terahertz‐scale data transmission. These advancements mark a pivotal leap toward secure, high‐speed, and ultracompact optical networks for the future data‐ and AI‐driven era.</w:t>
      </w:r>
    </w:p>
    <w:p>
      <w:pPr>
        <w:spacing w:before="120" w:after="120"/>
      </w:pPr>
      <w:r>
        <w:rPr>
          <w:sz w:val="18"/>
        </w:rPr>
        <w:t>——————————————————————————————————————————————————————————————————————</w:t>
      </w:r>
    </w:p>
    <w:p>
      <w:pPr>
        <w:spacing w:before="160" w:after="40" w:line="240" w:lineRule="auto"/>
      </w:pPr>
      <w:r>
        <w:rPr>
          <w:b/>
        </w:rPr>
        <w:t xml:space="preserve">[154] </w:t>
      </w:r>
      <w:hyperlink r:id="rId289">
        <w:r>
          <w:rPr>
            <w:color w:val="1155CC"/>
            <w:u w:val="single"/>
          </w:rPr>
          <w:t>直接写入通过低温度激光沉积为高性能酸性氢氢进化反应而启用的 Oxygen 直接写入</w:t>
        </w:r>
      </w:hyperlink>
    </w:p>
    <w:p>
      <w:pPr>
        <w:spacing w:before="0" w:after="80"/>
      </w:pPr>
      <w:r>
        <w:rPr>
          <w:i/>
          <w:sz w:val="20"/>
        </w:rPr>
        <w:t>EN: Direct Writing of Oxygen‐Doped Mo2C Enabled by Low‐Temperature Laser Deposition for High‐Performance Acidic Hydrogen Evolution Reaction</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90">
        <w:r>
          <w:rPr>
            <w:color w:val="1155CC"/>
            <w:u w:val="single"/>
          </w:rPr>
          <w:t>10.1002/adma.202515697</w:t>
        </w:r>
      </w:hyperlink>
    </w:p>
    <w:p>
      <w:pPr>
        <w:spacing w:before="0" w:after="120"/>
      </w:pPr>
      <w:r>
        <w:rPr>
          <w:b/>
        </w:rPr>
        <w:t xml:space="preserve">Notes: </w:t>
      </w:r>
      <w:r>
        <w:t>abstract_source=crossref</w:t>
      </w:r>
    </w:p>
    <w:p>
      <w:pPr>
        <w:spacing w:before="0" w:after="80" w:lineRule="auto" w:line="276"/>
      </w:pPr>
      <w:r>
        <w:rPr>
          <w:b/>
        </w:rPr>
        <w:t xml:space="preserve">摘要（ZH）: </w:t>
      </w:r>
      <w:r>
        <w:t>分子碳化物的抽象分子碳化物由于其高电导率和与白金相似的德带结构,对电催化氢进化反应(HER)引起极大关注。在聚苯乙烯碳化物中,Mo 2 C催化剂具有更大的酸性激素潜力。然而,它们的性能受到和氢之间紧密结合的相互作用的限制。在这里,使用快速低温激光沉降法合成的M2 C催化剂,将含氧原子制成Mo 2 C 层。元可谱氧化了M 2 C Exhib。</w:t>
      </w:r>
    </w:p>
    <w:p>
      <w:pPr>
        <w:spacing w:before="0" w:after="200" w:lineRule="auto" w:line="276"/>
      </w:pPr>
      <w:r>
        <w:rPr>
          <w:b/>
        </w:rPr>
        <w:t xml:space="preserve">Abstract (EN): </w:t>
      </w:r>
      <w:r>
        <w:t>Molybdenum carbides have gained tremendous attention for the electrocatalytic hydrogen evolution reaction (HER) due to their high electrical conductivity and similar d‐band structure to platinum. Among molybdenum carbides, Mo</w:t>
      </w:r>
      <w:r>
        <w:rPr>
          <w:vertAlign w:val="subscript"/>
        </w:rPr>
        <w:t>2</w:t>
      </w:r>
      <w:r>
        <w:t>C catalysts have exhibited greater potential for acidic HER. However, their performance is restricted by the strong binding interaction between molybdenum and hydrogen. Herein, a series of Mo</w:t>
      </w:r>
      <w:r>
        <w:rPr>
          <w:vertAlign w:val="subscript"/>
        </w:rPr>
        <w:t>2</w:t>
      </w:r>
      <w:r>
        <w:t>C catalysts are synthesized using a rapid, low‐temperature laser deposition method to dope oxygen atoms into the Mo</w:t>
      </w:r>
      <w:r>
        <w:rPr>
          <w:vertAlign w:val="subscript"/>
        </w:rPr>
        <w:t>2</w:t>
      </w:r>
      <w:r>
        <w:t>C lattices. The metastable oxygen‐doped Mo</w:t>
      </w:r>
      <w:r>
        <w:rPr>
          <w:vertAlign w:val="subscript"/>
        </w:rPr>
        <w:t>2</w:t>
      </w:r>
      <w:r>
        <w:t>C exhibits a low overpotential of 125 mV at 10 mA cm</w:t>
      </w:r>
      <w:r>
        <w:t xml:space="preserve"> </w:t>
      </w:r>
      <w:r>
        <w:t>−2</w:t>
      </w:r>
      <w:r>
        <w:t xml:space="preserve"> </w:t>
      </w:r>
      <w:r>
        <w:t>, showing significant improvement compared to Mo</w:t>
      </w:r>
      <w:r>
        <w:rPr>
          <w:vertAlign w:val="subscript"/>
        </w:rPr>
        <w:t>2</w:t>
      </w:r>
      <w:r>
        <w:t>C (≈182 mV). Density functional theory (DFT) calculations suggest that the introduction of oxygen into the lattices of Mo</w:t>
      </w:r>
      <w:r>
        <w:rPr>
          <w:vertAlign w:val="subscript"/>
        </w:rPr>
        <w:t>2</w:t>
      </w:r>
      <w:r>
        <w:t>C can reduce the hydrogen adsorption free energy, indicating that hydrogen production is more favorable on oxygen‐doped Mo</w:t>
      </w:r>
      <w:r>
        <w:rPr>
          <w:vertAlign w:val="subscript"/>
        </w:rPr>
        <w:t>2</w:t>
      </w:r>
      <w:r>
        <w:t>C electrocatalyst. At the industrial‐level current density of 1 A cm</w:t>
      </w:r>
      <w:r>
        <w:t xml:space="preserve"> </w:t>
      </w:r>
      <w:r>
        <w:t>−2</w:t>
      </w:r>
      <w:r>
        <w:t xml:space="preserve"> </w:t>
      </w:r>
      <w:r>
        <w:t>, the oxygen‐doped Mo</w:t>
      </w:r>
      <w:r>
        <w:rPr>
          <w:vertAlign w:val="subscript"/>
        </w:rPr>
        <w:t>2</w:t>
      </w:r>
      <w:r>
        <w:t>C electrocatalyst demonstrates exceptional performance with a low overpotential of 312 mV. Moreover, it exhibits remarkable stability, maintaining consistent hydrogen production for 200 h (&amp;gt;8 days) in 0.5 M H</w:t>
      </w:r>
      <w:r>
        <w:rPr>
          <w:vertAlign w:val="subscript"/>
        </w:rPr>
        <w:t>2</w:t>
      </w:r>
      <w:r>
        <w:t>SO</w:t>
      </w:r>
      <w:r>
        <w:rPr>
          <w:vertAlign w:val="subscript"/>
        </w:rPr>
        <w:t>4</w:t>
      </w:r>
      <w:r>
        <w:t>, potentially outperforming most non‐noble metal electrocatalysts. This work highlights a new method to synthesize high‐performance transition metal carbide catalysts with a tunable electronic structure to enhance HER performance.</w:t>
      </w:r>
    </w:p>
    <w:p>
      <w:pPr>
        <w:spacing w:before="120" w:after="120"/>
      </w:pPr>
      <w:r>
        <w:rPr>
          <w:sz w:val="18"/>
        </w:rPr>
        <w:t>——————————————————————————————————————————————————————————————————————</w:t>
      </w:r>
    </w:p>
    <w:p>
      <w:pPr>
        <w:spacing w:before="160" w:after="40" w:line="240" w:lineRule="auto"/>
      </w:pPr>
      <w:r>
        <w:rPr>
          <w:b/>
        </w:rPr>
        <w:t xml:space="preserve">[155] </w:t>
      </w:r>
      <w:hyperlink r:id="rId291">
        <w:r>
          <w:rPr>
            <w:color w:val="1155CC"/>
            <w:u w:val="single"/>
          </w:rPr>
          <w:t>低温低温电池先进电解工艺</w:t>
        </w:r>
      </w:hyperlink>
    </w:p>
    <w:p>
      <w:pPr>
        <w:spacing w:before="0" w:after="80"/>
      </w:pPr>
      <w:r>
        <w:rPr>
          <w:i/>
          <w:sz w:val="20"/>
        </w:rPr>
        <w:t>EN: Advanced Electrolyte Engineering for Low‐Temperature Sodium‐Ion Batteries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92">
        <w:r>
          <w:rPr>
            <w:color w:val="1155CC"/>
            <w:u w:val="single"/>
          </w:rPr>
          <w:t>10.1002/adma.202513868</w:t>
        </w:r>
      </w:hyperlink>
    </w:p>
    <w:p>
      <w:pPr>
        <w:spacing w:before="0" w:after="120"/>
      </w:pPr>
      <w:r>
        <w:rPr>
          <w:b/>
        </w:rPr>
        <w:t xml:space="preserve">Notes: </w:t>
      </w:r>
      <w:r>
        <w:t>abstract_source=crossref</w:t>
      </w:r>
    </w:p>
    <w:p>
      <w:pPr>
        <w:spacing w:before="0" w:after="80" w:lineRule="auto" w:line="276"/>
      </w:pPr>
      <w:r>
        <w:rPr>
          <w:b/>
        </w:rPr>
        <w:t xml:space="preserve">摘要（ZH）: </w:t>
      </w:r>
      <w:r>
        <w:t>鉴于钠资源的丰度和低廉成本,钠电池被认为是锂电池(LIBs)的有希望的替代品,此外,SIBs独特的电化学和化学特性表明,它们具有低温操作的巨大潜力,但是,低温大大降低了纳+的内在运输速度,急剧增加了电池电解接口的纳+脱尘能源屏障,导致动态固态电解相接层重建,导致干扰性显著增加,这些问题最终导致能力严重退化,减少。</w:t>
      </w:r>
    </w:p>
    <w:p>
      <w:pPr>
        <w:spacing w:before="0" w:after="200" w:lineRule="auto" w:line="276"/>
      </w:pPr>
      <w:r>
        <w:rPr>
          <w:b/>
        </w:rPr>
        <w:t xml:space="preserve">Abstract (EN): </w:t>
      </w:r>
      <w:r>
        <w:t>Given the abundance and low cost of sodium resources, sodium‐ion batteries (SIBs) are considered promising alternatives to lithium‐ion batteries (LIBs). Moreover, the unique electrochemical and chemical characteristics of SIBs indicate their substantial potential for low‐temperature operation. However, low temperatures significantly reduce the intrinsic Na</w:t>
      </w:r>
      <w:r>
        <w:t xml:space="preserve"> </w:t>
      </w:r>
      <w:r>
        <w:t>+</w:t>
      </w:r>
      <w:r>
        <w:t xml:space="preserve"> </w:t>
      </w:r>
      <w:r>
        <w:t>transport rate, sharply increase the Na</w:t>
      </w:r>
      <w:r>
        <w:t xml:space="preserve"> </w:t>
      </w:r>
      <w:r>
        <w:t>+</w:t>
      </w:r>
      <w:r>
        <w:t xml:space="preserve"> </w:t>
      </w:r>
      <w:r>
        <w:t>de‐solvation energy barrier at the battery‐electrolyte interface, and lead to dynamic solid electrolyte interphase (SEI) reconstruction, resulting in a substantial increase in interfacial impedance. These issues ultimately lead to severe capacity degradation, diminished power performance, shortened cycle life, and even complete battery failure at low temperatures. To address these challenges, this review thoroughly analyzes the failure mechanisms of electrolytes at low temperatures and comprehensively summarizes current design and optimization strategies for low‐temperature SIB electrolytes, including solvent engineering, concentration regulation, novel additives and sodium salts, and emerging electrolyte systems. Furthermore, it prospects the future development trends of organic electrolytes, aiming to provide insights for the advancement of novel low‐temperature SIBs.</w:t>
      </w:r>
    </w:p>
    <w:p>
      <w:pPr>
        <w:spacing w:before="120" w:after="120"/>
      </w:pPr>
      <w:r>
        <w:rPr>
          <w:sz w:val="18"/>
        </w:rPr>
        <w:t>——————————————————————————————————————————————————————————————————————</w:t>
      </w:r>
    </w:p>
    <w:p>
      <w:pPr>
        <w:spacing w:before="160" w:after="40" w:line="240" w:lineRule="auto"/>
      </w:pPr>
      <w:r>
        <w:rPr>
          <w:b/>
        </w:rPr>
        <w:t xml:space="preserve">[156] </w:t>
      </w:r>
      <w:hyperlink r:id="rId293">
        <w:r>
          <w:rPr>
            <w:color w:val="1155CC"/>
            <w:u w:val="single"/>
          </w:rPr>
          <w:t>工程老化:模型和破坏生物复杂性的方法</w:t>
        </w:r>
      </w:hyperlink>
    </w:p>
    <w:p>
      <w:pPr>
        <w:spacing w:before="0" w:after="80"/>
      </w:pPr>
      <w:r>
        <w:rPr>
          <w:i/>
          <w:sz w:val="20"/>
        </w:rPr>
        <w:t>EN: Engineering Aging: Approaches to Model and Deconstruct Biological Complexity</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94">
        <w:r>
          <w:rPr>
            <w:color w:val="1155CC"/>
            <w:u w:val="single"/>
          </w:rPr>
          <w:t>10.1002/adma.202512523</w:t>
        </w:r>
      </w:hyperlink>
    </w:p>
    <w:p>
      <w:pPr>
        <w:spacing w:before="0" w:after="120"/>
      </w:pPr>
      <w:r>
        <w:rPr>
          <w:b/>
        </w:rPr>
        <w:t xml:space="preserve">Notes: </w:t>
      </w:r>
      <w:r>
        <w:t>abstract_source=crossref</w:t>
      </w:r>
    </w:p>
    <w:p>
      <w:pPr>
        <w:spacing w:before="0" w:after="80" w:lineRule="auto" w:line="276"/>
      </w:pPr>
      <w:r>
        <w:rPr>
          <w:b/>
        </w:rPr>
        <w:t xml:space="preserve">摘要（ZH）: </w:t>
      </w:r>
      <w:r>
        <w:t>全球预期寿命增长与年龄健康结果持续下降之间的抽象差距是发展新的研究老龄化方法的主要驱动力。虽然目前研究人体外老龄化的工具——例如动物模型和盘子里的细胞——提高了对这个过程的标志和关键机制的基本认识,但仍存在若干限制。动物模型对人类的生物表现不佳,在将临床前结果转化为成功的临床应用方面记录不力。同样,目前的2D细胞模型并没有重新概括人体组织动态的3D环境。</w:t>
      </w:r>
    </w:p>
    <w:p>
      <w:pPr>
        <w:spacing w:before="0" w:after="200" w:lineRule="auto" w:line="276"/>
      </w:pPr>
      <w:r>
        <w:rPr>
          <w:b/>
        </w:rPr>
        <w:t xml:space="preserve">Abstract (EN): </w:t>
      </w:r>
      <w:r>
        <w:t>The disparity between the global increase in life expectancy and the steady decline in health outcomes with age has been a major driver for developing new ways to research aging. Although this current tools for studying aging outside of the human body—such as animal models and cells in a dish—have improved this fundamental understanding of the markers and key mechanisms underlying this process, several limitations remain. Animal models are poor biological representations of humans and have a weak track record of translating pre‐clinical results into successful clinical applications. Similarly, current 2D cellular models do not recapitulate the dynamic 3D environment of human tissue. This gap between the need for accurate biological mimicry and the limitations of current aging models presents an exciting opportunity for the field of biofabrication. Over the past decade, the combination of biofabrication and advanced biomaterials has shown potential to engineer high‐resolution features that change over time or respond to specific stimuli. In this perspective, the current state of in vitro aging models is reflected, identify the key features that new models must emulate, discuss the technologies available to meet these complex specifications, and consider some of the potential challenges facing the field.</w:t>
      </w:r>
    </w:p>
    <w:p>
      <w:pPr>
        <w:spacing w:before="120" w:after="120"/>
      </w:pPr>
      <w:r>
        <w:rPr>
          <w:sz w:val="18"/>
        </w:rPr>
        <w:t>——————————————————————————————————————————————————————————————————————</w:t>
      </w:r>
    </w:p>
    <w:p>
      <w:pPr>
        <w:spacing w:before="160" w:after="40" w:line="240" w:lineRule="auto"/>
      </w:pPr>
      <w:r>
        <w:rPr>
          <w:b/>
        </w:rPr>
        <w:t xml:space="preserve">[157] </w:t>
      </w:r>
      <w:hyperlink r:id="rId295">
        <w:r>
          <w:rPr>
            <w:color w:val="1155CC"/>
            <w:u w:val="single"/>
          </w:rPr>
          <w:t>活性和被动热聚火花的适应性代谢物(Adv. Mater. 1/2026)</w:t>
        </w:r>
      </w:hyperlink>
    </w:p>
    <w:p>
      <w:pPr>
        <w:spacing w:before="0" w:after="80"/>
      </w:pPr>
      <w:r>
        <w:rPr>
          <w:i/>
          <w:sz w:val="20"/>
        </w:rPr>
        <w:t>EN: Adaptive Metaskins for Active and Passive Thermal Camouflage (Adv. Mater. 1/2026)</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96">
        <w:r>
          <w:rPr>
            <w:color w:val="1155CC"/>
            <w:u w:val="single"/>
          </w:rPr>
          <w:t>10.1002/adma.71872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[158] </w:t>
      </w:r>
      <w:hyperlink r:id="rId297">
        <w:r>
          <w:rPr>
            <w:color w:val="1155CC"/>
            <w:u w:val="single"/>
          </w:rPr>
          <w:t>BaTiO3多层陶瓷电动器通过谷物隔离实现优化,以增强BaTiO3多层陶瓷电动器DC比亚电功率(Adv. Mater. 1/2026)</w:t>
        </w:r>
      </w:hyperlink>
    </w:p>
    <w:p>
      <w:pPr>
        <w:spacing w:before="0" w:after="80"/>
      </w:pPr>
      <w:r>
        <w:rPr>
          <w:i/>
          <w:sz w:val="20"/>
        </w:rPr>
        <w:t>EN: Microstructure Optimization via Grain‐Boundary Segregation to Enhance DC Bias Dielectric Performance of BaTiO3 Multilayer Ceramic Capacitors (Adv. Mater. 1/2026)</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298">
        <w:r>
          <w:rPr>
            <w:color w:val="1155CC"/>
            <w:u w:val="single"/>
          </w:rPr>
          <w:t>10.1002/adma.71873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[159] </w:t>
      </w:r>
      <w:hyperlink r:id="rId299">
        <w:r>
          <w:rPr>
            <w:color w:val="1155CC"/>
            <w:u w:val="single"/>
          </w:rPr>
          <w:t>工程老龄化:模型和破坏生物复杂性的方法(Adv. Mater. 1/2026)</w:t>
        </w:r>
      </w:hyperlink>
    </w:p>
    <w:p>
      <w:pPr>
        <w:spacing w:before="0" w:after="80"/>
      </w:pPr>
      <w:r>
        <w:rPr>
          <w:i/>
          <w:sz w:val="20"/>
        </w:rPr>
        <w:t>EN: Engineering Aging: Approaches to Model and Deconstruct Biological Complexity (Adv. Mater. 1/2026)</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00">
        <w:r>
          <w:rPr>
            <w:color w:val="1155CC"/>
            <w:u w:val="single"/>
          </w:rPr>
          <w:t>10.1002/adma.71874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[160] </w:t>
      </w:r>
      <w:hyperlink r:id="rId301">
        <w:r>
          <w:rPr>
            <w:color w:val="1155CC"/>
            <w:u w:val="single"/>
          </w:rPr>
          <w:t>为生物医学应用将氢凝胶共价附加到多元聚合表面用于生物医学应用的普遍方法(Adv. Mater.1/2026)</w:t>
        </w:r>
      </w:hyperlink>
    </w:p>
    <w:p>
      <w:pPr>
        <w:spacing w:before="0" w:after="80"/>
      </w:pPr>
      <w:r>
        <w:rPr>
          <w:i/>
          <w:sz w:val="20"/>
        </w:rPr>
        <w:t>EN: Universal Method for Covalent Attachment of Hydrogels to Diverse Polymeric Surfaces for Biomedical Applications (Adv. Mater. 1/2026)</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02">
        <w:r>
          <w:rPr>
            <w:color w:val="1155CC"/>
            <w:u w:val="single"/>
          </w:rPr>
          <w:t>10.1002/adma.71875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[161] </w:t>
      </w:r>
      <w:hyperlink r:id="rId303">
        <w:r>
          <w:rPr>
            <w:color w:val="1155CC"/>
            <w:u w:val="single"/>
          </w:rPr>
          <w:t>重新审查电电电变电光电交换器:对传感器图像处理的三方协同激励办法(Adv. Mater. 1/2026)</w:t>
        </w:r>
      </w:hyperlink>
    </w:p>
    <w:p>
      <w:pPr>
        <w:spacing w:before="0" w:after="80"/>
      </w:pPr>
      <w:r>
        <w:rPr>
          <w:i/>
          <w:sz w:val="20"/>
        </w:rPr>
        <w:t>EN: Revisiting Ferroelectric‐Gated Phototransistors: A Tripartite Synapse‐Inspired Approach to In‐Sensor Image Processing (Adv. Mater. 1/2026)</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04">
        <w:r>
          <w:rPr>
            <w:color w:val="1155CC"/>
            <w:u w:val="single"/>
          </w:rPr>
          <w:t>10.1002/adma.71876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[162] </w:t>
      </w:r>
      <w:hyperlink r:id="rId305">
        <w:r>
          <w:rPr>
            <w:color w:val="1155CC"/>
            <w:u w:val="single"/>
          </w:rPr>
          <w:t>引自界面的非自然地形结构的稳定性:不固定的室室-温度浮游和天空(Adv. Mater. 1/2026)</w:t>
        </w:r>
      </w:hyperlink>
    </w:p>
    <w:p>
      <w:pPr>
        <w:spacing w:before="0" w:after="80"/>
      </w:pPr>
      <w:r>
        <w:rPr>
          <w:i/>
          <w:sz w:val="20"/>
        </w:rPr>
        <w:t>EN: Interface‐Induced Stability of Nontrivial Topological Spin Textures: Unveiling Room‐Temperature Hopfions and Skyrmions (Adv. Mater. 1/2026)</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06">
        <w:r>
          <w:rPr>
            <w:color w:val="1155CC"/>
            <w:u w:val="single"/>
          </w:rPr>
          <w:t>10.1002/adma.71878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[163] </w:t>
      </w:r>
      <w:hyperlink r:id="rId307">
        <w:r>
          <w:rPr>
            <w:color w:val="1155CC"/>
            <w:u w:val="single"/>
          </w:rPr>
          <w:t>校正为“大型地区金属-高效XRay探测的有机框架玻璃”</w:t>
        </w:r>
      </w:hyperlink>
    </w:p>
    <w:p>
      <w:pPr>
        <w:spacing w:before="0" w:after="80"/>
      </w:pPr>
      <w:r>
        <w:rPr>
          <w:i/>
          <w:sz w:val="20"/>
        </w:rPr>
        <w:t>EN: Correction to “Large‐Area Metal–Organic Framework Glasses for Efficient X‐Ray Detection”</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08">
        <w:r>
          <w:rPr>
            <w:color w:val="1155CC"/>
            <w:u w:val="single"/>
          </w:rPr>
          <w:t>10.1002/adma.202516069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[164] </w:t>
      </w:r>
      <w:hyperlink r:id="rId309">
        <w:r>
          <w:rPr>
            <w:color w:val="1155CC"/>
            <w:u w:val="single"/>
          </w:rPr>
          <w:t>稳定丁 Perovskite 光伏</w:t>
        </w:r>
      </w:hyperlink>
    </w:p>
    <w:p>
      <w:pPr>
        <w:spacing w:before="0" w:after="80"/>
      </w:pPr>
      <w:r>
        <w:rPr>
          <w:i/>
          <w:sz w:val="20"/>
        </w:rPr>
        <w:t>EN: Regenerative Redox Cycling Enables Stable Tin Perovskite Photovoltaics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10">
        <w:r>
          <w:rPr>
            <w:color w:val="1155CC"/>
            <w:u w:val="single"/>
          </w:rPr>
          <w:t>10.1002/adma.202514719</w:t>
        </w:r>
      </w:hyperlink>
    </w:p>
    <w:p>
      <w:pPr>
        <w:spacing w:before="0" w:after="120"/>
      </w:pPr>
      <w:r>
        <w:rPr>
          <w:b/>
        </w:rPr>
        <w:t xml:space="preserve">Notes: </w:t>
      </w:r>
      <w:r>
        <w:t>abstract_source=crossref</w:t>
      </w:r>
    </w:p>
    <w:p>
      <w:pPr>
        <w:spacing w:before="0" w:after="80" w:lineRule="auto" w:line="276"/>
      </w:pPr>
      <w:r>
        <w:rPr>
          <w:b/>
        </w:rPr>
        <w:t xml:space="preserve">摘要（ZH）: </w:t>
      </w:r>
      <w:r>
        <w:t>由于Sn (II) 的简单氧化作用,Tin halide perovskites(THPs) 抽象锡卤化百草枯(THPs) 的稳定性较低。 虽然传统的减少战略有效抑制了Sn (II) 的氧化作用,但在连续装置操作期间逐步耗尽减少物剂会大大削弱其抗氧化能力,从而限制该装置的长期稳定性。在这里,提议采用利用4 mercaptobenzoic 酸(4MBA)的再生再生再生战略。在操作条件下,紫外线辐照能够实现4MBA的再生,同时推动Sn (IV)toSn (II) 的不断减少,并促进两地缺陷消毒,大大提高了装置的效率和稳定性。最终实现了15.15%的极高效率,并实现了mai。</w:t>
      </w:r>
    </w:p>
    <w:p>
      <w:pPr>
        <w:spacing w:before="0" w:after="200" w:lineRule="auto" w:line="276"/>
      </w:pPr>
      <w:r>
        <w:rPr>
          <w:b/>
        </w:rPr>
        <w:t xml:space="preserve">Abstract (EN): </w:t>
      </w:r>
      <w:r>
        <w:t>Tin halide perovskites (THPs) suffer from low stability due to the easy oxidation of Sn (II). Although traditional reduction strategies effectively inhibit the oxidation of Sn (II), the gradual depletion of reducing agents during continuous device operation significantly weakens their antioxidative capacity, thereby limiting the long‐term stability of the device. Herein, a regenerative redox cycling strategy utilizing 4‐mercaptobenzoic acid (4‐MBA) is proposed. Under operational conditions, UV irradiation enables 4‐MBA regeneration, which concurrently drives continuous Sn (IV)‐to‐Sn (II) reduction and facilitates dual‐site defect passivation, significantly enhancing device efficiency and stability. Ultimately, an excellent efficiency of 15.15% is achieved and maintained 100% of the initial efficiency for 1100 h in a simulated day–night cycle maximum power point tracking (MPPT) test. This work provides a sustainable reduction strategy that effectively addresses the long‐term stability issue of tin perovskite photovoltaic cells.</w:t>
      </w:r>
    </w:p>
    <w:p>
      <w:pPr>
        <w:spacing w:before="120" w:after="120"/>
      </w:pPr>
      <w:r>
        <w:rPr>
          <w:sz w:val="18"/>
        </w:rPr>
        <w:t>——————————————————————————————————————————————————————————————————————</w:t>
      </w:r>
    </w:p>
    <w:p>
      <w:pPr>
        <w:spacing w:before="160" w:after="40" w:line="240" w:lineRule="auto"/>
      </w:pPr>
      <w:r>
        <w:rPr>
          <w:b/>
        </w:rPr>
        <w:t xml:space="preserve">[165] </w:t>
      </w:r>
      <w:hyperlink r:id="rId311">
        <w:r>
          <w:rPr>
            <w:color w:val="1155CC"/>
            <w:u w:val="single"/>
          </w:rPr>
          <w:t>在VDoped WSe2 中观测到的三层半半半半半半硬度孔径对VDopped WSe2 的三层半方形半径孔效应</w:t>
        </w:r>
      </w:hyperlink>
    </w:p>
    <w:p>
      <w:pPr>
        <w:spacing w:before="0" w:after="80"/>
      </w:pPr>
      <w:r>
        <w:rPr>
          <w:i/>
          <w:sz w:val="20"/>
        </w:rPr>
        <w:t>EN: Observation of ν = 5/2 Fractional Quantum Hall Effect in Trilayer Graphene Proximitized by V‐Doped WSe2</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12">
        <w:r>
          <w:rPr>
            <w:color w:val="1155CC"/>
            <w:u w:val="single"/>
          </w:rPr>
          <w:t>10.1002/adma.202514268</w:t>
        </w:r>
      </w:hyperlink>
    </w:p>
    <w:p>
      <w:pPr>
        <w:spacing w:before="0" w:after="120"/>
      </w:pPr>
      <w:r>
        <w:rPr>
          <w:b/>
        </w:rPr>
        <w:t xml:space="preserve">Notes: </w:t>
      </w:r>
      <w:r>
        <w:t>abstract_source=crossref</w:t>
      </w:r>
    </w:p>
    <w:p>
      <w:pPr>
        <w:spacing w:before="0" w:after="80" w:lineRule="auto" w:line="276"/>
      </w:pPr>
      <w:r>
        <w:rPr>
          <w:b/>
        </w:rPr>
        <w:t xml:space="preserve">摘要（ZH）: </w:t>
      </w:r>
      <w:r>
        <w:t>长期以来,由于2D性质和承载承运人高度机动性的能力,抽象石墨长期以来一直是观测密切相关现象的试验台。然而,由于缺乏内在磁性以及微弱的旋回轨道连接,限制了其承受强大的电子关联的能力。在这里,据报告,观测到由铁磁Vded WSe 2 (VWSe 2 ) 过层形成的三层石墨(TLG)中密切相关的现象。其中包括出现了奇异的和均衡的粒子荷尔状态,在 z = 5/2 和孔中重新输入整形量子大厅效应。</w:t>
      </w:r>
    </w:p>
    <w:p>
      <w:pPr>
        <w:spacing w:before="0" w:after="200" w:lineRule="auto" w:line="276"/>
      </w:pPr>
      <w:r>
        <w:rPr>
          <w:b/>
        </w:rPr>
        <w:t xml:space="preserve">Abstract (EN): </w:t>
      </w:r>
      <w:r>
        <w:t>Graphene has long been a test bed for observing strongly correlated phenomena owing to its 2D nature and ability to host high carrier mobility. However, the lack of intrinsic magnetism and weak spin‐orbit coupling limits its ability to host strong electronic correlations. Here, observation of strongly correlated phenomena in trilayer graphene (TLG) proximitized by a ferromagnetic V‐doped WSe</w:t>
      </w:r>
      <w:r>
        <w:rPr>
          <w:vertAlign w:val="subscript"/>
        </w:rPr>
        <w:t>2</w:t>
      </w:r>
      <w:r>
        <w:t>(V‐WSe</w:t>
      </w:r>
      <w:r>
        <w:rPr>
          <w:vertAlign w:val="subscript"/>
        </w:rPr>
        <w:t>2</w:t>
      </w:r>
      <w:r>
        <w:t>) overlayer is reported. These include the emergence of an odd‐ and even‐denominator fractional quantum Hall state at</w:t>
      </w:r>
      <w:r>
        <w:t xml:space="preserve"> </w:t>
      </w:r>
      <w:r>
        <w:t>ν</w:t>
      </w:r>
      <w:r>
        <w:t xml:space="preserve"> </w:t>
      </w:r>
      <w:r>
        <w:t>= 5/2 and reentrant integer quantum Hall effect in the hole regime of the TLG, driven by proximate magnetism from the V‐WSe</w:t>
      </w:r>
      <w:r>
        <w:rPr>
          <w:vertAlign w:val="subscript"/>
        </w:rPr>
        <w:t>2</w:t>
      </w:r>
      <w:r>
        <w:t>. A remarkably large activation energy gap (</w:t>
      </w:r>
      <w:r>
        <w:t xml:space="preserve"> </w:t>
      </w:r>
      <w:r>
        <w:t>Δ</w:t>
      </w:r>
      <w:r>
        <w:t xml:space="preserve"> </w:t>
      </w:r>
      <w:r>
        <w:t>5/2</w:t>
      </w:r>
      <w:r>
        <w:t xml:space="preserve"> </w:t>
      </w:r>
      <w:r>
        <w:t>= 48 ± 5 K) for the 5/2 fractional state is observed, which is essential for probing its non‐Abelian nature. Furthermore, the large</w:t>
      </w:r>
      <w:r>
        <w:t xml:space="preserve"> </w:t>
      </w:r>
      <w:r>
        <w:t>Δ</w:t>
      </w:r>
      <w:r>
        <w:t xml:space="preserve"> </w:t>
      </w:r>
      <w:r>
        <w:t>5/2</w:t>
      </w:r>
      <w:r>
        <w:t xml:space="preserve"> </w:t>
      </w:r>
      <w:r>
        <w:t>significantly enhances its feasibility for topological quantum computation by exponentially suppressing the error rates. Additionally, the formation of three additional Dirac cones, termed Dirac “gullies,” is observed, which manifest as threefold‐degenerate Landau levels in magnetotransport measurements. These findings not only advance the role of magnetism in graphene‐based heterostructures but also open pathways toward studying non‐Abelian quasiparticles for their exotic fundamental and technological implications.</w:t>
      </w:r>
    </w:p>
    <w:p>
      <w:pPr>
        <w:spacing w:before="120" w:after="120"/>
      </w:pPr>
      <w:r>
        <w:rPr>
          <w:sz w:val="18"/>
        </w:rPr>
        <w:t>——————————————————————————————————————————————————————————————————————</w:t>
      </w:r>
    </w:p>
    <w:p>
      <w:pPr>
        <w:spacing w:before="160" w:after="40" w:line="240" w:lineRule="auto"/>
      </w:pPr>
      <w:r>
        <w:rPr>
          <w:b/>
        </w:rPr>
        <w:t xml:space="preserve">[166] </w:t>
      </w:r>
      <w:hyperlink r:id="rId313">
        <w:r>
          <w:rPr>
            <w:color w:val="1155CC"/>
            <w:u w:val="single"/>
          </w:rPr>
          <w:t>通过反射光导路径的半透明光伏</w:t>
        </w:r>
      </w:hyperlink>
    </w:p>
    <w:p>
      <w:pPr>
        <w:spacing w:before="0" w:after="80"/>
      </w:pPr>
      <w:r>
        <w:rPr>
          <w:i/>
          <w:sz w:val="20"/>
        </w:rPr>
        <w:t>EN: Semitransparent Photovoltaics via Reflection Optical Paths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14">
        <w:r>
          <w:rPr>
            <w:color w:val="1155CC"/>
            <w:u w:val="single"/>
          </w:rPr>
          <w:t>10.1002/adma.202514266</w:t>
        </w:r>
      </w:hyperlink>
    </w:p>
    <w:p>
      <w:pPr>
        <w:spacing w:before="0" w:after="120"/>
      </w:pPr>
      <w:r>
        <w:rPr>
          <w:b/>
        </w:rPr>
        <w:t xml:space="preserve">Notes: </w:t>
      </w:r>
      <w:r>
        <w:t>abstract_source=crossref</w:t>
      </w:r>
    </w:p>
    <w:p>
      <w:pPr>
        <w:spacing w:before="0" w:after="80" w:lineRule="auto" w:line="276"/>
      </w:pPr>
      <w:r>
        <w:rPr>
          <w:b/>
        </w:rPr>
        <w:t xml:space="preserve">摘要（ZH）: </w:t>
      </w:r>
      <w:r>
        <w:t>抽象的半透明光光伏(STPV)显示了建筑一体化的巨大潜力,但可见光传输和发电之间的不平衡限制了它们的实际应用。为了克服这一点,建议通过双表反射光学途径,通过双表面反射光学途径实现等效传输,形成一个反射的STPV结构。与依赖传输光路的STPV系统不同,这种设计绕过反射损失,减轻了活性层严格的选择性吸收要求。因此,这种设计使得能够利用诸如硅、CIGS和CdTe等各种高性能光伏材料制造波长选择性STPV。</w:t>
      </w:r>
    </w:p>
    <w:p>
      <w:pPr>
        <w:spacing w:before="0" w:after="200" w:lineRule="auto" w:line="276"/>
      </w:pPr>
      <w:r>
        <w:rPr>
          <w:b/>
        </w:rPr>
        <w:t xml:space="preserve">Abstract (EN): </w:t>
      </w:r>
      <w:r>
        <w:t>Semitransparent photovoltaics (STPV) show great potential for building integration, but the imbalance between visible light transmission and power generation limits their practical applications. To overcome this, a reflective STPV (R‐STPV) structure is proposed, via utilizing a dual‐surface reflection optical path to achieve equivalent transmission. Unlike STPV systems relying on transmission optical paths, this design bypasses reflection losses and alleviates the stringent selective absorption requirements for the active layer. Thus, such design enables the fabrication of wavelength‐selective STPVs using various high‐performance photovoltaic materials such as silicon, CIGS, and CdTe. As a proof‐of‐concept, an optical reflector is designed to selectively reflect visible light and transmit the invisible one, and by integrating it with the above PVs, we demonstrate high‐performance R‐STPV with appropriate optical geometry. Remarkably, the best Si‐based R‐STPV delivers a reliable efficiency of 14.4%, an average visible light transmittance of 92.2%, a record light utilization efficiency of 13.28% and an exceptional color rendering index of 99%. The versatility of R‐STPV window technology makes it suitable for various building‐integration application scenarios, and an average annual power generation of 69.8 kWh year m</w:t>
      </w:r>
      <w:r>
        <w:t xml:space="preserve"> </w:t>
      </w:r>
      <w:r>
        <w:t>−</w:t>
      </w:r>
      <w:r>
        <w:rPr>
          <w:vertAlign w:val="subscript"/>
        </w:rPr>
        <w:t>2</w:t>
      </w:r>
      <w:r>
        <w:t>is obtained according to the simulation results. Therefore, this work paves a new path for high‐performance solar windows that will contribute significantly to energy sustainability.</w:t>
      </w:r>
    </w:p>
    <w:p>
      <w:pPr>
        <w:spacing w:before="120" w:after="120"/>
      </w:pPr>
      <w:r>
        <w:rPr>
          <w:sz w:val="18"/>
        </w:rPr>
        <w:t>——————————————————————————————————————————————————————————————————————</w:t>
      </w:r>
    </w:p>
    <w:p>
      <w:pPr>
        <w:spacing w:before="160" w:after="40" w:line="240" w:lineRule="auto"/>
      </w:pPr>
      <w:r>
        <w:rPr>
          <w:b/>
        </w:rPr>
        <w:t xml:space="preserve">[167] </w:t>
      </w:r>
      <w:hyperlink r:id="rId315">
        <w:r>
          <w:rPr>
            <w:color w:val="1155CC"/>
            <w:u w:val="single"/>
          </w:rPr>
          <w:t>Perovskite Oxides的氧气空缺,用于水蒸发发电</w:t>
        </w:r>
      </w:hyperlink>
    </w:p>
    <w:p>
      <w:pPr>
        <w:spacing w:before="0" w:after="80"/>
      </w:pPr>
      <w:r>
        <w:rPr>
          <w:i/>
          <w:sz w:val="20"/>
        </w:rPr>
        <w:t>EN: Engineering the Oxygen Vacancies in Perovskite Oxides for Electricity Generation from Water Evaporation</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16">
        <w:r>
          <w:rPr>
            <w:color w:val="1155CC"/>
            <w:u w:val="single"/>
          </w:rPr>
          <w:t>10.1002/adma.202514202</w:t>
        </w:r>
      </w:hyperlink>
    </w:p>
    <w:p>
      <w:pPr>
        <w:spacing w:before="0" w:after="120"/>
      </w:pPr>
      <w:r>
        <w:rPr>
          <w:b/>
        </w:rPr>
        <w:t xml:space="preserve">Notes: </w:t>
      </w:r>
      <w:r>
        <w:t>abstract_source=crossref</w:t>
      </w:r>
    </w:p>
    <w:p>
      <w:pPr>
        <w:spacing w:before="0" w:after="80" w:lineRule="auto" w:line="276"/>
      </w:pPr>
      <w:r>
        <w:rPr>
          <w:b/>
        </w:rPr>
        <w:t xml:space="preserve">摘要（ZH）: </w:t>
      </w:r>
      <w:r>
        <w:t>开发新的合适材料系统对于与节能技术相关的水蒸发和由节能技术引发的发电至关重要。在这里,据最了解,首次展示了通过蒸发水高效发电的无氧氧化亚氮,并发现了氧气空缺在促进性能方面的关键作用。作为概念的证明,Asite-deficient La 0.95 FeO 3 perovskite在单一发电机中存在大量氧气空缺,可以在环境条件下达到输出电压的绝对值,最高可达1.5 V200小时,在特定条件下甚至达到2.5 V,a</w:t>
      </w:r>
    </w:p>
    <w:p>
      <w:pPr>
        <w:spacing w:before="0" w:after="200" w:lineRule="auto" w:line="276"/>
      </w:pPr>
      <w:r>
        <w:rPr>
          <w:b/>
        </w:rPr>
        <w:t xml:space="preserve">Abstract (EN): </w:t>
      </w:r>
      <w:r>
        <w:t>The development of new suitable material systems is paramount for water evaporation‐induced electricity generation associated with the energy harvesting technology. Herein, to the best of the knowledge, the first demonstration of perovskite oxides for efficient electricity generation from water evaporation is presented and discover the key role of oxygen vacancies in promoting the performance. As a proof‐of‐concept example, the A‐site‐deficient La</w:t>
      </w:r>
      <w:r>
        <w:t xml:space="preserve"> </w:t>
      </w:r>
      <w:r>
        <w:t>0.95</w:t>
      </w:r>
      <w:r>
        <w:t xml:space="preserve"> </w:t>
      </w:r>
      <w:r>
        <w:t>FeO</w:t>
      </w:r>
      <w:r>
        <w:t xml:space="preserve"> </w:t>
      </w:r>
      <w:r>
        <w:t>3‐δ</w:t>
      </w:r>
      <w:r>
        <w:t xml:space="preserve"> </w:t>
      </w:r>
      <w:r>
        <w:t>perovskite with abundant oxygen vacancies in a single generator can achieve an absolute value of output voltage up to ≈1.5 V for 200 h under ambient conditions and even up to ≈2.5 V at specific conditions, about one order of magnitude higher than the stoichiometric LaFeO</w:t>
      </w:r>
      <w:r>
        <w:rPr>
          <w:vertAlign w:val="subscript"/>
        </w:rPr>
        <w:t>3</w:t>
      </w:r>
      <w:r>
        <w:t>counterpart. Noticeably, a voltage reversal phenomenon during the evaporation process is observed due to the zeta potential inversion mediated by the surface functional hydroxyl groups on the perovskite films. Theoretical calculations and systematic experiments demonstrate that oxygen vacancies in La</w:t>
      </w:r>
      <w:r>
        <w:t xml:space="preserve"> </w:t>
      </w:r>
      <w:r>
        <w:t>0.95</w:t>
      </w:r>
      <w:r>
        <w:t xml:space="preserve"> </w:t>
      </w:r>
      <w:r>
        <w:t>FeO</w:t>
      </w:r>
      <w:r>
        <w:t xml:space="preserve"> </w:t>
      </w:r>
      <w:r>
        <w:t>3‐δ</w:t>
      </w:r>
      <w:r>
        <w:t xml:space="preserve"> </w:t>
      </w:r>
      <w:r>
        <w:t>enable to enhance surface charges and facilitate water dissociation, leading to stronger water‐solid interfacial interaction and more ion transport in capillary networks, ultimately boosting the voltage output. More importantly, it is found that the promoting effect of oxygen vacancy in water evaporation‐induced electricity is universal and applicable for metal oxides with varied structures and compositions.</w:t>
      </w:r>
    </w:p>
    <w:p>
      <w:pPr>
        <w:spacing w:before="120" w:after="120"/>
      </w:pPr>
      <w:r>
        <w:rPr>
          <w:sz w:val="18"/>
        </w:rPr>
        <w:t>——————————————————————————————————————————————————————————————————————</w:t>
      </w:r>
    </w:p>
    <w:p>
      <w:pPr>
        <w:spacing w:before="160" w:after="40" w:line="240" w:lineRule="auto"/>
      </w:pPr>
      <w:r>
        <w:rPr>
          <w:b/>
        </w:rPr>
        <w:t xml:space="preserve">[168] </w:t>
      </w:r>
      <w:hyperlink r:id="rId317">
        <w:r>
          <w:rPr>
            <w:color w:val="1155CC"/>
            <w:u w:val="single"/>
          </w:rPr>
          <w:t>光学、电气、热热、压力和能源低效模拟增强Perovskite光电伏的性能和稳定性</w:t>
        </w:r>
      </w:hyperlink>
    </w:p>
    <w:p>
      <w:pPr>
        <w:spacing w:before="0" w:after="80"/>
      </w:pPr>
      <w:r>
        <w:rPr>
          <w:i/>
          <w:sz w:val="20"/>
        </w:rPr>
        <w:t>EN: Optical, Electrical, Thermal, Stress, and Energy Yield Simulations Enhance the Performance and Stability of Perovskite Photovoltaics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18">
        <w:r>
          <w:rPr>
            <w:color w:val="1155CC"/>
            <w:u w:val="single"/>
          </w:rPr>
          <w:t>10.1002/adma.202514184</w:t>
        </w:r>
      </w:hyperlink>
    </w:p>
    <w:p>
      <w:pPr>
        <w:spacing w:before="0" w:after="120"/>
      </w:pPr>
      <w:r>
        <w:rPr>
          <w:b/>
        </w:rPr>
        <w:t xml:space="preserve">Notes: </w:t>
      </w:r>
      <w:r>
        <w:t>abstract_source=crossref</w:t>
      </w:r>
    </w:p>
    <w:p>
      <w:pPr>
        <w:spacing w:before="0" w:after="80" w:lineRule="auto" w:line="276"/>
      </w:pPr>
      <w:r>
        <w:rPr>
          <w:b/>
        </w:rPr>
        <w:t xml:space="preserve">摘要（ZH）: </w:t>
      </w:r>
      <w:r>
        <w:t>抽象装置模拟已成为提高性能和加深了解普罗夫斯基太阳电池的不可或缺的工具,这些模拟能够系统地探索光管理战略、收费运输机制和装置结构优化,全面强调模型在开发普罗夫斯基太阳电池方面的关键作用,重点是五个关键领域:光学管理(光吸收、反射和散射)、电气流程(载体动力、缺陷消能和接口工程)、热效应(热产生和散散)、机械压力(结构稳定性和退化机制)和能源产量(现实世界产出力、性能改进和能源产量)。</w:t>
      </w:r>
    </w:p>
    <w:p>
      <w:pPr>
        <w:spacing w:before="0" w:after="200" w:lineRule="auto" w:line="276"/>
      </w:pPr>
      <w:r>
        <w:rPr>
          <w:b/>
        </w:rPr>
        <w:t xml:space="preserve">Abstract (EN): </w:t>
      </w:r>
      <w:r>
        <w:t>Device simulations have become indispensable tools for advancing the performance and deepening the understanding of perovskite solar cells (PSCs). These simulations enable a systematic exploration of light management strategies, charge transport mechanisms, and device architecture optimization. This review comprehensively highlights the critical role of modeling in the development of PSCs, with a focus on five key domains: optical management (light absorption, reflection, and scattering), electrical processes (carrier dynamics, defect passivation, and interface engineering), thermal effects (heat generation and dissipation), mechanical stress (structural stability and degradation mechanisms), and energy yield (real‐world output power, performance improvement, and device degradation). The integration of multiphysics simulations to address complex device challenges and to accelerate the development of high‐efficiency and stable PSCs is also discussed. Key achievements in tandem architecture optimization, interface engineering, and insights into device degradation pathways under real‐world operating conditions are thoroughly summarized. Finally, remaining challenges, such as modeling non‐idealities, the scalability of simulation approaches, and experimental validation, are identified, and offer an outlook on future directions in multiphysics modeling. By bridging theoretical and experimental perspectives, this review emphasizes the transformative potential of simulations in enabling higher performance, enhanced stability, and broader application of perovskite photovoltaics (PV) in sustainable energy systems.</w:t>
      </w:r>
    </w:p>
    <w:p>
      <w:pPr>
        <w:spacing w:before="120" w:after="120"/>
      </w:pPr>
      <w:r>
        <w:rPr>
          <w:sz w:val="18"/>
        </w:rPr>
        <w:t>——————————————————————————————————————————————————————————————————————</w:t>
      </w:r>
    </w:p>
    <w:p>
      <w:pPr>
        <w:spacing w:before="160" w:after="40" w:line="240" w:lineRule="auto"/>
      </w:pPr>
      <w:r>
        <w:rPr>
          <w:b/>
        </w:rPr>
        <w:t xml:space="preserve">[169] </w:t>
      </w:r>
      <w:hyperlink r:id="rId319">
        <w:r>
          <w:rPr>
            <w:color w:val="1155CC"/>
            <w:u w:val="single"/>
          </w:rPr>
          <w:t>改为“高高效NIR-Trigergered 同步肿瘤高温综合药物施用植入2D注射式MoS2-综合药物施药种植”</w:t>
        </w:r>
      </w:hyperlink>
    </w:p>
    <w:p>
      <w:pPr>
        <w:spacing w:before="0" w:after="80"/>
      </w:pPr>
      <w:r>
        <w:rPr>
          <w:i/>
          <w:sz w:val="20"/>
        </w:rPr>
        <w:t>EN: Correction to “Injectable 2D MoS2‐Integrated Drug Delivering Implant for Highly Efficient NIR‐Triggered Synergistic Tumor Hyperthermia”</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20">
        <w:r>
          <w:rPr>
            <w:color w:val="1155CC"/>
            <w:u w:val="single"/>
          </w:rPr>
          <w:t>10.1002/adma.202514166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[170] </w:t>
      </w:r>
      <w:hyperlink r:id="rId321">
        <w:r>
          <w:rPr>
            <w:color w:val="1155CC"/>
            <w:u w:val="single"/>
          </w:rPr>
          <w:t>高温水水能金属电池热相过渡电解解液</w:t>
        </w:r>
      </w:hyperlink>
    </w:p>
    <w:p>
      <w:pPr>
        <w:spacing w:before="0" w:after="80"/>
      </w:pPr>
      <w:r>
        <w:rPr>
          <w:i/>
          <w:sz w:val="20"/>
        </w:rPr>
        <w:t>EN: Thermal Phase Transition Electrolyte for High‐Temperature Aqueous Zinc‐Metal Batteries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22">
        <w:r>
          <w:rPr>
            <w:color w:val="1155CC"/>
            <w:u w:val="single"/>
          </w:rPr>
          <w:t>10.1002/adma.202514164</w:t>
        </w:r>
      </w:hyperlink>
    </w:p>
    <w:p>
      <w:pPr>
        <w:spacing w:before="0" w:after="120"/>
      </w:pPr>
      <w:r>
        <w:rPr>
          <w:b/>
        </w:rPr>
        <w:t xml:space="preserve">Notes: </w:t>
      </w:r>
      <w:r>
        <w:t>abstract_source=crossref</w:t>
      </w:r>
    </w:p>
    <w:p>
      <w:pPr>
        <w:spacing w:before="0" w:after="80" w:lineRule="auto" w:line="276"/>
      </w:pPr>
      <w:r>
        <w:rPr>
          <w:b/>
        </w:rPr>
        <w:t xml:space="preserve">摘要（ZH）: </w:t>
      </w:r>
      <w:r>
        <w:t>摘要 极端温度下水锌金属电池(AZMBs)在极端温度下的运作稳定性对于长期能源储存至关重要,但仍受到水活动加剧和热动力不稳定的阻碍,这加剧了锌脱丁酸的生长和寄生反应。虽然高点有机溶剂的结合表明通过减少水含量和破坏氢化网络对高温操作有效,但它会损害水电解水的内在安全,特别是在高纬度情况下。这里,据报告,一种热反应电解方法正在利用具有高临界溶液温度的合成聚合物(UCST)的分阶段过渡,从而实现温度的转化。</w:t>
      </w:r>
    </w:p>
    <w:p>
      <w:pPr>
        <w:spacing w:before="0" w:after="200" w:lineRule="auto" w:line="276"/>
      </w:pPr>
      <w:r>
        <w:rPr>
          <w:b/>
        </w:rPr>
        <w:t xml:space="preserve">Abstract (EN): </w:t>
      </w:r>
      <w:r>
        <w:t>The operational stability of aqueous zinc‐metal batteries (AZMBs) under extreme temperatures is crucial for long‐term energy storage, yet remains hindered by intensified water activity and thermodynamic instability that exacerbate zinc dendrite growth and parasitic reactions. While incorporation of high‐boiling‐point organic solvents has shown effectiveness for high‐temperature operation by reducing water content and disrupting hydrogen‐bonding networks, it compromises the intrinsic safety of aqueous electrolyte especially in high‐temperature scenario. Here, a thermoresponsive electrolyte approach is reported leveraging phase transition of a synthesized polymer with upper critical solution temperature (UCST), which achieves temperature‐adaptive electrochemical performance in AZMBs. By modulating polymer‐water interactions and entropy‐enthalpy balance, the engineered aqueous electrolyte undergoes reversible phase transformation above 40 °C, forming a dynamically polymer‐water network that essentially suppresses water reactivity. Consequently, the optimized Zn–Zn symmetric cells exhibit stable Zn plating/stripping for 450 h at 60 °C and 210 h even under extreme 80 °C conditions. High‐loading Zn–I</w:t>
      </w:r>
      <w:r>
        <w:rPr>
          <w:vertAlign w:val="subscript"/>
        </w:rPr>
        <w:t>2</w:t>
      </w:r>
      <w:r>
        <w:t>full batteries with enhanced cycling stability further validate practical viability of the thermal phase transition electrolyte at elevated temperature. This work establishes a polymer phase transition paradigm for developing temperature‐resilient electrolytes, providing mechanistic insights into interfacial stabilization and advancing metal anode technologies for extreme‐condition energy storage systems.</w:t>
      </w:r>
    </w:p>
    <w:p>
      <w:pPr>
        <w:spacing w:before="120" w:after="120"/>
      </w:pPr>
      <w:r>
        <w:rPr>
          <w:sz w:val="18"/>
        </w:rPr>
        <w:t>——————————————————————————————————————————————————————————————————————</w:t>
      </w:r>
    </w:p>
    <w:p>
      <w:pPr>
        <w:spacing w:before="160" w:after="40" w:line="240" w:lineRule="auto"/>
      </w:pPr>
      <w:r>
        <w:rPr>
          <w:b/>
        </w:rPr>
        <w:t xml:space="preserve">[171] </w:t>
      </w:r>
      <w:hyperlink r:id="rId323">
        <w:r>
          <w:rPr>
            <w:color w:val="1155CC"/>
            <w:u w:val="single"/>
          </w:rPr>
          <w:t>Perovovskite太阳能电池高性能高的氟化洞运输材料的同步间间消毒和自由排减</w:t>
        </w:r>
      </w:hyperlink>
    </w:p>
    <w:p>
      <w:pPr>
        <w:spacing w:before="0" w:after="80"/>
      </w:pPr>
      <w:r>
        <w:rPr>
          <w:i/>
          <w:sz w:val="20"/>
        </w:rPr>
        <w:t>EN: Simultaneous Interfacial Defect Passivation and Free‐Volume Reduction by Fluorinated Hole Transport Materials for High‐Performance Perovskite Solar Cells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24">
        <w:r>
          <w:rPr>
            <w:color w:val="1155CC"/>
            <w:u w:val="single"/>
          </w:rPr>
          <w:t>10.1002/adma.202513884</w:t>
        </w:r>
      </w:hyperlink>
    </w:p>
    <w:p>
      <w:pPr>
        <w:spacing w:before="0" w:after="120"/>
      </w:pPr>
      <w:r>
        <w:rPr>
          <w:b/>
        </w:rPr>
        <w:t xml:space="preserve">Notes: </w:t>
      </w:r>
      <w:r>
        <w:t>abstract_source=crossref</w:t>
      </w:r>
    </w:p>
    <w:p>
      <w:pPr>
        <w:spacing w:before="0" w:after="80" w:lineRule="auto" w:line="276"/>
      </w:pPr>
      <w:r>
        <w:rPr>
          <w:b/>
        </w:rPr>
        <w:t xml:space="preserve">摘要（ZH）: </w:t>
      </w:r>
      <w:r>
        <w:t>在这项工作中,通过从战略上调整N,N bicarbazole (BCz) 基HTM的氟分布,解决了PSC的跨面问题,具体地说,氟在边缘群体上被引入了不对称和对称性,分别产生了AdFBCz和SdFBCz,通过实验性定性和原子分子动态模拟相结合,证明AdFüBCz在Pb 2+上表现出了较高的跨面消能稳定性。</w:t>
      </w:r>
    </w:p>
    <w:p>
      <w:pPr>
        <w:spacing w:before="0" w:after="200" w:lineRule="auto" w:line="276"/>
      </w:pPr>
      <w:r>
        <w:rPr>
          <w:b/>
        </w:rPr>
        <w:t xml:space="preserve">Abstract (EN): </w:t>
      </w:r>
      <w:r>
        <w:t>Interfacial defects and free‐volume between the perovskite layer and hole transport material (HTM) critically impact the efficiency and stability of perovskite solar cells (PSCs). In this work, the interfacial issues of the PSCs are addressed by strategically modulating the fluorine distribution in</w:t>
      </w:r>
      <w:r>
        <w:t xml:space="preserve"> </w:t>
      </w:r>
      <w:r>
        <w:t>N,N</w:t>
      </w:r>
      <w:r>
        <w:t xml:space="preserve"> </w:t>
      </w:r>
      <w:r>
        <w:t>′‐bicarbazole (BCz)‐based HTMs, specifically, fluorine is introduced either asymmetrically and symmetrically on the peripheral groups, yielding AdF‐BCz and SdF‐BCz, respectively. Through a combination of experimental characterization and atomistic molecular dynamics simulations, it is demonstrated that AdF‐BCz exhibits superior interfacial passivation stability against Pb</w:t>
      </w:r>
      <w:r>
        <w:t xml:space="preserve"> </w:t>
      </w:r>
      <w:r>
        <w:t>2+</w:t>
      </w:r>
      <w:r>
        <w:t xml:space="preserve"> </w:t>
      </w:r>
      <w:r>
        <w:t>and I</w:t>
      </w:r>
      <w:r>
        <w:t xml:space="preserve"> </w:t>
      </w:r>
      <w:r>
        <w:t>–</w:t>
      </w:r>
      <w:r>
        <w:t xml:space="preserve"> </w:t>
      </w:r>
      <w:r>
        <w:t>related defects, as well as stronger adhesion to the perovskite surface compared to the fluorine‐free NF‐BCz and symmetrically substituted SdF‐BCz. Moreover, AdF‐BCz reduces interfacial free‐volume, promotes more intimate contact at the interface, and enhances the suppression of ion migration and perovskite degradation. Consequently, the PSCs fabricated with AdF‐BCz achieved a notable efficiency of 25.35%, outperforming devices based on SdF‐BCz (23.12%) and NF‐BCz (24.2%). Furthermore, unencapsulated AdF‐BCz based PSCs exhibit respectable stability, retaining 97% of their initial efficiencies after 2000 h under 30% relative humidity and 82% after 300 h of continuous heating at 85 °C.</w:t>
      </w:r>
    </w:p>
    <w:p>
      <w:pPr>
        <w:spacing w:before="120" w:after="120"/>
      </w:pPr>
      <w:r>
        <w:rPr>
          <w:sz w:val="18"/>
        </w:rPr>
        <w:t>——————————————————————————————————————————————————————————————————————</w:t>
      </w:r>
    </w:p>
    <w:p>
      <w:pPr>
        <w:spacing w:before="160" w:after="40" w:line="240" w:lineRule="auto"/>
      </w:pPr>
      <w:r>
        <w:rPr>
          <w:b/>
        </w:rPr>
        <w:t xml:space="preserve">[172] </w:t>
      </w:r>
      <w:hyperlink r:id="rId325">
        <w:r>
          <w:rPr>
            <w:color w:val="1155CC"/>
            <w:u w:val="single"/>
          </w:rPr>
          <w:t>使超超高工作能力和液水晶驱动器通过高度缠绕的结构具有可缩进的处理能力</w:t>
        </w:r>
      </w:hyperlink>
    </w:p>
    <w:p>
      <w:pPr>
        <w:spacing w:before="0" w:after="80"/>
      </w:pPr>
      <w:r>
        <w:rPr>
          <w:i/>
          <w:sz w:val="20"/>
        </w:rPr>
        <w:t>EN: Enabling Ultra‐High Work Capacity and Scalable Processability of Liquid Crystal Actuators through Densely Entangled Structures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26">
        <w:r>
          <w:rPr>
            <w:color w:val="1155CC"/>
            <w:u w:val="single"/>
          </w:rPr>
          <w:t>10.1002/adma.202513876</w:t>
        </w:r>
      </w:hyperlink>
    </w:p>
    <w:p>
      <w:pPr>
        <w:spacing w:before="0" w:after="120"/>
      </w:pPr>
      <w:r>
        <w:rPr>
          <w:b/>
        </w:rPr>
        <w:t xml:space="preserve">Notes: </w:t>
      </w:r>
      <w:r>
        <w:t>abstract_source=crossref</w:t>
      </w:r>
    </w:p>
    <w:p>
      <w:pPr>
        <w:spacing w:before="0" w:after="80" w:lineRule="auto" w:line="276"/>
      </w:pPr>
      <w:r>
        <w:rPr>
          <w:b/>
        </w:rPr>
        <w:t xml:space="preserve">摘要（ZH）: </w:t>
      </w:r>
      <w:r>
        <w:t>化学液体晶体体弹性体(LCEs)是一个重要的软驱动器,在许多传统硬活性起动器或机器人不切实际的领域都表现出强烈的希望,然而,它们的实际应用却缺乏,主要是因为激活性能不足和制造过程复杂。据报告,这里有一个新颖的设计,在简化制造过程的同时,大大提高了振动性能。设计涉及通过将高分子分子重量线性LCE( &amp; gt;180 kDa)与中等数量的侧组在一个步骤中合成来构建密集的缠绕结构。这些缠绕的结构在保持坚硬的同时,大大增强了机械强度,导致超高活性工作封盖。</w:t>
      </w:r>
    </w:p>
    <w:p>
      <w:pPr>
        <w:spacing w:before="0" w:after="200" w:lineRule="auto" w:line="276"/>
      </w:pPr>
      <w:r>
        <w:rPr>
          <w:b/>
        </w:rPr>
        <w:t xml:space="preserve">Abstract (EN): </w:t>
      </w:r>
      <w:r>
        <w:t>Liquid crystal elastomers (LCEs) are important soft actuators that show strong promise in many fields where traditional rigid actuators or robotics are impractical. However, their real‐world applications are lacking primarily due to inadequate actuation performance and complicated fabrication processes. Here, a novel design is reported that significantly enhances actuation performance while simplifying the fabrication process. The design involves constructing densely entangled structures by synthesizing high‐molecular‐weight linear LCEs (&amp;gt;180 kDa) with a moderate number of side groups in a single step. These entangled structures greatly enhance mechanical strength while maintaining toughness, resulting in an ultra‐high actuation work capacity (1427 kJ m</w:t>
      </w:r>
      <w:r>
        <w:t xml:space="preserve"> </w:t>
      </w:r>
      <w:r>
        <w:t>−</w:t>
      </w:r>
      <w:r>
        <w:rPr>
          <w:vertAlign w:val="subscript"/>
        </w:rPr>
        <w:t>3</w:t>
      </w:r>
      <w:r>
        <w:t>). By applying melt shearing or solvent treatment, these entanglements can be temporarily disrupted, providing thermoplastic‐like processability. With these properties, lightweight wearable devices (&amp;lt;10 g) capable of generating over 30 N of contractile force are developed, which is sufficient to reversibly lift an adult male's arm. This work employs a single fabrication step to develop densely entangled LCEs with exceptional actuation performance and thermoplastic‐like processability, signaling a bright future for their applications in rehabilitation devices, wearables, and beyond.</w:t>
      </w:r>
    </w:p>
    <w:p>
      <w:pPr>
        <w:spacing w:before="120" w:after="120"/>
      </w:pPr>
      <w:r>
        <w:rPr>
          <w:sz w:val="18"/>
        </w:rPr>
        <w:t>——————————————————————————————————————————————————————————————————————</w:t>
      </w:r>
    </w:p>
    <w:p>
      <w:pPr>
        <w:spacing w:before="160" w:after="40" w:line="240" w:lineRule="auto"/>
      </w:pPr>
      <w:r>
        <w:rPr>
          <w:b/>
        </w:rPr>
        <w:t xml:space="preserve">[173] </w:t>
      </w:r>
      <w:hyperlink r:id="rId327">
        <w:r>
          <w:rPr>
            <w:color w:val="1155CC"/>
            <w:u w:val="single"/>
          </w:rPr>
          <w:t>建构 1D/2D Bi2WO6 用于高效地实现甲代丁二烯光加速降解的地貌交叉点上的 0D Bismuthuuth-Metal 纳米圈网络</w:t>
        </w:r>
      </w:hyperlink>
    </w:p>
    <w:p>
      <w:pPr>
        <w:spacing w:before="0" w:after="80"/>
      </w:pPr>
      <w:r>
        <w:rPr>
          <w:i/>
          <w:sz w:val="20"/>
        </w:rPr>
        <w:t>EN: Constructing 0D Bismuth‐Metal Nanosphere Networks on 1D/2D Bi2WO6 Heteromorphic Junctions for Efficient Photocatalytic Degradation of Acetaldehyde</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28">
        <w:r>
          <w:rPr>
            <w:color w:val="1155CC"/>
            <w:u w:val="single"/>
          </w:rPr>
          <w:t>10.1002/adma.202513684</w:t>
        </w:r>
      </w:hyperlink>
    </w:p>
    <w:p>
      <w:pPr>
        <w:spacing w:before="0" w:after="120"/>
      </w:pPr>
      <w:r>
        <w:rPr>
          <w:b/>
        </w:rPr>
        <w:t xml:space="preserve">Notes: </w:t>
      </w:r>
      <w:r>
        <w:t>abstract_source=crossref</w:t>
      </w:r>
    </w:p>
    <w:p>
      <w:pPr>
        <w:spacing w:before="0" w:after="80" w:lineRule="auto" w:line="276"/>
      </w:pPr>
      <w:r>
        <w:rPr>
          <w:b/>
        </w:rPr>
        <w:t xml:space="preserve">摘要（ZH）: </w:t>
      </w:r>
      <w:r>
        <w:t>抽象半导体光化催化法极有可能降解挥发性有机化合物(VOCs),但光化催化剂往往由于地表催化活性场点不足、光吸收有限、载体分离效率低下而效率低下。在Eucalyptus树结构的启发下,建议采取选择性削减战略,在1D/2D Bi 2WO 6(BWO 6) 的异形交叉点上培育丁二氮纳米纤维(NFs)和纳米表(NSs),形成一种协同机制,“地表活性场点”的缺陷“carrier”分离。</w:t>
      </w:r>
    </w:p>
    <w:p>
      <w:pPr>
        <w:spacing w:before="0" w:after="200" w:lineRule="auto" w:line="276"/>
      </w:pPr>
      <w:r>
        <w:rPr>
          <w:b/>
        </w:rPr>
        <w:t xml:space="preserve">Abstract (EN): </w:t>
      </w:r>
      <w:r>
        <w:t>Semiconductor photocatalysis holds great potential for the degradation of volatile organic compounds (VOCs), yet photocatalysts often experience low efficiency due to insufficient surface catalytic active sites, limited light absorption, and poor carrier separation efficiency. Inspired by the structure of Eucalyptus trees, a selective reduction strategy is proposed to grow bismuth nanosphere networks on 1D/2D Bi</w:t>
      </w:r>
      <w:r>
        <w:rPr>
          <w:vertAlign w:val="subscript"/>
        </w:rPr>
        <w:t>2</w:t>
      </w:r>
      <w:r>
        <w:t>WO</w:t>
      </w:r>
      <w:r>
        <w:rPr>
          <w:vertAlign w:val="subscript"/>
        </w:rPr>
        <w:t>6</w:t>
      </w:r>
      <w:r>
        <w:t>(BWO) heteromorphic junctions, which consist of interwoven mesoporous nanofibers (NFs) and nanosheets (NSs). This establishes a synergistic mechanism of “surface active sites‐intrinsic defects‐carrier separation.” Initially, the electrospun BWO precursor NFs are calcined in air, resulting in 2D NSs growing radially along the NFs in an ordered, spaced arrangement to form 1D/2D BWO structures. Subsequently, under H</w:t>
      </w:r>
      <w:r>
        <w:rPr>
          <w:vertAlign w:val="subscript"/>
        </w:rPr>
        <w:t>2</w:t>
      </w:r>
      <w:r>
        <w:t>/Ar reduction, Bi</w:t>
      </w:r>
      <w:r>
        <w:t xml:space="preserve"> </w:t>
      </w:r>
      <w:r>
        <w:t>3+</w:t>
      </w:r>
      <w:r>
        <w:t xml:space="preserve"> </w:t>
      </w:r>
      <w:r>
        <w:t>species are preferentially reduced to Bi⁰ along the NF axes and NS corners, forming a dynamically evolved metal‐defect regulatory system. The 0D/1D/2D Bi‐BWO photocatalyst can rapidly degrade 100% of acetaldehyde and exhibits superior stability over five cycles. Its degradation rate is 3.5 times faster than that of 1D/2D BWO and significantly surpasses traditional BWO. This work presents a novel perspective for designing photocatalysts to efficiently remove VOCs.</w:t>
      </w:r>
    </w:p>
    <w:p>
      <w:pPr>
        <w:spacing w:before="120" w:after="120"/>
      </w:pPr>
      <w:r>
        <w:rPr>
          <w:sz w:val="18"/>
        </w:rPr>
        <w:t>——————————————————————————————————————————————————————————————————————</w:t>
      </w:r>
    </w:p>
    <w:p>
      <w:pPr>
        <w:spacing w:before="160" w:after="40" w:line="240" w:lineRule="auto"/>
      </w:pPr>
      <w:r>
        <w:rPr>
          <w:b/>
        </w:rPr>
        <w:t xml:space="preserve">[174] </w:t>
      </w:r>
      <w:hyperlink r:id="rId329">
        <w:r>
          <w:rPr>
            <w:color w:val="1155CC"/>
            <w:u w:val="single"/>
          </w:rPr>
          <w:t>热电增强催化催化氧化:低温度气相催化的普遍战略</w:t>
        </w:r>
      </w:hyperlink>
    </w:p>
    <w:p>
      <w:pPr>
        <w:spacing w:before="0" w:after="80"/>
      </w:pPr>
      <w:r>
        <w:rPr>
          <w:i/>
          <w:sz w:val="20"/>
        </w:rPr>
        <w:t>EN: Pyroelectric Enhanced Catalytic Oxidation: A Universal Strategy for Low‐Temperature Gas Phase Catalysis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30">
        <w:r>
          <w:rPr>
            <w:color w:val="1155CC"/>
            <w:u w:val="single"/>
          </w:rPr>
          <w:t>10.1002/adma.202512417</w:t>
        </w:r>
      </w:hyperlink>
    </w:p>
    <w:p>
      <w:pPr>
        <w:spacing w:before="0" w:after="120"/>
      </w:pPr>
      <w:r>
        <w:rPr>
          <w:b/>
        </w:rPr>
        <w:t xml:space="preserve">Notes: </w:t>
      </w:r>
      <w:r>
        <w:t>abstract_source=crossref</w:t>
      </w:r>
    </w:p>
    <w:p>
      <w:pPr>
        <w:spacing w:before="0" w:after="80" w:lineRule="auto" w:line="276"/>
      </w:pPr>
      <w:r>
        <w:rPr>
          <w:b/>
        </w:rPr>
        <w:t xml:space="preserve">摘要（ZH）: </w:t>
      </w:r>
      <w:r>
        <w:t>在气相催化领域,活氧物种(ROS)发挥着关键作用,但如何通过在催化过程中高效和可持续地形成ROS来提高催化效率和寿命是高性能催化剂面临的一项挑战。在这方面,据报告,一项热电增强催化氧化(PECO)战略能够通过不断生成ROS有效提高催化剂的催化氧化效率和寿命。当甲醛(HCHO)的气体污染物通过MnOx的导导导气凝胶催化剂催化降解时,HCHO至CO2的转化效率会提高。</w:t>
      </w:r>
    </w:p>
    <w:p>
      <w:pPr>
        <w:spacing w:before="0" w:after="200" w:lineRule="auto" w:line="276"/>
      </w:pPr>
      <w:r>
        <w:rPr>
          <w:b/>
        </w:rPr>
        <w:t xml:space="preserve">Abstract (EN): </w:t>
      </w:r>
      <w:r>
        <w:t>In the field of gas phase catalysis, reactive oxygen species (ROS) play a crucial role, but how to improve catalytic efficiency and lifetime by forming ROS efficiently and sustainably during the catalytic process is a challenge for high‐performance catalysts. Here, a pyroelectric enhanced catalytic oxidation (PECO) strategy is reported that can effectively enhance the catalytic oxidation efficiency and life of the catalyst by constantly generation of ROS. When gaseous pollutants of formaldehyde (HCHO) are catalytically degraded by conductive aerogel catalysts of MnO</w:t>
      </w:r>
      <w:r>
        <w:t xml:space="preserve"> </w:t>
      </w:r>
      <w:r>
        <w:t>x</w:t>
      </w:r>
      <w:r>
        <w:t xml:space="preserve"> </w:t>
      </w:r>
      <w:r>
        <w:t>, the HCHO to CO</w:t>
      </w:r>
      <w:r>
        <w:rPr>
          <w:vertAlign w:val="subscript"/>
        </w:rPr>
        <w:t>2</w:t>
      </w:r>
      <w:r>
        <w:t>conversion efficiency is increased by ≈300% to 95.33% at a high gas hourly space velocity (GHSV: 600 L g</w:t>
      </w:r>
      <w:r>
        <w:t xml:space="preserve"> </w:t>
      </w:r>
      <w:r>
        <w:t>cat.</w:t>
      </w:r>
      <w:r>
        <w:t xml:space="preserve"> </w:t>
      </w:r>
      <w:r>
        <w:t>−1</w:t>
      </w:r>
      <w:r>
        <w:t xml:space="preserve"> </w:t>
      </w:r>
      <w:r>
        <w:t>·h</w:t>
      </w:r>
      <w:r>
        <w:t xml:space="preserve"> </w:t>
      </w:r>
      <w:r>
        <w:t>−1</w:t>
      </w:r>
      <w:r>
        <w:t xml:space="preserve"> </w:t>
      </w:r>
      <w:r>
        <w:t>) using the pyroelectric effect of BaTiO</w:t>
      </w:r>
      <w:r>
        <w:rPr>
          <w:vertAlign w:val="subscript"/>
        </w:rPr>
        <w:t>3</w:t>
      </w:r>
      <w:r>
        <w:t>, and the efficiency attenuation is less than 3% during the continuous catalytic process of 1200 h. The experimental and theoretical analysis confirm that the pyroelectric effect contributes to improving valence transition of Mn</w:t>
      </w:r>
      <w:r>
        <w:t xml:space="preserve"> </w:t>
      </w:r>
      <w:r>
        <w:t>3+</w:t>
      </w:r>
      <w:r>
        <w:t xml:space="preserve"> </w:t>
      </w:r>
      <w:r>
        <w:t>/Mn</w:t>
      </w:r>
      <w:r>
        <w:t xml:space="preserve"> </w:t>
      </w:r>
      <w:r>
        <w:t>4+</w:t>
      </w:r>
      <w:r>
        <w:t xml:space="preserve"> </w:t>
      </w:r>
      <w:r>
        <w:t>and electron transfer of oxygen‐containing molecules thus leading to the continuous formation of ROS. The PECO strategy provides a simple and effective approach for ROS engineering and has broad application prospects in the field of catalysis.</w:t>
      </w:r>
    </w:p>
    <w:p>
      <w:pPr>
        <w:spacing w:before="120" w:after="120"/>
      </w:pPr>
      <w:r>
        <w:rPr>
          <w:sz w:val="18"/>
        </w:rPr>
        <w:t>——————————————————————————————————————————————————————————————————————</w:t>
      </w:r>
    </w:p>
    <w:p>
      <w:pPr>
        <w:spacing w:before="160" w:after="40" w:line="240" w:lineRule="auto"/>
      </w:pPr>
      <w:r>
        <w:rPr>
          <w:b/>
        </w:rPr>
        <w:t xml:space="preserve">[175] </w:t>
      </w:r>
      <w:hyperlink r:id="rId331">
        <w:r>
          <w:rPr>
            <w:color w:val="1155CC"/>
            <w:u w:val="single"/>
          </w:rPr>
          <w:t>用于适应性纳米动力疾病治疗和神经病的先进基于金属的纳米医学</w:t>
        </w:r>
      </w:hyperlink>
    </w:p>
    <w:p>
      <w:pPr>
        <w:spacing w:before="0" w:after="80"/>
      </w:pPr>
      <w:r>
        <w:rPr>
          <w:i/>
          <w:sz w:val="20"/>
        </w:rPr>
        <w:t>EN: Tailoring Advanced Metal‐Based Nanomedicines for Adaptable Nanodynamic Disease Therapies and Theranostics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32">
        <w:r>
          <w:rPr>
            <w:color w:val="1155CC"/>
            <w:u w:val="single"/>
          </w:rPr>
          <w:t>10.1002/adma.202513609</w:t>
        </w:r>
      </w:hyperlink>
    </w:p>
    <w:p>
      <w:pPr>
        <w:spacing w:before="0" w:after="120"/>
      </w:pPr>
      <w:r>
        <w:rPr>
          <w:b/>
        </w:rPr>
        <w:t xml:space="preserve">Notes: </w:t>
      </w:r>
      <w:r>
        <w:t>abstract_source=crossref</w:t>
      </w:r>
    </w:p>
    <w:p>
      <w:pPr>
        <w:spacing w:before="0" w:after="80" w:lineRule="auto" w:line="276"/>
      </w:pPr>
      <w:r>
        <w:rPr>
          <w:b/>
        </w:rPr>
        <w:t xml:space="preserve">摘要（ZH）: </w:t>
      </w:r>
      <w:r>
        <w:t>抽象的高级金属纳米材料(MBNs)代表了纳米医学的动态前沿,为下一代诊断和治疗提供了多功能平台。 其金枪鱼结构以及催化、光学和磁性特性使得各种纳米动力疗法(NDTs)得以使用,包括光动力学、化学动力学、索诺动力学、热动力学、派生电学、放射动力学和磁力学等。 除了成熟的肿瘤衰减外,MBNs还拥有强大的抗微生物和抗病毒活动,通过活性氧物种的生成、免疫调节和生物膜的破坏发挥作用。 金属-有机框架、金属-芬片网络和2D金属纳米表的最新发展扩大了精确药物交付工具。</w:t>
      </w:r>
    </w:p>
    <w:p>
      <w:pPr>
        <w:spacing w:before="0" w:after="200" w:lineRule="auto" w:line="276"/>
      </w:pPr>
      <w:r>
        <w:rPr>
          <w:b/>
        </w:rPr>
        <w:t xml:space="preserve">Abstract (EN): </w:t>
      </w:r>
      <w:r>
        <w:t>Advanced metal‐based nanomaterials (MBNs) represent a dynamic frontier in nanomedicine, offering a versatile platform for next‐generation diagnostics and therapeutics. Their tunable structures and catalytic, optical, and magnetic properties enable diverse nanodynamic therapies (NDTs), including photodynamic, chemodynamic, sonodynamic, thermodynamic, piezoelectric, radiodynamic, and magnetodynamic modalities. In addition to the well‐established tumor ablation, MBNs also feature potent antimicrobial and antiviral activity, functioning via reactive oxygen species generation, immune modulation, and biofilm disruption. Recent developments in metal–organic frameworks, metal–phenolic networks, and 2D metal nanosheets have expanded the toolkit for precision drug delivery, imaging‐guided therapy, and bioresponsive release strategies. This comprehensive review highlights the structural design principles, therapeutic mechanisms, and versatile biomedical applications of emerging MBN platforms, emphasizing synergistic treatment strategies and their role in overcoming hypoxia, multidrug resistance, and immunosuppression. Despite their promise, clinical translation remains hindered by unresolved issues in long‐term biosafety, biodegradation, and scalable manufacturing. Future efforts are expected to focus on tailoring intelligent nanostructures with optimized pharmacokinetics, integrating multimodal imaging with real‐time therapeutic feedback, and ensuring regulatory compliance. Continued innovation at the interface of materials science, biology, and medicine will be essential for transforming MBN‐based systems into clinically viable tools for oncology, infectious disease control, and personalized medicine.</w:t>
      </w:r>
    </w:p>
    <w:p>
      <w:pPr>
        <w:spacing w:before="120" w:after="120"/>
      </w:pPr>
      <w:r>
        <w:rPr>
          <w:sz w:val="18"/>
        </w:rPr>
        <w:t>——————————————————————————————————————————————————————————————————————</w:t>
      </w:r>
    </w:p>
    <w:p>
      <w:pPr>
        <w:spacing w:before="160" w:after="40" w:line="240" w:lineRule="auto"/>
      </w:pPr>
      <w:r>
        <w:rPr>
          <w:b/>
        </w:rPr>
        <w:t xml:space="preserve">[176] </w:t>
      </w:r>
      <w:hyperlink r:id="rId333">
        <w:r>
          <w:rPr>
            <w:color w:val="1155CC"/>
            <w:u w:val="single"/>
          </w:rPr>
          <w:t>各种Perovskite太阳能电池:进步、挑战和前景</w:t>
        </w:r>
      </w:hyperlink>
    </w:p>
    <w:p>
      <w:pPr>
        <w:spacing w:before="0" w:after="80"/>
      </w:pPr>
      <w:r>
        <w:rPr>
          <w:i/>
          <w:sz w:val="20"/>
        </w:rPr>
        <w:t>EN: Diverse Perovskite Solar Cells: Progress, Challenges, and Perspectives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34">
        <w:r>
          <w:rPr>
            <w:color w:val="1155CC"/>
            <w:u w:val="single"/>
          </w:rPr>
          <w:t>10.1002/adma.202512221</w:t>
        </w:r>
      </w:hyperlink>
    </w:p>
    <w:p>
      <w:pPr>
        <w:spacing w:before="0" w:after="120"/>
      </w:pPr>
      <w:r>
        <w:rPr>
          <w:b/>
        </w:rPr>
        <w:t xml:space="preserve">Notes: </w:t>
      </w:r>
      <w:r>
        <w:t>abstract_source=crossref</w:t>
      </w:r>
    </w:p>
    <w:p>
      <w:pPr>
        <w:spacing w:before="0" w:after="80" w:lineRule="auto" w:line="276"/>
      </w:pPr>
      <w:r>
        <w:rPr>
          <w:b/>
        </w:rPr>
        <w:t xml:space="preserve">摘要（ZH）: </w:t>
      </w:r>
      <w:r>
        <w:t>Perovskite抽象材料由于其金枪鱼带宽带宽带宽带宽、特异的光电子特性和结构灵活性,使光电电子革命了。 值得注意的是,百草枯太阳能电池的状态表现已经达到了27%,使百草枯材料成为下一代光伏技术的一个有希望的候选产品。 尽管关于百草枯材料的许多评论已经发表,但现有审查一般侧重于个别材料系统(如有机无机混合百草枯)和特定光电子应用中的具体优化(如太阳能电池的稳定工程),缺乏对各种百草枯类型的进步和挑战的系统化概览。</w:t>
      </w:r>
    </w:p>
    <w:p>
      <w:pPr>
        <w:spacing w:before="0" w:after="200" w:lineRule="auto" w:line="276"/>
      </w:pPr>
      <w:r>
        <w:rPr>
          <w:b/>
        </w:rPr>
        <w:t xml:space="preserve">Abstract (EN): </w:t>
      </w:r>
      <w:r>
        <w:t>Perovskite materials have revolutionized optoelectronics by virtue of their tunable bandgaps, exceptional optoelectronic properties, and structural flexibility. Notably, the state‐of‐the‐art performance of perovskite solar cells has reached 27%, making perovskite materials a promising candidate for next‐generation photovoltaic technology. Although numerous reviews regarding perovskite materials have been published, the existing reviews generally focus on individual material systems (e.g., organic–inorganic hybrid perovskites) and specific optimizations in one particular optoelectronic application (e.g., stability engineering for solar cells), lacking a systematic overview of the progress and challenges across diverse perovskite types. This review breaks this limitation by providing a systematic overview of all perovskite categories used in solar cells classified by different criteria, including composition (organic–inorganic hybrid perovskites, all‐inorganic perovskites, lead‐free perovskites, and metal‐free perovskites), dimensionality (3D and low‐dimensional perovskitoids), and crystallinity (poly‐crystal thin film and single‐crystal perovskites). The recent progress and future perspectives for each category of perovskite solar cells are focused on, aiming to establish a holistic roadmap for perovskite solar cells toward technological innovations and industrial viability.</w:t>
      </w:r>
    </w:p>
    <w:p>
      <w:pPr>
        <w:spacing w:before="120" w:after="120"/>
      </w:pPr>
      <w:r>
        <w:rPr>
          <w:sz w:val="18"/>
        </w:rPr>
        <w:t>——————————————————————————————————————————————————————————————————————</w:t>
      </w:r>
    </w:p>
    <w:p>
      <w:pPr>
        <w:spacing w:before="160" w:after="40" w:line="240" w:lineRule="auto"/>
      </w:pPr>
      <w:r>
        <w:rPr>
          <w:b/>
        </w:rPr>
        <w:t xml:space="preserve">[177] </w:t>
      </w:r>
      <w:hyperlink r:id="rId335">
        <w:r>
          <w:rPr>
            <w:color w:val="1155CC"/>
            <w:u w:val="single"/>
          </w:rPr>
          <w:t>Eectron Rich 硝基氧化氮氧化亚氮聚集组 推动高可腐蚀钠-硫电池的电源转移</w:t>
        </w:r>
      </w:hyperlink>
    </w:p>
    <w:p>
      <w:pPr>
        <w:spacing w:before="0" w:after="80"/>
      </w:pPr>
      <w:r>
        <w:rPr>
          <w:i/>
          <w:sz w:val="20"/>
        </w:rPr>
        <w:t>EN: Electron‐Rich Niobium Oxide Sub‐Nanoclusters Boosting Charge Transfer for Highly Reversible Sodium–Sulfur Batteries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36">
        <w:r>
          <w:rPr>
            <w:color w:val="1155CC"/>
            <w:u w:val="single"/>
          </w:rPr>
          <w:t>10.1002/adma.202509954</w:t>
        </w:r>
      </w:hyperlink>
    </w:p>
    <w:p>
      <w:pPr>
        <w:spacing w:before="0" w:after="120"/>
      </w:pPr>
      <w:r>
        <w:rPr>
          <w:b/>
        </w:rPr>
        <w:t xml:space="preserve">Notes: </w:t>
      </w:r>
      <w:r>
        <w:t>abstract_source=crossref</w:t>
      </w:r>
    </w:p>
    <w:p>
      <w:pPr>
        <w:spacing w:before="0" w:after="80" w:lineRule="auto" w:line="276"/>
      </w:pPr>
      <w:r>
        <w:rPr>
          <w:b/>
        </w:rPr>
        <w:t xml:space="preserve">摘要（ZH）: </w:t>
      </w:r>
      <w:r>
        <w:t>以乙烷为基础的室温-硫(RT Na-S)电池是一种充满希望的能源储存系统,但受到无管制的硫磺再氧化途径、严重的聚硫化物阻塞和快速能力下降的阻碍。在这里,高度不饱和的亚硝基亚硝基亚硝酸集聚(0.7 nm)以作为动态硫化转化催化剂的有缺陷的碳黑(NbO x DCB)为基质,因此引入了一种有动力的硫化碳黑(NbO x DCB)催化剂。</w:t>
      </w:r>
    </w:p>
    <w:p>
      <w:pPr>
        <w:spacing w:before="0" w:after="200" w:lineRule="auto" w:line="276"/>
      </w:pPr>
      <w:r>
        <w:rPr>
          <w:b/>
        </w:rPr>
        <w:t xml:space="preserve">Abstract (EN): </w:t>
      </w:r>
      <w:r>
        <w:t>Ether‐based room‐temperature sodium–sulfur (RT Na─S) batteries are a promising energy‐storage system, yet hindered by the unregulated sulfur redox pathway, severe polysulfide shuttling and rapid capacity fading. Herein, highly unsaturated niobium‐oxide sub‐nanoclusters (≈0.7 nm) anchored on defective carbon black (NbO</w:t>
      </w:r>
      <w:r>
        <w:t xml:space="preserve"> </w:t>
      </w:r>
      <w:r>
        <w:t>x</w:t>
      </w:r>
      <w:r>
        <w:t xml:space="preserve"> </w:t>
      </w:r>
      <w:r>
        <w:t>‐DCB) as a dynamic sulfur‐conversion catalyst are introduced. The delocalized Nb d‐electrons in the sub‐nanocluster configuration create a mixed Nb</w:t>
      </w:r>
      <w:r>
        <w:t xml:space="preserve"> </w:t>
      </w:r>
      <w:r>
        <w:t>4+</w:t>
      </w:r>
      <w:r>
        <w:t xml:space="preserve"> </w:t>
      </w:r>
      <w:r>
        <w:t>/Nb</w:t>
      </w:r>
      <w:r>
        <w:t xml:space="preserve"> </w:t>
      </w:r>
      <w:r>
        <w:t>5+</w:t>
      </w:r>
      <w:r>
        <w:t xml:space="preserve"> </w:t>
      </w:r>
      <w:r>
        <w:t>valence state that functions as a bidirectional electron reservoir, thereby enabling a distinct</w:t>
      </w:r>
      <w:r>
        <w:t xml:space="preserve"> </w:t>
      </w:r>
      <w:r>
        <w:t>d</w:t>
      </w:r>
      <w:r>
        <w:t xml:space="preserve"> </w:t>
      </w:r>
      <w:r>
        <w:t>‐band‐center self‐regulation mechanism. The strong</w:t>
      </w:r>
      <w:r>
        <w:t xml:space="preserve"> </w:t>
      </w:r>
      <w:r>
        <w:t>d</w:t>
      </w:r>
      <w:r>
        <w:t xml:space="preserve"> </w:t>
      </w:r>
      <w:r>
        <w:t>–</w:t>
      </w:r>
      <w:r>
        <w:t xml:space="preserve"> </w:t>
      </w:r>
      <w:r>
        <w:t>p</w:t>
      </w:r>
      <w:r>
        <w:t xml:space="preserve"> </w:t>
      </w:r>
      <w:r>
        <w:t>orbital coupling enabled by a Nb</w:t>
      </w:r>
      <w:r>
        <w:t xml:space="preserve"> </w:t>
      </w:r>
      <w:r>
        <w:t>4+</w:t>
      </w:r>
      <w:r>
        <w:t xml:space="preserve"> </w:t>
      </w:r>
      <w:r>
        <w:t>‐rich surface effectively captures sodium polysulfides and accelerates sulfur conversion kinetics during discharge, while a Nb</w:t>
      </w:r>
      <w:r>
        <w:t xml:space="preserve"> </w:t>
      </w:r>
      <w:r>
        <w:t>5+</w:t>
      </w:r>
      <w:r>
        <w:t xml:space="preserve"> </w:t>
      </w:r>
      <w:r>
        <w:t>‐rich surface promotes facile solid‐polysulfide decomposition during charging. Consequently, the NbO</w:t>
      </w:r>
      <w:r>
        <w:t xml:space="preserve"> </w:t>
      </w:r>
      <w:r>
        <w:t>x</w:t>
      </w:r>
      <w:r>
        <w:t xml:space="preserve"> </w:t>
      </w:r>
      <w:r>
        <w:t>‐DCB/S cathode delivers a reversible capacity of 1184 mAh g</w:t>
      </w:r>
      <w:r>
        <w:t xml:space="preserve"> </w:t>
      </w:r>
      <w:r>
        <w:t>S</w:t>
      </w:r>
      <w:r>
        <w:t xml:space="preserve"> </w:t>
      </w:r>
      <w:r>
        <w:t>−1</w:t>
      </w:r>
      <w:r>
        <w:t xml:space="preserve"> </w:t>
      </w:r>
      <w:r>
        <w:t>at 0.1 A g</w:t>
      </w:r>
      <w:r>
        <w:t xml:space="preserve"> </w:t>
      </w:r>
      <w:r>
        <w:t>−1</w:t>
      </w:r>
      <w:r>
        <w:t xml:space="preserve"> </w:t>
      </w:r>
      <w:r>
        <w:t>after 100 cycles and retains 547 mAh g</w:t>
      </w:r>
      <w:r>
        <w:t xml:space="preserve"> </w:t>
      </w:r>
      <w:r>
        <w:t>S</w:t>
      </w:r>
      <w:r>
        <w:t xml:space="preserve"> </w:t>
      </w:r>
      <w:r>
        <w:t>−1</w:t>
      </w:r>
      <w:r>
        <w:t xml:space="preserve"> </w:t>
      </w:r>
      <w:r>
        <w:t>after 3000 cycles at 2 A g</w:t>
      </w:r>
      <w:r>
        <w:t xml:space="preserve"> </w:t>
      </w:r>
      <w:r>
        <w:t>−1</w:t>
      </w:r>
      <w:r>
        <w:t xml:space="preserve"> </w:t>
      </w:r>
      <w:r>
        <w:t>, corresponding to a decay rate of 0.0027% per cycle. The general applicability of this approach is validated by high‐performance tungsten and vanadium oxide sub‐nanocluster‐based sulfur cathodes. These findings highlight sub‐nanoscale metal‐oxide engineering as a versatile route to high‐performance RT Na–S batteries.</w:t>
      </w:r>
    </w:p>
    <w:p>
      <w:pPr>
        <w:spacing w:before="120" w:after="120"/>
      </w:pPr>
      <w:r>
        <w:rPr>
          <w:sz w:val="18"/>
        </w:rPr>
        <w:t>——————————————————————————————————————————————————————————————————————</w:t>
      </w:r>
    </w:p>
    <w:p>
      <w:pPr>
        <w:spacing w:before="160" w:after="40" w:line="240" w:lineRule="auto"/>
      </w:pPr>
      <w:r>
        <w:rPr>
          <w:b/>
        </w:rPr>
        <w:t xml:space="preserve">[178] </w:t>
      </w:r>
      <w:hyperlink r:id="rId337">
        <w:r>
          <w:rPr>
            <w:color w:val="1155CC"/>
            <w:u w:val="single"/>
          </w:rPr>
          <w:t>全氟和多氟烷基物质超快捕获和矿物化的可整水补救平台</w:t>
        </w:r>
      </w:hyperlink>
    </w:p>
    <w:p>
      <w:pPr>
        <w:spacing w:before="0" w:after="80"/>
      </w:pPr>
      <w:r>
        <w:rPr>
          <w:i/>
          <w:sz w:val="20"/>
        </w:rPr>
        <w:t>EN: Regenerable Water Remediation Platform for Ultrafast Capture and Mineralization of Per‐ and Polyfluoroalkyl Substances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38">
        <w:r>
          <w:rPr>
            <w:color w:val="1155CC"/>
            <w:u w:val="single"/>
          </w:rPr>
          <w:t>10.1002/adma.202509842</w:t>
        </w:r>
      </w:hyperlink>
    </w:p>
    <w:p>
      <w:pPr>
        <w:spacing w:before="0" w:after="120"/>
      </w:pPr>
      <w:r>
        <w:rPr>
          <w:b/>
        </w:rPr>
        <w:t xml:space="preserve">Notes: </w:t>
      </w:r>
      <w:r>
        <w:t>abstract_source=crossref</w:t>
      </w:r>
    </w:p>
    <w:p>
      <w:pPr>
        <w:spacing w:before="0" w:after="80" w:lineRule="auto" w:line="276"/>
      </w:pPr>
      <w:r>
        <w:rPr>
          <w:b/>
        </w:rPr>
        <w:t xml:space="preserve">摘要（ZH）: </w:t>
      </w:r>
      <w:r>
        <w:t>对全氟和多氟烷基物质(PFAS)的抽象关注是由于其持久性、毒性和在水生环境中的广泛存在而产生的,目前,活性碳和离子交换树脂被用于去除全氟辛酸(PFOA),这是研究最多的全氟辛酸(PFOA),但是这些方法面临着吸附能力低和运动力慢等挑战,导致产生二次废物问题。</w:t>
      </w:r>
    </w:p>
    <w:p>
      <w:pPr>
        <w:spacing w:before="0" w:after="200" w:lineRule="auto" w:line="276"/>
      </w:pPr>
      <w:r>
        <w:rPr>
          <w:b/>
        </w:rPr>
        <w:t xml:space="preserve">Abstract (EN): </w:t>
      </w:r>
      <w:r>
        <w:t>Concerns about per‐ and polyfluoroalkyl substances (PFAS) arise from their persistence, toxicity, and widespread presence in aquatic environments. Currently, activated carbon and ion exchange resins have been used to remove perfluorooctanoic acid (PFOA), the most commonly studied PFAS, but these methods face challenges like low adsorption capacity and slow kinetics, leading to secondary waste issues. Here, it is observed that a high interlayer crystallinity of nitrate intercalated Cu</w:t>
      </w:r>
      <w:r>
        <w:t xml:space="preserve"> </w:t>
      </w:r>
      <w:r>
        <w:t>x</w:t>
      </w:r>
      <w:r>
        <w:t xml:space="preserve"> </w:t>
      </w:r>
      <w:r>
        <w:t>Al layered double hydroxides (LDH) (Cu</w:t>
      </w:r>
      <w:r>
        <w:t xml:space="preserve"> </w:t>
      </w:r>
      <w:r>
        <w:t>x</w:t>
      </w:r>
      <w:r>
        <w:t xml:space="preserve"> </w:t>
      </w:r>
      <w:r>
        <w:t>Al‐NO</w:t>
      </w:r>
      <w:r>
        <w:rPr>
          <w:vertAlign w:val="subscript"/>
        </w:rPr>
        <w:t>3</w:t>
      </w:r>
      <w:r>
        <w:t>LDH) enables a boundary‐breaking performance of maximum adsorption capacity (q</w:t>
      </w:r>
      <w:r>
        <w:t xml:space="preserve"> </w:t>
      </w:r>
      <w:r>
        <w:t>max</w:t>
      </w:r>
      <w:r>
        <w:t xml:space="preserve"> </w:t>
      </w:r>
      <w:r>
        <w:t>) of PFOA as 1702 mg g</w:t>
      </w:r>
      <w:r>
        <w:t xml:space="preserve"> </w:t>
      </w:r>
      <w:r>
        <w:t>−1</w:t>
      </w:r>
      <w:r>
        <w:t xml:space="preserve"> </w:t>
      </w:r>
      <w:r>
        <w:t>at neutral pH and room temperature. The Al‐Al clash within the cationic layers (basal plane disorder) enhances adsorption kinetics (k</w:t>
      </w:r>
      <w:r>
        <w:rPr>
          <w:vertAlign w:val="subscript"/>
        </w:rPr>
        <w:t>1</w:t>
      </w:r>
      <w:r>
        <w:t>= 13.2 h</w:t>
      </w:r>
      <w:r>
        <w:t xml:space="preserve"> </w:t>
      </w:r>
      <w:r>
        <w:t>−1</w:t>
      </w:r>
      <w:r>
        <w:t xml:space="preserve"> </w:t>
      </w:r>
      <w:r>
        <w:t>), as determined by a</w:t>
      </w:r>
      <w:r>
        <w:rPr>
          <w:vertAlign w:val="subscript"/>
        </w:rPr>
        <w:t>2</w:t>
      </w:r>
      <w:r>
        <w:t>H magic angle spinning (MAS) solid‐state nuclear magnetic resonance (ssNMR) spectroscopy. Furthermore, PFOA‐saturated Cu</w:t>
      </w:r>
      <w:r>
        <w:rPr>
          <w:vertAlign w:val="subscript"/>
        </w:rPr>
        <w:t>2</w:t>
      </w:r>
      <w:r>
        <w:t>Al‐NO</w:t>
      </w:r>
      <w:r>
        <w:rPr>
          <w:vertAlign w:val="subscript"/>
        </w:rPr>
        <w:t>3</w:t>
      </w:r>
      <w:r>
        <w:t>LDH can be regenerated through its memory effect, achieving ≈54% defluorination of the adsorbed PFOA in the presence of CaCO</w:t>
      </w:r>
      <w:r>
        <w:rPr>
          <w:vertAlign w:val="subscript"/>
        </w:rPr>
        <w:t>3</w:t>
      </w:r>
      <w:r>
        <w:t>after the thermal treatment at 773 K (500 °C). Performance in continuous fixed‐bed systems (720 mg g</w:t>
      </w:r>
      <w:r>
        <w:t xml:space="preserve"> </w:t>
      </w:r>
      <w:r>
        <w:t>−1</w:t>
      </w:r>
      <w:r>
        <w:t xml:space="preserve"> </w:t>
      </w:r>
      <w:r>
        <w:t>at 0.5 mL min</w:t>
      </w:r>
      <w:r>
        <w:t xml:space="preserve"> </w:t>
      </w:r>
      <w:r>
        <w:t>−1</w:t>
      </w:r>
      <w:r>
        <w:t xml:space="preserve"> </w:t>
      </w:r>
      <w:r>
        <w:t>) and PFOA‐spiked real water matrices indicates the practical application potential of Cu</w:t>
      </w:r>
      <w:r>
        <w:t xml:space="preserve"> </w:t>
      </w:r>
      <w:r>
        <w:t>x</w:t>
      </w:r>
      <w:r>
        <w:t xml:space="preserve"> </w:t>
      </w:r>
      <w:r>
        <w:t>Al‐NO</w:t>
      </w:r>
      <w:r>
        <w:rPr>
          <w:vertAlign w:val="subscript"/>
        </w:rPr>
        <w:t>3</w:t>
      </w:r>
      <w:r>
        <w:t>LDH, suggesting an effective integrated ultrafast capture–thermal destruction–recycling (CTR) process for treating PFAS‐contaminated water.</w:t>
      </w:r>
    </w:p>
    <w:p>
      <w:pPr>
        <w:spacing w:before="120" w:after="120"/>
      </w:pPr>
      <w:r>
        <w:rPr>
          <w:sz w:val="18"/>
        </w:rPr>
        <w:t>——————————————————————————————————————————————————————————————————————</w:t>
      </w:r>
    </w:p>
    <w:p>
      <w:pPr>
        <w:spacing w:before="160" w:after="40" w:line="240" w:lineRule="auto"/>
      </w:pPr>
      <w:r>
        <w:rPr>
          <w:b/>
        </w:rPr>
        <w:t xml:space="preserve">[179] </w:t>
      </w:r>
      <w:hyperlink r:id="rId339">
        <w:r>
          <w:rPr>
            <w:color w:val="1155CC"/>
            <w:u w:val="single"/>
          </w:rPr>
          <w:t>2D Nb2GeTe4中的可编导神经形态感知和决策方向的可编导式神经形态感知和决策的可操作性光电子合成</w:t>
        </w:r>
      </w:hyperlink>
    </w:p>
    <w:p>
      <w:pPr>
        <w:spacing w:before="0" w:after="80"/>
      </w:pPr>
      <w:r>
        <w:rPr>
          <w:i/>
          <w:sz w:val="20"/>
        </w:rPr>
        <w:t>EN: Anisotropic Optoelectronic Synapses in 2D Nb2GeTe4 for Direction‐Programmable Neuromorphic Perception and Decision‐Making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40">
        <w:r>
          <w:rPr>
            <w:color w:val="1155CC"/>
            <w:u w:val="single"/>
          </w:rPr>
          <w:t>10.1002/adma.202509686</w:t>
        </w:r>
      </w:hyperlink>
    </w:p>
    <w:p>
      <w:pPr>
        <w:spacing w:before="0" w:after="120"/>
      </w:pPr>
      <w:r>
        <w:rPr>
          <w:b/>
        </w:rPr>
        <w:t xml:space="preserve">Notes: </w:t>
      </w:r>
      <w:r>
        <w:t>abstract_source=crossref</w:t>
      </w:r>
    </w:p>
    <w:p>
      <w:pPr>
        <w:spacing w:before="0" w:after="80" w:lineRule="auto" w:line="276"/>
      </w:pPr>
      <w:r>
        <w:rPr>
          <w:b/>
        </w:rPr>
        <w:t xml:space="preserve">摘要（ZH）: </w:t>
      </w:r>
      <w:r>
        <w:t>抽象神经突变计算为von Neumann 瓶颈提供了很有希望的解决方案,使节能和智能感测平台成为了有利的能源高效平台。尽管2D材料是受生物启发的神经形态装置的理想设备,但实现具有简单配置和线性重量更新的多功能合成操作仍具有挑战性。在生物轴学的启发下,2D Nb 2 GeTe 4 号的内翼反动脉冲被用于开发双电子光学合成装置。该装置展示了厌氧孔突动(137.97厘米 2 V-1 秒) 。</w:t>
      </w:r>
    </w:p>
    <w:p>
      <w:pPr>
        <w:spacing w:before="0" w:after="200" w:lineRule="auto" w:line="276"/>
      </w:pPr>
      <w:r>
        <w:rPr>
          <w:b/>
        </w:rPr>
        <w:t xml:space="preserve">Abstract (EN): </w:t>
      </w:r>
      <w:r>
        <w:t>Neuromorphic computing presents a promising solution for the von Neumann bottleneck, enabling energy‐efficient and intelligent sensing platforms. Although 2D materials are ideal for bioinspired neuromorphic devices, achieving multifunctional synaptic operations with simple configurations and linear weight updates remains challenging. Inspired by biological axons, the in‐plane anisotropy of 2D Nb</w:t>
      </w:r>
      <w:r>
        <w:rPr>
          <w:vertAlign w:val="subscript"/>
        </w:rPr>
        <w:t>2</w:t>
      </w:r>
      <w:r>
        <w:t>GeTe</w:t>
      </w:r>
      <w:r>
        <w:rPr>
          <w:vertAlign w:val="subscript"/>
        </w:rPr>
        <w:t>4</w:t>
      </w:r>
      <w:r>
        <w:t>is exploited to develop dual electronic‐optical synaptic devices. The device exhibits anisotropic hole mobilities (137.97 cm</w:t>
      </w:r>
      <w:r>
        <w:rPr>
          <w:vertAlign w:val="subscript"/>
        </w:rPr>
        <w:t>2</w:t>
      </w:r>
      <w:r>
        <w:t>V</w:t>
      </w:r>
      <w:r>
        <w:t xml:space="preserve"> </w:t>
      </w:r>
      <w:r>
        <w:t>−1</w:t>
      </w:r>
      <w:r>
        <w:t xml:space="preserve"> </w:t>
      </w:r>
      <w:r>
        <w:t>s</w:t>
      </w:r>
      <w:r>
        <w:t xml:space="preserve"> </w:t>
      </w:r>
      <w:r>
        <w:t>−1</w:t>
      </w:r>
      <w:r>
        <w:t xml:space="preserve"> </w:t>
      </w:r>
      <w:r>
        <w:t>along the</w:t>
      </w:r>
      <w:r>
        <w:t xml:space="preserve"> </w:t>
      </w:r>
      <w:r>
        <w:t>a</w:t>
      </w:r>
      <w:r>
        <w:t xml:space="preserve"> </w:t>
      </w:r>
      <w:r>
        <w:t>‐axis and 78.29 cm</w:t>
      </w:r>
      <w:r>
        <w:rPr>
          <w:vertAlign w:val="subscript"/>
        </w:rPr>
        <w:t>2</w:t>
      </w:r>
      <w:r>
        <w:t>V</w:t>
      </w:r>
      <w:r>
        <w:t xml:space="preserve"> </w:t>
      </w:r>
      <w:r>
        <w:t>−1</w:t>
      </w:r>
      <w:r>
        <w:t xml:space="preserve"> </w:t>
      </w:r>
      <w:r>
        <w:t>s</w:t>
      </w:r>
      <w:r>
        <w:t xml:space="preserve"> </w:t>
      </w:r>
      <w:r>
        <w:t>−1</w:t>
      </w:r>
      <w:r>
        <w:t xml:space="preserve"> </w:t>
      </w:r>
      <w:r>
        <w:t>along the</w:t>
      </w:r>
      <w:r>
        <w:t xml:space="preserve"> </w:t>
      </w:r>
      <w:r>
        <w:t>b</w:t>
      </w:r>
      <w:r>
        <w:t xml:space="preserve"> </w:t>
      </w:r>
      <w:r>
        <w:t>‐axis) and a wavelength‐dependent photoresponse. This enables directional synaptic plasticity under electrical‐optical co‐stimulation, achieving 98.3% accuracy along the</w:t>
      </w:r>
      <w:r>
        <w:t xml:space="preserve"> </w:t>
      </w:r>
      <w:r>
        <w:t>a</w:t>
      </w:r>
      <w:r>
        <w:t xml:space="preserve"> </w:t>
      </w:r>
      <w:r>
        <w:t>‐axis and 88.3% along the</w:t>
      </w:r>
      <w:r>
        <w:t xml:space="preserve"> </w:t>
      </w:r>
      <w:r>
        <w:t>b</w:t>
      </w:r>
      <w:r>
        <w:t xml:space="preserve"> </w:t>
      </w:r>
      <w:r>
        <w:t>‐axis in adaptive image processing. A machine vision system with 89.6% object recognition accuracy and an intelligent vehicle navigation platform with 90.2% decision‐making accuracy is also demonstrated. The integration of anisotropic transport and spectrally tunable responses in a single material paves the way for compact neuromorphic hardware with multimodal sensing and parallel processing capabilities. This study advances 2D material‐based neuroelectronics for edge computing, autonomous robotics, and adaptive artificial intelligence systems.</w:t>
      </w:r>
    </w:p>
    <w:p>
      <w:pPr>
        <w:spacing w:before="120" w:after="120"/>
      </w:pPr>
      <w:r>
        <w:rPr>
          <w:sz w:val="18"/>
        </w:rPr>
        <w:t>——————————————————————————————————————————————————————————————————————</w:t>
      </w:r>
    </w:p>
    <w:p>
      <w:pPr>
        <w:spacing w:before="160" w:after="40" w:line="240" w:lineRule="auto"/>
      </w:pPr>
      <w:r>
        <w:rPr>
          <w:b/>
        </w:rPr>
        <w:t xml:space="preserve">[180] </w:t>
      </w:r>
      <w:hyperlink r:id="rId341">
        <w:r>
          <w:rPr>
            <w:color w:val="1155CC"/>
            <w:u w:val="single"/>
          </w:rPr>
          <w:t>Bamboo-受启发的复合管道加速周边神经神经通过协同型定向结构和Piezozerective再生</w:t>
        </w:r>
      </w:hyperlink>
    </w:p>
    <w:p>
      <w:pPr>
        <w:spacing w:before="0" w:after="80"/>
      </w:pPr>
      <w:r>
        <w:rPr>
          <w:i/>
          <w:sz w:val="20"/>
        </w:rPr>
        <w:t>EN: Bamboo‐Inspired Composite Conduit Accelerates Peripheral Nerve Regeneration through Synergistic Oriented Structure and Piezoelectricity</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42">
        <w:r>
          <w:rPr>
            <w:color w:val="1155CC"/>
            <w:u w:val="single"/>
          </w:rPr>
          <w:t>10.1002/adma.202509425</w:t>
        </w:r>
      </w:hyperlink>
    </w:p>
    <w:p>
      <w:pPr>
        <w:spacing w:before="0" w:after="120"/>
      </w:pPr>
      <w:r>
        <w:rPr>
          <w:b/>
        </w:rPr>
        <w:t xml:space="preserve">Notes: </w:t>
      </w:r>
      <w:r>
        <w:t>abstract_source=crossref</w:t>
      </w:r>
    </w:p>
    <w:p>
      <w:pPr>
        <w:spacing w:before="0" w:after="80" w:lineRule="auto" w:line="276"/>
      </w:pPr>
      <w:r>
        <w:rPr>
          <w:b/>
        </w:rPr>
        <w:t xml:space="preserve">摘要（ZH）: </w:t>
      </w:r>
      <w:r>
        <w:t>抽象慢轴增长是一个关键因素,它限制了长期分层外围神经神经损伤(PNI)之后的再生。在这里,竹制受启发的脚手架通过方向空心管双层结构和生物模拟派生电特性加速神经再生。 脚手架的外水凝胶在100个伸展周期后表现出足够的抗疲劳抗力,而内侧纤维则提供了方向性的表情提示。 受到竹纤维素弯曲的皮层电源特性的启发,首次检测到聚(乙烯醇)的压电信号,测量量约为20米。 为提高电压驱动神经再生能力,骨手架的压电能通过优化非摄氏度,提高到0.95 0.02 V。</w:t>
      </w:r>
    </w:p>
    <w:p>
      <w:pPr>
        <w:spacing w:before="0" w:after="200" w:lineRule="auto" w:line="276"/>
      </w:pPr>
      <w:r>
        <w:rPr>
          <w:b/>
        </w:rPr>
        <w:t xml:space="preserve">Abstract (EN): </w:t>
      </w:r>
      <w:r>
        <w:t>Slow axon growth is a critical factor that limits regeneration after long‐segment peripheral nerve injury (PNI). Herein, a bamboo‐inspired scaffold accelerates nerve regeneration through a directional hollow‐tube bilayer structure and biomimetic piezoelectric property. The outer hydrogel of the scaffold exhibits sufficient fatigue resistance after 100 cycles of stretching, while the interior fiber provides an oriented topological cue. Inspired by the bending‐piezoelectric property of bamboo cellulose, the piezoelectric signal in poly(vinyl alcohol) is detected for the first time, measuring approximately 20 mV. To enhance voltage‐driven nerve regeneration, the scaffold's piezoelectricity is improved to 0.95 ± 0.02 V by optimizing its non‐centrosymmetric structure, increasing permanent dipole moment, and facilitating electron‐hole separation. Owing to its biomimetic structure and piezoelectricity, the scaffold promotes a 3.1‐fold increase in axon length, a 1.6‐fold improvement in myelin diameter, and maximizes angiogenesis, reaching 71.25 ± 21.87 vessels per mm</w:t>
      </w:r>
      <w:r>
        <w:rPr>
          <w:vertAlign w:val="subscript"/>
        </w:rPr>
        <w:t>2</w:t>
      </w:r>
      <w:r>
        <w:t>in vivo. Overall, this bamboo‐inspired conduit has the potential to significantly improve regeneration efficiency and functional reconstruction in cases of long‐segment PNI.</w:t>
      </w:r>
    </w:p>
    <w:p>
      <w:pPr>
        <w:spacing w:before="120" w:after="120"/>
      </w:pPr>
      <w:r>
        <w:rPr>
          <w:sz w:val="18"/>
        </w:rPr>
        <w:t>——————————————————————————————————————————————————————————————————————</w:t>
      </w:r>
    </w:p>
    <w:p>
      <w:pPr>
        <w:spacing w:before="160" w:after="40" w:line="240" w:lineRule="auto"/>
      </w:pPr>
      <w:r>
        <w:rPr>
          <w:b/>
        </w:rPr>
        <w:t xml:space="preserve">[181] </w:t>
      </w:r>
      <w:hyperlink r:id="rId343">
        <w:r>
          <w:rPr>
            <w:color w:val="1155CC"/>
            <w:u w:val="single"/>
          </w:rPr>
          <w:t>以生素为基础的材料作为活的治疗药物</w:t>
        </w:r>
      </w:hyperlink>
    </w:p>
    <w:p>
      <w:pPr>
        <w:spacing w:before="0" w:after="80"/>
      </w:pPr>
      <w:r>
        <w:rPr>
          <w:i/>
          <w:sz w:val="20"/>
        </w:rPr>
        <w:t>EN: Probiotic‐Based Materials as Living Therapeutics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44">
        <w:r>
          <w:rPr>
            <w:color w:val="1155CC"/>
            <w:u w:val="single"/>
          </w:rPr>
          <w:t>10.1002/adma.202508500</w:t>
        </w:r>
      </w:hyperlink>
    </w:p>
    <w:p>
      <w:pPr>
        <w:spacing w:before="0" w:after="120"/>
      </w:pPr>
      <w:r>
        <w:rPr>
          <w:b/>
        </w:rPr>
        <w:t xml:space="preserve">Notes: </w:t>
      </w:r>
      <w:r>
        <w:t>abstract_source=crossref</w:t>
      </w:r>
    </w:p>
    <w:p>
      <w:pPr>
        <w:spacing w:before="0" w:after="80" w:lineRule="auto" w:line="276"/>
      </w:pPr>
      <w:r>
        <w:rPr>
          <w:b/>
        </w:rPr>
        <w:t xml:space="preserve">摘要（ZH）: </w:t>
      </w:r>
      <w:r>
        <w:t>简而言之,对更安全、更有针对性的治疗方法的需求日益增长,这就要求开发先进的生物材料,其中,将合成生物学与材料科学相结合的《生命材料》(ELMs),正在成为生物医学应用的有希望的平台,这一审查侧重于基于基因工程的先生生物和基体(称为PLMs)的“生命材料”(PLMs)子类的“生命材料”(PLMs),将其与活生物治疗产品(LBPs)区分开来,以突出PLM在应对不同健康状况方面的潜力,提供有针对性和动态的疗法,但是,PLMs面临多种挑战,需要在诊所实施,包括缺乏强有力的抗生工程遗传工具包、遗传学工具包等。</w:t>
      </w:r>
    </w:p>
    <w:p>
      <w:pPr>
        <w:spacing w:before="0" w:after="200" w:lineRule="auto" w:line="276"/>
      </w:pPr>
      <w:r>
        <w:rPr>
          <w:b/>
        </w:rPr>
        <w:t xml:space="preserve">Abstract (EN): </w:t>
      </w:r>
      <w:r>
        <w:t>The growing demand for safer, more targeted therapeutics requires the development of advanced biomaterials. Among these, Engineered Living Materials (ELMs)—which integrate synthetic biology with material science—are emerging as promising platforms for biomedical applications. This review focuses on a subclass of ELMs based on genetically engineered probiotics combined with matrices, that are termed Probiotic Living Materials (PLMs) to differentiate them from Living Biotherapeutic Products (LBPs). Recent studies highlight PLM's potential in addressing different health conditions, offering targeted and dynamic therapies. However, PLMs face multiple challenges to be implemented in clinics, including a lack of robust genetic toolkits for probiotic engineering, concerns about biosafety (e.g., horizontal gene transfer or non‐desirable biological activity), difficulties in translating preclinical results to humans, and the absence of clear regulatory guidance for clinical use. This review first explores the fundamental features of ELMs, then provides an overview of probiotics, followed by recent advances in the design of engineered PLMs for biomedical applications, particularly in biosensing development, infection treatment, bone repair, wound healing, vaginal imbalances, gut‐related conditions, and cancer therapy. Finally, biosafety issues and current gaps in regulatory frameworks to ensure safe and effective use of PLMs, with a particular focus on vulnerable populations, are discussed.</w:t>
      </w:r>
    </w:p>
    <w:p>
      <w:pPr>
        <w:spacing w:before="120" w:after="120"/>
      </w:pPr>
      <w:r>
        <w:rPr>
          <w:sz w:val="18"/>
        </w:rPr>
        <w:t>——————————————————————————————————————————————————————————————————————</w:t>
      </w:r>
    </w:p>
    <w:p>
      <w:pPr>
        <w:spacing w:before="160" w:after="40" w:line="240" w:lineRule="auto"/>
      </w:pPr>
      <w:r>
        <w:rPr>
          <w:b/>
        </w:rPr>
        <w:t xml:space="preserve">[182] </w:t>
      </w:r>
      <w:hyperlink r:id="rId345">
        <w:r>
          <w:rPr>
            <w:color w:val="1155CC"/>
            <w:u w:val="single"/>
          </w:rPr>
          <w:t>2D 半导体横向模式外热结构通过刻刻和跟踪硬性负负增长方法合成</w:t>
        </w:r>
      </w:hyperlink>
    </w:p>
    <w:p>
      <w:pPr>
        <w:spacing w:before="0" w:after="80"/>
      </w:pPr>
      <w:r>
        <w:rPr>
          <w:i/>
          <w:sz w:val="20"/>
        </w:rPr>
        <w:t>EN: Synthesis of 2D Semiconductor Lateral Patterned Heterostructures Through Carving and Follow‐Up Robust Epitaxial Growth Approach</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46">
        <w:r>
          <w:rPr>
            <w:color w:val="1155CC"/>
            <w:u w:val="single"/>
          </w:rPr>
          <w:t>10.1002/adma.202508413</w:t>
        </w:r>
      </w:hyperlink>
    </w:p>
    <w:p>
      <w:pPr>
        <w:spacing w:before="0" w:after="120"/>
      </w:pPr>
      <w:r>
        <w:rPr>
          <w:b/>
        </w:rPr>
        <w:t xml:space="preserve">Notes: </w:t>
      </w:r>
      <w:r>
        <w:t>abstract_source=crossref</w:t>
      </w:r>
    </w:p>
    <w:p>
      <w:pPr>
        <w:spacing w:before="0" w:after="80" w:lineRule="auto" w:line="276"/>
      </w:pPr>
      <w:r>
        <w:rPr>
          <w:b/>
        </w:rPr>
        <w:t xml:space="preserve">摘要（ZH）: </w:t>
      </w:r>
      <w:r>
        <w:t>对二维(2D)半导体中化学成分和电子结构的空间分布和电子结构的空间分布进行精密控制,对于下一代集成电路的开发至关重要,然而,以原子尖锐界面和高空间周期构造2D横向结构结构结构仍是一项重大挑战。本工作报告了一项总战略,通过雕刻2D半导体单晶体和后续的强力附带增长方法,合成2D半导体横向结构结构结构。这项工作利用高速激光雕刻(HSLC)技术,获得了精确控制的2D半导体半导体材料模式,其边缘是用于横向剖面的强力模板。</w:t>
      </w:r>
    </w:p>
    <w:p>
      <w:pPr>
        <w:spacing w:before="0" w:after="200" w:lineRule="auto" w:line="276"/>
      </w:pPr>
      <w:r>
        <w:rPr>
          <w:b/>
        </w:rPr>
        <w:t xml:space="preserve">Abstract (EN): </w:t>
      </w:r>
      <w:r>
        <w:t>Precise control over the spatial distribution of chemical composition and electronic structure in two‐dimensional (2D) semiconductors is essential for the development of next‐generation integrated circuits. However, fabricating 2D lateral patterned heterostructures with atomically sharp interfaces and high spatial periodicity remains a significant challenge. Herein, this work reports a general strategy to synthesize 2D semiconductor lateral patterned heterostructures through carving of 2D semiconductor single crystal and the follow‐up robust epitaxial growth approach. Using the high‐speed laser carving (HSLC) technique, this work obtains precisely controlled 2D semiconductor material patterns with clean edges, which are used as a robust template for laterally epitaxial growth to produce 2D lateral periodic heterostructures, heterostructure crossbar arrays and other complex patterned heterostructures. Systematic microscopic and spectral characterization reveal that heterostructures have atomically sharp interlines. The high periodicity of these heterostructures facilitates scalable device integration, providing a practical route toward large‐area 2D electronic circuits. By constructing functional electronic components such as p‐n diode and complementary metal oxide semiconductor (CMOS) inverters arrays, this work demonstrates the potential of these heterostructures for monolithic circuit applications. This technique offers a new idea for micro/nano machining of 2D materials and lays a foundation for large‐scale integrated circuits based on 2D semiconductors.</w:t>
      </w:r>
    </w:p>
    <w:p>
      <w:pPr>
        <w:spacing w:before="120" w:after="120"/>
      </w:pPr>
      <w:r>
        <w:rPr>
          <w:sz w:val="18"/>
        </w:rPr>
        <w:t>——————————————————————————————————————————————————————————————————————</w:t>
      </w:r>
    </w:p>
    <w:p>
      <w:pPr>
        <w:spacing w:before="160" w:after="40" w:line="240" w:lineRule="auto"/>
      </w:pPr>
      <w:r>
        <w:rPr>
          <w:b/>
        </w:rPr>
        <w:t xml:space="preserve">[183] </w:t>
      </w:r>
      <w:hyperlink r:id="rId347">
        <w:r>
          <w:rPr>
            <w:color w:val="1155CC"/>
            <w:u w:val="single"/>
          </w:rPr>
          <w:t>Pt/Cr2O3/Co三层中通过180°Néel矢量反转而进行当前引导的磁化转换</w:t>
        </w:r>
      </w:hyperlink>
    </w:p>
    <w:p>
      <w:pPr>
        <w:spacing w:before="0" w:after="80"/>
      </w:pPr>
      <w:r>
        <w:rPr>
          <w:i/>
          <w:sz w:val="20"/>
        </w:rPr>
        <w:t>EN: Current‐Induced Magnetization Switching via 180° Néel Vector Reversal in Pt/Cr2O3/Co Trilayers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48">
        <w:r>
          <w:rPr>
            <w:color w:val="1155CC"/>
            <w:u w:val="single"/>
          </w:rPr>
          <w:t>10.1002/adma.202508347</w:t>
        </w:r>
      </w:hyperlink>
    </w:p>
    <w:p>
      <w:pPr>
        <w:spacing w:before="0" w:after="120"/>
      </w:pPr>
      <w:r>
        <w:rPr>
          <w:b/>
        </w:rPr>
        <w:t xml:space="preserve">Notes: </w:t>
      </w:r>
      <w:r>
        <w:t>abstract_source=crossref</w:t>
      </w:r>
    </w:p>
    <w:p>
      <w:pPr>
        <w:spacing w:before="0" w:after="80" w:lineRule="auto" w:line="276"/>
      </w:pPr>
      <w:r>
        <w:rPr>
          <w:b/>
        </w:rPr>
        <w:t xml:space="preserve">摘要（ZH）: </w:t>
      </w:r>
      <w:r>
        <w:t>由旋翼轨道火炬(SOT)诱导的垂直内核矢量的180度切换,具有超常和超快抗远地磁磁磁场随机随机存留的巨大潜力,然而,其实验性实现仍然是一个激烈辩论的议题,这里提供了明确的证据,说明在Pt/Cr 2 O 3/Cote结构中,在Collinear 抗远地磁克(2 O 3)CO2 3中,SOTZ引起垂直内核矢量的180度切换,证明Cr 2的垂直内核矢量的180度切换。</w:t>
      </w:r>
    </w:p>
    <w:p>
      <w:pPr>
        <w:spacing w:before="0" w:after="200" w:lineRule="auto" w:line="276"/>
      </w:pPr>
      <w:r>
        <w:rPr>
          <w:b/>
        </w:rPr>
        <w:t xml:space="preserve">Abstract (EN): </w:t>
      </w:r>
      <w:r>
        <w:t>The 180° switching of the perpendicular Néel vector induced by the spin‐orbit torque (SOT) presents significant potential for ultradense and ultrafast antiferromagnetic SOT‐magnetoresistive random‐access memory. However, its experimental realization remains a topic of intense debate. Here, unequivocal evidence is provided for the SOT‐induced 180° switching of the perpendicular Néel vector in collinear antiferromagnetic Cr</w:t>
      </w:r>
      <w:r>
        <w:rPr>
          <w:vertAlign w:val="subscript"/>
        </w:rPr>
        <w:t>2</w:t>
      </w:r>
      <w:r>
        <w:t>O</w:t>
      </w:r>
      <w:r>
        <w:rPr>
          <w:vertAlign w:val="subscript"/>
        </w:rPr>
        <w:t>3</w:t>
      </w:r>
      <w:r>
        <w:t>in a Pt/Cr</w:t>
      </w:r>
      <w:r>
        <w:rPr>
          <w:vertAlign w:val="subscript"/>
        </w:rPr>
        <w:t>2</w:t>
      </w:r>
      <w:r>
        <w:t>O</w:t>
      </w:r>
      <w:r>
        <w:rPr>
          <w:vertAlign w:val="subscript"/>
        </w:rPr>
        <w:t>3</w:t>
      </w:r>
      <w:r>
        <w:t>/Co trilayer structure. It is demonstrated that the 180° switching of the perpendicular Néel vector in Cr</w:t>
      </w:r>
      <w:r>
        <w:rPr>
          <w:vertAlign w:val="subscript"/>
        </w:rPr>
        <w:t>2</w:t>
      </w:r>
      <w:r>
        <w:t>O</w:t>
      </w:r>
      <w:r>
        <w:rPr>
          <w:vertAlign w:val="subscript"/>
        </w:rPr>
        <w:t>3</w:t>
      </w:r>
      <w:r>
        <w:t>can lead to the unconventional switching behavior of the Co layer on top of it. The switching polarity of the Co layer can be reversed after the insertion of the Cr</w:t>
      </w:r>
      <w:r>
        <w:rPr>
          <w:vertAlign w:val="subscript"/>
        </w:rPr>
        <w:t>2</w:t>
      </w:r>
      <w:r>
        <w:t>O</w:t>
      </w:r>
      <w:r>
        <w:rPr>
          <w:vertAlign w:val="subscript"/>
        </w:rPr>
        <w:t>3</w:t>
      </w:r>
      <w:r>
        <w:t>layer. Moreover, the exchange bias directions are switched simultaneously with the Co layer. The switching ratio of the Co layer is sensitive to the antiferromagnetic states of Cr</w:t>
      </w:r>
      <w:r>
        <w:rPr>
          <w:vertAlign w:val="subscript"/>
        </w:rPr>
        <w:t>2</w:t>
      </w:r>
      <w:r>
        <w:t>O</w:t>
      </w:r>
      <w:r>
        <w:rPr>
          <w:vertAlign w:val="subscript"/>
        </w:rPr>
        <w:t>3</w:t>
      </w:r>
      <w:r>
        <w:t>and can be tuned by field cooling. The results not only underpin the electrical switching of the perpendicular Néel vector in Cr</w:t>
      </w:r>
      <w:r>
        <w:rPr>
          <w:vertAlign w:val="subscript"/>
        </w:rPr>
        <w:t>2</w:t>
      </w:r>
      <w:r>
        <w:t>O</w:t>
      </w:r>
      <w:r>
        <w:rPr>
          <w:vertAlign w:val="subscript"/>
        </w:rPr>
        <w:t>3</w:t>
      </w:r>
      <w:r>
        <w:t>but are also beneficial for the development of antiferromagnetic‐based devices.</w:t>
      </w:r>
    </w:p>
    <w:p>
      <w:pPr>
        <w:spacing w:before="120" w:after="120"/>
      </w:pPr>
      <w:r>
        <w:rPr>
          <w:sz w:val="18"/>
        </w:rPr>
        <w:t>——————————————————————————————————————————————————————————————————————</w:t>
      </w:r>
    </w:p>
    <w:p>
      <w:pPr>
        <w:spacing w:before="160" w:after="40" w:line="240" w:lineRule="auto"/>
      </w:pPr>
      <w:r>
        <w:rPr>
          <w:b/>
        </w:rPr>
        <w:t xml:space="preserve">[184] </w:t>
      </w:r>
      <w:hyperlink r:id="rId349">
        <w:r>
          <w:rPr>
            <w:color w:val="1155CC"/>
            <w:u w:val="single"/>
          </w:rPr>
          <w:t>即时合成的全纳诺维雷水化:遏制肿瘤复发和手术后感染</w:t>
        </w:r>
      </w:hyperlink>
    </w:p>
    <w:p>
      <w:pPr>
        <w:spacing w:before="0" w:after="80"/>
      </w:pPr>
      <w:r>
        <w:rPr>
          <w:i/>
          <w:sz w:val="20"/>
        </w:rPr>
        <w:t>EN: A Readily Synthesized All‐In‐One Nanowire Hydrogel: Toward Inhibiting Tumor Recurrence and Postoperative Infection</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50">
        <w:r>
          <w:rPr>
            <w:color w:val="1155CC"/>
            <w:u w:val="single"/>
          </w:rPr>
          <w:t>10.1002/adma.202508137</w:t>
        </w:r>
      </w:hyperlink>
    </w:p>
    <w:p>
      <w:pPr>
        <w:spacing w:before="0" w:after="120"/>
      </w:pPr>
      <w:r>
        <w:rPr>
          <w:b/>
        </w:rPr>
        <w:t xml:space="preserve">Notes: </w:t>
      </w:r>
      <w:r>
        <w:t>abstract_source=crossref</w:t>
      </w:r>
    </w:p>
    <w:p>
      <w:pPr>
        <w:spacing w:before="0" w:after="80" w:lineRule="auto" w:line="276"/>
      </w:pPr>
      <w:r>
        <w:rPr>
          <w:b/>
        </w:rPr>
        <w:t xml:space="preserve">摘要（ZH）: </w:t>
      </w:r>
      <w:r>
        <w:t>抽象外科剖面仍然是癌症的前沿干预;但是,手术后肿瘤复发和伤口感染仍然是手术肿瘤学方面尚未应对的重大挑战。在此,通过使用酶性V 2 O 5 纳米电线和杀菌性交叉介质THPS的光纤单步组装,开发了全新纳米水合体(VHydrogel),同时,引入细菌杀菌剂THPS使抗菌性很强。</w:t>
      </w:r>
    </w:p>
    <w:p>
      <w:pPr>
        <w:spacing w:before="0" w:after="200" w:lineRule="auto" w:line="276"/>
      </w:pPr>
      <w:r>
        <w:rPr>
          <w:b/>
        </w:rPr>
        <w:t xml:space="preserve">Abstract (EN): </w:t>
      </w:r>
      <w:r>
        <w:t>Surgical resection remains the frontline intervention for cancer; however, postoperative tumor recurrence and wound infection remain critical unmet challenge in surgical oncology. Herein, an all‐in‐one nanowired hydrogel (V‐Hydrogel) is developed through a facile one‐step assembly employing enzyme‐mimetic V</w:t>
      </w:r>
      <w:r>
        <w:rPr>
          <w:vertAlign w:val="subscript"/>
        </w:rPr>
        <w:t>2</w:t>
      </w:r>
      <w:r>
        <w:t>O</w:t>
      </w:r>
      <w:r>
        <w:rPr>
          <w:vertAlign w:val="subscript"/>
        </w:rPr>
        <w:t>5</w:t>
      </w:r>
      <w:r>
        <w:t>nanowires and bactericidal crosslinker THPS. The V‐Hydrogel reserves the glutathione peroxidase‐, peroxidase‐, catalase‐, and oxidase‐mimetic enzymatic activities derived from vanadium oxide nanowires, thereby exhibiting efficient tumor‐specific catalytic therapy. Simultaneously, the introduction of bactericide THPS endows the potent antibacterial capabilities of V‐Hydrogel against surgical site infections. This hydrogel exhibits dynamic mechanical adaptability to the tumor microenvironment (f), ensuring conformal coverage of irregular resection cavities for precise therapy. Additionally, the V‐Hydrogel can reprogram the immunosuppressive TME via polarizing macrophages into antitumor M1 phenotypes and recruiting cytotoxic T cells, thereby establishing systemic antitumor immunity. This multifunctional vanadium‐integrated hydrogel platform, designed based on the pathological characteristics of postoperative tumors, addresses key limitations in conventional postoperative therapies, offering a strategy for postoperative adjuvant tumor therapy.</w:t>
      </w:r>
    </w:p>
    <w:p>
      <w:pPr>
        <w:spacing w:before="120" w:after="120"/>
      </w:pPr>
      <w:r>
        <w:rPr>
          <w:sz w:val="18"/>
        </w:rPr>
        <w:t>——————————————————————————————————————————————————————————————————————</w:t>
      </w:r>
    </w:p>
    <w:p>
      <w:pPr>
        <w:spacing w:before="160" w:after="40" w:line="240" w:lineRule="auto"/>
      </w:pPr>
      <w:r>
        <w:rPr>
          <w:b/>
        </w:rPr>
        <w:t xml:space="preserve">[185] </w:t>
      </w:r>
      <w:hyperlink r:id="rId351">
        <w:r>
          <w:rPr>
            <w:color w:val="1155CC"/>
            <w:u w:val="single"/>
          </w:rPr>
          <w:t>基于电磁音频接口</w:t>
        </w:r>
      </w:hyperlink>
    </w:p>
    <w:p>
      <w:pPr>
        <w:spacing w:before="0" w:after="80"/>
      </w:pPr>
      <w:r>
        <w:rPr>
          <w:i/>
          <w:sz w:val="20"/>
        </w:rPr>
        <w:t>EN: Robust Textile‐Based Electromagnetic Audio Interfaces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52">
        <w:r>
          <w:rPr>
            <w:color w:val="1155CC"/>
            <w:u w:val="single"/>
          </w:rPr>
          <w:t>10.1002/adma.202508022</w:t>
        </w:r>
      </w:hyperlink>
    </w:p>
    <w:p>
      <w:pPr>
        <w:spacing w:before="0" w:after="120"/>
      </w:pPr>
      <w:r>
        <w:rPr>
          <w:b/>
        </w:rPr>
        <w:t xml:space="preserve">Notes: </w:t>
      </w:r>
      <w:r>
        <w:t>abstract_source=crossref</w:t>
      </w:r>
    </w:p>
    <w:p>
      <w:pPr>
        <w:spacing w:before="0" w:after="80" w:lineRule="auto" w:line="276"/>
      </w:pPr>
      <w:r>
        <w:rPr>
          <w:b/>
        </w:rPr>
        <w:t xml:space="preserve">摘要（ZH）: </w:t>
      </w:r>
      <w:r>
        <w:t>具有固有多孔建筑结构的抽象纺织品通常用于声学吸收,尽管纺织制音频界面最近的进展使声音排放具有合理性,但它们在无结构条件下缺乏稳健性。因此,本研究引入了一项战略,将纺织结构与耐久的激励机制相结合,以克服这些限制。通过优化理论模型,本研究通过优化理论模型,增强振动振动振动振幅,有效补偿纺织品内在声学悬损,达到相对高和固定的音频压力水平71.7 + 3.3 dB。 值得注意的是,音频界面在各种机械变形下保持稳定性能,包括伸展、压缩、弯曲和扭动。</w:t>
      </w:r>
    </w:p>
    <w:p>
      <w:pPr>
        <w:spacing w:before="0" w:after="200" w:lineRule="auto" w:line="276"/>
      </w:pPr>
      <w:r>
        <w:rPr>
          <w:b/>
        </w:rPr>
        <w:t xml:space="preserve">Abstract (EN): </w:t>
      </w:r>
      <w:r>
        <w:t>Textiles with inherently porous architectures are commonly employed for acoustic absorption. Although recent advances in textile‐based audio interfaces have enabled sound emission, they lack robustness under unstructured conditions. Therefore, this study introduces a strategy that integrates textile structures with a durable actuation mechanism to overcome these limitations. Through optimized theoretical modeling, this study enhances the vibration amplitudes, effectively compensating for the intrinsic acoustic damping losses of textiles, achieving a relatively high and flat sound pressure level of 71.7 ± 3.3 dB. Notably, the audio interface maintains stable performance under various mechanical deformations, including stretching, compression, bending, and twisting. Furthermore, this audio interface preserves the essential characteristics of textiles, such as washability and breathability, and remains fully functional even in extremely humid conditions, such as heavy perspiration. The versatility of this approach is demonstrated through three practical applications: sound‐beanie, talking‐cloth, and sound‐sofa. In each case, this audio interface delivers high‐quality acoustic performance and robustness to unstructured conditions. The proposed strategy is anticipated to enhance the design of wearable audio interfaces for real‐world applications.</w:t>
      </w:r>
    </w:p>
    <w:p>
      <w:pPr>
        <w:spacing w:before="120" w:after="120"/>
      </w:pPr>
      <w:r>
        <w:rPr>
          <w:sz w:val="18"/>
        </w:rPr>
        <w:t>——————————————————————————————————————————————————————————————————————</w:t>
      </w:r>
    </w:p>
    <w:p>
      <w:pPr>
        <w:spacing w:before="160" w:after="40" w:line="240" w:lineRule="auto"/>
      </w:pPr>
      <w:r>
        <w:rPr>
          <w:b/>
        </w:rPr>
        <w:t xml:space="preserve">[186] </w:t>
      </w:r>
      <w:hyperlink r:id="rId353">
        <w:r>
          <w:rPr>
            <w:color w:val="1155CC"/>
            <w:u w:val="single"/>
          </w:rPr>
          <w:t>具有高性能神经度处理高性能的灵活电解总TFT的可调适可配置储量计算器</w:t>
        </w:r>
      </w:hyperlink>
    </w:p>
    <w:p>
      <w:pPr>
        <w:spacing w:before="0" w:after="80"/>
      </w:pPr>
      <w:r>
        <w:rPr>
          <w:i/>
          <w:sz w:val="20"/>
        </w:rPr>
        <w:t>EN: Temporally Reconfigurable Reservoir Computing with Flexible Electrolyte‐Gated TFTs for High‐Performance Neuromorphic Processing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54">
        <w:r>
          <w:rPr>
            <w:color w:val="1155CC"/>
            <w:u w:val="single"/>
          </w:rPr>
          <w:t>10.1002/adma.202507979</w:t>
        </w:r>
      </w:hyperlink>
    </w:p>
    <w:p>
      <w:pPr>
        <w:spacing w:before="0" w:after="120"/>
      </w:pPr>
      <w:r>
        <w:rPr>
          <w:b/>
        </w:rPr>
        <w:t xml:space="preserve">Notes: </w:t>
      </w:r>
      <w:r>
        <w:t>abstract_source=crossref</w:t>
      </w:r>
    </w:p>
    <w:p>
      <w:pPr>
        <w:spacing w:before="0" w:after="80" w:lineRule="auto" w:line="276"/>
      </w:pPr>
      <w:r>
        <w:rPr>
          <w:b/>
        </w:rPr>
        <w:t xml:space="preserve">摘要（ZH）: </w:t>
      </w:r>
      <w:r>
        <w:t>以大脑启发的神经形态学算法(CRC)为集成神经形态计算法,它为处理时空信号提供了简便和效率。然而,常规的RC系统由于不变化的时间动态,在处理不同的时间尺度和空间复杂性方面面临限制。本研究引入了利用超丁、灵活、全固态电解薄膜晶体管(UFLEX TFTs)进行时间重组的RC系统,其性能很高:正对/关闭比率为++10 7,耐久性超过2.5×10 4脉冲,变异性小。UFLEX TFTs,基于molybdenum diulfide(MOS 2) 频道和有机机。</w:t>
      </w:r>
    </w:p>
    <w:p>
      <w:pPr>
        <w:spacing w:before="0" w:after="200" w:lineRule="auto" w:line="276"/>
      </w:pPr>
      <w:r>
        <w:rPr>
          <w:b/>
        </w:rPr>
        <w:t xml:space="preserve">Abstract (EN): </w:t>
      </w:r>
      <w:r>
        <w:t>Reservoir computing (RC), a brain‐inspired neuromorphic algorithm, offers simplicity and efficiency for processing spatiotemporal signals. However, conventional RC systems face limitations in handling diverse temporal scales and spatial complexities due to invariant temporal dynamics. This study introduces a temporally reconfigurable RC system utilizing ultrathin, flexible, all‐solid‐state electrolyte‐gated thin‐film transistors (UFLEX TFTs) with high performance: an on/off ratio of ≈10</w:t>
      </w:r>
      <w:r>
        <w:rPr>
          <w:vertAlign w:val="subscript"/>
        </w:rPr>
        <w:t>7</w:t>
      </w:r>
      <w:r>
        <w:t>, endurance beyond 2.5 × 10</w:t>
      </w:r>
      <w:r>
        <w:rPr>
          <w:vertAlign w:val="subscript"/>
        </w:rPr>
        <w:t>4</w:t>
      </w:r>
      <w:r>
        <w:t>pulses, and low variability. UFLEX TFTs, based on molybdenum disulfide (MoS</w:t>
      </w:r>
      <w:r>
        <w:rPr>
          <w:vertAlign w:val="subscript"/>
        </w:rPr>
        <w:t>2</w:t>
      </w:r>
      <w:r>
        <w:t>) channels and organic–inorganic hybrid AlO</w:t>
      </w:r>
      <w:r>
        <w:t xml:space="preserve"> </w:t>
      </w:r>
      <w:r>
        <w:t>x</w:t>
      </w:r>
      <w:r>
        <w:t xml:space="preserve"> </w:t>
      </w:r>
      <w:r>
        <w:t>dielectrics, enable modulation of temporal dynamics via simple electrical signals. The system maintains mechanical flexibility and robust performance after bending tests. By extracting features across varied temporal and spatial scales, it achieves classification accuracies of 90.3% for CIFAR‐10 object images and 81.8% for NIH chest X‐ray images. This work lays a foundation for flexible neuromorphic hardware systems capable of efficient, high‐performance spatiotemporal signal processing.</w:t>
      </w:r>
    </w:p>
    <w:p>
      <w:pPr>
        <w:spacing w:before="120" w:after="120"/>
      </w:pPr>
      <w:r>
        <w:rPr>
          <w:sz w:val="18"/>
        </w:rPr>
        <w:t>——————————————————————————————————————————————————————————————————————</w:t>
      </w:r>
    </w:p>
    <w:p>
      <w:pPr>
        <w:spacing w:before="160" w:after="40" w:line="240" w:lineRule="auto"/>
      </w:pPr>
      <w:r>
        <w:rPr>
          <w:b/>
        </w:rPr>
        <w:t xml:space="preserve">[187] </w:t>
      </w:r>
      <w:hyperlink r:id="rId355">
        <w:r>
          <w:rPr>
            <w:color w:val="1155CC"/>
            <w:u w:val="single"/>
          </w:rPr>
          <w:t>用于光催化过氧化氢合成合成的电离氧化水氧化物</w:t>
        </w:r>
      </w:hyperlink>
    </w:p>
    <w:p>
      <w:pPr>
        <w:spacing w:before="0" w:after="80"/>
      </w:pPr>
      <w:r>
        <w:rPr>
          <w:i/>
          <w:sz w:val="20"/>
        </w:rPr>
        <w:t>EN: Inter‐Ring Bonding Electron Donor Structure Triggers Efficient Two‐Electron Water Oxidation for Photocatalytic Hydrogen Peroxide Synthesis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56">
        <w:r>
          <w:rPr>
            <w:color w:val="1155CC"/>
            <w:u w:val="single"/>
          </w:rPr>
          <w:t>10.1002/adma.202507961</w:t>
        </w:r>
      </w:hyperlink>
    </w:p>
    <w:p>
      <w:pPr>
        <w:spacing w:before="0" w:after="120"/>
      </w:pPr>
      <w:r>
        <w:rPr>
          <w:b/>
        </w:rPr>
        <w:t xml:space="preserve">Notes: </w:t>
      </w:r>
      <w:r>
        <w:t>abstract_source=crossref</w:t>
      </w:r>
    </w:p>
    <w:p>
      <w:pPr>
        <w:spacing w:before="0" w:after="80" w:lineRule="auto" w:line="276"/>
      </w:pPr>
      <w:r>
        <w:rPr>
          <w:b/>
        </w:rPr>
        <w:t xml:space="preserve">摘要（ZH）: </w:t>
      </w:r>
      <w:r>
        <w:t>摘要 低水氧化效率是妨碍在无牺牲剂条件下高效光催化过氧化氢(H2 O 2)合成的一个主要障碍,在各种水氧化途径中,由于直接产生H2 O 2 和动能优势,双电子水氧化反应(2e - WOR)很有希望,但是,激发高效2 e - WOR的有效战略仍然不足。</w:t>
      </w:r>
    </w:p>
    <w:p>
      <w:pPr>
        <w:spacing w:before="0" w:after="200" w:lineRule="auto" w:line="276"/>
      </w:pPr>
      <w:r>
        <w:rPr>
          <w:b/>
        </w:rPr>
        <w:t xml:space="preserve">Abstract (EN): </w:t>
      </w:r>
      <w:r>
        <w:t>Low water oxidation efficiency is a major barrier to efficient photocatalytic hydrogen peroxide (H</w:t>
      </w:r>
      <w:r>
        <w:rPr>
          <w:vertAlign w:val="subscript"/>
        </w:rPr>
        <w:t>2</w:t>
      </w:r>
      <w:r>
        <w:t>O</w:t>
      </w:r>
      <w:r>
        <w:rPr>
          <w:vertAlign w:val="subscript"/>
        </w:rPr>
        <w:t>2</w:t>
      </w:r>
      <w:r>
        <w:t>) synthesis under sacrificial agent‐free conditions. Among various water oxidation pathways, the two‐electron water oxidation reaction (2e</w:t>
      </w:r>
      <w:r>
        <w:t xml:space="preserve"> </w:t>
      </w:r>
      <w:r>
        <w:t>−</w:t>
      </w:r>
      <w:r>
        <w:t>WOR) is promising due to its direct H</w:t>
      </w:r>
      <w:r>
        <w:rPr>
          <w:vertAlign w:val="subscript"/>
        </w:rPr>
        <w:t>2</w:t>
      </w:r>
      <w:r>
        <w:t>O</w:t>
      </w:r>
      <w:r>
        <w:rPr>
          <w:vertAlign w:val="subscript"/>
        </w:rPr>
        <w:t>2</w:t>
      </w:r>
      <w:r>
        <w:t>generation and kinetic advantages. However, effective strategies to trigger the efficient 2e</w:t>
      </w:r>
      <w:r>
        <w:t xml:space="preserve"> </w:t>
      </w:r>
      <w:r>
        <w:t>−</w:t>
      </w:r>
      <w:r>
        <w:t>WOR remain insufficient. In this study, conjugated polymers with alternating electron donor and acceptor units are designed and synthesized. By introducing an inter‐ring bonding electron donor structure with two linked phenyl rings, the efficient 2e</w:t>
      </w:r>
      <w:r>
        <w:t xml:space="preserve"> </w:t>
      </w:r>
      <w:r>
        <w:t>−</w:t>
      </w:r>
      <w:r>
        <w:t>WOR is initiated, increasing H</w:t>
      </w:r>
      <w:r>
        <w:rPr>
          <w:vertAlign w:val="subscript"/>
        </w:rPr>
        <w:t>2</w:t>
      </w:r>
      <w:r>
        <w:t>O</w:t>
      </w:r>
      <w:r>
        <w:rPr>
          <w:vertAlign w:val="subscript"/>
        </w:rPr>
        <w:t>2</w:t>
      </w:r>
      <w:r>
        <w:t>synthesis efficiency from 1657 to 4401 µmol g</w:t>
      </w:r>
      <w:r>
        <w:t xml:space="preserve"> </w:t>
      </w:r>
      <w:r>
        <w:t>−1</w:t>
      </w:r>
      <w:r>
        <w:t xml:space="preserve"> </w:t>
      </w:r>
      <w:r>
        <w:t>h</w:t>
      </w:r>
      <w:r>
        <w:t xml:space="preserve"> </w:t>
      </w:r>
      <w:r>
        <w:t>−1</w:t>
      </w:r>
      <w:r>
        <w:t xml:space="preserve"> </w:t>
      </w:r>
      <w:r>
        <w:t>and achieving a solar‐to‐chemical conversion (SCC) efficiency of 1.25%. In‐depth studies reveal that the 2e</w:t>
      </w:r>
      <w:r>
        <w:t xml:space="preserve"> </w:t>
      </w:r>
      <w:r>
        <w:t>−</w:t>
      </w:r>
      <w:r>
        <w:t>WOR is initiated by the inter‐ring bonding electron donor structure, which enhances electron delocalization in the highest occupied molecular orbital (HOMO), increasing the valence band potential from 1.6 to 1.8 V, thereby meeting the oxidation potential required for the 2e</w:t>
      </w:r>
      <w:r>
        <w:t xml:space="preserve"> </w:t>
      </w:r>
      <w:r>
        <w:t>−</w:t>
      </w:r>
      <w:r>
        <w:t>WOR. Additionally, this structure promotes hole accumulation at low‐energy barrier sites, boosting water oxidation efficiency from 874 to 2767 µmol g</w:t>
      </w:r>
      <w:r>
        <w:t xml:space="preserve"> </w:t>
      </w:r>
      <w:r>
        <w:t>−1</w:t>
      </w:r>
      <w:r>
        <w:t xml:space="preserve"> </w:t>
      </w:r>
      <w:r>
        <w:t>h</w:t>
      </w:r>
      <w:r>
        <w:t xml:space="preserve"> </w:t>
      </w:r>
      <w:r>
        <w:t>−1</w:t>
      </w:r>
      <w:r>
        <w:t xml:space="preserve"> </w:t>
      </w:r>
      <w:r>
        <w:t>. This work presents a promising strategy for improving photocatalytic water oxidation efficiency, advancing sustainable H</w:t>
      </w:r>
      <w:r>
        <w:rPr>
          <w:vertAlign w:val="subscript"/>
        </w:rPr>
        <w:t>2</w:t>
      </w:r>
      <w:r>
        <w:t>O</w:t>
      </w:r>
      <w:r>
        <w:rPr>
          <w:vertAlign w:val="subscript"/>
        </w:rPr>
        <w:t>2</w:t>
      </w:r>
      <w:r>
        <w:t>production.</w:t>
      </w:r>
    </w:p>
    <w:p>
      <w:pPr>
        <w:spacing w:before="120" w:after="120"/>
      </w:pPr>
      <w:r>
        <w:rPr>
          <w:sz w:val="18"/>
        </w:rPr>
        <w:t>——————————————————————————————————————————————————————————————————————</w:t>
      </w:r>
    </w:p>
    <w:p>
      <w:pPr>
        <w:spacing w:before="160" w:after="40" w:line="240" w:lineRule="auto"/>
      </w:pPr>
      <w:r>
        <w:rPr>
          <w:b/>
        </w:rPr>
        <w:t xml:space="preserve">[188] </w:t>
      </w:r>
      <w:hyperlink r:id="rId357">
        <w:r>
          <w:rPr>
            <w:color w:val="1155CC"/>
            <w:u w:val="single"/>
          </w:rPr>
          <w:t>ZnAir电池中高entropy 电动分析材料:从基础到应用</w:t>
        </w:r>
      </w:hyperlink>
    </w:p>
    <w:p>
      <w:pPr>
        <w:spacing w:before="0" w:after="80"/>
      </w:pPr>
      <w:r>
        <w:rPr>
          <w:i/>
          <w:sz w:val="20"/>
        </w:rPr>
        <w:t>EN: High‐Entropy Electrocatalytic Materials in Zn‐Air Batteries: From Fundamentals to Applications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58">
        <w:r>
          <w:rPr>
            <w:color w:val="1155CC"/>
            <w:u w:val="single"/>
          </w:rPr>
          <w:t>10.1002/adma.202512274</w:t>
        </w:r>
      </w:hyperlink>
    </w:p>
    <w:p>
      <w:pPr>
        <w:spacing w:before="0" w:after="120"/>
      </w:pPr>
      <w:r>
        <w:rPr>
          <w:b/>
        </w:rPr>
        <w:t xml:space="preserve">Notes: </w:t>
      </w:r>
      <w:r>
        <w:t>abstract_source=crossref</w:t>
      </w:r>
    </w:p>
    <w:p>
      <w:pPr>
        <w:spacing w:before="0" w:after="80" w:lineRule="auto" w:line="276"/>
      </w:pPr>
      <w:r>
        <w:rPr>
          <w:b/>
        </w:rPr>
        <w:t xml:space="preserve">摘要（ZH）: </w:t>
      </w:r>
      <w:r>
        <w:t>利用空气作为阴极和锌作为阳极,从而获得高能量密度、低成本和环境可持续性,因此可充电的Zn-air电池(ZABs)已引起人们的极大关注。推进可再充电的ZABs的关键瓶颈在于开发高性能双功能空气电极催化剂,有效推动氧减量反应和氧进化反应。高湿材料由四个或四个以上元素组成,具有独特的结构特征、可调适的化学成分和相应的金枪鱼功能特性,在各种催化系统中对ORR/OER表现出了特殊的电动活动。进一步加强HEMs的催化功能。</w:t>
      </w:r>
    </w:p>
    <w:p>
      <w:pPr>
        <w:spacing w:before="0" w:after="200" w:lineRule="auto" w:line="276"/>
      </w:pPr>
      <w:r>
        <w:rPr>
          <w:b/>
        </w:rPr>
        <w:t xml:space="preserve">Abstract (EN): </w:t>
      </w:r>
      <w:r>
        <w:t>Rechargeable Zn‐air batteries (ZABs) have garnered significant attention owing to their high energy density, low costs, and environmental sustainability by using air as the cathode and zinc as the anode. The critical bottlenecks in advancing rechargeable ZABs lie in the development of high‐performance bifunctional air electrode catalysts that efficiently drive the oxygen reduction reaction (ORR) and oxygen evolution reaction (OER). High‐entropy materials (HEMs), comprising four or more elements with distinctive structural characteristics, tailorable chemical compositions, and correspondingly tunable functional properties, have exhibited exceptional electrocatalytic activity toward ORR/OER in various catalytic systems. To further enhance HEMs' catalytic performance, systematic investigations into elemental interactions, precise identification of active sites, and elucidation of fundamental reaction mechanisms are imperative. This review first introduces the synthetic methods, design principles, and characterization technologies of HEM‐based electrocatalysts and summarizes their applications in ZABs based on oxygen chemistry. This study endeavors to decode the complexity of active sites, elemental interactions, and the reaction mechanisms intrinsic to HEMs. Finally, the critical challenges, the significance of integrating both experimental and theoretical approaches, and the prospective applications of HEMs in ZABs are emphasized. This review is expected to facilitate the rational design and practical deployment of HEMs for next‐generation ZAB systems.</w:t>
      </w:r>
    </w:p>
    <w:p>
      <w:pPr>
        <w:spacing w:before="120" w:after="120"/>
      </w:pPr>
      <w:r>
        <w:rPr>
          <w:sz w:val="18"/>
        </w:rPr>
        <w:t>——————————————————————————————————————————————————————————————————————</w:t>
      </w:r>
    </w:p>
    <w:p>
      <w:pPr>
        <w:spacing w:before="160" w:after="40" w:line="240" w:lineRule="auto"/>
      </w:pPr>
      <w:r>
        <w:rPr>
          <w:b/>
        </w:rPr>
        <w:t xml:space="preserve">[189] </w:t>
      </w:r>
      <w:hyperlink r:id="rId359">
        <w:r>
          <w:rPr>
            <w:color w:val="1155CC"/>
            <w:u w:val="single"/>
          </w:rPr>
          <w:t>通过分解的氮互插及其增强的热电性能稳定 In2Se3的阶段</w:t>
        </w:r>
      </w:hyperlink>
    </w:p>
    <w:p>
      <w:pPr>
        <w:spacing w:before="0" w:after="80"/>
      </w:pPr>
      <w:r>
        <w:rPr>
          <w:i/>
          <w:sz w:val="20"/>
        </w:rPr>
        <w:t>EN: Phase Stabilization of In2Se3 by Disordered Ni Intercalation and its Enhanced Thermoelectrical Performance</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60">
        <w:r>
          <w:rPr>
            <w:color w:val="1155CC"/>
            <w:u w:val="single"/>
          </w:rPr>
          <w:t>10.1002/adma.202507536</w:t>
        </w:r>
      </w:hyperlink>
    </w:p>
    <w:p>
      <w:pPr>
        <w:spacing w:before="0" w:after="120"/>
      </w:pPr>
      <w:r>
        <w:rPr>
          <w:b/>
        </w:rPr>
        <w:t xml:space="preserve">Notes: </w:t>
      </w:r>
      <w:r>
        <w:t>abstract_source=crossref</w:t>
      </w:r>
    </w:p>
    <w:p>
      <w:pPr>
        <w:spacing w:before="0" w:after="80" w:lineRule="auto" w:line="276"/>
      </w:pPr>
      <w:r>
        <w:rPr>
          <w:b/>
        </w:rPr>
        <w:t xml:space="preserve">摘要（ZH）: </w:t>
      </w:r>
      <w:r>
        <w:t>摘要Van der Waals (vdW) 分层材料因其独特的结构和特性而引起人们的极大注意。 vdW 分层材料中薄弱的跨层连接使得客用原子相互调节,从而可以精确地调整其物理和化学特性。在这项工作中,由二秒3 (x = 0-0.3) 中的 Ni x 的顶部化合物,Ni 随机占据了二秒3 中的中间层,通过电射驱动的跨层路径合成。</w:t>
      </w:r>
    </w:p>
    <w:p>
      <w:pPr>
        <w:spacing w:before="0" w:after="200" w:lineRule="auto" w:line="276"/>
      </w:pPr>
      <w:r>
        <w:rPr>
          <w:b/>
        </w:rPr>
        <w:t xml:space="preserve">Abstract (EN): </w:t>
      </w:r>
      <w:r>
        <w:t>Van der Waals (vdW) layered materials have gained significant attention owing to their distinctive structure and unique properties. The weak interlayer bonding in vdW layered materials enables guest atom intercalation, allowing precise tuning of their physical and chemical properties. In this work, a ternary compound, Ni</w:t>
      </w:r>
      <w:r>
        <w:t xml:space="preserve"> </w:t>
      </w:r>
      <w:r>
        <w:t>x</w:t>
      </w:r>
      <w:r>
        <w:t xml:space="preserve"> </w:t>
      </w:r>
      <w:r>
        <w:t>In</w:t>
      </w:r>
      <w:r>
        <w:rPr>
          <w:vertAlign w:val="subscript"/>
        </w:rPr>
        <w:t>2</w:t>
      </w:r>
      <w:r>
        <w:t>Se</w:t>
      </w:r>
      <w:r>
        <w:rPr>
          <w:vertAlign w:val="subscript"/>
        </w:rPr>
        <w:t>3</w:t>
      </w:r>
      <w:r>
        <w:t>(x = 0–0.3), with Ni randomly occupying the interlayers of In</w:t>
      </w:r>
      <w:r>
        <w:rPr>
          <w:vertAlign w:val="subscript"/>
        </w:rPr>
        <w:t>2</w:t>
      </w:r>
      <w:r>
        <w:t>Se</w:t>
      </w:r>
      <w:r>
        <w:rPr>
          <w:vertAlign w:val="subscript"/>
        </w:rPr>
        <w:t>3</w:t>
      </w:r>
      <w:r>
        <w:t>, is synthesized via an intercalation route driven by electron injection. The intercalated Ni atoms act as “anchor points” within the interlayer of In</w:t>
      </w:r>
      <w:r>
        <w:rPr>
          <w:vertAlign w:val="subscript"/>
        </w:rPr>
        <w:t>2</w:t>
      </w:r>
      <w:r>
        <w:t>Se</w:t>
      </w:r>
      <w:r>
        <w:rPr>
          <w:vertAlign w:val="subscript"/>
        </w:rPr>
        <w:t>3</w:t>
      </w:r>
      <w:r>
        <w:t>, which effectively suppresses the phase transition of In</w:t>
      </w:r>
      <w:r>
        <w:rPr>
          <w:vertAlign w:val="subscript"/>
        </w:rPr>
        <w:t>2</w:t>
      </w:r>
      <w:r>
        <w:t>Se</w:t>
      </w:r>
      <w:r>
        <w:rPr>
          <w:vertAlign w:val="subscript"/>
        </w:rPr>
        <w:t>3</w:t>
      </w:r>
      <w:r>
        <w:t>at elevated temperatures. Furthermore, the disordered Ni intercalation significantly enhanced the electrical conductivity of In</w:t>
      </w:r>
      <w:r>
        <w:rPr>
          <w:vertAlign w:val="subscript"/>
        </w:rPr>
        <w:t>2</w:t>
      </w:r>
      <w:r>
        <w:t>Se</w:t>
      </w:r>
      <w:r>
        <w:rPr>
          <w:vertAlign w:val="subscript"/>
        </w:rPr>
        <w:t>3</w:t>
      </w:r>
      <w:r>
        <w:t>through electron injection, while reducing the thermal conductivity due to the interlayer phonon scattering, leading to an improved thermoelectric performance. For instance, the thermoelectric figure of merit (ZT) of Ni</w:t>
      </w:r>
      <w:r>
        <w:t xml:space="preserve"> </w:t>
      </w:r>
      <w:r>
        <w:t>0.3</w:t>
      </w:r>
      <w:r>
        <w:t xml:space="preserve"> </w:t>
      </w:r>
      <w:r>
        <w:t>In</w:t>
      </w:r>
      <w:r>
        <w:rPr>
          <w:vertAlign w:val="subscript"/>
        </w:rPr>
        <w:t>2</w:t>
      </w:r>
      <w:r>
        <w:t>Se</w:t>
      </w:r>
      <w:r>
        <w:rPr>
          <w:vertAlign w:val="subscript"/>
        </w:rPr>
        <w:t>3</w:t>
      </w:r>
      <w:r>
        <w:t>increased by 86% (in‐plane) and 222% (out‐of‐plane) compared to In</w:t>
      </w:r>
      <w:r>
        <w:rPr>
          <w:vertAlign w:val="subscript"/>
        </w:rPr>
        <w:t>2</w:t>
      </w:r>
      <w:r>
        <w:t>Se</w:t>
      </w:r>
      <w:r>
        <w:rPr>
          <w:vertAlign w:val="subscript"/>
        </w:rPr>
        <w:t>3</w:t>
      </w:r>
      <w:r>
        <w:t>at 500 °C. These findings not only provide an effective strategy to enhance the performance of layered thermoelectric materials but also demonstrate the potential of intercalation chemistry for expanding the application scope of van der Waals (vdW) layered materials.</w:t>
      </w:r>
    </w:p>
    <w:p>
      <w:pPr>
        <w:spacing w:before="120" w:after="120"/>
      </w:pPr>
      <w:r>
        <w:rPr>
          <w:sz w:val="18"/>
        </w:rPr>
        <w:t>——————————————————————————————————————————————————————————————————————</w:t>
      </w:r>
    </w:p>
    <w:p>
      <w:pPr>
        <w:spacing w:before="160" w:after="40" w:line="240" w:lineRule="auto"/>
      </w:pPr>
      <w:r>
        <w:rPr>
          <w:b/>
        </w:rPr>
        <w:t xml:space="preserve">[190] </w:t>
      </w:r>
      <w:hyperlink r:id="rId361">
        <w:r>
          <w:rPr>
            <w:color w:val="1155CC"/>
            <w:u w:val="single"/>
          </w:rPr>
          <w:t>BaTiO3多层陶瓷电动器通过谷物隔离实现优化,以提高DC Bias 电功率</w:t>
        </w:r>
      </w:hyperlink>
    </w:p>
    <w:p>
      <w:pPr>
        <w:spacing w:before="0" w:after="80"/>
      </w:pPr>
      <w:r>
        <w:rPr>
          <w:i/>
          <w:sz w:val="20"/>
        </w:rPr>
        <w:t>EN: Microstructure Optimization via Grain‐Boundary Segregation to Enhance DC Bias Dielectric Performance of BaTiO3 Multilayer Ceramic Capacitors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62">
        <w:r>
          <w:rPr>
            <w:color w:val="1155CC"/>
            <w:u w:val="single"/>
          </w:rPr>
          <w:t>10.1002/adma.202507233</w:t>
        </w:r>
      </w:hyperlink>
    </w:p>
    <w:p>
      <w:pPr>
        <w:spacing w:before="0" w:after="120"/>
      </w:pPr>
      <w:r>
        <w:rPr>
          <w:b/>
        </w:rPr>
        <w:t xml:space="preserve">Notes: </w:t>
      </w:r>
      <w:r>
        <w:t>abstract_source=crossref</w:t>
      </w:r>
    </w:p>
    <w:p>
      <w:pPr>
        <w:spacing w:before="0" w:after="80" w:lineRule="auto" w:line="276"/>
      </w:pPr>
      <w:r>
        <w:rPr>
          <w:b/>
        </w:rPr>
        <w:t xml:space="preserve">摘要（ZH）: </w:t>
      </w:r>
      <w:r>
        <w:t>以BatiO3 为基础的多层陶瓷电容器(BaTiO3Q)为摘要,是现代电子中必不可少的组成部分。为了提高整体能力,实现薄度陶瓷层已成为主要问题,然而,这带来了两大挑战:在加工过程中控制谷物规模,确保高电场下的稳定。在本研究报告中,介绍了一项采用单元素添加剂(如Fe 3+和Ni 2+)的新战略,以有效抑制谷物增长。这些添加剂在谷物边界上紧密隔离,从而限制在交接期间的谷物粗粗糙,并促成细微结构。最佳的BaTiO3样品,没有昂贵的拉。</w:t>
      </w:r>
    </w:p>
    <w:p>
      <w:pPr>
        <w:spacing w:before="0" w:after="200" w:lineRule="auto" w:line="276"/>
      </w:pPr>
      <w:r>
        <w:rPr>
          <w:b/>
        </w:rPr>
        <w:t xml:space="preserve">Abstract (EN): </w:t>
      </w:r>
      <w:r>
        <w:t>BaTiO₃‐based multilayer ceramic capacitors (MLCCs) are essential components in modern electronics. To enhance overall capacitance, achieving thinner ceramic layers has become a primary issue. However, this introduces two major challenges: controlling grain size during processing and ensuring stability under high electric fields. In this study, a novel strategy employing single‐element additives such as Fe</w:t>
      </w:r>
      <w:r>
        <w:rPr>
          <w:vertAlign w:val="subscript"/>
        </w:rPr>
        <w:t>3</w:t>
      </w:r>
      <w:r>
        <w:t>⁺ and Ni</w:t>
      </w:r>
      <w:r>
        <w:rPr>
          <w:vertAlign w:val="subscript"/>
        </w:rPr>
        <w:t>2</w:t>
      </w:r>
      <w:r>
        <w:t>⁺ is presented to effectively suppress grain growth. These additives strongly segregate at grain boundaries, thereby limiting grain coarsening during sintering and enabling fine‐grained microstructures. The optimized BaTiO₃ samples, free of costly rare‐earth elements, exhibit stable high permittivity (≈10</w:t>
      </w:r>
      <w:r>
        <w:rPr>
          <w:vertAlign w:val="subscript"/>
        </w:rPr>
        <w:t>3</w:t>
      </w:r>
      <w:r>
        <w:t>), low dielectric loss, and improved reliability across varying temperatures and frequencies. More importantly, we identify the ideal grain size of ≈200 nm for maximizing capacitance under a DC bias exceeding 4 V µm</w:t>
      </w:r>
      <w:r>
        <w:t xml:space="preserve"> </w:t>
      </w:r>
      <w:r>
        <w:t>−1</w:t>
      </w:r>
      <w:r>
        <w:t xml:space="preserve"> </w:t>
      </w:r>
      <w:r>
        <w:t>. The findings suggest that further reducing the dielectric layer thickness to 200 nm represents a promising direction for future MLCCs.</w:t>
      </w:r>
    </w:p>
    <w:p>
      <w:pPr>
        <w:spacing w:before="120" w:after="120"/>
      </w:pPr>
      <w:r>
        <w:rPr>
          <w:sz w:val="18"/>
        </w:rPr>
        <w:t>——————————————————————————————————————————————————————————————————————</w:t>
      </w:r>
    </w:p>
    <w:p>
      <w:pPr>
        <w:spacing w:before="160" w:after="40" w:line="240" w:lineRule="auto"/>
      </w:pPr>
      <w:r>
        <w:rPr>
          <w:b/>
        </w:rPr>
        <w:t xml:space="preserve">[191] </w:t>
      </w:r>
      <w:hyperlink r:id="rId363">
        <w:r>
          <w:rPr>
            <w:color w:val="1155CC"/>
            <w:u w:val="single"/>
          </w:rPr>
          <w:t>使用血红素催化法解析以高效铀采掘</w:t>
        </w:r>
      </w:hyperlink>
    </w:p>
    <w:p>
      <w:pPr>
        <w:spacing w:before="0" w:after="80"/>
      </w:pPr>
      <w:r>
        <w:rPr>
          <w:i/>
          <w:sz w:val="20"/>
        </w:rPr>
        <w:t>EN: Vascular‐Mimetic 2D Membranes with Hemoglobin Catalysis for Efficient Uranium Extraction</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64">
        <w:r>
          <w:rPr>
            <w:color w:val="1155CC"/>
            <w:u w:val="single"/>
          </w:rPr>
          <w:t>10.1002/adma.202509989</w:t>
        </w:r>
      </w:hyperlink>
    </w:p>
    <w:p>
      <w:pPr>
        <w:spacing w:before="0" w:after="120"/>
      </w:pPr>
      <w:r>
        <w:rPr>
          <w:b/>
        </w:rPr>
        <w:t xml:space="preserve">Notes: </w:t>
      </w:r>
      <w:r>
        <w:t>abstract_source=crossref</w:t>
      </w:r>
    </w:p>
    <w:p>
      <w:pPr>
        <w:spacing w:before="0" w:after="80" w:lineRule="auto" w:line="276"/>
      </w:pPr>
      <w:r>
        <w:rPr>
          <w:b/>
        </w:rPr>
        <w:t xml:space="preserve">摘要（ZH）: </w:t>
      </w:r>
      <w:r>
        <w:t>从海水中提取铀对可持续的核能发展至关重要,但因其超低浓度、相互竞争的离子的存在和常规方法的高能源需求而面临挑战。由于薄膜分离简单、能源消耗低和可缩放性,因此是一个大有希望的替代方案。然而,目前的薄膜未能达到铀捕获所需的选择性和效率。本研究报告在这里介绍了一种有生物启发的石墨氧化氧化红血球细胞(GORBC)膜,它模拟了超选择性铀提取的血管运输。在创新的GOQ 引起的红血细胞改造中,Hemolobin (Hb) 粘附在GO和HO的缺水区,磷素自组成锥体。</w:t>
      </w:r>
    </w:p>
    <w:p>
      <w:pPr>
        <w:spacing w:before="0" w:after="200" w:lineRule="auto" w:line="276"/>
      </w:pPr>
      <w:r>
        <w:rPr>
          <w:b/>
        </w:rPr>
        <w:t xml:space="preserve">Abstract (EN): </w:t>
      </w:r>
      <w:r>
        <w:t>The extraction of uranium from seawater is crucial for sustainable nuclear energy development but is challenged by its ultralow concentration, the presence of competing ions, and the high energy demands of conventional methods. Membrane separation is a promising alternative, owing to its in simplicity, low energy consumption, and scalability. However, current membranes fail to achieve the selectivity and efficiency required for uranium capture. Herein, this study introduces a bioinspired graphene oxide‐red blood cells (GO‐RBC) membrane, that mimics vascular transport for ultra‐selective uranium extraction. In the innovative GO‐induced remodeling of red blood cell, hemoglobin (Hb) adsorbs onto the hydrophobic regions of GO and, phospholipids self‐assemble into concentric hydrophilic rings around Hb. This unique “island‐reef” structure within the membrane channels forces ions to follow an S‐shaped path, thereby enhancing interactions with Hb. In addition, Hb catalytically reduces U(VI) to U(IV), enabling trapping of uranium while allowing competing ions to pass through. The membrane achieves an unprecedented U/V selectivity (110.6), far outperforming current technologies. Moreover, the GO‐RBC membrane exhibited exceptional antifouling properties, mechanical robustness, and long‐term stability. This study provides a scalable, energy‐efficient solution for uranium extraction from seawater, further opening new pathways for the development of biomimetic membranes for application in resource recovery.</w:t>
      </w:r>
    </w:p>
    <w:p>
      <w:pPr>
        <w:spacing w:before="120" w:after="120"/>
      </w:pPr>
      <w:r>
        <w:rPr>
          <w:sz w:val="18"/>
        </w:rPr>
        <w:t>——————————————————————————————————————————————————————————————————————</w:t>
      </w:r>
    </w:p>
    <w:p>
      <w:pPr>
        <w:spacing w:before="160" w:after="40" w:line="240" w:lineRule="auto"/>
      </w:pPr>
      <w:r>
        <w:rPr>
          <w:b/>
        </w:rPr>
        <w:t xml:space="preserve">[192] </w:t>
      </w:r>
      <w:hyperlink r:id="rId365">
        <w:r>
          <w:rPr>
            <w:color w:val="1155CC"/>
            <w:u w:val="single"/>
          </w:rPr>
          <w:t>生物可移植 生物可移植 通向真正中质中度中度中度水储量计算器的挥发性和无挥发性</w:t>
        </w:r>
      </w:hyperlink>
    </w:p>
    <w:p>
      <w:pPr>
        <w:spacing w:before="0" w:after="80"/>
      </w:pPr>
      <w:r>
        <w:rPr>
          <w:i/>
          <w:sz w:val="20"/>
        </w:rPr>
        <w:t>EN: Biologically Switchable Volatility and Nonvolatility Toward Real Neurotransmitter Mediated Aqueous Reservoir Computing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66">
        <w:r>
          <w:rPr>
            <w:color w:val="1155CC"/>
            <w:u w:val="single"/>
          </w:rPr>
          <w:t>10.1002/adma.202507054</w:t>
        </w:r>
      </w:hyperlink>
    </w:p>
    <w:p>
      <w:pPr>
        <w:spacing w:before="0" w:after="120"/>
      </w:pPr>
      <w:r>
        <w:rPr>
          <w:b/>
        </w:rPr>
        <w:t xml:space="preserve">Notes: </w:t>
      </w:r>
      <w:r>
        <w:t>abstract_source=crossref</w:t>
      </w:r>
    </w:p>
    <w:p>
      <w:pPr>
        <w:spacing w:before="0" w:after="80" w:lineRule="auto" w:line="276"/>
      </w:pPr>
      <w:r>
        <w:rPr>
          <w:b/>
        </w:rPr>
        <w:t xml:space="preserve">摘要（ZH）: </w:t>
      </w:r>
      <w:r>
        <w:t>关于水库计算(RC)的抽象研究刚刚开始。然而,水库计算(RC)研究仍然面临重大挑战。最近,在真正的生物受体参与下,水神经形态工程由于电解解层的合成相似性,有望更密切地模仿复杂的人类大脑。在这项工作中,首先探讨生物可转换的挥发性和非挥发性,以真正的神经传导剂、谷体中间介水体的RC应用为基础,该应用基于谷类氧化酶催化化学和基于质素的金属有机框架/氧化物(PCN224/WO 3)在新产生的有机光电化物中的合理协同效应。</w:t>
      </w:r>
    </w:p>
    <w:p>
      <w:pPr>
        <w:spacing w:before="0" w:after="200" w:lineRule="auto" w:line="276"/>
      </w:pPr>
      <w:r>
        <w:rPr>
          <w:b/>
        </w:rPr>
        <w:t xml:space="preserve">Abstract (EN): </w:t>
      </w:r>
      <w:r>
        <w:t>The study on aqueous reservoir computing (RC) has just come into being. Nevertheless, aqueous RC still faces significant challenges. Recently, with the participation of real biological receptors, aqueous neuromorphic engineering is promising to emulate the intricate human brain more closely due to their synaptic resemblance in electrolytes. In this work, biologically switchable volatility and nonvolatility are first explored for real neurotransmitter glutamate‐mediated aqueous RC application, which is based on rational synergy between glutamate oxidase catalytic chemistry and porphyrin‐based metal‐organic framework/tungsten oxide (PCN‐224/WO</w:t>
      </w:r>
      <w:r>
        <w:rPr>
          <w:vertAlign w:val="subscript"/>
        </w:rPr>
        <w:t>3</w:t>
      </w:r>
      <w:r>
        <w:t>) photogate in the newly emerged organic photoelectrochemical transistor. As a proof of concept, the glutamate‐mediated RC is then developed and explored for image recognition. These results have of potential for advancing real neurotransmitter‐mediated aqueous RC toward in‐biology application, which are also envisaged to promote bioinspired algorithm‐hardware codesign in future aqueous neuromorphic engineering.</w:t>
      </w:r>
    </w:p>
    <w:p>
      <w:pPr>
        <w:spacing w:before="120" w:after="120"/>
      </w:pPr>
      <w:r>
        <w:rPr>
          <w:sz w:val="18"/>
        </w:rPr>
        <w:t>——————————————————————————————————————————————————————————————————————</w:t>
      </w:r>
    </w:p>
    <w:p>
      <w:pPr>
        <w:spacing w:before="160" w:after="40" w:line="240" w:lineRule="auto"/>
      </w:pPr>
      <w:r>
        <w:rPr>
          <w:b/>
        </w:rPr>
        <w:t xml:space="preserve">[193] </w:t>
      </w:r>
      <w:hyperlink r:id="rId367">
        <w:r>
          <w:rPr>
            <w:color w:val="1155CC"/>
            <w:u w:val="single"/>
          </w:rPr>
          <w:t>B2Se3/WSe2 赫特结构和多质形态中的Terahertz电子流和回流流</w:t>
        </w:r>
      </w:hyperlink>
    </w:p>
    <w:p>
      <w:pPr>
        <w:spacing w:before="0" w:after="80"/>
      </w:pPr>
      <w:r>
        <w:rPr>
          <w:i/>
          <w:sz w:val="20"/>
        </w:rPr>
        <w:t>EN: Terahertz Electronic and Spin Currents in Wafer‐Scale Van der Waals Bi2Se3/WSe2 Heterostructures and Polymorphs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68">
        <w:r>
          <w:rPr>
            <w:color w:val="1155CC"/>
            <w:u w:val="single"/>
          </w:rPr>
          <w:t>10.1002/adma.202506031</w:t>
        </w:r>
      </w:hyperlink>
    </w:p>
    <w:p>
      <w:pPr>
        <w:spacing w:before="0" w:after="120"/>
      </w:pPr>
      <w:r>
        <w:rPr>
          <w:b/>
        </w:rPr>
        <w:t xml:space="preserve">Notes: </w:t>
      </w:r>
      <w:r>
        <w:t>abstract_source=crossref</w:t>
      </w:r>
    </w:p>
    <w:p>
      <w:pPr>
        <w:spacing w:before="0" w:after="80" w:lineRule="auto" w:line="276"/>
      </w:pPr>
      <w:r>
        <w:rPr>
          <w:b/>
        </w:rPr>
        <w:t xml:space="preserve">摘要（ZH）: </w:t>
      </w:r>
      <w:r>
        <w:t>文摘社Van der Waals heterrotics heterrotics 和多形态已承诺通过一套无限多样化的2D量材料及其在单层装置中的堆叠顺序,实现具有多种物理现象的人工材料,如巨型光学非线性非线性、脊柱体充电在脊柱体和地形载体保护中的相互转化,但是,由于使用从本质上限制材料尺寸和可应用性的排出材料,因此,在光学领域周围进行的大多数调查都限制了对地铁范围的利用,因为这些材料的使用必然限制了材料的尺寸和可伸缩性。</w:t>
      </w:r>
    </w:p>
    <w:p>
      <w:pPr>
        <w:spacing w:before="0" w:after="200" w:lineRule="auto" w:line="276"/>
      </w:pPr>
      <w:r>
        <w:rPr>
          <w:b/>
        </w:rPr>
        <w:t xml:space="preserve">Abstract (EN): </w:t>
      </w:r>
      <w:r>
        <w:t>Van der Waals heterostructures and polymorphs have promised the realization of artificial materials with multiple physical phenomena such as giant optical nonlinearities, spin‐to‐charge interconversion in spintronics and topological carrier protection, through an infinitely diverse set of 2D quantum materials and their stacking order in a single layered device. However, their exploitation for the terahertz range has been limited with most investigations based around the optical domain, owing to the use of exfoliated material that inherently limits both the dimensions of the materials and the scalability for applications. Here, the combination of terahertz electronic and spin currents is demonstrated through the realization of large area complex crystalline heterostructures of topological insulators, transition metal dichalcogenides (TMDs) and ferromagnets. This is demonstrated through down‐conversion of optical beams into coherent terahertz currents, where the terahertz phase permits the decoupling of the physical phenomena, and bringing novel functionalities beyond those achievable in simple homostructures. In particular, the role of different TMD polymorphs (stacking orders ‐ 1T′, 2H, and 3R) is shown with the simple change of one atomic monolayer of the material stack entirely changing the terahertz responses – both electrical and magnetic ‐ of the artificial material. This allows to highlight ultrafast phenomena that combine both the electronic‐ and spin‐based processes in these structures. The importance of the crystal symmetry on the magnetic properties through proximity effects is further demonstrated, showing a nonlinearity of magnetic origin as a result of the 1T′ polymorph. As well as control of the terahertz currents through different polymorphs, this scalable integration of a set of highly diverse materials establishes a platform for next‐generation 2D heterostructures that integrate photonic, electronic, and spintronic properties into device architectures.</w:t>
      </w:r>
    </w:p>
    <w:p>
      <w:pPr>
        <w:spacing w:before="120" w:after="120"/>
      </w:pPr>
      <w:r>
        <w:rPr>
          <w:sz w:val="18"/>
        </w:rPr>
        <w:t>——————————————————————————————————————————————————————————————————————</w:t>
      </w:r>
    </w:p>
    <w:p>
      <w:pPr>
        <w:spacing w:before="160" w:after="40" w:line="240" w:lineRule="auto"/>
      </w:pPr>
      <w:r>
        <w:rPr>
          <w:b/>
        </w:rPr>
        <w:t xml:space="preserve">[194] </w:t>
      </w:r>
      <w:hyperlink r:id="rId369">
        <w:r>
          <w:rPr>
            <w:color w:val="1155CC"/>
            <w:u w:val="single"/>
          </w:rPr>
          <w:t>热对流产生的空气蒸汽中的轻度活性微分子</w:t>
        </w:r>
      </w:hyperlink>
    </w:p>
    <w:p>
      <w:pPr>
        <w:spacing w:before="0" w:after="80"/>
      </w:pPr>
      <w:r>
        <w:rPr>
          <w:i/>
          <w:sz w:val="20"/>
        </w:rPr>
        <w:t>EN: Light‐Activated Micromotors in Air Propelled by Thermal Convection</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70">
        <w:r>
          <w:rPr>
            <w:color w:val="1155CC"/>
            <w:u w:val="single"/>
          </w:rPr>
          <w:t>10.1002/adma.202505959</w:t>
        </w:r>
      </w:hyperlink>
    </w:p>
    <w:p>
      <w:pPr>
        <w:spacing w:before="0" w:after="120"/>
      </w:pPr>
      <w:r>
        <w:rPr>
          <w:b/>
        </w:rPr>
        <w:t xml:space="preserve">Notes: </w:t>
      </w:r>
      <w:r>
        <w:t>abstract_source=crossref</w:t>
      </w:r>
    </w:p>
    <w:p>
      <w:pPr>
        <w:spacing w:before="0" w:after="80" w:lineRule="auto" w:line="276"/>
      </w:pPr>
      <w:r>
        <w:rPr>
          <w:b/>
        </w:rPr>
        <w:t xml:space="preserve">摘要（ZH）: </w:t>
      </w:r>
      <w:r>
        <w:t>抽象微分子是一种具有吸引力的尖端技术,在化学反应或外部刺激下表现出可控性运动。这些受自然启发的材料被广泛探讨用于环境补救、药物交付、其他新兴应用。到目前为止,微摩田仅限于水环境中的应用,因为实现可控性运动同时克服重力,在空气中实现可控性运动仍是一项重大挑战。据我们所知,我们首次引入了一个能够克服重力的系统,以在空气中实现轻度诱导热脉冲运动,由近红外光振荡驱动。微摩体由涂有金纳米粒的Spiky、像彩虹一样的ZnO微粒组成。</w:t>
      </w:r>
    </w:p>
    <w:p>
      <w:pPr>
        <w:spacing w:before="0" w:after="200" w:lineRule="auto" w:line="276"/>
      </w:pPr>
      <w:r>
        <w:rPr>
          <w:b/>
        </w:rPr>
        <w:t xml:space="preserve">Abstract (EN): </w:t>
      </w:r>
      <w:r>
        <w:t>Micromotors are an attractive cutting‐edge technology that exhibit controllable motion in response to chemical reactions or external stimuli. These nature‐inspired materials are widely explored for use in environmental remediation, and drug delivery, other emerging applications. Until now, the micromotors field is restricted to applications in aqueous environments, as achieving controllable motion in air while overcoming gravity remains a significant challenge. Herein, for the first time, to our knowledge, we introduce a system capable of overcoming gravity to achieve light‐induced thermal convective motion in air, driven by near‐infrared light excitation. The micromotors are composed of spiky, pollen‐like ZnO microparticles coated with gold nanoparticles, which interact photothermally with the NIR light, generating a thermal gradient that induces propulsion of the micromotor system. Lanthanide‐doped upconverting nanoparticles are deposited onto the micromotor surface to enable nanothermometric monitoring of surface temperature, providing critical information needed to describe the system's thermal behavior in air. This micromotor platform provides a versatile approach to overcome gravity and induce a controllable movement in a gaseous matrix, opening new opportunities to develop proof‐of‐concepts and applications using this aerodynamic micromotor approach.</w:t>
      </w:r>
    </w:p>
    <w:p>
      <w:pPr>
        <w:spacing w:before="120" w:after="120"/>
      </w:pPr>
      <w:r>
        <w:rPr>
          <w:sz w:val="18"/>
        </w:rPr>
        <w:t>——————————————————————————————————————————————————————————————————————</w:t>
      </w:r>
    </w:p>
    <w:p>
      <w:pPr>
        <w:spacing w:before="160" w:after="40" w:line="240" w:lineRule="auto"/>
      </w:pPr>
      <w:r>
        <w:rPr>
          <w:b/>
        </w:rPr>
        <w:t xml:space="preserve">[195] </w:t>
      </w:r>
      <w:hyperlink r:id="rId371">
        <w:r>
          <w:rPr>
            <w:color w:val="1155CC"/>
            <w:u w:val="single"/>
          </w:rPr>
          <w:t>潜在非破坏性人工联合应激反应成像</w:t>
        </w:r>
      </w:hyperlink>
    </w:p>
    <w:p>
      <w:pPr>
        <w:spacing w:before="0" w:after="80"/>
      </w:pPr>
      <w:r>
        <w:rPr>
          <w:i/>
          <w:sz w:val="20"/>
        </w:rPr>
        <w:t>EN: Micro‐Strain Responsive Near‐Infrared Mechanoluminescence for Potential Nondestructive Artificial Joint Stress Imaging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72">
        <w:r>
          <w:rPr>
            <w:color w:val="1155CC"/>
            <w:u w:val="single"/>
          </w:rPr>
          <w:t>10.1002/adma.202505360</w:t>
        </w:r>
      </w:hyperlink>
    </w:p>
    <w:p>
      <w:pPr>
        <w:spacing w:before="0" w:after="120"/>
      </w:pPr>
      <w:r>
        <w:rPr>
          <w:b/>
        </w:rPr>
        <w:t xml:space="preserve">Notes: </w:t>
      </w:r>
      <w:r>
        <w:t>abstract_source=crossref</w:t>
      </w:r>
    </w:p>
    <w:p>
      <w:pPr>
        <w:spacing w:before="0" w:after="80" w:lineRule="auto" w:line="276"/>
      </w:pPr>
      <w:r>
        <w:rPr>
          <w:b/>
        </w:rPr>
        <w:t xml:space="preserve">摘要（ZH）: </w:t>
      </w:r>
      <w:r>
        <w:t>最近,联合替代手术在摘要中面临病人不满意和需要修订程序等重大挑战。 在手术后评估期间,对人工联合替代现场压力稳定性进行现场监测非常重要。 机械发光(ML)是一种新型的“光化力量”转换技术,可用于监测组织内的这种生物压力。 然而,这受到紫外线-可见ML排放波长、低ML强度和高强度应变敏感度的阻碍。 这里,通过将Sb 3+离子纳入Sr 3 Sn 2 O 7晶体,高度的Sb 3+离子进入Sr 3 Sn 2 O 7晶体。</w:t>
      </w:r>
    </w:p>
    <w:p>
      <w:pPr>
        <w:spacing w:before="0" w:after="200" w:lineRule="auto" w:line="276"/>
      </w:pPr>
      <w:r>
        <w:rPr>
          <w:b/>
        </w:rPr>
        <w:t xml:space="preserve">Abstract (EN): </w:t>
      </w:r>
      <w:r>
        <w:t>Recently, joint replacement surgery is facing significant challenges of patient dissatisfaction and the need for revision procedures. In‐situ monitoring of stress stability at the site of artificial joint replacement during postoperative evaluation is important. Mechanoluminescence (ML), a novel “force to light” conversion technology, may be used to monitor such bio‐stress within tissues. However, this is hindered by ultraviolet–visible ML emission wavelength, low ML intensity, and high strain response sensitivity. Here, by incorporating Sb</w:t>
      </w:r>
      <w:r>
        <w:t xml:space="preserve"> </w:t>
      </w:r>
      <w:r>
        <w:t>3+</w:t>
      </w:r>
      <w:r>
        <w:t xml:space="preserve"> </w:t>
      </w:r>
      <w:r>
        <w:t>ions into Sr</w:t>
      </w:r>
      <w:r>
        <w:rPr>
          <w:vertAlign w:val="subscript"/>
        </w:rPr>
        <w:t>3</w:t>
      </w:r>
      <w:r>
        <w:t>Sn</w:t>
      </w:r>
      <w:r>
        <w:rPr>
          <w:vertAlign w:val="subscript"/>
        </w:rPr>
        <w:t>2</w:t>
      </w:r>
      <w:r>
        <w:t>O</w:t>
      </w:r>
      <w:r>
        <w:rPr>
          <w:vertAlign w:val="subscript"/>
        </w:rPr>
        <w:t>7</w:t>
      </w:r>
      <w:r>
        <w:t>crystals, a highly strain‐responsive material, with ML originating from intrinsic defect emissions is obtained. The Sr</w:t>
      </w:r>
      <w:r>
        <w:rPr>
          <w:vertAlign w:val="subscript"/>
        </w:rPr>
        <w:t>3</w:t>
      </w:r>
      <w:r>
        <w:t>Sn</w:t>
      </w:r>
      <w:r>
        <w:t xml:space="preserve"> </w:t>
      </w:r>
      <w:r>
        <w:t>1.98</w:t>
      </w:r>
      <w:r>
        <w:t xml:space="preserve"> </w:t>
      </w:r>
      <w:r>
        <w:t>Sb</w:t>
      </w:r>
      <w:r>
        <w:t xml:space="preserve"> </w:t>
      </w:r>
      <w:r>
        <w:t>0.02</w:t>
      </w:r>
      <w:r>
        <w:t xml:space="preserve"> </w:t>
      </w:r>
      <w:r>
        <w:t>O</w:t>
      </w:r>
      <w:r>
        <w:t xml:space="preserve"> </w:t>
      </w:r>
      <w:r>
        <w:t>6.99</w:t>
      </w:r>
      <w:r>
        <w:t xml:space="preserve"> </w:t>
      </w:r>
      <w:r>
        <w:t>film produces detectable ML signals under compressive strain as low as 50 µst in the absence of biological tissue. After pre‐irradiating with red light through 15 mm of porcine tissue, ML signals can still be detected through the same tissue thickness. Notably, this material enabled real‐time stress imaging through 4 mm of porcine skin during mild finger joint bending. This work presents a novel methodological framework and proposes a new mechanism to defect ML. It offers a fresh perspective for designing high‐performance ML materials and lays the foundation for innovative research to enhance the functionality of artificial tissues and joints in living organism.</w:t>
      </w:r>
    </w:p>
    <w:p>
      <w:pPr>
        <w:spacing w:before="120" w:after="120"/>
      </w:pPr>
      <w:r>
        <w:rPr>
          <w:sz w:val="18"/>
        </w:rPr>
        <w:t>——————————————————————————————————————————————————————————————————————</w:t>
      </w:r>
    </w:p>
    <w:p>
      <w:pPr>
        <w:spacing w:before="160" w:after="40" w:line="240" w:lineRule="auto"/>
      </w:pPr>
      <w:r>
        <w:rPr>
          <w:b/>
        </w:rPr>
        <w:t xml:space="preserve">[196] </w:t>
      </w:r>
      <w:hyperlink r:id="rId373">
        <w:r>
          <w:rPr>
            <w:color w:val="1155CC"/>
            <w:u w:val="single"/>
          </w:rPr>
          <w:t>通过BN协调对适应性蝴蝶的动态调控</w:t>
        </w:r>
      </w:hyperlink>
    </w:p>
    <w:p>
      <w:pPr>
        <w:spacing w:before="0" w:after="80"/>
      </w:pPr>
      <w:r>
        <w:rPr>
          <w:i/>
          <w:sz w:val="20"/>
        </w:rPr>
        <w:t>EN: Dynamic Regulation of Adaptive Butterfly‐Shaped Molecules via B←N Coordination</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74">
        <w:r>
          <w:rPr>
            <w:color w:val="1155CC"/>
            <w:u w:val="single"/>
          </w:rPr>
          <w:t>10.1002/adma.202504455</w:t>
        </w:r>
      </w:hyperlink>
    </w:p>
    <w:p>
      <w:pPr>
        <w:spacing w:before="0" w:after="120"/>
      </w:pPr>
      <w:r>
        <w:rPr>
          <w:b/>
        </w:rPr>
        <w:t xml:space="preserve">Notes: </w:t>
      </w:r>
      <w:r>
        <w:t>abstract_source=crossref</w:t>
      </w:r>
    </w:p>
    <w:p>
      <w:pPr>
        <w:spacing w:before="0" w:after="80" w:lineRule="auto" w:line="276"/>
      </w:pPr>
      <w:r>
        <w:rPr>
          <w:b/>
        </w:rPr>
        <w:t xml:space="preserve">摘要（ZH）: </w:t>
      </w:r>
      <w:r>
        <w:t>由于稳定与灵活性之间的微妙平衡,实现对立体结构和硬分子电子特性的动态控制仍然是一项重大挑战。在这里,据报告,通过中正正正正正正核核核子(BN)在boraacenes和pyridines(BN)之间进行协调而稳定了蝴蝶形分子交叉点的构造。 通过利用BN债券类似的枢纽灵活性,通过在不同的堆叠配体之间由力驱动的动态转换,在100以上比例上/上/下之间实现了分子导动转换。</w:t>
      </w:r>
    </w:p>
    <w:p>
      <w:pPr>
        <w:spacing w:before="0" w:after="200" w:lineRule="auto" w:line="276"/>
      </w:pPr>
      <w:r>
        <w:rPr>
          <w:b/>
        </w:rPr>
        <w:t xml:space="preserve">Abstract (EN): </w:t>
      </w:r>
      <w:r>
        <w:t>Achieving dynamic control over stereostructures and electronic properties of rigid molecules remains a significant challenge due to the delicate balance between stability and flexibility. Here, the construction of butterfly‐shaped molecular junctions stabilized by moderate‐strength boron‐nitrogen (B←N) coordination between boraacenes and pyridines is reported. By leveraging the pivot‐like flexibility of B←N bonds, molecular conductance switching with on/off ratios exceeding 100 is achieved through force‐driven dynamic transitions between distinct stacking conformations. Single‐molecule electrical measurements combined with first‐principle calculations identify distinct charge transport mechanisms—through‐space and through‐bond—associated with the butterfly‐wing open and closed configurations. Furthermore, external factors like electric fields and substituent effects modulate</w:t>
      </w:r>
      <w:r>
        <w:t xml:space="preserve"> </w:t>
      </w:r>
      <w:r>
        <w:t>π</w:t>
      </w:r>
      <w:r>
        <w:t xml:space="preserve"> </w:t>
      </w:r>
      <w:r>
        <w:t>–</w:t>
      </w:r>
      <w:r>
        <w:t xml:space="preserve"> </w:t>
      </w:r>
      <w:r>
        <w:t>π</w:t>
      </w:r>
      <w:r>
        <w:t xml:space="preserve"> </w:t>
      </w:r>
      <w:r>
        <w:t>interactions and charge transport properties. The introduction of destructive quantum interference effects can be achieved by replacing molecular units. The findings demonstrate that B←N coordination serves as a dynamically tunable linkage, offering a pathway to design molecular platforms with multifunctional units, customized stereo‐conformations, and quantum effects.</w:t>
      </w:r>
    </w:p>
    <w:p>
      <w:pPr>
        <w:spacing w:before="120" w:after="120"/>
      </w:pPr>
      <w:r>
        <w:rPr>
          <w:sz w:val="18"/>
        </w:rPr>
        <w:t>——————————————————————————————————————————————————————————————————————</w:t>
      </w:r>
    </w:p>
    <w:p>
      <w:pPr>
        <w:spacing w:before="160" w:after="40" w:line="240" w:lineRule="auto"/>
      </w:pPr>
      <w:r>
        <w:rPr>
          <w:b/>
        </w:rPr>
        <w:t xml:space="preserve">[197] </w:t>
      </w:r>
      <w:hyperlink r:id="rId375">
        <w:r>
          <w:rPr>
            <w:color w:val="1155CC"/>
            <w:u w:val="single"/>
          </w:rPr>
          <w:t>将氢凝胶共价加固到多种聚合表面用于生物医学应用的普遍方法</w:t>
        </w:r>
      </w:hyperlink>
    </w:p>
    <w:p>
      <w:pPr>
        <w:spacing w:before="0" w:after="80"/>
      </w:pPr>
      <w:r>
        <w:rPr>
          <w:i/>
          <w:sz w:val="20"/>
        </w:rPr>
        <w:t>EN: Universal Method for Covalent Attachment of Hydrogels to Diverse Polymeric Surfaces for Biomedical Applications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76">
        <w:r>
          <w:rPr>
            <w:color w:val="1155CC"/>
            <w:u w:val="single"/>
          </w:rPr>
          <w:t>10.1002/adma.202503524</w:t>
        </w:r>
      </w:hyperlink>
    </w:p>
    <w:p>
      <w:pPr>
        <w:spacing w:before="0" w:after="120"/>
      </w:pPr>
      <w:r>
        <w:rPr>
          <w:b/>
        </w:rPr>
        <w:t xml:space="preserve">Notes: </w:t>
      </w:r>
      <w:r>
        <w:t>abstract_source=crossref</w:t>
      </w:r>
    </w:p>
    <w:p>
      <w:pPr>
        <w:spacing w:before="0" w:after="80" w:lineRule="auto" w:line="276"/>
      </w:pPr>
      <w:r>
        <w:rPr>
          <w:b/>
        </w:rPr>
        <w:t xml:space="preserve">摘要（ZH）: </w:t>
      </w:r>
      <w:r>
        <w:t>以生物兼容性和模仿生物组织的能力而闻名的抽象水文凝胶,是许多生物医学应用的有机组成部分,例如植入装置和伤口敷料,然而,其机械性弱和耐久粘合聚合表面的挑战妨碍了其更广泛的效用。目前建立混合固体水文凝胶结构的方法往往依赖复杂的化学联系器,添加步骤、细胞毒性风险和可缩化问题。这里采用了一种新型的无试剂方法,通过大气压力等离子体产生的反应氧物种直接将水文凝胶与聚合基质连接起来。通过蒸发导致的增强浓度(EIEC)方法,Robus被引入了一种新型的无试方法,通过大气压力等离子体产生的反应氧物种(ROS)直接将水凝胶与聚合基质连接起来。</w:t>
      </w:r>
    </w:p>
    <w:p>
      <w:pPr>
        <w:spacing w:before="0" w:after="200" w:lineRule="auto" w:line="276"/>
      </w:pPr>
      <w:r>
        <w:rPr>
          <w:b/>
        </w:rPr>
        <w:t xml:space="preserve">Abstract (EN): </w:t>
      </w:r>
      <w:r>
        <w:t>Hydrogels, renowned for their biocompatibility and capacity to mimic biological tissues, are integral to many biomedical applications, such as implantable devices and wound dressings. However, their poor mechanical strength and the challenge of achieving durable adhesion to polymeric surfaces have hindered their broader utility. Current methods of creating hybrid solid‐hydrogel (HSH) structures often rely on complex chemical linkers, adding steps, cytotoxic risks, and scalability issues. Here, a novel, reagent‐free method that covalently bonds hydrogels to polymeric substrates directly via reactive oxygen species (ROS) generated by an atmospheric pressure plasma jet (APPJ) is introduced. Through an evaporation‐induced enhanced concentration (EIEC) approach, robust hydrogel layers are formed on ROS‐functionalized surfaces, eliminating the need for silane‐based linkers and achieving up to 60 kPa adhesion strength in wet conditions. This strategy offers robust hydrogel adhesion, reduces processing complexity, and preserves cytocompatibility, as demonstrated by the culture of human mesenchymal stem cells (hMSCs) and THP‐1 derived macrophages with minimal immune response. Applicable across various hydrogels, such as gelatin methacryloyl (GelMA), chitosan, and polymeric substrates, including Teflon, polyethylene, and polycaprolactone (PCL), this dry process holds substantial promise for integration into advanced biomanufacturing systems, such as 3D bioprinters, unlocking new potentials in tissue engineering and biomedical device fabrication.</w:t>
      </w:r>
    </w:p>
    <w:p>
      <w:pPr>
        <w:spacing w:before="120" w:after="120"/>
      </w:pPr>
      <w:r>
        <w:rPr>
          <w:sz w:val="18"/>
        </w:rPr>
        <w:t>——————————————————————————————————————————————————————————————————————</w:t>
      </w:r>
    </w:p>
    <w:p>
      <w:pPr>
        <w:spacing w:before="160" w:after="40" w:line="240" w:lineRule="auto"/>
      </w:pPr>
      <w:r>
        <w:rPr>
          <w:b/>
        </w:rPr>
        <w:t xml:space="preserve">[198] </w:t>
      </w:r>
      <w:hyperlink r:id="rId377">
        <w:r>
          <w:rPr>
            <w:color w:val="1155CC"/>
            <w:u w:val="single"/>
          </w:rPr>
          <w:t>脊柱伤害后微环境改造推进器神经再生</w:t>
        </w:r>
      </w:hyperlink>
    </w:p>
    <w:p>
      <w:pPr>
        <w:spacing w:before="0" w:after="80"/>
      </w:pPr>
      <w:r>
        <w:rPr>
          <w:i/>
          <w:sz w:val="20"/>
        </w:rPr>
        <w:t>EN: Spatiotemporal Delivery of Required Facilitators for Microenvironment Remodeling Propels Neural Regeneration after Spinal Cord Injury</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78">
        <w:r>
          <w:rPr>
            <w:color w:val="1155CC"/>
            <w:u w:val="single"/>
          </w:rPr>
          <w:t>10.1002/adma.202503479</w:t>
        </w:r>
      </w:hyperlink>
    </w:p>
    <w:p>
      <w:pPr>
        <w:spacing w:before="0" w:after="120"/>
      </w:pPr>
      <w:r>
        <w:rPr>
          <w:b/>
        </w:rPr>
        <w:t xml:space="preserve">Notes: </w:t>
      </w:r>
      <w:r>
        <w:t>abstract_source=crossref</w:t>
      </w:r>
    </w:p>
    <w:p>
      <w:pPr>
        <w:spacing w:before="0" w:after="80" w:lineRule="auto" w:line="276"/>
      </w:pPr>
      <w:r>
        <w:rPr>
          <w:b/>
        </w:rPr>
        <w:t xml:space="preserve">摘要（ZH）: </w:t>
      </w:r>
      <w:r>
        <w:t>突变病理反应和损伤中的多种成分使得修复脊髓损伤具有挑战性。正在开发一个多功能混合神经恢复性管道,由混合碳内聚酯(PCL)纳米纤维膜内包装的类似液凝胶的三明治组成。三明治结构包括一种含有上皮酸硫酸(HADA)/HGF}(RADA)4DGDGDS(HRR)的含上皮生长因子(EGF)、神经营养素3 (NT3)和由两端都含有凝胶囊的液凝胶(GelMA)氢凝胶(GDNF)的侧侧侧面。混合管道使得多生物活性因素(HGFADA)4-DDDGDS(HRR)的水凝胶与上皮生长因(EGFF)、神经营养素3 (NTF) 和气相导导神经营养因(GDNF) 。混合管道使多生物活性因素(HI) 之后的关键病理级联得以释放。</w:t>
      </w:r>
    </w:p>
    <w:p>
      <w:pPr>
        <w:spacing w:before="0" w:after="200" w:lineRule="auto" w:line="276"/>
      </w:pPr>
      <w:r>
        <w:rPr>
          <w:b/>
        </w:rPr>
        <w:t xml:space="preserve">Abstract (EN): </w:t>
      </w:r>
      <w:r>
        <w:t>Intricate pathological responses and multiple components within the lesion make it challenging to repair spinal cord injury (SCI). A multifunctional hybrid neural restorative conduit is developed, composed of a sandwich‐like hydrogel encapsulated within a polycaprolactone (PCL) nanofiber membrane. The sandwich structure consists of a hyaluronic acid‐graft‐dopamine (HADA)/HGF‐(RADA)4‐DGDRGDS (HRR) hydrogel loaded with epidermal growth factor (EGF), neurotrophin 3 (NT3), and glial‐derived neurotrophic factor (GDNF), flanked by gelatin methacryloyl (GelMA) hydrogels containing catalase at both ends. The hybrid conduit enables the spatiotemporal release of multiple bioactive factors, precisely targeting critical pathological cascades after SCI. This approach reduces oxidative stress, promotes neuronal survival at the lesion borders, facilitates the relay of ascending and descending axons, and enhances signal transmission across the lesion. Restored serotonergic signaling enhances motor neuron excitability, facilitating functional recovery, while reconstitution of bladder reflexes improves urinary control. By orchestrating the reinstatement of multiple essential mechanisms to counteract the pathological progression of the hostile post‐SCI microenvironment, this approach provides a strategy for regenerative therapies targeting SCI.</w:t>
      </w:r>
    </w:p>
    <w:p>
      <w:pPr>
        <w:spacing w:before="120" w:after="120"/>
      </w:pPr>
      <w:r>
        <w:rPr>
          <w:sz w:val="18"/>
        </w:rPr>
        <w:t>——————————————————————————————————————————————————————————————————————</w:t>
      </w:r>
    </w:p>
    <w:p>
      <w:pPr>
        <w:spacing w:before="160" w:after="40" w:line="240" w:lineRule="auto"/>
      </w:pPr>
      <w:r>
        <w:rPr>
          <w:b/>
        </w:rPr>
        <w:t xml:space="preserve">[199] </w:t>
      </w:r>
      <w:hyperlink r:id="rId379">
        <w:r>
          <w:rPr>
            <w:color w:val="1155CC"/>
            <w:u w:val="single"/>
          </w:rPr>
          <w:t>重新研究电电电电变制光电交换器:对传感器图像处理的三方协同激励办法</w:t>
        </w:r>
      </w:hyperlink>
    </w:p>
    <w:p>
      <w:pPr>
        <w:spacing w:before="0" w:after="80"/>
      </w:pPr>
      <w:r>
        <w:rPr>
          <w:i/>
          <w:sz w:val="20"/>
        </w:rPr>
        <w:t>EN: Revisiting Ferroelectric‐Gated Phototransistors: A Tripartite Synapse‐Inspired Approach to In‐Sensor Image Processing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80">
        <w:r>
          <w:rPr>
            <w:color w:val="1155CC"/>
            <w:u w:val="single"/>
          </w:rPr>
          <w:t>10.1002/adma.202503475</w:t>
        </w:r>
      </w:hyperlink>
    </w:p>
    <w:p>
      <w:pPr>
        <w:spacing w:before="0" w:after="120"/>
      </w:pPr>
      <w:r>
        <w:rPr>
          <w:b/>
        </w:rPr>
        <w:t xml:space="preserve">Notes: </w:t>
      </w:r>
      <w:r>
        <w:t>abstract_source=crossref</w:t>
      </w:r>
    </w:p>
    <w:p>
      <w:pPr>
        <w:spacing w:before="0" w:after="80" w:lineRule="auto" w:line="276"/>
      </w:pPr>
      <w:r>
        <w:rPr>
          <w:b/>
        </w:rPr>
        <w:t xml:space="preserve">摘要（ZH）: </w:t>
      </w:r>
      <w:r>
        <w:t>受三方突触系统启发的抽象神经形态装置通过第三终端对突触重量进行强化调制,但使用一个独立电路终端对光学信息进行记忆和处理,尚未探索。这里,对神经形态视觉系统重新使用一个含铁电聚合物和有机光活性信道的铁电光晶晶体(FGPT),证明在铁电门内隔热器中进行部分极化转换能够对光电信道进行线性控制。此外,在电电解解解/光电信道界面中安装电解捕捉装置所产生的光化效应进一步提高了FGPT的光学非挥发性特征。</w:t>
      </w:r>
    </w:p>
    <w:p>
      <w:pPr>
        <w:spacing w:before="0" w:after="200" w:lineRule="auto" w:line="276"/>
      </w:pPr>
      <w:r>
        <w:rPr>
          <w:b/>
        </w:rPr>
        <w:t xml:space="preserve">Abstract (EN): </w:t>
      </w:r>
      <w:r>
        <w:t>Neuromorphic devices inspired by the tripartite synapse system offer enhanced modulation of synaptic weight via a third terminal. However, using an electrically independent terminal for memorizing and processing optical information remains unexplored. Here, a ferroelectric‐gated phototransistor (FGPT) incorporating ferroelectric polymers and organic photoactive channels is revisited for neuromorphic vision systems. It is demonstrated that partial polarization switching in the ferroelectric gate insulator enables linear control of the photoactive channel. Furthermore, the photogating effect induced by charge trapping at the ferroelectric insulator/photoactive channel interface further enhances the photonic non‐volatile (PNV) characteristics of the FGPT. This allows memorized visual information, expressed as photoconductance, to be incrementally potentiated or depressed. The modulated photoconductance fully spans the current level within the dynamic range of the device (153 dB). Finally, the feasibility of the device for all‐day face recognition is shown by in‐sensor processing of visual information obtained from unstructured environments into the pre‐trained range. This approach results in up to a ≈40% improvement in recognition accuracy.</w:t>
      </w:r>
    </w:p>
    <w:p>
      <w:pPr>
        <w:spacing w:before="120" w:after="120"/>
      </w:pPr>
      <w:r>
        <w:rPr>
          <w:sz w:val="18"/>
        </w:rPr>
        <w:t>——————————————————————————————————————————————————————————————————————</w:t>
      </w:r>
    </w:p>
    <w:p>
      <w:pPr>
        <w:spacing w:before="160" w:after="40" w:line="240" w:lineRule="auto"/>
      </w:pPr>
      <w:r>
        <w:rPr>
          <w:b/>
        </w:rPr>
        <w:t xml:space="preserve">[200] </w:t>
      </w:r>
      <w:hyperlink r:id="rId381">
        <w:r>
          <w:rPr>
            <w:color w:val="1155CC"/>
            <w:u w:val="single"/>
          </w:rPr>
          <w:t>通过控制金属通过聚体基质结合沉积的积层阶段实现电极平滑</w:t>
        </w:r>
      </w:hyperlink>
    </w:p>
    <w:p>
      <w:pPr>
        <w:spacing w:before="0" w:after="80"/>
      </w:pPr>
      <w:r>
        <w:rPr>
          <w:i/>
          <w:sz w:val="20"/>
        </w:rPr>
        <w:t>EN: Achieving Electrode Smoothing by Controlling the Nucleation Phase of Metal Deposition Through Polymer‐Substrate Binding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82">
        <w:r>
          <w:rPr>
            <w:color w:val="1155CC"/>
            <w:u w:val="single"/>
          </w:rPr>
          <w:t>10.1002/adma.202503218</w:t>
        </w:r>
      </w:hyperlink>
    </w:p>
    <w:p>
      <w:pPr>
        <w:spacing w:before="0" w:after="120"/>
      </w:pPr>
      <w:r>
        <w:rPr>
          <w:b/>
        </w:rPr>
        <w:t xml:space="preserve">Notes: </w:t>
      </w:r>
      <w:r>
        <w:t>abstract_source=crossref</w:t>
      </w:r>
    </w:p>
    <w:p>
      <w:pPr>
        <w:spacing w:before="0" w:after="80" w:lineRule="auto" w:line="276"/>
      </w:pPr>
      <w:r>
        <w:rPr>
          <w:b/>
        </w:rPr>
        <w:t xml:space="preserve">摘要（ZH）: </w:t>
      </w:r>
      <w:r>
        <w:t>在水锌和许多其他电池系统中,抽象聚合物添加物[如聚环氧化聚乙烯(PEO)]被广泛用于顺利电极沉积的水锌和许多其他电池系统中,然而,这些添加物调节形态和抑制脱衣层形成的确切机制仍然不明确,在本研究中,通过使用现场电化学原子显微镜直接观测Zn电极和聚合物吸附在Cu子体子体上,而ZnSO 4和PEO浓度不一的情况,弥补了知识差距,而先前的文献假设强调对Zn水晶表面或Zn 2+离子的结合,结果与此相反。</w:t>
      </w:r>
    </w:p>
    <w:p>
      <w:pPr>
        <w:spacing w:before="0" w:after="200" w:lineRule="auto" w:line="276"/>
      </w:pPr>
      <w:r>
        <w:rPr>
          <w:b/>
        </w:rPr>
        <w:t xml:space="preserve">Abstract (EN): </w:t>
      </w:r>
      <w:r>
        <w:t>Polymer additives [like polyethylene oxide (PEO)] are widely used for smooth electrode deposition in aqueous zinc and many other battery systems. However, the precise mechanism by which they regulate morphology and suppress dendrite formation remains unclear. In this study, the knowledge gap is addressed by using in situ electrochemical atomic force microscopy to directly observe the interfacial evolution during Zn electrodeposition and polymer adsorption on Cu substrates in the presence of varying concentrations of ZnSO</w:t>
      </w:r>
      <w:r>
        <w:rPr>
          <w:vertAlign w:val="subscript"/>
        </w:rPr>
        <w:t>4</w:t>
      </w:r>
      <w:r>
        <w:t>and PEO. Contrary to previous literature assumptions, which emphasize the binding to the growing Zn crystal surfaces or Zn</w:t>
      </w:r>
      <w:r>
        <w:t xml:space="preserve"> </w:t>
      </w:r>
      <w:r>
        <w:t>2+</w:t>
      </w:r>
      <w:r>
        <w:t xml:space="preserve"> </w:t>
      </w:r>
      <w:r>
        <w:t>ions, the results demonstrate that PEO smooths Zn films by promoting nucleation of (002)‐oriented Zn platelets through interactions with the Cu substrate. Density functional theory simulations support this finding by showing that PEO adsorption on Cu modifies the interfacial energy of Zn/Cu/electrolyte interfaces, favoring the stabilization of Zn (002) on the Cu substrate, as well as confines Zn electrodeposition to a narrow near‐surface region. These findings elucidate a novel design principle for electrode smoothing, emphasizing the importance of substrate selection paired with polymer additives that exhibit an attractive interaction with the substrate but minimal interaction with growing crystals, offering a mechanistic perspective for improved battery performance.</w:t>
      </w:r>
    </w:p>
    <w:p>
      <w:pPr>
        <w:spacing w:before="120" w:after="120"/>
      </w:pPr>
      <w:r>
        <w:rPr>
          <w:sz w:val="18"/>
        </w:rPr>
        <w:t>——————————————————————————————————————————————————————————————————————</w:t>
      </w:r>
    </w:p>
    <w:p>
      <w:pPr>
        <w:spacing w:before="160" w:after="40" w:line="240" w:lineRule="auto"/>
      </w:pPr>
      <w:r>
        <w:rPr>
          <w:b/>
        </w:rPr>
        <w:t xml:space="preserve">[201] </w:t>
      </w:r>
      <w:hyperlink r:id="rId383">
        <w:r>
          <w:rPr>
            <w:color w:val="1155CC"/>
            <w:u w:val="single"/>
          </w:rPr>
          <w:t>有效从填埋沥滤液中清除全氟化合物的基于非-基于磁聚合物吸附剂</w:t>
        </w:r>
      </w:hyperlink>
    </w:p>
    <w:p>
      <w:pPr>
        <w:spacing w:before="0" w:after="80"/>
      </w:pPr>
      <w:r>
        <w:rPr>
          <w:i/>
          <w:sz w:val="20"/>
        </w:rPr>
        <w:t>EN: Non‐PFAS‐Based Magnetic Polymer Sorbents for Efficient Removal of Perfluorinated Compounds from Landfill Leachate</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84">
        <w:r>
          <w:rPr>
            <w:color w:val="1155CC"/>
            <w:u w:val="single"/>
          </w:rPr>
          <w:t>10.1002/adma.202502427</w:t>
        </w:r>
      </w:hyperlink>
    </w:p>
    <w:p>
      <w:pPr>
        <w:spacing w:before="0" w:after="120"/>
      </w:pPr>
      <w:r>
        <w:rPr>
          <w:b/>
        </w:rPr>
        <w:t xml:space="preserve">Notes: </w:t>
      </w:r>
      <w:r>
        <w:t>abstract_source=crossref</w:t>
      </w:r>
    </w:p>
    <w:p>
      <w:pPr>
        <w:spacing w:before="0" w:after="80" w:lineRule="auto" w:line="276"/>
      </w:pPr>
      <w:r>
        <w:rPr>
          <w:b/>
        </w:rPr>
        <w:t xml:space="preserve">摘要（ZH）: </w:t>
      </w:r>
      <w:r>
        <w:t>本研究开发了一系列以氟化、非-全氟ASAS基磁聚合物吸附剂,以便有选择地从含有高含量共聚物的垃圾填埋沥滤液中去除多全氟烷磺酰胺,交叉连接的聚合物网络证明既能增强磁分离性能,也能增强全氟烷基物质吸附性性性能。 磁吸附剂的四铵组和氟化部分比例较高,表明大多数全氟烷基磺酰胺的吸附动力提高,全氟丁烷磺酸(PFBS)的吸附能力提高,而全氟丁烷磺酸(PFBS)是最丰富的化合物。</w:t>
      </w:r>
    </w:p>
    <w:p>
      <w:pPr>
        <w:spacing w:before="0" w:after="200" w:lineRule="auto" w:line="276"/>
      </w:pPr>
      <w:r>
        <w:rPr>
          <w:b/>
        </w:rPr>
        <w:t xml:space="preserve">Abstract (EN): </w:t>
      </w:r>
      <w:r>
        <w:t>Per‐ and polyfluoroalkyl substances (PFAS) are carcinogenic and environmentally persistent contaminants, necessitating their efficient removal to protect environmental and human health. In this study, a series of fluorinated, non‐PFAS‐based magnetic polymer sorbents is developed for the selective removal of multiple PFAS from landfill leachate containing high levels of co‐contaminants. Crosslinked polymer networks are shown to enhance both magnetic separation and PFAS sorption performance. The magnetic sorbent with a higher proportion of quaternary ammonium groups and a lower proportion of fluorinated segments shows improved sorption kinetics for most PFAS and greater sorption capacity for perfluorobutanesulfonic acid (PFBS), the most abundant compound in the tested landfill leachate. However, this formulation exhibits lower sorption selectivity and reduced equilibrium removal efficiencies when PFAS are present at low initial concentrations. A compact and portable treatment device is constructed to simulate practical deployment. The system achieves high PFAS removal efficiencies (&amp;gt;90% for the majority of PFAS) and maintains good regeneration and reusability over five sorption‐desorption cycles at environmentally relevant concentrations. Compared to four commercially available sorbents, the developed magnetic polymer sorbents exhibit superior performance in PFAS removal, indicating their potential as efficient candidates for remediating PFAS from landfill leachate.</w:t>
      </w:r>
    </w:p>
    <w:p>
      <w:pPr>
        <w:spacing w:before="120" w:after="120"/>
      </w:pPr>
      <w:r>
        <w:rPr>
          <w:sz w:val="18"/>
        </w:rPr>
        <w:t>——————————————————————————————————————————————————————————————————————</w:t>
      </w:r>
    </w:p>
    <w:p>
      <w:pPr>
        <w:spacing w:before="160" w:after="40" w:line="240" w:lineRule="auto"/>
      </w:pPr>
      <w:r>
        <w:rPr>
          <w:b/>
        </w:rPr>
        <w:t xml:space="preserve">[202] </w:t>
      </w:r>
      <w:hyperlink r:id="rId385">
        <w:r>
          <w:rPr>
            <w:color w:val="1155CC"/>
            <w:u w:val="single"/>
          </w:rPr>
          <w:t>原子空间透视到纳米粒子的解析</w:t>
        </w:r>
      </w:hyperlink>
    </w:p>
    <w:p>
      <w:pPr>
        <w:spacing w:before="0" w:after="80"/>
      </w:pPr>
      <w:r>
        <w:rPr>
          <w:i/>
          <w:sz w:val="20"/>
        </w:rPr>
        <w:t>EN: Atomic‐Scale Insights into Nanoparticle Exsolution at Dislocations in Dislocation‐Engineered Catalysts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86">
        <w:r>
          <w:rPr>
            <w:color w:val="1155CC"/>
            <w:u w:val="single"/>
          </w:rPr>
          <w:t>10.1002/adma.202502362</w:t>
        </w:r>
      </w:hyperlink>
    </w:p>
    <w:p>
      <w:pPr>
        <w:spacing w:before="0" w:after="120"/>
      </w:pPr>
      <w:r>
        <w:rPr>
          <w:b/>
        </w:rPr>
        <w:t xml:space="preserve">Notes: </w:t>
      </w:r>
      <w:r>
        <w:t>abstract_source=crossref</w:t>
      </w:r>
    </w:p>
    <w:p>
      <w:pPr>
        <w:spacing w:before="0" w:after="80" w:lineRule="auto" w:line="276"/>
      </w:pPr>
      <w:r>
        <w:rPr>
          <w:b/>
        </w:rPr>
        <w:t xml:space="preserve">摘要（ZH）: </w:t>
      </w:r>
      <w:r>
        <w:t>在操作条件下对催化纳米粒子的密度和横向分布等特性实现控制,是发展活性和耐久催化剂的一大挑战,因为纳米粒子粗化往往是造成性能退化的原因;虽然金属溶解催化剂被认为对这种降解模式具有很强的抗力,但发现金属溶解纳米粒子的粗化和浓度增加接近扩大的缺陷;本研究报告审查了金属溶解反应中脱解的作用,并探讨了对与脱序有关的纳米粒子合成进行改序工程的可能性。</w:t>
      </w:r>
    </w:p>
    <w:p>
      <w:pPr>
        <w:spacing w:before="0" w:after="200" w:lineRule="auto" w:line="276"/>
      </w:pPr>
      <w:r>
        <w:rPr>
          <w:b/>
        </w:rPr>
        <w:t xml:space="preserve">Abstract (EN): </w:t>
      </w:r>
      <w:r>
        <w:t>Achieving control over properties such as density and lateral distribution of catalytic nanoparticles under operation conditions is a major challenge for the development of active and durable catalysts, where nanoparticle coarsening is often the cause of performance degradation. While metal exsolution catalysts are regarded to be robust against this degradation mode, coarsening and increased concentrations of exsolved metal nanoparticles have been detected near extended defects. The present study examines the role of dislocations in metal exsolution reactions and explores the potential of dislocation‐engineering for the synthesis of dislocation‐associated nanoparticles. An atomic‐level correlation between bulk dislocations and surface nanoparticle locations is demonstrated through a novel approach for engineering epitaxial thin films with confined regions of increased dislocation densities in combination with in situ scanning transmission electron microscopy. While nanoparticle exsolution proceeds across the entire sample, two primary reasons for the frequent nucleation of dislocation‐associated nanoparticles are identified: the accumulation of exsolution‐active acceptors along dislocations and lattice distortions that are likely to lower the energy barrier for nanoparticle nucleation. This work establishes a proof of concept for using engineered dislocations in exsolution catalysts to synthesize nanoparticles with modified nanoparticle‐support properties relevant for the thermal stability and the lateral distribution of exsolved nanoparticles.</w:t>
      </w:r>
    </w:p>
    <w:p>
      <w:pPr>
        <w:spacing w:before="120" w:after="120"/>
      </w:pPr>
      <w:r>
        <w:rPr>
          <w:sz w:val="18"/>
        </w:rPr>
        <w:t>——————————————————————————————————————————————————————————————————————</w:t>
      </w:r>
    </w:p>
    <w:p>
      <w:pPr>
        <w:spacing w:before="160" w:after="40" w:line="240" w:lineRule="auto"/>
      </w:pPr>
      <w:r>
        <w:rPr>
          <w:b/>
        </w:rPr>
        <w:t xml:space="preserve">[203] </w:t>
      </w:r>
      <w:hyperlink r:id="rId387">
        <w:r>
          <w:rPr>
            <w:color w:val="1155CC"/>
            <w:u w:val="single"/>
          </w:rPr>
          <w:t>极地蒸发和多发性超拉特极中电离层对等电离层阵列的出现</w:t>
        </w:r>
      </w:hyperlink>
    </w:p>
    <w:p>
      <w:pPr>
        <w:spacing w:before="0" w:after="80"/>
      </w:pPr>
      <w:r>
        <w:rPr>
          <w:i/>
          <w:sz w:val="20"/>
        </w:rPr>
        <w:t>EN: Emergence of Polar Vortex‐Antivortex Pair Arrays in Multiferroic Superlattices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88">
        <w:r>
          <w:rPr>
            <w:color w:val="1155CC"/>
            <w:u w:val="single"/>
          </w:rPr>
          <w:t>10.1002/adma.202501894</w:t>
        </w:r>
      </w:hyperlink>
    </w:p>
    <w:p>
      <w:pPr>
        <w:spacing w:before="0" w:after="120"/>
      </w:pPr>
      <w:r>
        <w:rPr>
          <w:b/>
        </w:rPr>
        <w:t xml:space="preserve">Notes: </w:t>
      </w:r>
      <w:r>
        <w:t>abstract_source=crossref</w:t>
      </w:r>
    </w:p>
    <w:p>
      <w:pPr>
        <w:spacing w:before="0" w:after="80" w:lineRule="auto" w:line="276"/>
      </w:pPr>
      <w:r>
        <w:rPr>
          <w:b/>
        </w:rPr>
        <w:t xml:space="preserve">摘要（ZH）: </w:t>
      </w:r>
      <w:r>
        <w:t>以纳米规模尺寸和外部电场金枪鱼含量闻名的抽象电电电表学正在成为大数据时代高密度、低功率存储装置的主要候选物。虽然已经广泛探索了多极性、通量-闭合域、中位域、天体和中线等极地结构,但反风在很大程度上仍然不发达。 在这项工作中,发现并实现多极电超极中稳定的极地旋对立阵列,并进行了综合实验和理论努力,这些实验和理论努力是由低对称性BiFeO 3和对角自发两极所促成的。采用原子级工程来进行预选。</w:t>
      </w:r>
    </w:p>
    <w:p>
      <w:pPr>
        <w:spacing w:before="0" w:after="200" w:lineRule="auto" w:line="276"/>
      </w:pPr>
      <w:r>
        <w:rPr>
          <w:b/>
        </w:rPr>
        <w:t xml:space="preserve">Abstract (EN): </w:t>
      </w:r>
      <w:r>
        <w:t>Ferroelectric topologies, renowned for their nanoscale dimensions and external electric field tunability, are emerging as leading candidates for high‐density, low‐power memory devices in the Big Data era. While polar configurations such as vortices, flux‐closure domains, center‐type domains, skyrmions, and merons have been extensively explored, antivortices remain largely underdeveloped. In this work, the discovery and realization of stable polar vortex‐antivortex pair arrays within multiferroic‐dielectric superlattices are reported with integrated experimental and theoretical efforts, enabled by low‐symmetry BiFeO</w:t>
      </w:r>
      <w:r>
        <w:rPr>
          <w:vertAlign w:val="subscript"/>
        </w:rPr>
        <w:t>3</w:t>
      </w:r>
      <w:r>
        <w:t>with diagonal spontaneous polarization. By employing atomic‐level engineering to precisely modulate the architecture of BiFeO</w:t>
      </w:r>
      <w:r>
        <w:rPr>
          <w:vertAlign w:val="subscript"/>
        </w:rPr>
        <w:t>3</w:t>
      </w:r>
      <w:r>
        <w:t>layers, achieving unprecedented periodicities as small as 4.5 nm. These arrays exhibit exceptional thermal stability, preserving their structural integrity above room temperature, and reversible polarization switching under applied electric fields. Additionally, the sensitivity of domain wall configurations to the dielectric layer thickness offers further tunability. These findings not only expand the scope of ferroelectric topologies but also provide a versatile platform for harnessing antivortices in practical applications, paving the way for next‐generation ultrahigh‐density, low‐power memory technologies.</w:t>
      </w:r>
    </w:p>
    <w:p>
      <w:pPr>
        <w:spacing w:before="120" w:after="120"/>
      </w:pPr>
      <w:r>
        <w:rPr>
          <w:sz w:val="18"/>
        </w:rPr>
        <w:t>——————————————————————————————————————————————————————————————————————</w:t>
      </w:r>
    </w:p>
    <w:p>
      <w:pPr>
        <w:spacing w:before="160" w:after="40" w:line="240" w:lineRule="auto"/>
      </w:pPr>
      <w:r>
        <w:rPr>
          <w:b/>
        </w:rPr>
        <w:t xml:space="preserve">[204] </w:t>
      </w:r>
      <w:hyperlink r:id="rId389">
        <w:r>
          <w:rPr>
            <w:color w:val="1155CC"/>
            <w:u w:val="single"/>
          </w:rPr>
          <w:t>硬碳内超大型地下隧道结构在推动固碳储存方面的关键作用</w:t>
        </w:r>
      </w:hyperlink>
    </w:p>
    <w:p>
      <w:pPr>
        <w:spacing w:before="0" w:after="80"/>
      </w:pPr>
      <w:r>
        <w:rPr>
          <w:i/>
          <w:sz w:val="20"/>
        </w:rPr>
        <w:t>EN: Critical Role of Ultra‐Microporous Tunnel Structure Within Hard Carbon in Boosting Sodium‐Ion Storage</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90">
        <w:r>
          <w:rPr>
            <w:color w:val="1155CC"/>
            <w:u w:val="single"/>
          </w:rPr>
          <w:t>10.1002/adma.202501779</w:t>
        </w:r>
      </w:hyperlink>
    </w:p>
    <w:p>
      <w:pPr>
        <w:spacing w:before="0" w:after="120"/>
      </w:pPr>
      <w:r>
        <w:rPr>
          <w:b/>
        </w:rPr>
        <w:t xml:space="preserve">Notes: </w:t>
      </w:r>
      <w:r>
        <w:t>abstract_source=crossref</w:t>
      </w:r>
    </w:p>
    <w:p>
      <w:pPr>
        <w:spacing w:before="0" w:after="80" w:lineRule="auto" w:line="276"/>
      </w:pPr>
      <w:r>
        <w:rPr>
          <w:b/>
        </w:rPr>
        <w:t xml:space="preserve">摘要（ZH）: </w:t>
      </w:r>
      <w:r>
        <w:t>精密地建造孔状结构,澄清孔状结构与钠储存性能之间的关系,以获得高质量的硬碳(HC)对于钠电池的商业化至关重要,然而,通过改变孔状结构,同时获得高初始煤气效率(ICE)、极佳的速率性能和电解酸酯的满意能力,仍然具有挑战性。</w:t>
      </w:r>
    </w:p>
    <w:p>
      <w:pPr>
        <w:spacing w:before="0" w:after="200" w:lineRule="auto" w:line="276"/>
      </w:pPr>
      <w:r>
        <w:rPr>
          <w:b/>
        </w:rPr>
        <w:t xml:space="preserve">Abstract (EN): </w:t>
      </w:r>
      <w:r>
        <w:t>Accurately constructing pore structures and clarifying the relationship between pore structure and sodium storage performance to obtain high‐quality hard carbon (HC) is crucial for the commercialization of sodium‐ion batteries. However, it is still challenging to simultaneously obtain HC with high initial Coulombic efficiency (ICE), excellent rate performance, and satisfactory capacity in ester electrolytes by modifying the pore structure. Herein, the challenge is innovatively addressed by optimizing the dechlorination polymerization reaction to obtain the precursor, thereby modulating the carbon atom structure rearrangement and preoxidation process to design the HC with ultra‐microporous tunnel structure (UMTS). The desolvation of UMTS (&amp;lt;1 nm) and the weak capillary effect at the surface can effectively reduce the decomposition of the electrolyte at the electrode surface and thus significantly enhance the ICE. The UMTS also facilitates the rapid transport of sodium ions and provides sites for the storage of sodium clusters, greatly enhancing the rate performance and reversible capacity. As a result, especially in ester electrolyte, the optimized material demonstrates an ultrahigh ICE of 90.9%, good rate performance (108.7 mAh g</w:t>
      </w:r>
      <w:r>
        <w:t xml:space="preserve"> </w:t>
      </w:r>
      <w:r>
        <w:t>−1</w:t>
      </w:r>
      <w:r>
        <w:t xml:space="preserve"> </w:t>
      </w:r>
      <w:r>
        <w:t>at 2 A g</w:t>
      </w:r>
      <w:r>
        <w:t xml:space="preserve"> </w:t>
      </w:r>
      <w:r>
        <w:t>−1</w:t>
      </w:r>
      <w:r>
        <w:t xml:space="preserve"> </w:t>
      </w:r>
      <w:r>
        <w:t>) and an outstanding reversible capacity (357.2 mAh g</w:t>
      </w:r>
      <w:r>
        <w:t xml:space="preserve"> </w:t>
      </w:r>
      <w:r>
        <w:t>−1</w:t>
      </w:r>
      <w:r>
        <w:t xml:space="preserve"> </w:t>
      </w:r>
      <w:r>
        <w:t>with 98.3% of the capacity contribution below 1 V). This design concept of precisely constructing UMTS contributes significantly to the rational design of high‐quality HC anode, and may be extended to other battery systems to promote the ongoing advancement of battery technology.</w:t>
      </w:r>
    </w:p>
    <w:p>
      <w:pPr>
        <w:spacing w:before="120" w:after="120"/>
      </w:pPr>
      <w:r>
        <w:rPr>
          <w:sz w:val="18"/>
        </w:rPr>
        <w:t>——————————————————————————————————————————————————————————————————————</w:t>
      </w:r>
    </w:p>
    <w:p>
      <w:pPr>
        <w:spacing w:before="160" w:after="40" w:line="240" w:lineRule="auto"/>
      </w:pPr>
      <w:r>
        <w:rPr>
          <w:b/>
        </w:rPr>
        <w:t xml:space="preserve">[205] </w:t>
      </w:r>
      <w:hyperlink r:id="rId391">
        <w:r>
          <w:rPr>
            <w:color w:val="1155CC"/>
            <w:u w:val="single"/>
          </w:rPr>
          <w:t>用于大气水收集的基于等级的MOFE的彩虹单体合成物</w:t>
        </w:r>
      </w:hyperlink>
    </w:p>
    <w:p>
      <w:pPr>
        <w:spacing w:before="0" w:after="80"/>
      </w:pPr>
      <w:r>
        <w:rPr>
          <w:i/>
          <w:sz w:val="20"/>
        </w:rPr>
        <w:t>EN: Hierarchically MOF‐Based Porous Monolith Composites for Atmospheric Water Harvesting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92">
        <w:r>
          <w:rPr>
            <w:color w:val="1155CC"/>
            <w:u w:val="single"/>
          </w:rPr>
          <w:t>10.1002/adma.202413353</w:t>
        </w:r>
      </w:hyperlink>
    </w:p>
    <w:p>
      <w:pPr>
        <w:spacing w:before="0" w:after="120"/>
      </w:pPr>
      <w:r>
        <w:rPr>
          <w:b/>
        </w:rPr>
        <w:t xml:space="preserve">Notes: </w:t>
      </w:r>
      <w:r>
        <w:t>abstract_source=crossref</w:t>
      </w:r>
    </w:p>
    <w:p>
      <w:pPr>
        <w:spacing w:before="0" w:after="80" w:lineRule="auto" w:line="276"/>
      </w:pPr>
      <w:r>
        <w:rPr>
          <w:b/>
        </w:rPr>
        <w:t xml:space="preserve">摘要（ZH）: </w:t>
      </w:r>
      <w:r>
        <w:t>由于气候变化对生态系统的不利影响以及气候变化对人类活动的有害影响,缺水现象这一关键的全球性挑战日益严重。解决这一问题需要能够为面临水文气候挑战和有限基础设施的地区提供清洁水的解决办法。大气集水(AWH)通过从空气中提取水分,为干旱地区,特别是干旱地区提供了有希望的解决办法。本审查探讨了利用材料孔隙性和湿度的AWH技术,重点是金属有机框架(MOFs)和单石形鱼叉等高度多孔材料。虽然由于可捕捉的化学和纳米规模的孔隙性,MOW具有特殊的水吸收能力,但其粉状性质具有稳定性。</w:t>
      </w:r>
    </w:p>
    <w:p>
      <w:pPr>
        <w:spacing w:before="0" w:after="200" w:lineRule="auto" w:line="276"/>
      </w:pPr>
      <w:r>
        <w:rPr>
          <w:b/>
        </w:rPr>
        <w:t xml:space="preserve">Abstract (EN): </w:t>
      </w:r>
      <w:r>
        <w:t>Water scarcity, a critical global challenge, has intensified due to the adverse effects of climate change on ecosystems and its detrimental impact on human activities. Addressing this issue requires solutions capable of providing clean water in regions facing hydroclimatic challenges and limited infrastructure. Atmospheric water harvesting (AWH) offers a promising solution, particularly in arid regions, by extracting moisture from the air. This review explores AWH technologies that leverage material porosity and hygroscopicity, focusing on highly porous materials such as Metal‐Organic Frameworks (MOFs) and monolithic scaffolds. While MOFs exhibit exceptional water uptake due to their tunable chemistry and nanoscale porosity, their powdery nature poses stability and processability challenges. To overcome these limitations, integrating MOFs into multiscale porous monoliths—such as foams, aerogels, cryogels, and xerogels—enhances structural integrity and performance. The role of hierarchical porosity, engineered across nano‐scale in MOF (&amp;lt;2 nm) and micro‐scales (&amp;gt;2 nm) is emphasized in porous monoliths, in optimizing water capture efficiency. This review also highlights recent advancements in MOF‐based composite monoliths, their working mechanisms, and the potential for large‐scale implementation. By integrating nanotechnology with material chemistry, this work outlines strategies to enhance sorption capacity, desorption kinetics, and scalability, ultimately providing a roadmap for developing efficient, sustainable, and scalable AWH systems.</w:t>
      </w:r>
    </w:p>
    <w:p>
      <w:pPr>
        <w:spacing w:before="120" w:after="120"/>
      </w:pPr>
      <w:r>
        <w:rPr>
          <w:sz w:val="18"/>
        </w:rPr>
        <w:t>——————————————————————————————————————————————————————————————————————</w:t>
      </w:r>
    </w:p>
    <w:p>
      <w:pPr>
        <w:spacing w:before="160" w:after="40" w:line="240" w:lineRule="auto"/>
      </w:pPr>
      <w:r>
        <w:rPr>
          <w:b/>
        </w:rPr>
        <w:t xml:space="preserve">[206] </w:t>
      </w:r>
      <w:hyperlink r:id="rId393">
        <w:r>
          <w:rPr>
            <w:color w:val="1155CC"/>
            <w:u w:val="single"/>
          </w:rPr>
          <w:t>以硅为基地的“无机岩浆”在彩虹框架中强有力地调动并活动保护酶</w:t>
        </w:r>
      </w:hyperlink>
    </w:p>
    <w:p>
      <w:pPr>
        <w:spacing w:before="0" w:after="80"/>
      </w:pPr>
      <w:r>
        <w:rPr>
          <w:i/>
          <w:sz w:val="20"/>
        </w:rPr>
        <w:t>EN: Robust Immobilization and Activity Preservation of Enzymes in Porous Frameworks by Silica‐Based “Inorganic Glue”</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94">
        <w:r>
          <w:rPr>
            <w:color w:val="1155CC"/>
            <w:u w:val="single"/>
          </w:rPr>
          <w:t>10.1002/adma.202407831</w:t>
        </w:r>
      </w:hyperlink>
    </w:p>
    <w:p>
      <w:pPr>
        <w:spacing w:before="0" w:after="120"/>
      </w:pPr>
      <w:r>
        <w:rPr>
          <w:b/>
        </w:rPr>
        <w:t xml:space="preserve">Notes: </w:t>
      </w:r>
      <w:r>
        <w:t>abstract_source=crossref</w:t>
      </w:r>
    </w:p>
    <w:p>
      <w:pPr>
        <w:spacing w:before="0" w:after="80" w:lineRule="auto" w:line="276"/>
      </w:pPr>
      <w:r>
        <w:rPr>
          <w:b/>
        </w:rPr>
        <w:t xml:space="preserve">摘要（ZH）: </w:t>
      </w:r>
      <w:r>
        <w:t>以可行的成本和大规模规模,开发新颖方法,在现场、以可行的成本和规模上加强酶-carrier的相互作用,这对于提高工业环境中目前使用的固定酶系统的稳定性和耐久性至关重要。在这里,提议了一种称为“以硅为基础的无机胶”的开拓性办法,利用蛋白质催化硅化法在松散的基质内固定酶,同时保留酶活动。这一创新战略提供若干主要好处,包括酶的相容稳定、酶与矩阵之间更好的相互作用、防止酶渗漏和减少孔隙阻塞。此外,这种方法的可控制和可扩展性质使得它成为加强的成本效益高的解决办法。</w:t>
      </w:r>
    </w:p>
    <w:p>
      <w:pPr>
        <w:spacing w:before="0" w:after="200" w:lineRule="auto" w:line="276"/>
      </w:pPr>
      <w:r>
        <w:rPr>
          <w:b/>
        </w:rPr>
        <w:t xml:space="preserve">Abstract (EN): </w:t>
      </w:r>
      <w:r>
        <w:t>The development of novel methods to enhance enzyme‐carrier interactions in situ, at a feasible cost, and on a large scale is crucial for improving the stability and durability of current immobilized enzyme systems used in industrial settings. Here, a pioneering approach termed “silica‐based inorganic glue” is proposed, which utilizes protein‐catalyzed silicification to fix enzyme within porous matrix while preserving enzyme activity. This innovative strategy offers several key benefits, including conformational stabilization of enzymes, improved interactions between enzymes and the matrix, prevention of enzyme leakage, and mitigation of pore blocking. Moreover, the controllable and scalable nature of this method renders it a cost‐effective solution for enhancing enzyme immobilization in industrial contexts. To demonstrate the effectiveness of the “silica‐based inorganic glue” technology, it has applied to three different enzymes exhibiting varying surface characteristics, sizes, and functions and in diverse porous supports, including a metal‐organic framework (MOF) and a commercial macroporous resin, which resulted in a significant improvement of the stability and longevity of the immobilized enzymes. Overall, this findings represent a significant advancement in enzyme immobilization techniques, signaling a paradigm shift in current industrial catalysis.</w:t>
      </w:r>
    </w:p>
    <w:p>
      <w:pPr>
        <w:spacing w:before="120" w:after="120"/>
      </w:pPr>
      <w:r>
        <w:rPr>
          <w:sz w:val="18"/>
        </w:rPr>
        <w:t>——————————————————————————————————————————————————————————————————————</w:t>
      </w:r>
    </w:p>
    <w:p>
      <w:pPr>
        <w:spacing w:before="160" w:after="40" w:line="240" w:lineRule="auto"/>
      </w:pPr>
      <w:r>
        <w:rPr>
          <w:b/>
        </w:rPr>
        <w:t xml:space="preserve">[207] </w:t>
      </w:r>
      <w:hyperlink r:id="rId395">
        <w:r>
          <w:rPr>
            <w:color w:val="1155CC"/>
            <w:u w:val="single"/>
          </w:rPr>
          <w:t>Liewell ZnO 流化器:神经度应用的高度可靠性</w:t>
        </w:r>
      </w:hyperlink>
    </w:p>
    <w:p>
      <w:pPr>
        <w:spacing w:before="0" w:after="80"/>
      </w:pPr>
      <w:r>
        <w:rPr>
          <w:i/>
          <w:sz w:val="20"/>
        </w:rPr>
        <w:t>EN: Li‐Well ZnO Memtransistors: High Reliability for Neuromorphic Applications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96">
        <w:r>
          <w:rPr>
            <w:color w:val="1155CC"/>
            <w:u w:val="single"/>
          </w:rPr>
          <w:t>10.1002/adma.202506128</w:t>
        </w:r>
      </w:hyperlink>
    </w:p>
    <w:p>
      <w:pPr>
        <w:spacing w:before="0" w:after="120"/>
      </w:pPr>
      <w:r>
        <w:rPr>
          <w:b/>
        </w:rPr>
        <w:t xml:space="preserve">Notes: </w:t>
      </w:r>
      <w:r>
        <w:t>abstract_source=crossref</w:t>
      </w:r>
    </w:p>
    <w:p>
      <w:pPr>
        <w:spacing w:before="0" w:after="80" w:lineRule="auto" w:line="276"/>
      </w:pPr>
      <w:r>
        <w:rPr>
          <w:b/>
        </w:rPr>
        <w:t xml:space="preserve">摘要（ZH）: </w:t>
      </w:r>
      <w:r>
        <w:t>电子中继器是活性模拟内存装置,使用离子中间材料作为频道层,自引入以来,“中继器”一词被广泛用于显示非挥发性内存特性的晶体管,目前,具有晶体管的开关/脱机功能和非挥发性内存特性的中转器装置包括铁电场功率晶体管(FeFETs)和电磁带闪光(漂浮门),但离子中转器与它们的性能不匹配。在这里,据报告,一个光滑和可扩展的锂(Li)氧化物中间晶体管(LWOM)是一个很有希望的候选者。</w:t>
      </w:r>
    </w:p>
    <w:p>
      <w:pPr>
        <w:spacing w:before="0" w:after="200" w:lineRule="auto" w:line="276"/>
      </w:pPr>
      <w:r>
        <w:rPr>
          <w:b/>
        </w:rPr>
        <w:t xml:space="preserve">Abstract (EN): </w:t>
      </w:r>
      <w:r>
        <w:t>Memtransistors are active analog memory devices utilizing ionic memristive materials as channel layers. Since their introduction, the term “memtransistor” has widely been adopted for transistors exhibiting nonvolatile memory characteristics. Currently, memtransistor devices possessing both transistor on/off functionality and nonvolatile memory characteristics include ferroelectric field‐effect transistors (FeFETs) and charge‐trap flash (floating gate), yet ionic memtransistors have not matched their performance. Here a facile and extendable lithium (Li)‐well oxide memtransistor (LWOM) is reported as a promising candidate. Forming a Li well, analogous to an n</w:t>
      </w:r>
      <w:r>
        <w:t xml:space="preserve"> </w:t>
      </w:r>
      <w:r>
        <w:t>+</w:t>
      </w:r>
      <w:r>
        <w:t xml:space="preserve"> </w:t>
      </w:r>
      <w:r>
        <w:t>well beneath electrodes in n‐metal‐oxide‐semiconductor field‐effect transistor (MOSFET) processes, induces Li⁺‐ion migration via write</w:t>
      </w:r>
      <w:r>
        <w:t xml:space="preserve"> </w:t>
      </w:r>
      <w:r>
        <w:t>V</w:t>
      </w:r>
      <w:r>
        <w:t xml:space="preserve"> </w:t>
      </w:r>
      <w:r>
        <w:t>DS</w:t>
      </w:r>
      <w:r>
        <w:t xml:space="preserve"> </w:t>
      </w:r>
      <w:r>
        <w:t>, achieving analog memory characteristics through Schottky barrier modulation. LWOM enables low‐voltage weight updates and precise gate‐controlled weight update characteristics. Analysis via 3D secondary ion mass spectrometry (SIMS) confirms Li‐ion redistribution and the resistance‐switching mechanism. A 21 × 21 crossbar array demonstrates 99.31% operational yield and successful weight updates to target conductance values. Fabricated using mature oxide semiconductor technology with a 230 °C thermal budget and a simple process, LWOM stands as a strong contender for next‐generation nonvolatile memory and artificial neural network (ANN) acceleration hardware.</w:t>
      </w:r>
    </w:p>
    <w:p>
      <w:pPr>
        <w:spacing w:before="120" w:after="120"/>
      </w:pPr>
      <w:r>
        <w:rPr>
          <w:sz w:val="18"/>
        </w:rPr>
        <w:t>——————————————————————————————————————————————————————————————————————</w:t>
      </w:r>
    </w:p>
    <w:p>
      <w:pPr>
        <w:spacing w:before="160" w:after="40" w:line="240" w:lineRule="auto"/>
      </w:pPr>
      <w:r>
        <w:rPr>
          <w:b/>
        </w:rPr>
        <w:t xml:space="preserve">[208] </w:t>
      </w:r>
      <w:hyperlink r:id="rId397">
        <w:r>
          <w:rPr>
            <w:color w:val="1155CC"/>
            <w:u w:val="single"/>
          </w:rPr>
          <w:t>具有多热机械工艺的聚合效应定制纳米Nylon Aerogel家庭</w:t>
        </w:r>
      </w:hyperlink>
    </w:p>
    <w:p>
      <w:pPr>
        <w:spacing w:before="0" w:after="80"/>
      </w:pPr>
      <w:r>
        <w:rPr>
          <w:i/>
          <w:sz w:val="20"/>
        </w:rPr>
        <w:t>EN: Solubility‐pKa Coupling Effect Tailored Nanoporous Nylon Aerogel Family with Multiple Thermomechanical Processes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398">
        <w:r>
          <w:rPr>
            <w:color w:val="1155CC"/>
            <w:u w:val="single"/>
          </w:rPr>
          <w:t>10.1002/adma.202510031</w:t>
        </w:r>
      </w:hyperlink>
    </w:p>
    <w:p>
      <w:pPr>
        <w:spacing w:before="0" w:after="120"/>
      </w:pPr>
      <w:r>
        <w:rPr>
          <w:b/>
        </w:rPr>
        <w:t xml:space="preserve">Notes: </w:t>
      </w:r>
      <w:r>
        <w:t>abstract_source=crossref</w:t>
      </w:r>
    </w:p>
    <w:p>
      <w:pPr>
        <w:spacing w:before="0" w:after="80" w:lineRule="auto" w:line="276"/>
      </w:pPr>
      <w:r>
        <w:rPr>
          <w:b/>
        </w:rPr>
        <w:t xml:space="preserve">摘要（ZH）: </w:t>
      </w:r>
      <w:r>
        <w:t>尽管气凝胶科学取得了显著进步,但高性性能气凝胶及其塑料可加工性的制造仍然由于骨骼硬性和可变可加工性之间的内在平衡而未进行探索。在这里,提出了一种普遍的溶溶性-pka 结合效应,使高性性能尼龙热塑性气凝胶组得以工程化,并具有极好的热机械处理性能。通过调制溶性参数和尼龙溶性酸分解常数,它精确地控制了晶化,将1D纳米纤维骨架合在一起,产生尼龙气凝胶,将一个高特定面积(226米2克-1)融为一体。</w:t>
      </w:r>
    </w:p>
    <w:p>
      <w:pPr>
        <w:spacing w:before="0" w:after="200" w:lineRule="auto" w:line="276"/>
      </w:pPr>
      <w:r>
        <w:rPr>
          <w:b/>
        </w:rPr>
        <w:t xml:space="preserve">Abstract (EN): </w:t>
      </w:r>
      <w:r>
        <w:t>Despite significant advancements in aerogels science, the fabrication of high‐performance aerogels with their plastic processability remains unexplored owing to their inherent trade‐off between skeletal rigidity and transformable processability. Herein, a universal solubility‐pKa coupling‐effect to engineer high‐performance thermoplastic nylon aerogel family with excellent thermomechanical processing performance is proposed. By modulating solubility parameters and acid dissociation constants in nylon‐solvent systems, it is precisely control crystallization to assemble interlaced 1D nanofiber skeletons, yielding nylon aerogels that integrate a high specific surface area (226 m</w:t>
      </w:r>
      <w:r>
        <w:rPr>
          <w:vertAlign w:val="subscript"/>
        </w:rPr>
        <w:t>2</w:t>
      </w:r>
      <w:r>
        <w:t>g</w:t>
      </w:r>
      <w:r>
        <w:t xml:space="preserve"> </w:t>
      </w:r>
      <w:r>
        <w:t>−1</w:t>
      </w:r>
      <w:r>
        <w:t xml:space="preserve"> </w:t>
      </w:r>
      <w:r>
        <w:t>), exceptional compressive modulus (12.6 MPa), and ultralow thermal conductivity (0.034 W m</w:t>
      </w:r>
      <w:r>
        <w:t xml:space="preserve"> </w:t>
      </w:r>
      <w:r>
        <w:t>−1</w:t>
      </w:r>
      <w:r>
        <w:t xml:space="preserve"> </w:t>
      </w:r>
      <w:r>
        <w:t>K</w:t>
      </w:r>
      <w:r>
        <w:t xml:space="preserve"> </w:t>
      </w:r>
      <w:r>
        <w:t>−1</w:t>
      </w:r>
      <w:r>
        <w:t xml:space="preserve"> </w:t>
      </w:r>
      <w:r>
        <w:t>). Notably, beyond achieving performance comparable to aramid and other high‐performance aerogels, these nylon aerogels uniquely incorporate thermoplastic properties enabling multiple thermomechanical processing for aerogel functionalization, including protective barrier via thermal encapsulating, reassembly of aerogel unmanned aerial vehicle through thermal cutting and welding, and biomimetic hydrophobic surfaces with lotus and petal effects through precise thermal imprinting. Surprisingly, thermomechanical processing also induces fluorescence of aerogels, suggesting applications in thermal‐recording, anti‐counterfeiting, etc. This research overcomes the critical skeletal rigidity‐transformable processability trade‐off in aerogels, enabling novel manufacturing approaches and broader engineering applications.</w:t>
      </w:r>
    </w:p>
    <w:p>
      <w:pPr>
        <w:spacing w:before="120" w:after="120"/>
      </w:pPr>
      <w:r>
        <w:rPr>
          <w:sz w:val="18"/>
        </w:rPr>
        <w:t>——————————————————————————————————————————————————————————————————————</w:t>
      </w:r>
    </w:p>
    <w:p>
      <w:pPr>
        <w:spacing w:before="160" w:after="40" w:line="240" w:lineRule="auto"/>
      </w:pPr>
      <w:r>
        <w:rPr>
          <w:b/>
        </w:rPr>
        <w:t xml:space="preserve">[209] </w:t>
      </w:r>
      <w:hyperlink r:id="rId399">
        <w:r>
          <w:rPr>
            <w:color w:val="1155CC"/>
            <w:u w:val="single"/>
          </w:rPr>
          <w:t>感染性骨质分解疗法:实现稳定光热性能和协同抗菌性致定功能的受感染性骨质分解法刀头:实现稳定光热特性和协同抗菌性致骨功能</w:t>
        </w:r>
      </w:hyperlink>
    </w:p>
    <w:p>
      <w:pPr>
        <w:spacing w:before="0" w:after="80"/>
      </w:pPr>
      <w:r>
        <w:rPr>
          <w:i/>
          <w:sz w:val="20"/>
        </w:rPr>
        <w:t>EN: Diatom‐Inspired Scaffold for Infected Bone Defect Therapy: Achieving Stable Photothermal Properties and Coordinated Antibacterial‐Osteogenic Functions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00">
        <w:r>
          <w:rPr>
            <w:color w:val="1155CC"/>
            <w:u w:val="single"/>
          </w:rPr>
          <w:t>10.1002/adma.202509997</w:t>
        </w:r>
      </w:hyperlink>
    </w:p>
    <w:p>
      <w:pPr>
        <w:spacing w:before="0" w:after="120"/>
      </w:pPr>
      <w:r>
        <w:rPr>
          <w:b/>
        </w:rPr>
        <w:t xml:space="preserve">Notes: </w:t>
      </w:r>
      <w:r>
        <w:t>abstract_source=crossref</w:t>
      </w:r>
    </w:p>
    <w:p>
      <w:pPr>
        <w:spacing w:before="0" w:after="80" w:lineRule="auto" w:line="276"/>
      </w:pPr>
      <w:r>
        <w:rPr>
          <w:b/>
        </w:rPr>
        <w:t xml:space="preserve">摘要（ZH）: </w:t>
      </w:r>
      <w:r>
        <w:t>铁氧化纳米粒子由于成本效益、生物兼容性和代谢安全而引起注意,然而,氧化铁纳米粒子仍难以平衡低温有效抗菌活性、有效免疫模拟和骨再生。因此,在地蛋学的启发下,通过整合铜化铁甲状铁(Fe(Cu)OOOH)纳米粒子的多功能特性和甲状锡2保护层(CH/FeCu@SiO),开发了一个基于屈硫-羟基丙酸锡(CH)的多功能骨修理架。</w:t>
      </w:r>
    </w:p>
    <w:p>
      <w:pPr>
        <w:spacing w:before="0" w:after="200" w:lineRule="auto" w:line="276"/>
      </w:pPr>
      <w:r>
        <w:rPr>
          <w:b/>
        </w:rPr>
        <w:t xml:space="preserve">Abstract (EN): </w:t>
      </w:r>
      <w:r>
        <w:t>Bone defect therapy frequently encounters bacterial infections and chronic inflammation, which impair bone regeneration and threaten implant stability. Iron oxide nanoparticles have attracted attention due to cost‐effectiveness, biocompatibility, and metabolic safety. However, iron oxide nanoparticles still struggle to balance low‐temperature efficient antibacterial activity, effective immunomodulation, and bone regeneration. Therefore, inspired by diatoms, a multifunctional bone repair scaffold based on chitosan‐hydroxyapatite (CH) is developed by integrating the multifunctional properties of copper‐doped iron goethite (Fe(Cu)OOH) nanoparticles and a mesoporous SiO</w:t>
      </w:r>
      <w:r>
        <w:rPr>
          <w:vertAlign w:val="subscript"/>
        </w:rPr>
        <w:t>2</w:t>
      </w:r>
      <w:r>
        <w:t>protective layer (CH/FeCu@SiO</w:t>
      </w:r>
      <w:r>
        <w:rPr>
          <w:vertAlign w:val="subscript"/>
        </w:rPr>
        <w:t>2</w:t>
      </w:r>
      <w:r>
        <w:t>). The “cytoskeleton” CH scaffold stabilizes the nanoparticles and supports tissue growth. The “chloroplast” Fe(Cu)OOH and the “ frustule” SiO</w:t>
      </w:r>
      <w:r>
        <w:rPr>
          <w:vertAlign w:val="subscript"/>
        </w:rPr>
        <w:t>2</w:t>
      </w:r>
      <w:r>
        <w:t>layer synergistically capture near‐infrared (NIR) light to generate localized mild hyperthermia (≈42 °C), with the release of Cu</w:t>
      </w:r>
      <w:r>
        <w:t xml:space="preserve"> </w:t>
      </w:r>
      <w:r>
        <w:t>2+</w:t>
      </w:r>
      <w:r>
        <w:t xml:space="preserve"> </w:t>
      </w:r>
      <w:r>
        <w:t>to achieve antibacterial effects (&amp;gt;99%). In addition, Fe(Cu)OOH exhibits enzyme‐like antioxidant activity, scavenging reactive oxygen species (ROS) (69.20%) and thereby promoting M2 macrophage polarization (1.64‐fold), which protects stem cells and creates osteogenic immune microenvironment. Moreover, the mild hyperthermia and ion release upregulate the TGF‐β signaling pathway and inhibit osteoclast differentiation, promoting vascularized bone regeneration and defect repair (1.3‐fold). Overall, this biomimetic scaffold, enabling synergistic antibacterial, immunomodulatory, and osteogenic activities, offers a promising therapeutic strategy for infectious bone defects treatment.</w:t>
      </w:r>
    </w:p>
    <w:p>
      <w:pPr>
        <w:spacing w:before="120" w:after="120"/>
      </w:pPr>
      <w:r>
        <w:rPr>
          <w:sz w:val="18"/>
        </w:rPr>
        <w:t>——————————————————————————————————————————————————————————————————————</w:t>
      </w:r>
    </w:p>
    <w:p>
      <w:pPr>
        <w:spacing w:before="160" w:after="40" w:line="240" w:lineRule="auto"/>
      </w:pPr>
      <w:r>
        <w:rPr>
          <w:b/>
        </w:rPr>
        <w:t xml:space="preserve">[210] </w:t>
      </w:r>
      <w:hyperlink r:id="rId401">
        <w:r>
          <w:rPr>
            <w:color w:val="1155CC"/>
            <w:u w:val="single"/>
          </w:rPr>
          <w:t>下一代高性能磁力电池溶剂的产生人工智能导航开发</w:t>
        </w:r>
      </w:hyperlink>
    </w:p>
    <w:p>
      <w:pPr>
        <w:spacing w:before="0" w:after="80"/>
      </w:pPr>
      <w:r>
        <w:rPr>
          <w:i/>
          <w:sz w:val="20"/>
        </w:rPr>
        <w:t>EN: Generative Artificial Intelligence Navigated Development of Solvents for Next Generation High‐Performance Magnesium Batteries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02">
        <w:r>
          <w:rPr>
            <w:color w:val="1155CC"/>
            <w:u w:val="single"/>
          </w:rPr>
          <w:t>10.1002/adma.202510083</w:t>
        </w:r>
      </w:hyperlink>
    </w:p>
    <w:p>
      <w:pPr>
        <w:spacing w:before="0" w:after="120"/>
      </w:pPr>
      <w:r>
        <w:rPr>
          <w:b/>
        </w:rPr>
        <w:t xml:space="preserve">Notes: </w:t>
      </w:r>
      <w:r>
        <w:t>abstract_source=crossref</w:t>
      </w:r>
    </w:p>
    <w:p>
      <w:pPr>
        <w:spacing w:before="0" w:after="80" w:lineRule="auto" w:line="276"/>
      </w:pPr>
      <w:r>
        <w:rPr>
          <w:b/>
        </w:rPr>
        <w:t xml:space="preserve">摘要（ZH）: </w:t>
      </w:r>
      <w:r>
        <w:t>因此,这项工作通过将人工智能技术与虚拟分子数据库相结合,为溶剂确定了一种简单而有效的溶剂筛选标准,从而将人工智能技术与虚拟分子数据库结合起来,有可能使传统的溶剂设计途径发生革命,从而有可能使传统的溶剂设计途径发生革命。</w:t>
      </w:r>
    </w:p>
    <w:p>
      <w:pPr>
        <w:spacing w:before="0" w:after="200" w:lineRule="auto" w:line="276"/>
      </w:pPr>
      <w:r>
        <w:rPr>
          <w:b/>
        </w:rPr>
        <w:t xml:space="preserve">Abstract (EN): </w:t>
      </w:r>
      <w:r>
        <w:t>Traditional trial‐and‐error methods are inefficient and costly in discovering novel solvents for next‐generation magnesium (Mg) metal‐based batteries. Therefore, this work establishes a simple yet efficient screening criterion for solvents by integrating artificial intelligence techniques with a virtual molecular database, potentially revolutionizing the traditional solvent design pathway. A total of 823 solvents are generated using a self‐developed algorithm, and LUMO, ΔLUMO, ESP</w:t>
      </w:r>
      <w:r>
        <w:t xml:space="preserve"> </w:t>
      </w:r>
      <w:r>
        <w:t>min</w:t>
      </w:r>
      <w:r>
        <w:t xml:space="preserve"> </w:t>
      </w:r>
      <w:r>
        <w:t>, ESP</w:t>
      </w:r>
      <w:r>
        <w:t xml:space="preserve"> </w:t>
      </w:r>
      <w:r>
        <w:t>max</w:t>
      </w:r>
      <w:r>
        <w:t xml:space="preserve"> </w:t>
      </w:r>
      <w:r>
        <w:t>, and E</w:t>
      </w:r>
      <w:r>
        <w:t xml:space="preserve"> </w:t>
      </w:r>
      <w:r>
        <w:t>b</w:t>
      </w:r>
      <w:r>
        <w:t xml:space="preserve"> </w:t>
      </w:r>
      <w:r>
        <w:t>are identified to establish the screening criterion through the analysis with machine learning (ML) models. Eighteen candidate solvents are successfully identified, and two of which are subsequently selected and experimentally validated, i.e., C1COCOC1 and COCC(C)OC (abbreviated as “DOX” and “DMP”). Notably, neither of these solvents has been previously reported for use in Mg batteries. Experimental results indicate that the DOX solvent, when paired with the Mg boron‐based salt, i.e., Mg[B(hfip)</w:t>
      </w:r>
      <w:r>
        <w:rPr>
          <w:vertAlign w:val="subscript"/>
        </w:rPr>
        <w:t>4</w:t>
      </w:r>
      <w:r>
        <w:t>]</w:t>
      </w:r>
      <w:r>
        <w:rPr>
          <w:vertAlign w:val="subscript"/>
        </w:rPr>
        <w:t>2</w:t>
      </w:r>
      <w:r>
        <w:t>, can significantly enhance the electrochemical performance. At a current density of 1.0 mAcm</w:t>
      </w:r>
      <w:r>
        <w:t xml:space="preserve"> </w:t>
      </w:r>
      <w:r>
        <w:t>−2</w:t>
      </w:r>
      <w:r>
        <w:t xml:space="preserve"> </w:t>
      </w:r>
      <w:r>
        <w:t>, the average coulombic efficiency for Mg plating/stripping reaches 99.54 % after 5200 cycles. Furthermore, the Mg//Cu cell achieves a cumulative capacity exceeding 2000 mAhcm</w:t>
      </w:r>
      <w:r>
        <w:t xml:space="preserve"> </w:t>
      </w:r>
      <w:r>
        <w:t>−2</w:t>
      </w:r>
      <w:r>
        <w:t xml:space="preserve"> </w:t>
      </w:r>
      <w:r>
        <w:t>, surpassing previously reported results. In summary, this work establishes a virtual molecular database and develops a streamlined screening methodology for Mg battery solvents based on their physicochemical properties, reducing the candidate pool from 823 to 18 and improving efficiency by nearly 50‐fold. This research paradigm is not limited to the development of Mg batteries and can be readily extended to the exploration of other battery systems.</w:t>
      </w:r>
    </w:p>
    <w:p>
      <w:pPr>
        <w:spacing w:before="120" w:after="120"/>
      </w:pPr>
      <w:r>
        <w:rPr>
          <w:sz w:val="18"/>
        </w:rPr>
        <w:t>——————————————————————————————————————————————————————————————————————</w:t>
      </w:r>
    </w:p>
    <w:p>
      <w:pPr>
        <w:spacing w:before="160" w:after="40" w:line="240" w:lineRule="auto"/>
      </w:pPr>
      <w:r>
        <w:rPr>
          <w:b/>
        </w:rPr>
        <w:t xml:space="preserve">[211] </w:t>
      </w:r>
      <w:hyperlink r:id="rId403">
        <w:r>
          <w:rPr>
            <w:color w:val="1155CC"/>
            <w:u w:val="single"/>
          </w:rPr>
          <w:t>借助于小型合成合成基于双功能驱动的有机光学光学转换装置</w:t>
        </w:r>
      </w:hyperlink>
    </w:p>
    <w:p>
      <w:pPr>
        <w:spacing w:before="0" w:after="80"/>
      </w:pPr>
      <w:r>
        <w:rPr>
          <w:i/>
          <w:sz w:val="20"/>
        </w:rPr>
        <w:t>EN: Bifunctionally Driven Organic Photonic Conversion Devices Facilitated by Minimalistic Synthesis‐Based Interfacial Energetic Alignment</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04">
        <w:r>
          <w:rPr>
            <w:color w:val="1155CC"/>
            <w:u w:val="single"/>
          </w:rPr>
          <w:t>10.1002/adma.202512209</w:t>
        </w:r>
      </w:hyperlink>
    </w:p>
    <w:p>
      <w:pPr>
        <w:spacing w:before="0" w:after="120"/>
      </w:pPr>
      <w:r>
        <w:rPr>
          <w:b/>
        </w:rPr>
        <w:t xml:space="preserve">Notes: </w:t>
      </w:r>
      <w:r>
        <w:t>abstract_source=crossref</w:t>
      </w:r>
    </w:p>
    <w:p>
      <w:pPr>
        <w:spacing w:before="0" w:after="80" w:lineRule="auto" w:line="276"/>
      </w:pPr>
      <w:r>
        <w:rPr>
          <w:b/>
        </w:rPr>
        <w:t xml:space="preserve">摘要（ZH）: </w:t>
      </w:r>
      <w:r>
        <w:t>室内有机光伏(OPVs)和光检测器(OPDs)的抽象双功能集成由于互不兼容的交互热动力学而面临根本的挑战:室内光伏(200-1 000 lx)要求在低光条件下无阻碍地提取电荷(200-1 000 lx),而OPDs则要求严格抑制噪音潮流。 常规洞口运输层(HTLs)未能与商业实用性(大面积统一、可光化和成本效益高的人工制造能力)同时满足这些对抗电荷动力学的要求。 这项研究引入了苯乙酸(BPA)——一种以最低限度的自组装单层(SAM)为基础的HTL,配有苯核心和磷酸锚定组 — 具有成本效益的合成和优等。</w:t>
      </w:r>
    </w:p>
    <w:p>
      <w:pPr>
        <w:spacing w:before="0" w:after="200" w:lineRule="auto" w:line="276"/>
      </w:pPr>
      <w:r>
        <w:rPr>
          <w:b/>
        </w:rPr>
        <w:t xml:space="preserve">Abstract (EN): </w:t>
      </w:r>
      <w:r>
        <w:t>Bifunctional integration of indoor organic photovoltaics (OPVs) and photodetectors (OPDs) faces fundamental challenges because of incompatible interfacial thermodynamics: indoor OPVs require unimpeded charge extraction under low‐light conditions (200–1000 lx), whereas OPDs require stringent suppression of noise current. Conventional hole transport layers (HTLs) fail to satisfy these opposing charge‐dynamic requirements concurrently with commercial practicality (large‐area uniformity, photostability, and cost‐effective manufacturability). This study introduces benzene‐phosphonic acid (BPA)—a minimalist self‐assembled monolayer (SAM)‐based HTL with a benzene core and phosphonic acid anchoring group—enabling cost‐effective synthesis and excellent ITO interfacial properties such as energy alignment, uniform monolayer, and stability. This molecular design resolves core limitations and achieves high indoor OPV efficiency (28.6% PCE at 1000 lx LED 2700 K), maintains 93% PCE retention when scaled by ≈220× area, and delivers competitive self‐powered (</w:t>
      </w:r>
      <w:r>
        <w:t xml:space="preserve"> </w:t>
      </w:r>
      <w:r>
        <w:t>V</w:t>
      </w:r>
      <w:r>
        <w:t xml:space="preserve"> </w:t>
      </w:r>
      <w:r>
        <w:t>= 0 V) OPD performance (noise equivalent power = 584 fW at bandwidth = 1 Hz and wavelength = 730 nm; 3 dB frequency = 103 kHz). Simplified synthesis of BPA reduces production costs by 720% ($0.042 cm</w:t>
      </w:r>
      <w:r>
        <w:t xml:space="preserve"> </w:t>
      </w:r>
      <w:r>
        <w:t>−2</w:t>
      </w:r>
      <w:r>
        <w:t xml:space="preserve"> </w:t>
      </w:r>
      <w:r>
        <w:t>) and achieves 9× higher power‐per‐cost ratio (19.25 mW∙$</w:t>
      </w:r>
      <w:r>
        <w:t xml:space="preserve"> </w:t>
      </w:r>
      <w:r>
        <w:t>−1</w:t>
      </w:r>
      <w:r>
        <w:t xml:space="preserve"> </w:t>
      </w:r>
      <w:r>
        <w:t>) relative to its counterpart SAM. Synergy between performance and commercial practicality positions BPA‐HTL as a transformative enabler for self‐powered IoT and wearable optoelectronics.</w:t>
      </w:r>
    </w:p>
    <w:p>
      <w:pPr>
        <w:spacing w:before="120" w:after="120"/>
      </w:pPr>
      <w:r>
        <w:rPr>
          <w:sz w:val="18"/>
        </w:rPr>
        <w:t>——————————————————————————————————————————————————————————————————————</w:t>
      </w:r>
    </w:p>
    <w:p>
      <w:pPr>
        <w:spacing w:before="160" w:after="40" w:line="240" w:lineRule="auto"/>
      </w:pPr>
      <w:r>
        <w:rPr>
          <w:b/>
        </w:rPr>
        <w:t xml:space="preserve">[212] </w:t>
      </w:r>
      <w:hyperlink r:id="rId405">
        <w:r>
          <w:rPr>
            <w:color w:val="1155CC"/>
            <w:u w:val="single"/>
          </w:rPr>
          <w:t>Perovskite太阳能电池中的Perovskite结晶和三方减少碘化铅</w:t>
        </w:r>
      </w:hyperlink>
    </w:p>
    <w:p>
      <w:pPr>
        <w:spacing w:before="0" w:after="80"/>
      </w:pPr>
      <w:r>
        <w:rPr>
          <w:i/>
          <w:sz w:val="20"/>
        </w:rPr>
        <w:t>EN: Levetiracetam‐Assisted Perovskite Crystallization and Tripartite Lead Iodide Reduction in Perovskite Solar Cells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06">
        <w:r>
          <w:rPr>
            <w:color w:val="1155CC"/>
            <w:u w:val="single"/>
          </w:rPr>
          <w:t>10.1002/adma.202512171</w:t>
        </w:r>
      </w:hyperlink>
    </w:p>
    <w:p>
      <w:pPr>
        <w:spacing w:before="0" w:after="120"/>
      </w:pPr>
      <w:r>
        <w:rPr>
          <w:b/>
        </w:rPr>
        <w:t xml:space="preserve">Notes: </w:t>
      </w:r>
      <w:r>
        <w:t>abstract_source=crossref</w:t>
      </w:r>
    </w:p>
    <w:p>
      <w:pPr>
        <w:spacing w:before="0" w:after="80" w:lineRule="auto" w:line="276"/>
      </w:pPr>
      <w:r>
        <w:rPr>
          <w:b/>
        </w:rPr>
        <w:t xml:space="preserve">摘要（ZH）: </w:t>
      </w:r>
      <w:r>
        <w:t>抽象序列沉积技术被广泛用于制造在百草枯太阳能电池(PSCs)中具有大颗粒尺寸的百草枯胶片。在百草枯胶片中残留的卤化物(PbI 2 )往往在长期加热或光浸泡下分解成金属铅(Pb 0 ) 。这里,在PBI 2 前体溶液中引入了含有酰胺和苯丙酮组的手性麻黄麻黄双甲氏菌(LEV)多盘。Prroidone环中的碳基氧(标签为O1)和氨基氧(标签为O2 ) 具有显著的电能性和与Pb 2+ 离子通过电形成协调键。</w:t>
      </w:r>
    </w:p>
    <w:p>
      <w:pPr>
        <w:spacing w:before="0" w:after="200" w:lineRule="auto" w:line="276"/>
      </w:pPr>
      <w:r>
        <w:rPr>
          <w:b/>
        </w:rPr>
        <w:t xml:space="preserve">Abstract (EN): </w:t>
      </w:r>
      <w:r>
        <w:t>Sequential deposition technique is widely used to fabricate perovskite films with large grain size in perovskite solar cells (PSCs). Residual lead halide (PbI</w:t>
      </w:r>
      <w:r>
        <w:rPr>
          <w:vertAlign w:val="subscript"/>
        </w:rPr>
        <w:t>2</w:t>
      </w:r>
      <w:r>
        <w:t>) in the perovskite film tends to be decomposed into metallic lead (Pb</w:t>
      </w:r>
      <w:r>
        <w:rPr>
          <w:vertAlign w:val="subscript"/>
        </w:rPr>
        <w:t>0</w:t>
      </w:r>
      <w:r>
        <w:t>) under long‐term heating or light soaking. Here, a chiral levetiracetam (LEV) dopant containing α‐amide and pyrrolidone groups is introduced into the PbI</w:t>
      </w:r>
      <w:r>
        <w:rPr>
          <w:vertAlign w:val="subscript"/>
        </w:rPr>
        <w:t>2</w:t>
      </w:r>
      <w:r>
        <w:t>precursor solution. The carbonyl oxygen (labeled O1) and amide oxygen (labeled O2) in the pyrrolidone ring have significant electronegativity and form coordination bonds with Pb</w:t>
      </w:r>
      <w:r>
        <w:t xml:space="preserve"> </w:t>
      </w:r>
      <w:r>
        <w:t>2+</w:t>
      </w:r>
      <w:r>
        <w:t xml:space="preserve"> </w:t>
      </w:r>
      <w:r>
        <w:t>ions through electron transfer, thereby regulating the nucleation and crystallization process of perovskite. The chirality of LEV induces spatial selectivity in perovskite precursor coordination, promoting oriented growth along the (100) crystallographic facet. Additionally, it enables selective defect passivation, preferentially addressing Pb and I vacancies. Ultimately, LEV doping reduces the tripartite residual PbI</w:t>
      </w:r>
      <w:r>
        <w:rPr>
          <w:vertAlign w:val="subscript"/>
        </w:rPr>
        <w:t>2</w:t>
      </w:r>
      <w:r>
        <w:t>in the perovskite film, including multi‐interfaces and bulk. Besides, the resulted PSCs achieved a champion power conversion efficiency (PCE) of over 26% with a stabilized power output of 25.8% and maintained 90% of its initial PCE after maximum power point tracking for 1000 h. This study offers a novel research paradigm to advance the development of perovskite photovoltaics.</w:t>
      </w:r>
    </w:p>
    <w:p>
      <w:pPr>
        <w:spacing w:before="120" w:after="120"/>
      </w:pPr>
      <w:r>
        <w:rPr>
          <w:sz w:val="18"/>
        </w:rPr>
        <w:t>——————————————————————————————————————————————————————————————————————</w:t>
      </w:r>
    </w:p>
    <w:p>
      <w:pPr>
        <w:spacing w:before="160" w:after="40" w:line="240" w:lineRule="auto"/>
      </w:pPr>
      <w:r>
        <w:rPr>
          <w:b/>
        </w:rPr>
        <w:t xml:space="preserve">[213] </w:t>
      </w:r>
      <w:hyperlink r:id="rId407">
        <w:r>
          <w:rPr>
            <w:color w:val="1155CC"/>
            <w:u w:val="single"/>
          </w:rPr>
          <w:t>NIRII 用于深血外溶解跟踪和加速清除环球的米表层深度外溶解跟踪和加速清除的自制纳米分子</w:t>
        </w:r>
      </w:hyperlink>
    </w:p>
    <w:p>
      <w:pPr>
        <w:spacing w:before="0" w:after="80"/>
      </w:pPr>
      <w:r>
        <w:rPr>
          <w:i/>
          <w:sz w:val="20"/>
        </w:rPr>
        <w:t>EN: NIR‐II Imaging‐Guided Self‐Penetrating Nanomotors for Millimeter‐Scale Deep Thrombolysis Tracking and Accelerated Embolus Clearance</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08">
        <w:r>
          <w:rPr>
            <w:color w:val="1155CC"/>
            <w:u w:val="single"/>
          </w:rPr>
          <w:t>10.1002/adma.202512075</w:t>
        </w:r>
      </w:hyperlink>
    </w:p>
    <w:p>
      <w:pPr>
        <w:spacing w:before="0" w:after="120"/>
      </w:pPr>
      <w:r>
        <w:rPr>
          <w:b/>
        </w:rPr>
        <w:t xml:space="preserve">Notes: </w:t>
      </w:r>
      <w:r>
        <w:t>abstract_source=crossref</w:t>
      </w:r>
    </w:p>
    <w:p>
      <w:pPr>
        <w:spacing w:before="0" w:after="80" w:lineRule="auto" w:line="276"/>
      </w:pPr>
      <w:r>
        <w:rPr>
          <w:b/>
        </w:rPr>
        <w:t xml:space="preserve">摘要（ZH）: </w:t>
      </w:r>
      <w:r>
        <w:t>摘要肺栓塞(PE)是肺动脉血栓塞阻塞造成的一种危及生命的症状,需要紧急治疗干预措施和精确诊断战略来预防系统并发症,目前的血栓疗法和成像模式面临严重的限制,包括高剂量纤维性药物的出血风险,对检测微栓塞或动态跟踪血栓性进展的敏感度不足。</w:t>
      </w:r>
    </w:p>
    <w:p>
      <w:pPr>
        <w:spacing w:before="0" w:after="200" w:lineRule="auto" w:line="276"/>
      </w:pPr>
      <w:r>
        <w:rPr>
          <w:b/>
        </w:rPr>
        <w:t xml:space="preserve">Abstract (EN): </w:t>
      </w:r>
      <w:r>
        <w:t>Pulmonary embolism (PE), a life‐threatening condition caused by thromboembolic obstruction of pulmonary arteries, demands urgent therapeutic interventions and precise diagnostic strategies to prevent systemic complications. Current thrombolytic therapies and imaging modalities face critical limitations, including hemorrhagic risks from high‐dose fibrinolytic drugs and insufficient sensitivity for detecting microemboli or dynamically tracking thrombolytic progression. Herein, a self‐propelling nanomotor platform is reported that integrates second near‐infrared window (NIR‐II) fluorescence imaging‐guided navigation, thrombus‐targeting capability, and synergistic thrombolysis for real‐time theranostics management of PE. Leveraging a relatively high fluorescence quantum yield (1.08%) for NIR‐II probes and prolonged circulation half‐life (7.2 h), these nanomotors enable sensitive detection of submillimeter microemboli and sustained, millimeter‐level precision monitoring of thrombolytic progression. Through a self‐penetration‐enhanced synergistic therapy‐ combining thermal ablation and chemical lysis, the platform achieved rapid vascular recanalization, exceeding 95% efficiency within a shortened therapeutic timeframe, using only 13.6% of the clinical urokinase (UK) dose. Validation in both the posterior auricular artery thrombosis (PAAT) and submillimeter microemboli‐induced PE models demonstrated accelerated embolus clearance, precision thrombolytic monitoring, and excellent biosafety without secondary embolism or hemorrhagic complications. This work demonstrates the significant potential of multifunctional nanomotors for the precision management of thrombotic disorders.</w:t>
      </w:r>
    </w:p>
    <w:p>
      <w:pPr>
        <w:spacing w:before="120" w:after="120"/>
      </w:pPr>
      <w:r>
        <w:rPr>
          <w:sz w:val="18"/>
        </w:rPr>
        <w:t>——————————————————————————————————————————————————————————————————————</w:t>
      </w:r>
    </w:p>
    <w:p>
      <w:pPr>
        <w:spacing w:before="160" w:after="40" w:line="240" w:lineRule="auto"/>
      </w:pPr>
      <w:r>
        <w:rPr>
          <w:b/>
        </w:rPr>
        <w:t xml:space="preserve">[214] </w:t>
      </w:r>
      <w:hyperlink r:id="rId409">
        <w:r>
          <w:rPr>
            <w:color w:val="1155CC"/>
            <w:u w:val="single"/>
          </w:rPr>
          <w:t>SnSbCNF Membrane Andes 推动新兴污染物电解氧化的双重金属协同效应</w:t>
        </w:r>
      </w:hyperlink>
    </w:p>
    <w:p>
      <w:pPr>
        <w:spacing w:before="0" w:after="80"/>
      </w:pPr>
      <w:r>
        <w:rPr>
          <w:i/>
          <w:sz w:val="20"/>
        </w:rPr>
        <w:t>EN: Dual‐Metal Synergy in Sn‐Sb‐CNF Membrane Anodes Boosts Electro‐Filtration Oxidation of Emerging Contaminants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10">
        <w:r>
          <w:rPr>
            <w:color w:val="1155CC"/>
            <w:u w:val="single"/>
          </w:rPr>
          <w:t>10.1002/adma.202512066</w:t>
        </w:r>
      </w:hyperlink>
    </w:p>
    <w:p>
      <w:pPr>
        <w:spacing w:before="0" w:after="120"/>
      </w:pPr>
      <w:r>
        <w:rPr>
          <w:b/>
        </w:rPr>
        <w:t xml:space="preserve">Notes: </w:t>
      </w:r>
      <w:r>
        <w:t>abstract_source=crossref</w:t>
      </w:r>
    </w:p>
    <w:p>
      <w:pPr>
        <w:spacing w:before="0" w:after="80" w:lineRule="auto" w:line="276"/>
      </w:pPr>
      <w:r>
        <w:rPr>
          <w:b/>
        </w:rPr>
        <w:t xml:space="preserve">摘要（ZH）: </w:t>
      </w:r>
      <w:r>
        <w:t>包括制药和个人护理产品在内的新兴污染物摘要对水生态系统和人类健康构成重大威胁。本研究表明,利用一种新型的锡-对氮-对碳纳米纤维膜(SnSbCNF)阳极利用双金属协同效应,PCP高效电化学氧化。通过这种协同效应作为活性场地、提高污染物吸收能力和氧化活化能力而产生的氧的空缺。降解机制主要通过主要的氢氧基(OH)生成进行,导致完全的污染物矿化。特别是,Sn/Sb双金属 doctionping 调节电子结构,改变 d。</w:t>
      </w:r>
    </w:p>
    <w:p>
      <w:pPr>
        <w:spacing w:before="0" w:after="200" w:lineRule="auto" w:line="276"/>
      </w:pPr>
      <w:r>
        <w:rPr>
          <w:b/>
        </w:rPr>
        <w:t xml:space="preserve">Abstract (EN): </w:t>
      </w:r>
      <w:r>
        <w:t>Emerging contaminants, including pharmaceutical and personal care products (PPCPs), pose significant threats to aquatic ecosystems and human health. This study demonstrates efficient electrochemical oxidation of PPCPs using a novel tin‐antimony doped carbon nanofiber membrane (Sn‐Sb‐CNF) anode leveraging dual‐metal synergy. Oxygen vacancies generated through this synergistic effect function as active sites, enhancing pollutant adsorption capacity and oxidant activation capability. The degradation mechanism proceeds primarily via dominant hydroxyl radical (</w:t>
      </w:r>
      <w:r>
        <w:t xml:space="preserve"> </w:t>
      </w:r>
      <w:r>
        <w:t>•</w:t>
      </w:r>
      <w:r>
        <w:t xml:space="preserve"> </w:t>
      </w:r>
      <w:r>
        <w:t>OH) generation, leading to complete contaminant mineralization. Notably, Sn/Sb dual‐metal doping modulates the electronic structure, altering the d‐band center from −4.777 to −2.175 eV and significantly lowering reaction energy barriers. This electronic optimization facilitates electron transfer kinetics and accelerates pollutant degradation. Owing to this synergy, the Sn‐Sb‐CNF anode achieved high removal efficiencies (&amp;gt;90%) within 30 min for multiple PPCPs: ofloxacin (95%), enrofloxacin (91%), carbamazepine (90%), acetaminophen (82%), and ibuprofen (96%). Furthermore, the membrane exhibits potent antimicrobial activity, achieving 4‐log inactivation of tetracycline‐resistant</w:t>
      </w:r>
      <w:r>
        <w:t xml:space="preserve"> </w:t>
      </w:r>
      <w:r>
        <w:t>Escherichia coli</w:t>
      </w:r>
      <w:r>
        <w:t xml:space="preserve"> </w:t>
      </w:r>
      <w:r>
        <w:t>and 5‐log reduction of T7 bacteriophage within 30 min. In real wastewater containing antibiotic‐resistant bacteria from a treatment plant, the system attained 62% mineralization rate. This work establishes a dual‐metal synergy strategy that provides new avenues for efficient PPCP elimination in complex aqueous matrices.</w:t>
      </w:r>
    </w:p>
    <w:p>
      <w:pPr>
        <w:spacing w:before="120" w:after="120"/>
      </w:pPr>
      <w:r>
        <w:rPr>
          <w:sz w:val="18"/>
        </w:rPr>
        <w:t>——————————————————————————————————————————————————————————————————————</w:t>
      </w:r>
    </w:p>
    <w:p>
      <w:pPr>
        <w:spacing w:before="160" w:after="40" w:line="240" w:lineRule="auto"/>
      </w:pPr>
      <w:r>
        <w:rPr>
          <w:b/>
        </w:rPr>
        <w:t xml:space="preserve">[215] </w:t>
      </w:r>
      <w:hyperlink r:id="rId411">
        <w:r>
          <w:rPr>
            <w:color w:val="1155CC"/>
            <w:u w:val="single"/>
          </w:rPr>
          <w:t>一个多式智能窗口, 带有可见的全天候的全天电子变换工具NIRQLWIR</w:t>
        </w:r>
      </w:hyperlink>
    </w:p>
    <w:p>
      <w:pPr>
        <w:spacing w:before="0" w:after="80"/>
      </w:pPr>
      <w:r>
        <w:rPr>
          <w:i/>
          <w:sz w:val="20"/>
        </w:rPr>
        <w:t>EN: A Multimodal Smart Window with Visible‐NIR‐LWIR Electro‐Modulation for All Weather</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12">
        <w:r>
          <w:rPr>
            <w:color w:val="1155CC"/>
            <w:u w:val="single"/>
          </w:rPr>
          <w:t>10.1002/adma.202512029</w:t>
        </w:r>
      </w:hyperlink>
    </w:p>
    <w:p>
      <w:pPr>
        <w:spacing w:before="0" w:after="120"/>
      </w:pPr>
      <w:r>
        <w:rPr>
          <w:b/>
        </w:rPr>
        <w:t xml:space="preserve">Notes: </w:t>
      </w:r>
      <w:r>
        <w:t>abstract_source=crossref</w:t>
      </w:r>
    </w:p>
    <w:p>
      <w:pPr>
        <w:spacing w:before="0" w:after="80" w:lineRule="auto" w:line="276"/>
      </w:pPr>
      <w:r>
        <w:rPr>
          <w:b/>
        </w:rPr>
        <w:t xml:space="preserve">摘要（ZH）: </w:t>
      </w:r>
      <w:r>
        <w:t>为实现室内舒适和能源效率而对智能窗口,包括可见、近红外(NIR)和长波红外(LWIR)光谱三角带(0.38-25 微米)进行太阳和热辐射抽象调控,以实现室内舒适和能源效率,是可持续建筑设计的关键前沿,然而,关于可见照明多功能辐射、NIR供暖和LWIR动态操作要求和天气条件的辐射冷却的独立条例尚未完全解决。</w:t>
      </w:r>
    </w:p>
    <w:p>
      <w:pPr>
        <w:spacing w:before="0" w:after="200" w:lineRule="auto" w:line="276"/>
      </w:pPr>
      <w:r>
        <w:rPr>
          <w:b/>
        </w:rPr>
        <w:t xml:space="preserve">Abstract (EN): </w:t>
      </w:r>
      <w:r>
        <w:t>Intelligent modulation of solar and thermal radiation for a smart window, including visible, near‐infrared (NIR), and long‐wave infrared (LWIR) spectral tri‐bands (0.38–25 µm), to achieve indoor comfort and energy efficiency is a critical frontier in sustainable building design. However, independent regulations of multi‐functional radiation of visible lighting, NIR heating, and LWIR radiative cooling for dynamic operational requirements and weather conditions are not fully solved. A PET/ITO/PB/Pt‐NPs electrode featuring separated reactions of ion insertion and metal electrodeposition for dual‐band modulation of visible and NIR via precise potential control, enabling multifunctionalities such as illumination, glare reduction, and privacy protection is proposed. A multimodal smart window of lighting‐heating‐emitting electro‐modulation device (LHE‐ED), wherein electrochromism and dynamic emittance are delicately manipulated for tri‐band modulation, possesses six independent electro‐driven states of multi‐scene lighting‐heating‐emitting regulations for the first time, exhibiting excellent wavelength selectivity of △</w:t>
      </w:r>
      <w:r>
        <w:t xml:space="preserve"> </w:t>
      </w:r>
      <w:r>
        <w:t>T</w:t>
      </w:r>
      <w:r>
        <w:t xml:space="preserve"> </w:t>
      </w:r>
      <w:r>
        <w:t>Vis</w:t>
      </w:r>
      <w:r>
        <w:t xml:space="preserve"> </w:t>
      </w:r>
      <w:r>
        <w:t>= 41.24%, △</w:t>
      </w:r>
      <w:r>
        <w:t xml:space="preserve"> </w:t>
      </w:r>
      <w:r>
        <w:t>T</w:t>
      </w:r>
      <w:r>
        <w:t xml:space="preserve"> </w:t>
      </w:r>
      <w:r>
        <w:t>NIR</w:t>
      </w:r>
      <w:r>
        <w:t xml:space="preserve"> </w:t>
      </w:r>
      <w:r>
        <w:t>= 53.95%, and Δ</w:t>
      </w:r>
      <w:r>
        <w:t xml:space="preserve"> </w:t>
      </w:r>
      <w:r>
        <w:t>ε</w:t>
      </w:r>
      <w:r>
        <w:t xml:space="preserve"> </w:t>
      </w:r>
      <w:r>
        <w:t>8‐13 µm</w:t>
      </w:r>
      <w:r>
        <w:t xml:space="preserve"> </w:t>
      </w:r>
      <w:r>
        <w:t>= 0.35. Building energy simulations demonstrate the LHE‐ED outperforms commercial low‐E glass across diverse climate zones, showcasing a maximum reduction in CO</w:t>
      </w:r>
      <w:r>
        <w:rPr>
          <w:vertAlign w:val="subscript"/>
        </w:rPr>
        <w:t>2</w:t>
      </w:r>
      <w:r>
        <w:t>emissions of 34.01 kg (m</w:t>
      </w:r>
      <w:r>
        <w:rPr>
          <w:vertAlign w:val="subscript"/>
        </w:rPr>
        <w:t>2</w:t>
      </w:r>
      <w:r>
        <w:t>year)</w:t>
      </w:r>
      <w:r>
        <w:t xml:space="preserve"> </w:t>
      </w:r>
      <w:r>
        <w:t>−1</w:t>
      </w:r>
      <w:r>
        <w:t xml:space="preserve"> </w:t>
      </w:r>
      <w:r>
        <w:t>and a decrease in heating, ventilation and air conditioning (HVAC) energy consumption by 34.18% annually, which paves the way for next‐generation smart window in terms of energy saving and environmental preservation.</w:t>
      </w:r>
    </w:p>
    <w:p>
      <w:pPr>
        <w:spacing w:before="120" w:after="120"/>
      </w:pPr>
      <w:r>
        <w:rPr>
          <w:sz w:val="18"/>
        </w:rPr>
        <w:t>——————————————————————————————————————————————————————————————————————</w:t>
      </w:r>
    </w:p>
    <w:p>
      <w:pPr>
        <w:spacing w:before="160" w:after="40" w:line="240" w:lineRule="auto"/>
      </w:pPr>
      <w:r>
        <w:rPr>
          <w:b/>
        </w:rPr>
        <w:t xml:space="preserve">[216] </w:t>
      </w:r>
      <w:hyperlink r:id="rId413">
        <w:r>
          <w:rPr>
            <w:color w:val="1155CC"/>
            <w:u w:val="single"/>
          </w:rPr>
          <w:t>Lattice-prested Niocium Tungsten Oxide 能够接近 气量变化和超快锂储存</w:t>
        </w:r>
      </w:hyperlink>
    </w:p>
    <w:p>
      <w:pPr>
        <w:spacing w:before="0" w:after="80"/>
      </w:pPr>
      <w:r>
        <w:rPr>
          <w:i/>
          <w:sz w:val="20"/>
        </w:rPr>
        <w:t>EN: Lattice‐Prestressed Niobium Tungsten Oxide Enables Near‐Zero Volume Change and Ultrafast Lithium Storage</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14">
        <w:r>
          <w:rPr>
            <w:color w:val="1155CC"/>
            <w:u w:val="single"/>
          </w:rPr>
          <w:t>10.1002/adma.202512001</w:t>
        </w:r>
      </w:hyperlink>
    </w:p>
    <w:p>
      <w:pPr>
        <w:spacing w:before="0" w:after="120"/>
      </w:pPr>
      <w:r>
        <w:rPr>
          <w:b/>
        </w:rPr>
        <w:t xml:space="preserve">Notes: </w:t>
      </w:r>
      <w:r>
        <w:t>abstract_source=crossref</w:t>
      </w:r>
    </w:p>
    <w:p>
      <w:pPr>
        <w:spacing w:before="0" w:after="80" w:lineRule="auto" w:line="276"/>
      </w:pPr>
      <w:r>
        <w:rPr>
          <w:b/>
        </w:rPr>
        <w:t xml:space="preserve">摘要（ZH）: </w:t>
      </w:r>
      <w:r>
        <w:t>Tungsten氧化石摘要氧化物提供了快速的离子传输和高安全性,但受到大型结构压力和低容量保留率超过20C的挑战。 据报道,这里有一个新颖的lattice-prestresated Nb 14 W 3 O 44 (LP-NWO),克服了其内在结构限制,促成接近零量变化和超快锂储存。拉ttice-pressed 结构包括交替分配4×4×4×和4×3×3×矩形装置,以及八体变形,导致形成具体和有订单的lattice前列。</w:t>
      </w:r>
    </w:p>
    <w:p>
      <w:pPr>
        <w:spacing w:before="0" w:after="200" w:lineRule="auto" w:line="276"/>
      </w:pPr>
      <w:r>
        <w:rPr>
          <w:b/>
        </w:rPr>
        <w:t xml:space="preserve">Abstract (EN): </w:t>
      </w:r>
      <w:r>
        <w:t>Niobium tungsten oxide offers rapid ionic transport and high safety in fast‐charging lithium‐ion batteries, but suffers from challenges of large structure stresses and low capacity retention at rates exceeding 20C. Here, a novel lattice‐prestressed Nb</w:t>
      </w:r>
      <w:r>
        <w:rPr>
          <w:vertAlign w:val="subscript"/>
        </w:rPr>
        <w:t>14</w:t>
      </w:r>
      <w:r>
        <w:t>W</w:t>
      </w:r>
      <w:r>
        <w:rPr>
          <w:vertAlign w:val="subscript"/>
        </w:rPr>
        <w:t>3</w:t>
      </w:r>
      <w:r>
        <w:t>O</w:t>
      </w:r>
      <w:r>
        <w:rPr>
          <w:vertAlign w:val="subscript"/>
        </w:rPr>
        <w:t>44</w:t>
      </w:r>
      <w:r>
        <w:t>(LP‐NWO) is reported that overcomes its intrinsic structural limitations, enabling near‐zero volume change and ultrafast lithium storage. The lattice‐prestressed structure involves the alternating distribution of 4 × 4×∞ and 4 × 3×∞ rectangle units, along with octahedra distortion, which leads to the formation of specific and ordered lattice prestresses. The rectangle units induce tensile stresses, while the octahedra distortion results in compressive stresses. This prestressed structure not only preserves continuous diffusion channels but also enhances both ion and electron conductivity. Importantly, the presence of prestress greatly relieves the strain generated during lithium insertion and extraction. This can be observed through a reversible curve‐to‐straight evolution of lattice fringes, resulting in near‐zero volume change during cycling. The LP‐NWO delivers a 78% capacity retention at 100C after 20 000 cycles and more than 2 000 cycles of full cells at 50C, as well as no safety risk under severe stress conditions. This prestressed strategy offers implications for the development of zero‐strain electrodes, aiming to overcome fast‐charge limitations through internal means.</w:t>
      </w:r>
    </w:p>
    <w:p>
      <w:pPr>
        <w:spacing w:before="120" w:after="120"/>
      </w:pPr>
      <w:r>
        <w:rPr>
          <w:sz w:val="18"/>
        </w:rPr>
        <w:t>——————————————————————————————————————————————————————————————————————</w:t>
      </w:r>
    </w:p>
    <w:p>
      <w:pPr>
        <w:spacing w:before="160" w:after="40" w:line="240" w:lineRule="auto"/>
      </w:pPr>
      <w:r>
        <w:rPr>
          <w:b/>
        </w:rPr>
        <w:t xml:space="preserve">[217] </w:t>
      </w:r>
      <w:hyperlink r:id="rId415">
        <w:r>
          <w:rPr>
            <w:color w:val="1155CC"/>
            <w:u w:val="single"/>
          </w:rPr>
          <w:t>用于超敏感光学测量、温度测量和强制遥感的</w:t>
        </w:r>
      </w:hyperlink>
    </w:p>
    <w:p>
      <w:pPr>
        <w:spacing w:before="0" w:after="80"/>
      </w:pPr>
      <w:r>
        <w:rPr>
          <w:i/>
          <w:sz w:val="20"/>
        </w:rPr>
        <w:t>EN: Mechanoluminescent Aluminum Nitride Crystal for Super‐Sensitive Optical Manometry, Thermometry and Force Sensing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16">
        <w:r>
          <w:rPr>
            <w:color w:val="1155CC"/>
            <w:u w:val="single"/>
          </w:rPr>
          <w:t>10.1002/adma.202511943</w:t>
        </w:r>
      </w:hyperlink>
    </w:p>
    <w:p>
      <w:pPr>
        <w:spacing w:before="0" w:after="120"/>
      </w:pPr>
      <w:r>
        <w:rPr>
          <w:b/>
        </w:rPr>
        <w:t xml:space="preserve">Notes: </w:t>
      </w:r>
      <w:r>
        <w:t>abstract_source=crossref</w:t>
      </w:r>
    </w:p>
    <w:p>
      <w:pPr>
        <w:spacing w:before="0" w:after="80" w:lineRule="auto" w:line="276"/>
      </w:pPr>
      <w:r>
        <w:rPr>
          <w:b/>
        </w:rPr>
        <w:t xml:space="preserve">摘要（ZH）: </w:t>
      </w:r>
      <w:r>
        <w:t>抽象AlN是一种核心材料,广泛用作各种电子和光电子设备中的基质和热吸收槽,将发光特性引入内在的AIN,为下一代智能传感器、自动显示器和可磨损电子设备开辟了新的机会。在这项研究中,首先提出了关于AlN晶体的证据表明,该晶体表现出令人满意的机械光化(ML)、光光光度(PL)和后光度性能,表明其作为新型多功能光学传感器的潜力。通过物理蒸气运输成功地在Tungsten子体上合成了一系列已拆解的AlN晶体(从微米到毫米大小)。</w:t>
      </w:r>
    </w:p>
    <w:p>
      <w:pPr>
        <w:spacing w:before="0" w:after="200" w:lineRule="auto" w:line="276"/>
      </w:pPr>
      <w:r>
        <w:rPr>
          <w:b/>
        </w:rPr>
        <w:t xml:space="preserve">Abstract (EN): </w:t>
      </w:r>
      <w:r>
        <w:t>AlN is a core material widely used as a substrate and heat sink in various electronic and optoelectronic devices. Introducing luminescent properties into intrinsic AIN opens new opportunities for next‐generation intelligent sensors, self‐powered displays, and wearable electronics. In this study, the first evidence is presented of AlN crystals exhibiting satisfactory mechanoluminescence (ML), photoluminescence (PL), and afterglow performance, demonstrating their potential as novel multifunctional optical sensors. A series of undoped AlN crystals (ranging from µm to mm scale) is successfully synthesized on tungsten substrates via physical vapor transport. A multimodal optical sensing platform is developed, showing afterglow and PL for temperature and pressure sensing, and ML for force detection. Despite minimal structural deformation under extreme conditions, attributed to the high bulk modulus of AIN, the optical sensors, driven by intrinsic defect‐related emissions, exhibited excellent sensitivity to temperature and pressure. Notably, significant and previously unreported differences in the PL and ML spectra are observed in response to light and mechanical stimuli, respectively. These spectral variations are attributed to the activation of distinct defect states during PL and ML processes. This proof‐of‐concept study represents a significant step forward in the development of optical sensing technologies for extreme environments and force detection applications.</w:t>
      </w:r>
    </w:p>
    <w:p>
      <w:pPr>
        <w:spacing w:before="120" w:after="120"/>
      </w:pPr>
      <w:r>
        <w:rPr>
          <w:sz w:val="18"/>
        </w:rPr>
        <w:t>——————————————————————————————————————————————————————————————————————</w:t>
      </w:r>
    </w:p>
    <w:p>
      <w:pPr>
        <w:spacing w:before="160" w:after="40" w:line="240" w:lineRule="auto"/>
      </w:pPr>
      <w:r>
        <w:rPr>
          <w:b/>
        </w:rPr>
        <w:t xml:space="preserve">[218] </w:t>
      </w:r>
      <w:hyperlink r:id="rId417">
        <w:r>
          <w:rPr>
            <w:color w:val="1155CC"/>
            <w:u w:val="single"/>
          </w:rPr>
          <w:t>通过液溶液/液溶液/液溶干涉工程在纤维纤维上涂层精密和统一Ultrathin胶片</w:t>
        </w:r>
      </w:hyperlink>
    </w:p>
    <w:p>
      <w:pPr>
        <w:spacing w:before="0" w:after="80"/>
      </w:pPr>
      <w:r>
        <w:rPr>
          <w:i/>
          <w:sz w:val="20"/>
        </w:rPr>
        <w:t>EN: Fine and Uniform Ultrathin Film Coating on Fiber via Nonequilibrium Liquid/Liquid Interfacial Engineering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18">
        <w:r>
          <w:rPr>
            <w:color w:val="1155CC"/>
            <w:u w:val="single"/>
          </w:rPr>
          <w:t>10.1002/adma.202511852</w:t>
        </w:r>
      </w:hyperlink>
    </w:p>
    <w:p>
      <w:pPr>
        <w:spacing w:before="0" w:after="120"/>
      </w:pPr>
      <w:r>
        <w:rPr>
          <w:b/>
        </w:rPr>
        <w:t xml:space="preserve">Notes: </w:t>
      </w:r>
      <w:r>
        <w:t>abstract_source=crossref</w:t>
      </w:r>
    </w:p>
    <w:p>
      <w:pPr>
        <w:spacing w:before="0" w:after="80" w:lineRule="auto" w:line="276"/>
      </w:pPr>
      <w:r>
        <w:rPr>
          <w:b/>
        </w:rPr>
        <w:t xml:space="preserve">摘要（ZH）: </w:t>
      </w:r>
      <w:r>
        <w:t>光层涂层的统一性和可控性是确保装置效率的先决条件,但仍然是一项艰巨的挑战。 目前,只有几个特定的复合纤维是由与快速聚合液单体、纤维平行处理或物理刮碎相关的流动涂层所制造的,这些涂层严重缺乏精美性和普遍性,特别是无法达到纳米表或亚微米厚度涂层。 这里,一种新的方法就是通过在利基快速间干扰纳米粒子,在另一种不易溶液中将甚至液体薄膜涂在纤维上。</w:t>
      </w:r>
    </w:p>
    <w:p>
      <w:pPr>
        <w:spacing w:before="0" w:after="200" w:lineRule="auto" w:line="276"/>
      </w:pPr>
      <w:r>
        <w:rPr>
          <w:b/>
        </w:rPr>
        <w:t xml:space="preserve">Abstract (EN): </w:t>
      </w:r>
      <w:r>
        <w:t>Coating a thin layer on fibers enables their function coupling or integration into differentiated wearable devices, or may unlock unexplored potentials. The thin layer coating's uniformity and controllability is the prerequisite to ensure device's efficiency, but remain, yet, a formidable challenge. Currently, only a few specific composite fibers have been fabricated from flow coating associated with rapid polymerizing liquid monomers, fibers’ parallel handling, or physical scraping, seriously lacking fineness and universality, especially inability reaching nanometer or sub‐micrometer thickness coating. Here, a new method of coating an even liquid film on fiber in another immiscible liquid via capitalizing on fast interfacial jamming of nanoparticles at the liquid/liquid interface is proposed. The consequently dried uniform, ultrathin common polymer or composite (predissolved in coated liquid) coating—with otherwise unattainable thickness ranging 50 nm–20 µm—offers fiber with high device performance, including robust service in extreme circumstances (allowing Cu fiber work over the whole range of pH), high efficient display function (with luminous elements &amp;lt;0.01%), and supersensitive sensing with sensor's resistance variation over 90% by less 1 N pressure. The strategy can find extensively diverse applications in wearable electronics and intelligent textiles, as fiber, chemicals of coating liquid, and components, are variable.</w:t>
      </w:r>
    </w:p>
    <w:p>
      <w:pPr>
        <w:spacing w:before="120" w:after="120"/>
      </w:pPr>
      <w:r>
        <w:rPr>
          <w:sz w:val="18"/>
        </w:rPr>
        <w:t>——————————————————————————————————————————————————————————————————————</w:t>
      </w:r>
    </w:p>
    <w:p>
      <w:pPr>
        <w:spacing w:before="160" w:after="40" w:line="240" w:lineRule="auto"/>
      </w:pPr>
      <w:r>
        <w:rPr>
          <w:b/>
        </w:rPr>
        <w:t xml:space="preserve">[219] </w:t>
      </w:r>
      <w:hyperlink r:id="rId419">
        <w:r>
          <w:rPr>
            <w:color w:val="1155CC"/>
            <w:u w:val="single"/>
          </w:rPr>
          <w:t>带动的非自然地形性质地的稳定:不固定的室室 温度浮游和天空</w:t>
        </w:r>
      </w:hyperlink>
    </w:p>
    <w:p>
      <w:pPr>
        <w:spacing w:before="0" w:after="80"/>
      </w:pPr>
      <w:r>
        <w:rPr>
          <w:i/>
          <w:sz w:val="20"/>
        </w:rPr>
        <w:t>EN: Interface‐Induced Stability of Nontrivial Topological Spin Textures: Unveiling Room‐Temperature Hopfions and Skyrmions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20">
        <w:r>
          <w:rPr>
            <w:color w:val="1155CC"/>
            <w:u w:val="single"/>
          </w:rPr>
          <w:t>10.1002/adma.202511754</w:t>
        </w:r>
      </w:hyperlink>
    </w:p>
    <w:p>
      <w:pPr>
        <w:spacing w:before="0" w:after="120"/>
      </w:pPr>
      <w:r>
        <w:rPr>
          <w:b/>
        </w:rPr>
        <w:t xml:space="preserve">Notes: </w:t>
      </w:r>
      <w:r>
        <w:t>abstract_source=crossref</w:t>
      </w:r>
    </w:p>
    <w:p>
      <w:pPr>
        <w:spacing w:before="0" w:after="80" w:lineRule="auto" w:line="276"/>
      </w:pPr>
      <w:r>
        <w:rPr>
          <w:b/>
        </w:rPr>
        <w:t xml:space="preserve">摘要（ZH）: </w:t>
      </w:r>
      <w:r>
        <w:t>最近,在基础科学和技术中出现了诸如索利顿式的旋转质体和Dirac电子组件等抽象的地形自旋配置,在室内温度下实现稳定的地形自旋质体对于作为远程信息载体至关重要,然而,由于多步骤的实地培训和相互竞争,这些结构的创造和操纵受到多步骤的实地培训和相互竞争的阻碍。因此,对于多层面的地形自发的地形自转质质质体来说是可取的,天空在两个维度上形成交织、刺绣式的旋转结构,跳动作为扭曲的3D对应体。在这里,首次观测到在室温和零磁度下观测到的浮动和天空的坚固和可再生的地形自转质体。</w:t>
      </w:r>
    </w:p>
    <w:p>
      <w:pPr>
        <w:spacing w:before="0" w:after="200" w:lineRule="auto" w:line="276"/>
      </w:pPr>
      <w:r>
        <w:rPr>
          <w:b/>
        </w:rPr>
        <w:t xml:space="preserve">Abstract (EN): </w:t>
      </w:r>
      <w:r>
        <w:t>Topological spin configurations, such as soliton‐like spin texture and Dirac electron assemblies, have recently emerged in fundamental science and technology. Achieving stable topological spin textures at room temperature is crucial for their use as long‐range information carriers. However, their creation and manipulation are hindered by multi‐step field training and competing interactions. Thus, a spontaneous ground state for multidimensional topological spin textures is desirable, with skyrmions forming swirling, hedgehog‐like spin structures in two dimensions and hopfions as their twisted 3D counterparts. Here, the first observation of robust and reproducible topological spin textures of hopfions and skyrmions observed at room temperature and in zero magnetic field is reported, which are stabilized by geometric confinement and protected by interfacial magnetism in a ferromagnet/topological insulator/ferromagnet trilayer heterostructure. These skyrmion‐hopfion configurations are directly observed at room temperature with Lorenz transmission electron microscopy. Using micromagnetic modeling, the experimental observations of hopfion‐skyrmion assemblies are reproduced. This model reveals a complete picture of how spontaneously organized skyrmion lattices encircled by hopfion rings are controlled by surface electrons, uniaxial anisotropy, and Dzyaloshinskii‐Moriya interaction. This study provides evidence that topological chiral spin textures can facilitate the development of magnetic topological carriers, paving the way for ultralow‐power and high‐density information processing.</w:t>
      </w:r>
    </w:p>
    <w:p>
      <w:pPr>
        <w:spacing w:before="120" w:after="120"/>
      </w:pPr>
      <w:r>
        <w:rPr>
          <w:sz w:val="18"/>
        </w:rPr>
        <w:t>——————————————————————————————————————————————————————————————————————</w:t>
      </w:r>
    </w:p>
    <w:p>
      <w:pPr>
        <w:spacing w:before="160" w:after="40" w:line="240" w:lineRule="auto"/>
      </w:pPr>
      <w:r>
        <w:rPr>
          <w:b/>
        </w:rPr>
        <w:t xml:space="preserve">[220] </w:t>
      </w:r>
      <w:hyperlink r:id="rId421">
        <w:r>
          <w:rPr>
            <w:color w:val="1155CC"/>
            <w:u w:val="single"/>
          </w:rPr>
          <w:t>用于白激光的温度和可不可燃热电和电热电神经元数据</w:t>
        </w:r>
      </w:hyperlink>
    </w:p>
    <w:p>
      <w:pPr>
        <w:spacing w:before="0" w:after="80"/>
      </w:pPr>
      <w:r>
        <w:rPr>
          <w:i/>
          <w:sz w:val="20"/>
        </w:rPr>
        <w:t>EN: Temperature‐Tunable Heliconical and Ferroelectric Nematics for White Lasing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22">
        <w:r>
          <w:rPr>
            <w:color w:val="1155CC"/>
            <w:u w:val="single"/>
          </w:rPr>
          <w:t>10.1002/adma.202511648</w:t>
        </w:r>
      </w:hyperlink>
    </w:p>
    <w:p>
      <w:pPr>
        <w:spacing w:before="0" w:after="120"/>
      </w:pPr>
      <w:r>
        <w:rPr>
          <w:b/>
        </w:rPr>
        <w:t xml:space="preserve">Notes: </w:t>
      </w:r>
      <w:r>
        <w:t>abstract_source=crossref</w:t>
      </w:r>
    </w:p>
    <w:p>
      <w:pPr>
        <w:spacing w:before="0" w:after="80" w:lineRule="auto" w:line="276"/>
      </w:pPr>
      <w:r>
        <w:rPr>
          <w:b/>
        </w:rPr>
        <w:t xml:space="preserve">摘要（ZH）: </w:t>
      </w:r>
      <w:r>
        <w:t>以简单的分子对齐和在光电学中广泛使用而注意到的抽象内晶晶体(LCs),其简单的分子对齐和广泛应用在光电学中,在一百多年来一直没有修改,但2017年,一个独特的极地阶段,即铁电神经(NF)得到证实,随后,2024年,演示了铁电扭动神经风力结构(N TBF阶段)的革命性自照反射对称断裂。神经光晶体(LCs)通常用作光活性光源染色基质,允许通过外部领域对排放特性进行微调。在本手稿中,开创性温度可拉链研究利用商业染料混合成一种混合物。</w:t>
      </w:r>
    </w:p>
    <w:p>
      <w:pPr>
        <w:spacing w:before="0" w:after="200" w:lineRule="auto" w:line="276"/>
      </w:pPr>
      <w:r>
        <w:rPr>
          <w:b/>
        </w:rPr>
        <w:t xml:space="preserve">Abstract (EN): </w:t>
      </w:r>
      <w:r>
        <w:t>Nematic Liquid Crystals (LCs), noted for their simple molecular alignment and broad use in optoelectronics, remain unmodified for over a century. However, in 2017, a unique polar phase, the ferroelectric nematic (N</w:t>
      </w:r>
      <w:r>
        <w:t xml:space="preserve"> </w:t>
      </w:r>
      <w:r>
        <w:t>F</w:t>
      </w:r>
      <w:r>
        <w:t xml:space="preserve"> </w:t>
      </w:r>
      <w:r>
        <w:t>), is confirmed. Subsequently, in 2024, the revolutionary spontaneous mirror symmetry breaking of ferroelectric twist‐bend nematic chiral structures (N</w:t>
      </w:r>
      <w:r>
        <w:t xml:space="preserve"> </w:t>
      </w:r>
      <w:r>
        <w:t>TBF</w:t>
      </w:r>
      <w:r>
        <w:t xml:space="preserve"> </w:t>
      </w:r>
      <w:r>
        <w:t>phase) is demonstrated. Nematic LCs are commonly used as optically active matrices for luminescent dyes, allowing the fine‐tuning of emission properties through external fields. In this manuscript, the pioneering temperature‐tunable lasing studies utilizing commercial dyes doped into a mixture that displays the N</w:t>
      </w:r>
      <w:r>
        <w:t xml:space="preserve"> </w:t>
      </w:r>
      <w:r>
        <w:t>TBF</w:t>
      </w:r>
      <w:r>
        <w:t xml:space="preserve"> </w:t>
      </w:r>
      <w:r>
        <w:t>phase within an exceptionally low‐temperature range of 34–43.3 °C are shown. The subsequent experiments explore how lasing characteristics within N</w:t>
      </w:r>
      <w:r>
        <w:t xml:space="preserve"> </w:t>
      </w:r>
      <w:r>
        <w:t>TBF</w:t>
      </w:r>
      <w:r>
        <w:t xml:space="preserve"> </w:t>
      </w:r>
      <w:r>
        <w:t>and N</w:t>
      </w:r>
      <w:r>
        <w:t xml:space="preserve"> </w:t>
      </w:r>
      <w:r>
        <w:t>F</w:t>
      </w:r>
      <w:r>
        <w:t xml:space="preserve"> </w:t>
      </w:r>
      <w:r>
        <w:t>phases can be employed in a single, compact device to produce multicolor and white lasers. Furthermore, there are introduced spontaneously formed emissive fibers from the N</w:t>
      </w:r>
      <w:r>
        <w:t xml:space="preserve"> </w:t>
      </w:r>
      <w:r>
        <w:t>TBF</w:t>
      </w:r>
      <w:r>
        <w:t xml:space="preserve"> </w:t>
      </w:r>
      <w:r>
        <w:t>phase. As perspectives, the voltage‐dependent increase of lasing intensity in N</w:t>
      </w:r>
      <w:r>
        <w:t xml:space="preserve"> </w:t>
      </w:r>
      <w:r>
        <w:t>F</w:t>
      </w:r>
      <w:r>
        <w:t xml:space="preserve"> </w:t>
      </w:r>
      <w:r>
        <w:t>is demonstrated, showing the exceptional result in two differently arranged LC cells. The findings highlight that simple molecules, like those in nature and living organisms, can shape intricate systems with significant implications for the accelerated progress of laser and display technologies, along with Li‐Fi concepts.</w:t>
      </w:r>
    </w:p>
    <w:p>
      <w:pPr>
        <w:spacing w:before="120" w:after="120"/>
      </w:pPr>
      <w:r>
        <w:rPr>
          <w:sz w:val="18"/>
        </w:rPr>
        <w:t>——————————————————————————————————————————————————————————————————————</w:t>
      </w:r>
    </w:p>
    <w:p>
      <w:pPr>
        <w:spacing w:before="160" w:after="40" w:line="240" w:lineRule="auto"/>
      </w:pPr>
      <w:r>
        <w:rPr>
          <w:b/>
        </w:rPr>
        <w:t xml:space="preserve">[221] </w:t>
      </w:r>
      <w:hyperlink r:id="rId423">
        <w:r>
          <w:rPr>
            <w:color w:val="1155CC"/>
            <w:u w:val="single"/>
          </w:rPr>
          <w:t>通过侧链诱导的双阶段分离战略,高强度和坚硬的热塞</w:t>
        </w:r>
      </w:hyperlink>
    </w:p>
    <w:p>
      <w:pPr>
        <w:spacing w:before="0" w:after="80"/>
      </w:pPr>
      <w:r>
        <w:rPr>
          <w:i/>
          <w:sz w:val="20"/>
        </w:rPr>
        <w:t>EN: Recyclable Polyurethane Thermosets with High Rigidness and Toughness via Side Chain Induced Dual Phase Separation Strategy</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24">
        <w:r>
          <w:rPr>
            <w:color w:val="1155CC"/>
            <w:u w:val="single"/>
          </w:rPr>
          <w:t>10.1002/adma.202511620</w:t>
        </w:r>
      </w:hyperlink>
    </w:p>
    <w:p>
      <w:pPr>
        <w:spacing w:before="0" w:after="120"/>
      </w:pPr>
      <w:r>
        <w:rPr>
          <w:b/>
        </w:rPr>
        <w:t xml:space="preserve">Notes: </w:t>
      </w:r>
      <w:r>
        <w:t>abstract_source=crossref</w:t>
      </w:r>
    </w:p>
    <w:p>
      <w:pPr>
        <w:spacing w:before="0" w:after="80" w:lineRule="auto" w:line="276"/>
      </w:pPr>
      <w:r>
        <w:rPr>
          <w:b/>
        </w:rPr>
        <w:t xml:space="preserve">摘要（ZH）: </w:t>
      </w:r>
      <w:r>
        <w:t>工业应用非常需要高强度、僵硬和成本效率高的抽象聚氨酯热塞,但工业应用极适宜,工业应用往往因相互连接的结构而易碎和循环性差,造成无法接受的可持续性问题。在这方面,提出了一种由侧链引发的双阶段分离战略,以克服这些限制。具体地说,设计了一个交叉连接的硬质聚氨酯,由带有侧链的小分子二醇合成。聚氨酯组通过氢结合形成硬领域,并导致初级阶段分离。此外,固化过程使聚合物部分的一部分与侧链固定起来,以促进二级分离并产生异种。</w:t>
      </w:r>
    </w:p>
    <w:p>
      <w:pPr>
        <w:spacing w:before="0" w:after="200" w:lineRule="auto" w:line="276"/>
      </w:pPr>
      <w:r>
        <w:rPr>
          <w:b/>
        </w:rPr>
        <w:t xml:space="preserve">Abstract (EN): </w:t>
      </w:r>
      <w:r>
        <w:t>Polyurethane thermosets with high strength, rigidity, and cost efficiency are highly desirable for industrial applications. However, they always suffer from brittleness and poor recyclability owing to their crosslinked structure, causing an unacceptable level of sustainability concerns. Here, a side chain induced dual phase separation strategy is proposed to tackle these limitations. Specifically, a crosslinked rigid polyurethane is designed, synthesized from small‐molecule diols with a side chain. The urethane groups form hard domains by hydrogen bonding and induce a primary phase separation. Moreover, the curing process immobilizes part of the polymer segments with side chains to promote a secondary phase separation and generate a heterogeneous crosslinked structure. The primary phase separation enables energy dissipation, while the secondary phase separation serves as stress concentrations or crack initiation points to enhance the toughness. Notably, the transesterification between urethane groups, coupled with hydrogen bonding, facilitates catalyst‐free reprocessability, extending thermosets lifespan. This recyclable polyurethane thermoset exhibits a high Young's modulus (1.13 GPa) and exceptional toughness (77.76 MJ m</w:t>
      </w:r>
      <w:r>
        <w:t xml:space="preserve"> </w:t>
      </w:r>
      <w:r>
        <w:t>−3</w:t>
      </w:r>
      <w:r>
        <w:t xml:space="preserve"> </w:t>
      </w:r>
      <w:r>
        <w:t>). Furthermore, its application and recyclability in glass fiber‐reinforced composites are demonstrated. This strategy provides a viable route toward sustainable thermosetting polymers, addressing key environmental concerns associated with their widespread use.</w:t>
      </w:r>
    </w:p>
    <w:p>
      <w:pPr>
        <w:spacing w:before="120" w:after="120"/>
      </w:pPr>
      <w:r>
        <w:rPr>
          <w:sz w:val="18"/>
        </w:rPr>
        <w:t>——————————————————————————————————————————————————————————————————————</w:t>
      </w:r>
    </w:p>
    <w:p>
      <w:pPr>
        <w:spacing w:before="160" w:after="40" w:line="240" w:lineRule="auto"/>
      </w:pPr>
      <w:r>
        <w:rPr>
          <w:b/>
        </w:rPr>
        <w:t xml:space="preserve">[222] </w:t>
      </w:r>
      <w:hyperlink r:id="rId425">
        <w:r>
          <w:rPr>
            <w:color w:val="1155CC"/>
            <w:u w:val="single"/>
          </w:rPr>
          <w:t>具有不连续不连续的氟化苯环的延迟荧光抗体</w:t>
        </w:r>
      </w:hyperlink>
    </w:p>
    <w:p>
      <w:pPr>
        <w:spacing w:before="0" w:after="80"/>
      </w:pPr>
      <w:r>
        <w:rPr>
          <w:i/>
          <w:sz w:val="20"/>
        </w:rPr>
        <w:t>EN: Pure‐Green Circularly Polarized Multiple Resonance Thermally Activated Delayed Fluorescence Enantiomers with Discontinuous Fused Benzene Rings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26">
        <w:r>
          <w:rPr>
            <w:color w:val="1155CC"/>
            <w:u w:val="single"/>
          </w:rPr>
          <w:t>10.1002/adma.202511560</w:t>
        </w:r>
      </w:hyperlink>
    </w:p>
    <w:p>
      <w:pPr>
        <w:spacing w:before="0" w:after="120"/>
      </w:pPr>
      <w:r>
        <w:rPr>
          <w:b/>
        </w:rPr>
        <w:t xml:space="preserve">Notes: </w:t>
      </w:r>
      <w:r>
        <w:t>abstract_source=crossref</w:t>
      </w:r>
    </w:p>
    <w:p>
      <w:pPr>
        <w:spacing w:before="0" w:after="80" w:lineRule="auto" w:line="276"/>
      </w:pPr>
      <w:r>
        <w:rPr>
          <w:b/>
        </w:rPr>
        <w:t xml:space="preserve">摘要（ZH）: </w:t>
      </w:r>
      <w:r>
        <w:t>在循环两极有机发光二极管(CPOLEDs)中,基于乙苯基的环极双极光材料在环极有机发光二极管(CPL)中受极低色纯度的损害,其以由不连续结合的苯环组成的多重共振(MR)框架取代含有连续结合苯乙烯环的连续合金环的乙烯,从而引入了一种新的分子工程战略。这一方法有效地抑制高频C-C-C的联结延展振动,并加强短程电荷转移,使高色纯度、CPL活动以及高效热活性延迟荧光化(TADF)。</w:t>
      </w:r>
    </w:p>
    <w:p>
      <w:pPr>
        <w:spacing w:before="0" w:after="200" w:lineRule="auto" w:line="276"/>
      </w:pPr>
      <w:r>
        <w:rPr>
          <w:b/>
        </w:rPr>
        <w:t xml:space="preserve">Abstract (EN): </w:t>
      </w:r>
      <w:r>
        <w:t>Helicene‐based circularly polarized luminescence (CPL) materials suffer from severely low color purity in circularly polarized organic light‐emitting diodes (CP‐OLEDs). Here, a novel molecular engineering strategy is introduced by replacing helicene containing continuous fused benzene rings with a multiple resonance (MR) framework comprising discontinuous fused benzene rings. This approach effectively suppresses high‐frequency C─C bond stretching vibrations and enhances short‐range charge transfer, enabling high color purity, CPL activity, and efficient thermally activated delayed fluorescence (TADF). The proof‐of‐concept green BN[7]helicene‐based emitters (</w:t>
      </w:r>
      <w:r>
        <w:t xml:space="preserve"> </w:t>
      </w:r>
      <w:r>
        <w:t>P</w:t>
      </w:r>
      <w:r>
        <w:t xml:space="preserve"> </w:t>
      </w:r>
      <w:r>
        <w:t>/</w:t>
      </w:r>
      <w:r>
        <w:t>M</w:t>
      </w:r>
      <w:r>
        <w:t xml:space="preserve"> </w:t>
      </w:r>
      <w:r>
        <w:t>)‐DBN‐</w:t>
      </w:r>
      <w:r>
        <w:t xml:space="preserve"> </w:t>
      </w:r>
      <w:r>
        <w:t>m</w:t>
      </w:r>
      <w:r>
        <w:t xml:space="preserve"> </w:t>
      </w:r>
      <w:r>
        <w:t>ICz display bright and narrowband green emission peaking at 512 nm with a full‐width at half‐maximum (FWHM) of 25 nm. Notably, the enantiomers (</w:t>
      </w:r>
      <w:r>
        <w:t xml:space="preserve"> </w:t>
      </w:r>
      <w:r>
        <w:t>P</w:t>
      </w:r>
      <w:r>
        <w:t xml:space="preserve"> </w:t>
      </w:r>
      <w:r>
        <w:t>)‐ and (</w:t>
      </w:r>
      <w:r>
        <w:t xml:space="preserve"> </w:t>
      </w:r>
      <w:r>
        <w:t>M</w:t>
      </w:r>
      <w:r>
        <w:t xml:space="preserve"> </w:t>
      </w:r>
      <w:r>
        <w:t>)‐DBN‐</w:t>
      </w:r>
      <w:r>
        <w:t xml:space="preserve"> </w:t>
      </w:r>
      <w:r>
        <w:t>m</w:t>
      </w:r>
      <w:r>
        <w:t xml:space="preserve"> </w:t>
      </w:r>
      <w:r>
        <w:t>ICz exhibit narrowband CPL spectra with FWHMs of 26 and 25 nm, the Commission Internationale de l'Éclairage (CIE) coordinates of (0.14, 0.72) and (0.15, 0.72), and photoluminescence dissymmetry factors of +2.3 × 10</w:t>
      </w:r>
      <w:r>
        <w:t xml:space="preserve"> </w:t>
      </w:r>
      <w:r>
        <w:t>−3</w:t>
      </w:r>
      <w:r>
        <w:t xml:space="preserve"> </w:t>
      </w:r>
      <w:r>
        <w:t>and −2.6 × 10</w:t>
      </w:r>
      <w:r>
        <w:t xml:space="preserve"> </w:t>
      </w:r>
      <w:r>
        <w:t>−3</w:t>
      </w:r>
      <w:r>
        <w:t xml:space="preserve"> </w:t>
      </w:r>
      <w:r>
        <w:t>. (</w:t>
      </w:r>
      <w:r>
        <w:t xml:space="preserve"> </w:t>
      </w:r>
      <w:r>
        <w:t>P</w:t>
      </w:r>
      <w:r>
        <w:t xml:space="preserve"> </w:t>
      </w:r>
      <w:r>
        <w:t>)‐ and (</w:t>
      </w:r>
      <w:r>
        <w:t xml:space="preserve"> </w:t>
      </w:r>
      <w:r>
        <w:t>M</w:t>
      </w:r>
      <w:r>
        <w:t xml:space="preserve"> </w:t>
      </w:r>
      <w:r>
        <w:t>)‐DBN‐</w:t>
      </w:r>
      <w:r>
        <w:t xml:space="preserve"> </w:t>
      </w:r>
      <w:r>
        <w:t>m</w:t>
      </w:r>
      <w:r>
        <w:t xml:space="preserve"> </w:t>
      </w:r>
      <w:r>
        <w:t>ICz‐based CP‐OLEDs deliver pure‐green emission, characterized by a peak wavelength of 516 nm, a narrow FWHM of 27 nm, and CIE coordinates of (0.17, 0.72), representing the purest green CP‐OLEDs reported to date. Furthermore, these devices exhibit high electroluminescence dissymmetry factors of +5.3 × 10</w:t>
      </w:r>
      <w:r>
        <w:t xml:space="preserve"> </w:t>
      </w:r>
      <w:r>
        <w:t>−3</w:t>
      </w:r>
      <w:r>
        <w:t xml:space="preserve"> </w:t>
      </w:r>
      <w:r>
        <w:t>/−8.5 × 10</w:t>
      </w:r>
      <w:r>
        <w:t xml:space="preserve"> </w:t>
      </w:r>
      <w:r>
        <w:t>−3</w:t>
      </w:r>
      <w:r>
        <w:t xml:space="preserve"> </w:t>
      </w:r>
      <w:r>
        <w:t>, and maximum external quantum efficiencies of 37.3% and 36.6%, respectively.</w:t>
      </w:r>
    </w:p>
    <w:p>
      <w:pPr>
        <w:spacing w:before="120" w:after="120"/>
      </w:pPr>
      <w:r>
        <w:rPr>
          <w:sz w:val="18"/>
        </w:rPr>
        <w:t>——————————————————————————————————————————————————————————————————————</w:t>
      </w:r>
    </w:p>
    <w:p>
      <w:pPr>
        <w:spacing w:before="160" w:after="40" w:line="240" w:lineRule="auto"/>
      </w:pPr>
      <w:r>
        <w:rPr>
          <w:b/>
        </w:rPr>
        <w:t xml:space="preserve">[223] </w:t>
      </w:r>
      <w:hyperlink r:id="rId427">
        <w:r>
          <w:rPr>
            <w:color w:val="1155CC"/>
            <w:u w:val="single"/>
          </w:rPr>
          <w:t>在可再循环的固体国家锂金属电池中具有增强的中间稳定性的可循环化聚聚酯电解解液</w:t>
        </w:r>
      </w:hyperlink>
    </w:p>
    <w:p>
      <w:pPr>
        <w:spacing w:before="0" w:after="80"/>
      </w:pPr>
      <w:r>
        <w:rPr>
          <w:i/>
          <w:sz w:val="20"/>
        </w:rPr>
        <w:t>EN: Structure‐Tunable Fluorinated Polyester Electrolytes with Enhanced Interfacial Stability for Recyclable Solid‐State Lithium Metal Batteries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28">
        <w:r>
          <w:rPr>
            <w:color w:val="1155CC"/>
            <w:u w:val="single"/>
          </w:rPr>
          <w:t>10.1002/adma.202511556</w:t>
        </w:r>
      </w:hyperlink>
    </w:p>
    <w:p>
      <w:pPr>
        <w:spacing w:before="0" w:after="120"/>
      </w:pPr>
      <w:r>
        <w:rPr>
          <w:b/>
        </w:rPr>
        <w:t xml:space="preserve">Notes: </w:t>
      </w:r>
      <w:r>
        <w:t>abstract_source=crossref</w:t>
      </w:r>
    </w:p>
    <w:p>
      <w:pPr>
        <w:spacing w:before="0" w:after="80" w:lineRule="auto" w:line="276"/>
      </w:pPr>
      <w:r>
        <w:rPr>
          <w:b/>
        </w:rPr>
        <w:t xml:space="preserve">摘要（ZH）: </w:t>
      </w:r>
      <w:r>
        <w:t>抽象聚合物及其可金枪鱼化的化学结构和环境可持续性,作为下一代固态锂金属电池(SLMBs)的固体聚合物电解解解解槽,引起人们越来越多的注意,通过全面实验和理论研究,包括软体(dol)的碳链长度的系统性变化和协调(diacid)段,连同在聚合物脊柱上不同位置的选择性氟化物,18种聚酯类型被编造,并表明协调部分的氟化通过抑制晶体性,大大增强了电离导。</w:t>
      </w:r>
    </w:p>
    <w:p>
      <w:pPr>
        <w:spacing w:before="0" w:after="200" w:lineRule="auto" w:line="276"/>
      </w:pPr>
      <w:r>
        <w:rPr>
          <w:b/>
        </w:rPr>
        <w:t xml:space="preserve">Abstract (EN): </w:t>
      </w:r>
      <w:r>
        <w:t>Polyesters, with their tunable chemical structures and environmental sustainability, have drawn growing attention as solid polymer electrolytes for next‐generation solid‐state lithium metal batteries (SSLMBs). Through a comprehensive experimental and theoretical study involving the systematic variation of carbon chain lengths in the flexible (diol) and coordinating (diacid) segments, along with selective fluorination at distinct positions along the polymer backbone, 18 types of polyester are fabricated and demonstrate that fluorination at the coordinating segment significantly enhances ionic conductivity by suppressing crystallinity. In contrast, fluorination at the flexible segment reduces ionic migration barriers by providing more homogeneous coordinating sites, thereby improving the lithium‐ion transference number, despite increasing chain rigidity and a reduction in overall ionic conductivity. The optimized fluorinated polyesters exhibit excellent interfacial stability with lithium metal by facilitating the formation of a LiF‐rich solid electrolyte interphase, as supported by experimental and theoretical simulation analysis. More importantly, to enhance cost‐effectiveness and sustainability, a solvent‐based recycling route has been developed, achieving substantial recovery yields and notable environmental benefits. This work provides a versatile molecular design and closed‐loop recovery strategy for fluorinated polyester electrolytes, advancing their practical application in high‐energy and sustainable SSLMBs.</w:t>
      </w:r>
    </w:p>
    <w:p>
      <w:pPr>
        <w:spacing w:before="120" w:after="120"/>
      </w:pPr>
      <w:r>
        <w:rPr>
          <w:sz w:val="18"/>
        </w:rPr>
        <w:t>——————————————————————————————————————————————————————————————————————</w:t>
      </w:r>
    </w:p>
    <w:p>
      <w:pPr>
        <w:spacing w:before="160" w:after="40" w:line="240" w:lineRule="auto"/>
      </w:pPr>
      <w:r>
        <w:rPr>
          <w:b/>
        </w:rPr>
        <w:t xml:space="preserve">[224] </w:t>
      </w:r>
      <w:hyperlink r:id="rId429">
        <w:r>
          <w:rPr>
            <w:color w:val="1155CC"/>
            <w:u w:val="single"/>
          </w:rPr>
          <w:t>对骨髓微生物环境:机械透视和治疗潜能进行生物活性材料和经检测的调节</w:t>
        </w:r>
      </w:hyperlink>
    </w:p>
    <w:p>
      <w:pPr>
        <w:spacing w:before="0" w:after="80"/>
      </w:pPr>
      <w:r>
        <w:rPr>
          <w:i/>
          <w:sz w:val="20"/>
        </w:rPr>
        <w:t>EN: Bioactive Materials‐Mediated Regulation of Bone Marrow Microenvironment: Mechanistic Insights and Therapeutic Potentials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30">
        <w:r>
          <w:rPr>
            <w:color w:val="1155CC"/>
            <w:u w:val="single"/>
          </w:rPr>
          <w:t>10.1002/adma.202511497</w:t>
        </w:r>
      </w:hyperlink>
    </w:p>
    <w:p>
      <w:pPr>
        <w:spacing w:before="0" w:after="120"/>
      </w:pPr>
      <w:r>
        <w:rPr>
          <w:b/>
        </w:rPr>
        <w:t xml:space="preserve">Notes: </w:t>
      </w:r>
      <w:r>
        <w:t>abstract_source=crossref</w:t>
      </w:r>
    </w:p>
    <w:p>
      <w:pPr>
        <w:spacing w:before="0" w:after="80" w:lineRule="auto" w:line="276"/>
      </w:pPr>
      <w:r>
        <w:rPr>
          <w:b/>
        </w:rPr>
        <w:t xml:space="preserve">摘要（ZH）: </w:t>
      </w:r>
      <w:r>
        <w:t>骨髓微生物环境摘要(BME)通过多细胞细胞合作和信号交叉跟踪保持骨固态,其调节功能导致病态骨骼流失。近年来,研究生物物质特性如何影响生物功能的科学学科 -- -- 分子生物学为精确调节这一复杂的微生物环境开辟了新的途径。生物物质通过生物模拟设计和功能化战略,使得能够对骨髓微生物进行精密调节。这些物质不仅能够启动骨骼突触信号路径,促进骨骼形成,而且还抑制骨骼分化和骨吸附功能。此外,它们将神经和血管再生过程与免疫细胞机制相结合,优化干细胞。</w:t>
      </w:r>
    </w:p>
    <w:p>
      <w:pPr>
        <w:spacing w:before="0" w:after="200" w:lineRule="auto" w:line="276"/>
      </w:pPr>
      <w:r>
        <w:rPr>
          <w:b/>
        </w:rPr>
        <w:t xml:space="preserve">Abstract (EN): </w:t>
      </w:r>
      <w:r>
        <w:t>The bone marrow microenvironment(BME) maintains bone homeostasis through multi‐cellular cooperation and signal crosstalk, its dysregulation drives pathological bone loss. In recent years, Materiobiology, a scientific discipline studying how biomaterial properties affect biological functions, has opened new avenues for the precise regulation of this complex microenvironment. Biomaterials enable sophisticated regulation of the BME through biomimetic design and functionalization strategies. They not only activate osteoblast signaling pathways to promote bone formation but also inhibit osteoclast differentiation and bone resorption functions. Additionally, they integrate nerve and vascular regeneration processes with immunomodulatory mechanisms to optimize stem cell behavior and improve the tissue repair microenvironment. This review comprehensively summarizes advances in biomaterial‐mediated BME regulation, emphasizing interdisciplinary integration and intelligent material development to overcome the limitations of conventional therapies. The innovation of intelligent materials lies in their ability to mimic biological systems. Recent research has leveraged generative design models to engineer new thiol‐containing antimicrobial peptides. These approaches achieve spatiotemporal coordination of cellular interactions and functional reconstruction during bone regeneration. Future efforts need to address challenges in material stability, personalized adaptation, and clinical translation, promoting cross‐scale therapeutic innovation from molecular intervention to tissue regeneration, providing revolutionary solutions for bone metabolic diseases and complex defect repair.</w:t>
      </w:r>
    </w:p>
    <w:p>
      <w:pPr>
        <w:spacing w:before="120" w:after="120"/>
      </w:pPr>
      <w:r>
        <w:rPr>
          <w:sz w:val="18"/>
        </w:rPr>
        <w:t>——————————————————————————————————————————————————————————————————————</w:t>
      </w:r>
    </w:p>
    <w:p>
      <w:pPr>
        <w:spacing w:before="160" w:after="40" w:line="240" w:lineRule="auto"/>
      </w:pPr>
      <w:r>
        <w:rPr>
          <w:b/>
        </w:rPr>
        <w:t xml:space="preserve">[225] </w:t>
      </w:r>
      <w:hyperlink r:id="rId431">
        <w:r>
          <w:rPr>
            <w:color w:val="1155CC"/>
            <w:u w:val="single"/>
          </w:rPr>
          <w:t>通过Yb3+工程,提高1.84 eVwide-Bandgap Perovskites 超过19%的光伏发电效率</w:t>
        </w:r>
      </w:hyperlink>
    </w:p>
    <w:p>
      <w:pPr>
        <w:spacing w:before="0" w:after="80"/>
      </w:pPr>
      <w:r>
        <w:rPr>
          <w:i/>
          <w:sz w:val="20"/>
        </w:rPr>
        <w:t>EN: Boosting the Efficiency of 1.84 eV Wide‐Bandgap Perovskites Photovoltaics Beyond 19% via Yb3+ Engineering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32">
        <w:r>
          <w:rPr>
            <w:color w:val="1155CC"/>
            <w:u w:val="single"/>
          </w:rPr>
          <w:t>10.1002/adma.202511882</w:t>
        </w:r>
      </w:hyperlink>
    </w:p>
    <w:p>
      <w:pPr>
        <w:spacing w:before="0" w:after="120"/>
      </w:pPr>
      <w:r>
        <w:rPr>
          <w:b/>
        </w:rPr>
        <w:t xml:space="preserve">Notes: </w:t>
      </w:r>
      <w:r>
        <w:t>abstract_source=crossref</w:t>
      </w:r>
    </w:p>
    <w:p>
      <w:pPr>
        <w:spacing w:before="0" w:after="80" w:lineRule="auto" w:line="276"/>
      </w:pPr>
      <w:r>
        <w:rPr>
          <w:b/>
        </w:rPr>
        <w:t xml:space="preserve">摘要（ZH）: </w:t>
      </w:r>
      <w:r>
        <w:t>抽象阶段隔离仍然是限制宽频频谱太阳能电池性能和长期运行稳定性的最关键挑战之一,这一问题在1.84 eV宽频频谱(WBG) perovskite (WBG) perovskite (WBG) 中尤为突出,那里严重的卤化物阶段隔离导致成分异质性和加速装置退化。在这项工作中,对1.84 eV perovskite 胶片的地表和底界面的卤化离子分布进行了全面调查,揭示了显著的B-/I-卤化阶段隔离,严重损害了设备的效率和稳定性。为解决这一问题,Ytterbium (III) 三氟氯。</w:t>
      </w:r>
    </w:p>
    <w:p>
      <w:pPr>
        <w:spacing w:before="0" w:after="200" w:lineRule="auto" w:line="276"/>
      </w:pPr>
      <w:r>
        <w:rPr>
          <w:b/>
        </w:rPr>
        <w:t xml:space="preserve">Abstract (EN): </w:t>
      </w:r>
      <w:r>
        <w:t>Phase segregation remains one of the most critical challenges limiting the performance and long‐term operational stability of wide‐bandgap perovskite solar cells (PSCs). This issue is especially pronounced in 1.84 eV wide‐bandgap (WBG) perovskites, where severe halide phase segregation leads to compositional heterogeneity and accelerated device degradation. In this work, a comprehensive investigation of halide ion distribution across the surface and bottom interfaces of 1.84 eV perovskite films is conducted, revealing significant Br</w:t>
      </w:r>
      <w:r>
        <w:t xml:space="preserve"> </w:t>
      </w:r>
      <w:r>
        <w:t>−</w:t>
      </w:r>
      <w:r>
        <w:t>/I</w:t>
      </w:r>
      <w:r>
        <w:t xml:space="preserve"> </w:t>
      </w:r>
      <w:r>
        <w:t>−</w:t>
      </w:r>
      <w:r>
        <w:t>halide phase segregation that severely impairs device efficiency and stability. To address this, Ytterbium (III) trifluoromethanesulfonate (Yb(TFSI)</w:t>
      </w:r>
      <w:r>
        <w:rPr>
          <w:vertAlign w:val="subscript"/>
        </w:rPr>
        <w:t>3</w:t>
      </w:r>
      <w:r>
        <w:t>) is introduced as a multifunctional additive in the perovskite precursor. The strong coordination between Yb</w:t>
      </w:r>
      <w:r>
        <w:t xml:space="preserve"> </w:t>
      </w:r>
      <w:r>
        <w:t>3+</w:t>
      </w:r>
      <w:r>
        <w:t xml:space="preserve"> </w:t>
      </w:r>
      <w:r>
        <w:t>ions and halide anions not only modulates the crystallization kinetics but also homogenizes the spatial distribution of Br‐rich and I‐rich domains, resulting in high‐quality perovskite films with reduced compositional heterogeneity. Furthermore, Yb</w:t>
      </w:r>
      <w:r>
        <w:t xml:space="preserve"> </w:t>
      </w:r>
      <w:r>
        <w:t>3+</w:t>
      </w:r>
      <w:r>
        <w:t xml:space="preserve"> </w:t>
      </w:r>
      <w:r>
        <w:t>significantly suppresses halide migration and ion exchange processes, thereby enhancing phase stability. Depth‐resolved characterizations, including grazing‐incidence wide‐angle X‐ray scattering, confirm improved crystallinity, structural uniformity, and suppressed phase segregation across the film depth. As a result, the champion device achieves an outstanding power conversion efficiency (PCE) of 19.06% and retains 85% of its initial efficiency after 1500 h in a nitrogen atmosphere (10% RH, 25 °C).</w:t>
      </w:r>
    </w:p>
    <w:p>
      <w:pPr>
        <w:spacing w:before="120" w:after="120"/>
      </w:pPr>
      <w:r>
        <w:rPr>
          <w:sz w:val="18"/>
        </w:rPr>
        <w:t>——————————————————————————————————————————————————————————————————————</w:t>
      </w:r>
    </w:p>
    <w:p>
      <w:pPr>
        <w:spacing w:before="160" w:after="40" w:line="240" w:lineRule="auto"/>
      </w:pPr>
      <w:r>
        <w:rPr>
          <w:b/>
        </w:rPr>
        <w:t xml:space="preserve">[226] </w:t>
      </w:r>
      <w:hyperlink r:id="rId433">
        <w:r>
          <w:rPr>
            <w:color w:val="1155CC"/>
            <w:u w:val="single"/>
          </w:rPr>
          <w:t>具有超超全线性范围的超透明敏感灵活触控感应器</w:t>
        </w:r>
      </w:hyperlink>
    </w:p>
    <w:p>
      <w:pPr>
        <w:spacing w:before="0" w:after="80"/>
      </w:pPr>
      <w:r>
        <w:rPr>
          <w:i/>
          <w:sz w:val="20"/>
        </w:rPr>
        <w:t>EN: Localized Gradient Conductivity Enabled Ultrasensitive Flexible Tactile Sensors with Ultrawide Linearity Range</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34">
        <w:r>
          <w:rPr>
            <w:color w:val="1155CC"/>
            <w:u w:val="single"/>
          </w:rPr>
          <w:t>10.1002/adma.202511275</w:t>
        </w:r>
      </w:hyperlink>
    </w:p>
    <w:p>
      <w:pPr>
        <w:spacing w:before="0" w:after="120"/>
      </w:pPr>
      <w:r>
        <w:rPr>
          <w:b/>
        </w:rPr>
        <w:t xml:space="preserve">Notes: </w:t>
      </w:r>
      <w:r>
        <w:t>abstract_source=crossref</w:t>
      </w:r>
    </w:p>
    <w:p>
      <w:pPr>
        <w:spacing w:before="0" w:after="80" w:lineRule="auto" w:line="276"/>
      </w:pPr>
      <w:r>
        <w:rPr>
          <w:b/>
        </w:rPr>
        <w:t xml:space="preserve">摘要（ZH）: </w:t>
      </w:r>
      <w:r>
        <w:t>高灵敏度和广度线性对于灵活的触觉感应器在适应各种应用情景时具有高度准确性和可靠性至关重要,然而,建造微型结构的常规优化战略受到高度灵敏性和广度线性之间的相互限制。在此,提出了局部梯度传导性(LGC)的新设计,其中部分覆盖了高导性(High_Q)银纳米线膜的高导性(High_QQ)碳/多甲基硅氧烷层。提议在微原子结构上采用LGC配置,以产生独特的压力(aparallel)序列转换。</w:t>
      </w:r>
    </w:p>
    <w:p>
      <w:pPr>
        <w:spacing w:before="0" w:after="200" w:lineRule="auto" w:line="276"/>
      </w:pPr>
      <w:r>
        <w:rPr>
          <w:b/>
        </w:rPr>
        <w:t xml:space="preserve">Abstract (EN): </w:t>
      </w:r>
      <w:r>
        <w:t>The high sensitivity and wide linearity are crucial for flexible tactile sensors in adapting to diverse application scenarios with high accuracy and reliability. However, conventional optimization strategies of constructing microstructures suffer from the mutual restriction between the high sensitivity and wide linearity. Herein, a novel design of localized gradient conductivity (LGC) with partly covered low‐conductivity (low‐</w:t>
      </w:r>
      <w:r>
        <w:t xml:space="preserve"> </w:t>
      </w:r>
      <w:r>
        <w:t>σ</w:t>
      </w:r>
      <w:r>
        <w:t xml:space="preserve"> </w:t>
      </w:r>
      <w:r>
        <w:t>) carbon/Polydimethylsiloxane layer on high‐conductivity (high‐</w:t>
      </w:r>
      <w:r>
        <w:t xml:space="preserve"> </w:t>
      </w:r>
      <w:r>
        <w:t>σ</w:t>
      </w:r>
      <w:r>
        <w:t xml:space="preserve"> </w:t>
      </w:r>
      <w:r>
        <w:t>) silver nanowires film upon the micro‐dome structure is proposed. The LGC configuration enables a unique pressure‐motivated series‐parallel switching to allow the low‐</w:t>
      </w:r>
      <w:r>
        <w:t xml:space="preserve"> </w:t>
      </w:r>
      <w:r>
        <w:t>σ</w:t>
      </w:r>
      <w:r>
        <w:t xml:space="preserve"> </w:t>
      </w:r>
      <w:r>
        <w:t>and high‐</w:t>
      </w:r>
      <w:r>
        <w:t xml:space="preserve"> </w:t>
      </w:r>
      <w:r>
        <w:t>σ</w:t>
      </w:r>
      <w:r>
        <w:t xml:space="preserve"> </w:t>
      </w:r>
      <w:r>
        <w:t>components to separately take dominant effects in different pressure ranges. The ultrawide linearity can thus be realized by customizing the segmented linear current variation via the rationally associated coverage degree and conductivity gradient of the low‐</w:t>
      </w:r>
      <w:r>
        <w:t xml:space="preserve"> </w:t>
      </w:r>
      <w:r>
        <w:t>σ</w:t>
      </w:r>
      <w:r>
        <w:t xml:space="preserve"> </w:t>
      </w:r>
      <w:r>
        <w:t>and high‐</w:t>
      </w:r>
      <w:r>
        <w:t xml:space="preserve"> </w:t>
      </w:r>
      <w:r>
        <w:t>σ</w:t>
      </w:r>
      <w:r>
        <w:t xml:space="preserve"> </w:t>
      </w:r>
      <w:r>
        <w:t>components. Moreover, the ultrahigh sensitivity can be originally endowed by the conductivity difference between the low‐</w:t>
      </w:r>
      <w:r>
        <w:t xml:space="preserve"> </w:t>
      </w:r>
      <w:r>
        <w:t>σ</w:t>
      </w:r>
      <w:r>
        <w:t xml:space="preserve"> </w:t>
      </w:r>
      <w:r>
        <w:t>and high‐</w:t>
      </w:r>
      <w:r>
        <w:t xml:space="preserve"> </w:t>
      </w:r>
      <w:r>
        <w:t>σ</w:t>
      </w:r>
      <w:r>
        <w:t xml:space="preserve"> </w:t>
      </w:r>
      <w:r>
        <w:t>components without compromising linearity. The optimized sensor exhibits an ultrahigh sensitivity of 1546.35 kPa</w:t>
      </w:r>
      <w:r>
        <w:t xml:space="preserve"> </w:t>
      </w:r>
      <w:r>
        <w:t>−1</w:t>
      </w:r>
      <w:r>
        <w:t xml:space="preserve"> </w:t>
      </w:r>
      <w:r>
        <w:t>within an ultrabroad linear sensing range of 0–3000 kPa, which is first reported. With such an excellent sensing performance, the potential applications, e.g., reliable healthcare monitoring, convenient smart home control, and ground detection of intelligent vehicles, are successfully demonstrated.</w:t>
      </w:r>
    </w:p>
    <w:p>
      <w:pPr>
        <w:spacing w:before="120" w:after="120"/>
      </w:pPr>
      <w:r>
        <w:rPr>
          <w:sz w:val="18"/>
        </w:rPr>
        <w:t>——————————————————————————————————————————————————————————————————————</w:t>
      </w:r>
    </w:p>
    <w:p>
      <w:pPr>
        <w:spacing w:before="160" w:after="40" w:line="240" w:lineRule="auto"/>
      </w:pPr>
      <w:r>
        <w:rPr>
          <w:b/>
        </w:rPr>
        <w:t xml:space="preserve">[227] </w:t>
      </w:r>
      <w:hyperlink r:id="rId435">
        <w:r>
          <w:rPr>
            <w:color w:val="1155CC"/>
            <w:u w:val="single"/>
          </w:rPr>
          <w:t>防止通过外科伤寒因米托昆德里应激而使内子豁免通过外科创伤性裂变而使内子豁免重新崩溃,从而导致血浆瘤重新衰落</w:t>
        </w:r>
      </w:hyperlink>
    </w:p>
    <w:p>
      <w:pPr>
        <w:spacing w:before="0" w:after="80"/>
      </w:pPr>
      <w:r>
        <w:rPr>
          <w:i/>
          <w:sz w:val="20"/>
        </w:rPr>
        <w:t>EN: Preventing Glioblastoma Relapse by Igniting Innate Immunity through Mitochondrial Stress in the Surgical Cavity</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36">
        <w:r>
          <w:rPr>
            <w:color w:val="1155CC"/>
            <w:u w:val="single"/>
          </w:rPr>
          <w:t>10.1002/adma.202511351</w:t>
        </w:r>
      </w:hyperlink>
    </w:p>
    <w:p>
      <w:pPr>
        <w:spacing w:before="0" w:after="120"/>
      </w:pPr>
      <w:r>
        <w:rPr>
          <w:b/>
        </w:rPr>
        <w:t xml:space="preserve">Notes: </w:t>
      </w:r>
      <w:r>
        <w:t>abstract_source=crossref</w:t>
      </w:r>
    </w:p>
    <w:p>
      <w:pPr>
        <w:spacing w:before="0" w:after="80" w:lineRule="auto" w:line="276"/>
      </w:pPr>
      <w:r>
        <w:rPr>
          <w:b/>
        </w:rPr>
        <w:t xml:space="preserve">摘要（ZH）: </w:t>
      </w:r>
      <w:r>
        <w:t>遗传基因豁免在协调脑免疫反应方面至关重要,但是,遗传细胞瘤多种形式(GBM)已经发展出逃避遗传免疫监测的尖端机制,对目前的免疫疗法构成重大挑战。在这里,报告了一项治疗战略,旨在通过定向诱导肾上腺硬质应激,恢复GBM的遗传免疫反应,从而增强肿瘤免疫性。具体地说,开发了遗传免疫模拟纳米粒子(INSTNA),其中包罗了有积极电荷的基复合物(Irmito)和小型干扰RNA抗甲基苯丙胺控制性J蛋白(si MCJ)以缓解脑硬质再活性。这种结合有效地破坏了GBM细胞的肾上腺体功能,即分离体。</w:t>
      </w:r>
    </w:p>
    <w:p>
      <w:pPr>
        <w:spacing w:before="0" w:after="200" w:lineRule="auto" w:line="276"/>
      </w:pPr>
      <w:r>
        <w:rPr>
          <w:b/>
        </w:rPr>
        <w:t xml:space="preserve">Abstract (EN): </w:t>
      </w:r>
      <w:r>
        <w:t>Innate immunity is crucial in orchestrating the brain immune response, however, glioblastoma multiforme (GBM) has evolved sophisticated mechanisms to evade innate immune surveillance, posing significant challenges for current immunotherapies. Here, a therapeutic strategy is reported that aims at reactivating innate immune responses in GBM via targeted induction of mitochondrial stress, thereby enhancing tumor immunogenicity. Specifically, innate immune‐stimulating nanoparticles (INSTNA) are developed, encapsulating positively charged iridium‐based complexes (Ir‐mito) and small interfering RNA against Methylation‐Controlled J protein (si‐MCJ) to attenuate mitochondrial respiration. This combination effectively disrupts mitochondrial function of GBM cells, particularly when combined with tumor‐treating fields. The engineered charge‐reversal INSTNA impair the mitochondrial electron transport chain (ETC), inducing oxidative phosphorylation (OXPHOS) stress and subsequent mitochondrial matrix release. Furthermore, hydrogel‐mediated delivery of INSTNA in a postoperative GBM mouse model significantly remodeled the immunosuppressive microenvironment, resulting in pronounced tumor regression. In sum, these findings highlight that targeted induction of mitochondrial stress in postoperative GBM can potentiate innate immune activation and enhance adaptive immunity, offering a promising avenue for mitigating GBM recurrence.</w:t>
      </w:r>
    </w:p>
    <w:p>
      <w:pPr>
        <w:spacing w:before="120" w:after="120"/>
      </w:pPr>
      <w:r>
        <w:rPr>
          <w:sz w:val="18"/>
        </w:rPr>
        <w:t>——————————————————————————————————————————————————————————————————————</w:t>
      </w:r>
    </w:p>
    <w:p>
      <w:pPr>
        <w:spacing w:before="160" w:after="40" w:line="240" w:lineRule="auto"/>
      </w:pPr>
      <w:r>
        <w:rPr>
          <w:b/>
        </w:rPr>
        <w:t xml:space="preserve">[228] </w:t>
      </w:r>
      <w:hyperlink r:id="rId437">
        <w:r>
          <w:rPr>
            <w:color w:val="1155CC"/>
            <w:u w:val="single"/>
          </w:rPr>
          <w:t>在渐变元表层中,以 EpsilonNearero 模式进行空间编码的极极地超强强联结</w:t>
        </w:r>
      </w:hyperlink>
    </w:p>
    <w:p>
      <w:pPr>
        <w:spacing w:before="0" w:after="80"/>
      </w:pPr>
      <w:r>
        <w:rPr>
          <w:i/>
          <w:sz w:val="20"/>
        </w:rPr>
        <w:t>EN: Spatially Encoded Polaritonic Ultra‐Strong Coupling in Gradient Metasurfaces with Epsilon‐Near‐Zero Modes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38">
        <w:r>
          <w:rPr>
            <w:color w:val="1155CC"/>
            <w:u w:val="single"/>
          </w:rPr>
          <w:t>10.1002/adma.202510402</w:t>
        </w:r>
      </w:hyperlink>
    </w:p>
    <w:p>
      <w:pPr>
        <w:spacing w:before="0" w:after="120"/>
      </w:pPr>
      <w:r>
        <w:rPr>
          <w:b/>
        </w:rPr>
        <w:t xml:space="preserve">Notes: </w:t>
      </w:r>
      <w:r>
        <w:t>abstract_source=crossref</w:t>
      </w:r>
    </w:p>
    <w:p>
      <w:pPr>
        <w:spacing w:before="0" w:after="80" w:lineRule="auto" w:line="276"/>
      </w:pPr>
      <w:r>
        <w:rPr>
          <w:b/>
        </w:rPr>
        <w:t xml:space="preserve">摘要（ZH）: </w:t>
      </w:r>
      <w:r>
        <w:t>使用广泛可得的材料实现光和物质之间的超强结合(USC),引入了一个平台。 USC是一个光-物质互动机制,其特点是超强超过地面状态能量的10%。 它产生了新型物理现象,如高效单子相联和量子门,其应用包括量子感测、非线光学和低纬度拉链。 尽管在质谱系统中的早期演示已经实现,但是在电极平台上实现USC仍然具有挑战性,因为光场和材料共振之间典型的低模式重叠。 而在此处,二电双梯层的元表层支持了半立面。</w:t>
      </w:r>
    </w:p>
    <w:p>
      <w:pPr>
        <w:spacing w:before="0" w:after="200" w:lineRule="auto" w:line="276"/>
      </w:pPr>
      <w:r>
        <w:rPr>
          <w:b/>
        </w:rPr>
        <w:t xml:space="preserve">Abstract (EN): </w:t>
      </w:r>
      <w:r>
        <w:t>A platform is introduced to achieve ultra‐strong coupling (USC) between light and matter using widely available materials. USC is a light–matter interaction regime characterized by coupling strengths exceeding 10% of the ground state energy. It gives rise to novel physical phenomena, such as efficient single‐photon coupling and quantum gates, with applications in quantum sensing, nonlinear optics, and low‐threshold lasing. Although early demonstrations in plasmonic systems have been realized, achieving USC in dielectric platforms, which offer lower losses and high Q‐factors, remains challenging due to typically low mode overlap between the photonic field and the material resonance. Here, dielectric dual gradient metasurfaces supporting quasi‐bound‐states‐in‐the‐continuum are leveraged to spatially encode both the spectral and coupling parameter space and demonstrate USC to an epsilon‐near‐zero (ENZ) mode in an ultra‐thin SiO</w:t>
      </w:r>
      <w:r>
        <w:rPr>
          <w:vertAlign w:val="subscript"/>
        </w:rPr>
        <w:t>2</w:t>
      </w:r>
      <w:r>
        <w:t>layer. The strong out‐of‐plane electric fields in tapered bar structure overlap exceptionally well with those of the ENZ mode, resulting in a normalized coupling strength of η = 0.10 and a mode splitting equivalent to 20% of the ENZ mode energy; a four‐to‐five‐fold increase compared to previous approaches. The strong field confinement of the approach opens new possibilities for compact and scalable polaritonic devices, such as tunable frequency converters and low‐energy optical modulators.</w:t>
      </w:r>
    </w:p>
    <w:p>
      <w:pPr>
        <w:spacing w:before="120" w:after="120"/>
      </w:pPr>
      <w:r>
        <w:rPr>
          <w:sz w:val="18"/>
        </w:rPr>
        <w:t>——————————————————————————————————————————————————————————————————————</w:t>
      </w:r>
    </w:p>
    <w:p>
      <w:pPr>
        <w:spacing w:before="160" w:after="40" w:line="240" w:lineRule="auto"/>
      </w:pPr>
      <w:r>
        <w:rPr>
          <w:b/>
        </w:rPr>
        <w:t xml:space="preserve">[229] </w:t>
      </w:r>
      <w:hyperlink r:id="rId439">
        <w:r>
          <w:rPr>
            <w:color w:val="1155CC"/>
            <w:u w:val="single"/>
          </w:rPr>
          <w:t>在自然光光下高效减少二氧化碳的有条不紊的光相同步电流</w:t>
        </w:r>
      </w:hyperlink>
    </w:p>
    <w:p>
      <w:pPr>
        <w:spacing w:before="0" w:after="80"/>
      </w:pPr>
      <w:r>
        <w:rPr>
          <w:i/>
          <w:sz w:val="20"/>
        </w:rPr>
        <w:t>EN: Orderly Drawing Photo‐Thermal Synergistic Electron Flow for Efficient CO2 Reduction under Natural Sunlight</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40">
        <w:r>
          <w:rPr>
            <w:color w:val="1155CC"/>
            <w:u w:val="single"/>
          </w:rPr>
          <w:t>10.1002/adma.202511097</w:t>
        </w:r>
      </w:hyperlink>
    </w:p>
    <w:p>
      <w:pPr>
        <w:spacing w:before="0" w:after="120"/>
      </w:pPr>
      <w:r>
        <w:rPr>
          <w:b/>
        </w:rPr>
        <w:t xml:space="preserve">Notes: </w:t>
      </w:r>
      <w:r>
        <w:t>abstract_source=crossref</w:t>
      </w:r>
    </w:p>
    <w:p>
      <w:pPr>
        <w:spacing w:before="0" w:after="80" w:lineRule="auto" w:line="276"/>
      </w:pPr>
      <w:r>
        <w:rPr>
          <w:b/>
        </w:rPr>
        <w:t xml:space="preserve">摘要（ZH）: </w:t>
      </w:r>
      <w:r>
        <w:t>光化摘要分析是减少二氧化碳2的绿色有希望的方法。由于效率高,对金属硫化物在这一领域进行了广泛研究,但是,由于金属硫化物大多容易被光化。在这里,报告有一个稳定和高效的scheme 血清阻隔催化剂,Fe x y S z/TiO 2 是因为在现场实验中有条不紊地绘制光热协同电子流,减少二氧化碳2。在自然阳光条件下进行的试验表明,Fe x In。</w:t>
      </w:r>
    </w:p>
    <w:p>
      <w:pPr>
        <w:spacing w:before="0" w:after="200" w:lineRule="auto" w:line="276"/>
      </w:pPr>
      <w:r>
        <w:rPr>
          <w:b/>
        </w:rPr>
        <w:t xml:space="preserve">Abstract (EN): </w:t>
      </w:r>
      <w:r>
        <w:t>Photocatalysis is a green promising approach for CO</w:t>
      </w:r>
      <w:r>
        <w:rPr>
          <w:vertAlign w:val="subscript"/>
        </w:rPr>
        <w:t>2</w:t>
      </w:r>
      <w:r>
        <w:t>reduction. Metal sulfides are widely studied in this field due to the high‐efficiency, however, most of them are prone to photo‐corrosion. Herein, a stable and efficient Z‐scheme heterojunction catalyst is reported, Fe</w:t>
      </w:r>
      <w:r>
        <w:t xml:space="preserve"> </w:t>
      </w:r>
      <w:r>
        <w:t>x</w:t>
      </w:r>
      <w:r>
        <w:t xml:space="preserve"> </w:t>
      </w:r>
      <w:r>
        <w:t>In</w:t>
      </w:r>
      <w:r>
        <w:t xml:space="preserve"> </w:t>
      </w:r>
      <w:r>
        <w:t>y</w:t>
      </w:r>
      <w:r>
        <w:t xml:space="preserve"> </w:t>
      </w:r>
      <w:r>
        <w:t>S</w:t>
      </w:r>
      <w:r>
        <w:t xml:space="preserve"> </w:t>
      </w:r>
      <w:r>
        <w:t>z</w:t>
      </w:r>
      <w:r>
        <w:t xml:space="preserve"> </w:t>
      </w:r>
      <w:r>
        <w:t>/TiO</w:t>
      </w:r>
      <w:r>
        <w:rPr>
          <w:vertAlign w:val="subscript"/>
        </w:rPr>
        <w:t>2</w:t>
      </w:r>
      <w:r>
        <w:t>owing an orderly drawing photo‐thermal synergistic electron flow for CO</w:t>
      </w:r>
      <w:r>
        <w:rPr>
          <w:vertAlign w:val="subscript"/>
        </w:rPr>
        <w:t>2</w:t>
      </w:r>
      <w:r>
        <w:t>reduction in a field experiment. The tests under natural sunlight conditions demonstrated that Fe</w:t>
      </w:r>
      <w:r>
        <w:t xml:space="preserve"> </w:t>
      </w:r>
      <w:r>
        <w:t>x</w:t>
      </w:r>
      <w:r>
        <w:t xml:space="preserve"> </w:t>
      </w:r>
      <w:r>
        <w:t>In</w:t>
      </w:r>
      <w:r>
        <w:t xml:space="preserve"> </w:t>
      </w:r>
      <w:r>
        <w:t>y</w:t>
      </w:r>
      <w:r>
        <w:t xml:space="preserve"> </w:t>
      </w:r>
      <w:r>
        <w:t>S</w:t>
      </w:r>
      <w:r>
        <w:t xml:space="preserve"> </w:t>
      </w:r>
      <w:r>
        <w:t>z</w:t>
      </w:r>
      <w:r>
        <w:t xml:space="preserve"> </w:t>
      </w:r>
      <w:r>
        <w:t>/TiO</w:t>
      </w:r>
      <w:r>
        <w:rPr>
          <w:vertAlign w:val="subscript"/>
        </w:rPr>
        <w:t>2</w:t>
      </w:r>
      <w:r>
        <w:t>has a stability of 4 natural days. The maximum photothermal energy conversion efficiency is 1.16%, which is the highest record under concentrated natural sunlight for CO</w:t>
      </w:r>
      <w:r>
        <w:rPr>
          <w:vertAlign w:val="subscript"/>
        </w:rPr>
        <w:t>2</w:t>
      </w:r>
      <w:r>
        <w:t>reduction with pure water. The in situ rapid‐scan XANES and XPS show the raising temperature and photo‐irradiation synergistically stretch electrons from O to Fe, revealing the mechanism of thermal modulation to optimize the active sites for efficient and stable photocatalytic CO</w:t>
      </w:r>
      <w:r>
        <w:rPr>
          <w:vertAlign w:val="subscript"/>
        </w:rPr>
        <w:t>2</w:t>
      </w:r>
      <w:r>
        <w:t>reduction. This work pioneers the stable and efficient reduction of CO</w:t>
      </w:r>
      <w:r>
        <w:rPr>
          <w:vertAlign w:val="subscript"/>
        </w:rPr>
        <w:t>2</w:t>
      </w:r>
      <w:r>
        <w:t>under outdoor sunlight conditions, providing a theoretical foundation for the outdoor application of this technology.</w:t>
      </w:r>
    </w:p>
    <w:p>
      <w:pPr>
        <w:spacing w:before="120" w:after="120"/>
      </w:pPr>
      <w:r>
        <w:rPr>
          <w:sz w:val="18"/>
        </w:rPr>
        <w:t>——————————————————————————————————————————————————————————————————————</w:t>
      </w:r>
    </w:p>
    <w:p>
      <w:pPr>
        <w:spacing w:before="160" w:after="40" w:line="240" w:lineRule="auto"/>
      </w:pPr>
      <w:r>
        <w:rPr>
          <w:b/>
        </w:rPr>
        <w:t xml:space="preserve">[230] </w:t>
      </w:r>
      <w:hyperlink r:id="rId441">
        <w:r>
          <w:rPr>
            <w:color w:val="1155CC"/>
            <w:u w:val="single"/>
          </w:rPr>
          <w:t>内地视觉系统光控光控模管理人促进同步遥感与模拟转换</w:t>
        </w:r>
      </w:hyperlink>
    </w:p>
    <w:p>
      <w:pPr>
        <w:spacing w:before="0" w:after="80"/>
      </w:pPr>
      <w:r>
        <w:rPr>
          <w:i/>
          <w:sz w:val="20"/>
        </w:rPr>
        <w:t>EN: Optically Controlled Memristor Enabling Synergistic Sensing‐Memory‐Computing for Neuromorphic Vision Systems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42">
        <w:r>
          <w:rPr>
            <w:color w:val="1155CC"/>
            <w:u w:val="single"/>
          </w:rPr>
          <w:t>10.1002/adma.202511411</w:t>
        </w:r>
      </w:hyperlink>
    </w:p>
    <w:p>
      <w:pPr>
        <w:spacing w:before="0" w:after="120"/>
      </w:pPr>
      <w:r>
        <w:rPr>
          <w:b/>
        </w:rPr>
        <w:t xml:space="preserve">Notes: </w:t>
      </w:r>
      <w:r>
        <w:t>abstract_source=crossref</w:t>
      </w:r>
    </w:p>
    <w:p>
      <w:pPr>
        <w:spacing w:before="0" w:after="80" w:lineRule="auto" w:line="276"/>
      </w:pPr>
      <w:r>
        <w:rPr>
          <w:b/>
        </w:rPr>
        <w:t xml:space="preserve">摘要（ZH）: </w:t>
      </w:r>
      <w:r>
        <w:t>光电信号探测和神经激发的计算过程的协同效益产生这种潜力,然而,目前的装置面临光/光抗力比率不足、不匹配的瞬时光反应和挥发性保留特性等挑战,限制了它们适应复杂的人工视觉系统的能力。在这里,通过利用KNbO 3的独特特性开发了一个新的光控模管理人,在KNbO 3的特性下,抵抗性切换源自导形丝锥体的动态重建。</w:t>
      </w:r>
    </w:p>
    <w:p>
      <w:pPr>
        <w:spacing w:before="0" w:after="200" w:lineRule="auto" w:line="276"/>
      </w:pPr>
      <w:r>
        <w:rPr>
          <w:b/>
        </w:rPr>
        <w:t xml:space="preserve">Abstract (EN): </w:t>
      </w:r>
      <w:r>
        <w:t>Neuromorphic Visual Devices hold considerable promise for integration into neuromorphic vision systems that combine sensing, memory, and computing. This potential arises from their synergistic benefits in optical signal detection and neuro‐inspired computational processes. However, current devices face challenges such as insufficient light/dark resistance ratios, mismatched transient photo‐response, and volatile retention characteristics, limiting their adaptability to complex artificial vision systems. Here, a novel optically controlled memristor is developed by leveraging the unique properties of KNbO</w:t>
      </w:r>
      <w:r>
        <w:rPr>
          <w:vertAlign w:val="subscript"/>
        </w:rPr>
        <w:t>3</w:t>
      </w:r>
      <w:r>
        <w:t>, where resistive switching originates from the dynamic reconstruction of conductive filaments controlled by light‐modulated oxygen vacancy charges. Experimental results reveal exceptional reconfigurable electrical characteristics across the 405–650 nm visible spectrum: optically triggered nonvolatile resistive switching, dual‐modal dark‐state operation, switching ratio &amp;gt;10</w:t>
      </w:r>
      <w:r>
        <w:rPr>
          <w:vertAlign w:val="subscript"/>
        </w:rPr>
        <w:t>2</w:t>
      </w:r>
      <w:r>
        <w:t>, endurance 6 × 10</w:t>
      </w:r>
      <w:r>
        <w:rPr>
          <w:vertAlign w:val="subscript"/>
        </w:rPr>
        <w:t>6</w:t>
      </w:r>
      <w:r>
        <w:t>cycles, retention &amp;gt;10</w:t>
      </w:r>
      <w:r>
        <w:rPr>
          <w:vertAlign w:val="subscript"/>
        </w:rPr>
        <w:t>4</w:t>
      </w:r>
      <w:r>
        <w:t>s, photo‐to‐dark current ratio &amp;gt;10</w:t>
      </w:r>
      <w:r>
        <w:rPr>
          <w:vertAlign w:val="subscript"/>
        </w:rPr>
        <w:t>2</w:t>
      </w:r>
      <w:r>
        <w:t>, and self‐powered capability. The enhanced light/dark resistance contrast significantly improves visual perception in complex illumination environments, whereas the synergistic interplay between the dynamic photo‐response and nonvolatile storage balances transient signal processing with persistent information retention. In integrated sensing‐memory‐computing tasks, the devices achieved recognition accuracies of 96% and 85% on the standard Jellyfish dataset and its low‐illumination variant, demonstrating technical feasibility and providing a theoretically grounded solution with practical implications for the development of bioinspired vision chips.</w:t>
      </w:r>
    </w:p>
    <w:p>
      <w:pPr>
        <w:spacing w:before="120" w:after="120"/>
      </w:pPr>
      <w:r>
        <w:rPr>
          <w:sz w:val="18"/>
        </w:rPr>
        <w:t>——————————————————————————————————————————————————————————————————————</w:t>
      </w:r>
    </w:p>
    <w:p>
      <w:pPr>
        <w:spacing w:before="160" w:after="40" w:line="240" w:lineRule="auto"/>
      </w:pPr>
      <w:r>
        <w:rPr>
          <w:b/>
        </w:rPr>
        <w:t xml:space="preserve">[231] </w:t>
      </w:r>
      <w:hyperlink r:id="rId443">
        <w:r>
          <w:rPr>
            <w:color w:val="1155CC"/>
            <w:u w:val="single"/>
          </w:rPr>
          <w:t>Lanthanum 用于增强氧气电催化的对等热界面催化器中引引的梯度场</w:t>
        </w:r>
      </w:hyperlink>
    </w:p>
    <w:p>
      <w:pPr>
        <w:spacing w:before="0" w:after="80"/>
      </w:pPr>
      <w:r>
        <w:rPr>
          <w:i/>
          <w:sz w:val="20"/>
        </w:rPr>
        <w:t>EN: Lanthanum‐Induced Gradient Fields in Asymmetric Heterointerface Catalysts for Enhanced Oxygen Electrocatalysis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44">
        <w:r>
          <w:rPr>
            <w:color w:val="1155CC"/>
            <w:u w:val="single"/>
          </w:rPr>
          <w:t>10.1002/adma.202511117</w:t>
        </w:r>
      </w:hyperlink>
    </w:p>
    <w:p>
      <w:pPr>
        <w:spacing w:before="0" w:after="120"/>
      </w:pPr>
      <w:r>
        <w:rPr>
          <w:b/>
        </w:rPr>
        <w:t xml:space="preserve">Notes: </w:t>
      </w:r>
      <w:r>
        <w:t>abstract_source=crossref</w:t>
      </w:r>
    </w:p>
    <w:p>
      <w:pPr>
        <w:spacing w:before="0" w:after="80" w:lineRule="auto" w:line="276"/>
      </w:pPr>
      <w:r>
        <w:rPr>
          <w:b/>
        </w:rPr>
        <w:t xml:space="preserve">摘要（ZH）: </w:t>
      </w:r>
      <w:r>
        <w:t>金属-硝基碳(Mnc)催化元素作为氧电解中高贵金属的具有成本效益的替代品,具有相当大的潜力,但无节制原子迁移和热解期间随机结构重新排列往往导致协调环境混乱和活跃地点稀少,从根本上限制了其内在催化活动和长期耐久性,因此,报告了一项新战略,通过将外国金属(La)纳入,用于定向调节原子迁移途径。 通过Kirkendall效应利用原子迁移优先事项的差异,实现了原子扩散方向控制,以构建一个定义明确的非对称多相异相对流。</w:t>
      </w:r>
    </w:p>
    <w:p>
      <w:pPr>
        <w:spacing w:before="0" w:after="200" w:lineRule="auto" w:line="276"/>
      </w:pPr>
      <w:r>
        <w:rPr>
          <w:b/>
        </w:rPr>
        <w:t xml:space="preserve">Abstract (EN): </w:t>
      </w:r>
      <w:r>
        <w:t>Metal‐nitrogen‐carbon (M‐N‐C) catalysts display considerable potential as cost‐effective alternatives to noble metals in oxygen electrocatalysis. However, uncontrolled atomic migration and random structural rearrangement during pyrolysis often lead to disordered coordination environments and sparse active sites, fundamentally limiting their intrinsic catalytic activities and long‐term durability. Herein, a novel strategy is reported for use in directionally regulating atomic migration pathways via the incorporation of a foreign metal (La). By exploiting the differences in the atomic migration priorities via the Kirkendall effect, directional control of atomic diffusion is achieved to fabricate a well‐defined asymmetric multiphase heterointerface catalyst (LaN/LaFe‐NC). The presence of high‐density, structurally well‐defined active sites – along with a built‐in directional electric field across the heterointerface – substantially enhances the efficiency of interfacial charge transport, thus improving the intrinsic activity and stability in oxygen electrocatalysis. When incorporated into a rechargeable Zn‐air battery, LaN/LaFe‐NC delivers a high power density of 211 mW cm</w:t>
      </w:r>
      <w:r>
        <w:t xml:space="preserve"> </w:t>
      </w:r>
      <w:r>
        <w:t>−2</w:t>
      </w:r>
      <w:r>
        <w:t xml:space="preserve"> </w:t>
      </w:r>
      <w:r>
        <w:t>, with an exceptional cycling stability of &amp;gt;240 h. This study establishes a generalizable atomic‐level design strategy for use in engineering robust heterointerface catalysts and offers valuable insights for application in advancing next‐generation renewable energy conversion and storage systems.</w:t>
      </w:r>
    </w:p>
    <w:p>
      <w:pPr>
        <w:spacing w:before="120" w:after="120"/>
      </w:pPr>
      <w:r>
        <w:rPr>
          <w:sz w:val="18"/>
        </w:rPr>
        <w:t>——————————————————————————————————————————————————————————————————————</w:t>
      </w:r>
    </w:p>
    <w:p>
      <w:pPr>
        <w:spacing w:before="160" w:after="40" w:line="240" w:lineRule="auto"/>
      </w:pPr>
      <w:r>
        <w:rPr>
          <w:b/>
        </w:rPr>
        <w:t xml:space="preserve">[232] </w:t>
      </w:r>
      <w:hyperlink r:id="rId445">
        <w:r>
          <w:rPr>
            <w:color w:val="1155CC"/>
            <w:u w:val="single"/>
          </w:rPr>
          <w:t>使用简单和可缩放方法的高性能传输率 日间周期性辐射性冷却薄膜</w:t>
        </w:r>
      </w:hyperlink>
    </w:p>
    <w:p>
      <w:pPr>
        <w:spacing w:before="0" w:after="80"/>
      </w:pPr>
      <w:r>
        <w:rPr>
          <w:i/>
          <w:sz w:val="20"/>
        </w:rPr>
        <w:t>EN: High Performance Transmission‐Type Daytime Radiative Cooling Film with a Simple and Scalable Method</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46">
        <w:r>
          <w:rPr>
            <w:color w:val="1155CC"/>
            <w:u w:val="single"/>
          </w:rPr>
          <w:t>10.1002/adma.202511138</w:t>
        </w:r>
      </w:hyperlink>
    </w:p>
    <w:p>
      <w:pPr>
        <w:spacing w:before="0" w:after="120"/>
      </w:pPr>
      <w:r>
        <w:rPr>
          <w:b/>
        </w:rPr>
        <w:t xml:space="preserve">Notes: </w:t>
      </w:r>
      <w:r>
        <w:t>abstract_source=crossref</w:t>
      </w:r>
    </w:p>
    <w:p>
      <w:pPr>
        <w:spacing w:before="0" w:after="80" w:lineRule="auto" w:line="276"/>
      </w:pPr>
      <w:r>
        <w:rPr>
          <w:b/>
        </w:rPr>
        <w:t xml:space="preserve">摘要（ZH）: </w:t>
      </w:r>
      <w:r>
        <w:t>抽象传输型散热冷却纺织品是个人热管理的重要战略。然而,基于热子诱发的分阶段分离的传统制备方法在成本、环境影响和光学性能方面面临着重大挑战。在此,一种新的制备方法通过将中半IR透明固体苯乙烯丁烯乙烯苯乙烯(SEBS)与固态聚乙烯(PE)混合而成,从而通过溶解SEBS而产生孔状体。因此,大规模生产在仪表规模上传播型的散热冷却薄膜,展示了95%的太阳反射性和80%的中CER传输。此外,这一方法将成本降低68%,减少了CO2。</w:t>
      </w:r>
    </w:p>
    <w:p>
      <w:pPr>
        <w:spacing w:before="0" w:after="200" w:lineRule="auto" w:line="276"/>
      </w:pPr>
      <w:r>
        <w:rPr>
          <w:b/>
        </w:rPr>
        <w:t xml:space="preserve">Abstract (EN): </w:t>
      </w:r>
      <w:r>
        <w:t>Transmission‐type radiative cooling textiles represent a vital strategy for personal thermal management. However, traditional preparation methods based on heat‐induced phase separation face significant challenges regarding cost, environmental impact, and optical performance. Herein, a novel preparation method is devloped by blending mid‐IR transparent solid styrene ethylene butylene styrene (SEBS) with solid polyethylene (PE), enabling the creation of pores through dissolving SEBS. Consequently, large‐scale production of transmission‐type radiative cooling films at the meter scale are achieved, exhibiting 95% solar reflectivity and 80% mid‐IR transmittance. Moreover, this method reduces costs by 68% and diminishes CO</w:t>
      </w:r>
      <w:r>
        <w:rPr>
          <w:vertAlign w:val="subscript"/>
        </w:rPr>
        <w:t>2</w:t>
      </w:r>
      <w:r>
        <w:t>emissions by 92%. Under sunny and cloudy conditions (solar irradiance ≈730 and 280 Wm</w:t>
      </w:r>
      <w:r>
        <w:t xml:space="preserve"> </w:t>
      </w:r>
      <w:r>
        <w:t>−</w:t>
      </w:r>
      <w:r>
        <w:rPr>
          <w:vertAlign w:val="subscript"/>
        </w:rPr>
        <w:t>2</w:t>
      </w:r>
      <w:r>
        <w:t>, respectively), the film‐covered simulated skin demonstrates sub‐ambient cooling effects of ≈4 and 3 °C. Given its exceptional passive cooling capabilities, low‐cost, and scalability, this film holds great potential for industrial and personal applications.</w:t>
      </w:r>
    </w:p>
    <w:p>
      <w:pPr>
        <w:spacing w:before="120" w:after="120"/>
      </w:pPr>
      <w:r>
        <w:rPr>
          <w:sz w:val="18"/>
        </w:rPr>
        <w:t>——————————————————————————————————————————————————————————————————————</w:t>
      </w:r>
    </w:p>
    <w:p>
      <w:pPr>
        <w:spacing w:before="160" w:after="40" w:line="240" w:lineRule="auto"/>
      </w:pPr>
      <w:r>
        <w:rPr>
          <w:b/>
        </w:rPr>
        <w:t xml:space="preserve">[233] </w:t>
      </w:r>
      <w:hyperlink r:id="rId447">
        <w:r>
          <w:rPr>
            <w:color w:val="1155CC"/>
            <w:u w:val="single"/>
          </w:rPr>
          <w:t>以温热电纳米板为基地的亚硝基B2Te3</w:t>
        </w:r>
      </w:hyperlink>
    </w:p>
    <w:p>
      <w:pPr>
        <w:spacing w:before="0" w:after="80"/>
      </w:pPr>
      <w:r>
        <w:rPr>
          <w:i/>
          <w:sz w:val="20"/>
        </w:rPr>
        <w:t>EN: Competing Grain Growth Pathways in Anisotropic Bi2Te3‐Based Thermoelectric Nanoplates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48">
        <w:r>
          <w:rPr>
            <w:color w:val="1155CC"/>
            <w:u w:val="single"/>
          </w:rPr>
          <w:t>10.1002/adma.202510614</w:t>
        </w:r>
      </w:hyperlink>
    </w:p>
    <w:p>
      <w:pPr>
        <w:spacing w:before="0" w:after="120"/>
      </w:pPr>
      <w:r>
        <w:rPr>
          <w:b/>
        </w:rPr>
        <w:t xml:space="preserve">Notes: </w:t>
      </w:r>
      <w:r>
        <w:t>abstract_source=crossref</w:t>
      </w:r>
    </w:p>
    <w:p>
      <w:pPr>
        <w:spacing w:before="0" w:after="80" w:lineRule="auto" w:line="276"/>
      </w:pPr>
      <w:r>
        <w:rPr>
          <w:b/>
        </w:rPr>
        <w:t xml:space="preserve">摘要（ZH）: </w:t>
      </w:r>
      <w:r>
        <w:t>B2 Te 3 等动脉动材料产生的抽象热电纳米板对灵活的电子和微尺度热管理至关重要,其性能主要取决于谷物边界(GB)微结构,但指导这些高度厌食系统的谷物生长的原子规模机制仍然难以实现。这特别关系到由面部稳定驱动的个别纳米板的重塑与基体集体合并之间的竞争。将现场扫描传输电子显微镜(STEM)、密度功能理论(DFT)和分子动态模拟(MD)纳入现场扫描传输电子显微镜(STEM)、密度功能理论(DFT)和分子动态模拟(MD),这些竞争途径在净化过程中相互竞争。</w:t>
      </w:r>
    </w:p>
    <w:p>
      <w:pPr>
        <w:spacing w:before="0" w:after="200" w:lineRule="auto" w:line="276"/>
      </w:pPr>
      <w:r>
        <w:rPr>
          <w:b/>
        </w:rPr>
        <w:t xml:space="preserve">Abstract (EN): </w:t>
      </w:r>
      <w:r>
        <w:t>Thermoelectric nanoplates derived from anisotropic van der Waals (vdW) materials such as Bi</w:t>
      </w:r>
      <w:r>
        <w:rPr>
          <w:vertAlign w:val="subscript"/>
        </w:rPr>
        <w:t>2</w:t>
      </w:r>
      <w:r>
        <w:t>Te</w:t>
      </w:r>
      <w:r>
        <w:rPr>
          <w:vertAlign w:val="subscript"/>
        </w:rPr>
        <w:t>3</w:t>
      </w:r>
      <w:r>
        <w:t>are pivotal for flexible electronics and microscale thermal management. Their performance critically depends on grain boundary (GB) microstructure, but the atomic‐scale mechanisms governing grain growth in these highly anisotropic systems remain elusive. This particularly concerns the competition between individual nanoplate reshaping driven by facet stabilization and collective merging at GBs. Integrating in situ scanning transmission electron microscopy (STEM), density functional theory (DFT), and molecular dynamics (MD) simulations, these competing pathways in pure Bi</w:t>
      </w:r>
      <w:r>
        <w:rPr>
          <w:vertAlign w:val="subscript"/>
        </w:rPr>
        <w:t>2</w:t>
      </w:r>
      <w:r>
        <w:t>Te</w:t>
      </w:r>
      <w:r>
        <w:rPr>
          <w:vertAlign w:val="subscript"/>
        </w:rPr>
        <w:t>3</w:t>
      </w:r>
      <w:r>
        <w:t>(BT) and Sb‐doped (BST) systems are unraveled. Undoped BT nanoplates preferentially undergo atomically localized reshaping, with atoms migrating from high‐energy edges to stabilize low‐energy facets. Conversely, Sb doping introduces Sb‐Te interfacial phases that thermodynamically favor GB coalescence, thereby shifting the dominant pathway to collective merging. This work reveals how chemical modification steers GB evolution, determining whether reshaping or merging predominates. Such understanding is crucial for rationally designing anisotropic layered materials for applications in flexible electronics, topological materials, and energy‐efficient devices.</w:t>
      </w:r>
    </w:p>
    <w:p>
      <w:pPr>
        <w:spacing w:before="120" w:after="120"/>
      </w:pPr>
      <w:r>
        <w:rPr>
          <w:sz w:val="18"/>
        </w:rPr>
        <w:t>——————————————————————————————————————————————————————————————————————</w:t>
      </w:r>
    </w:p>
    <w:p>
      <w:pPr>
        <w:spacing w:before="160" w:after="40" w:line="240" w:lineRule="auto"/>
      </w:pPr>
      <w:r>
        <w:rPr>
          <w:b/>
        </w:rPr>
        <w:t xml:space="preserve">[234] </w:t>
      </w:r>
      <w:hyperlink r:id="rId449">
        <w:r>
          <w:rPr>
            <w:color w:val="1155CC"/>
            <w:u w:val="single"/>
          </w:rPr>
          <w:t>分子工程纳米试剂,具有高效自由生自由激进体和光热转换性能,通过定向Lactate新陈代谢-Immune电路连线,促进强化肿瘤光模拟治疗</w:t>
        </w:r>
      </w:hyperlink>
    </w:p>
    <w:p>
      <w:pPr>
        <w:spacing w:before="0" w:after="80"/>
      </w:pPr>
      <w:r>
        <w:rPr>
          <w:i/>
          <w:sz w:val="20"/>
        </w:rPr>
        <w:t>EN: Molecularly Engineered Nanoagents with Efficient Free Radicals Generation and Photothermal Conversion Performance for Enhanced Tumor Photoimmunotherapy via Targeting Lactate Metabolism‐Immune Circuit Rewiring</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50">
        <w:r>
          <w:rPr>
            <w:color w:val="1155CC"/>
            <w:u w:val="single"/>
          </w:rPr>
          <w:t>10.1002/adma.202511348</w:t>
        </w:r>
      </w:hyperlink>
    </w:p>
    <w:p>
      <w:pPr>
        <w:spacing w:before="0" w:after="120"/>
      </w:pPr>
      <w:r>
        <w:rPr>
          <w:b/>
        </w:rPr>
        <w:t xml:space="preserve">Notes: </w:t>
      </w:r>
      <w:r>
        <w:t>abstract_source=crossref</w:t>
      </w:r>
    </w:p>
    <w:p>
      <w:pPr>
        <w:spacing w:before="0" w:after="80" w:lineRule="auto" w:line="276"/>
      </w:pPr>
      <w:r>
        <w:rPr>
          <w:b/>
        </w:rPr>
        <w:t xml:space="preserve">摘要（ZH）: </w:t>
      </w:r>
      <w:r>
        <w:t>抽象光动疗法和光热疗法(PTT)已成为防止肿瘤增长和通过诱导聚虫病和免疫性细胞死亡(ICD)而远距离转移的有希望的模式,但是,其治疗效力受到乳酸性外溢推动的酸性肿瘤微环境的深刻影响,这种酸性肿瘤微环境受到多种免疫压抑作用的助燃作用,并伴有多种免疫压抑症。</w:t>
      </w:r>
    </w:p>
    <w:p>
      <w:pPr>
        <w:spacing w:before="0" w:after="200" w:lineRule="auto" w:line="276"/>
      </w:pPr>
      <w:r>
        <w:rPr>
          <w:b/>
        </w:rPr>
        <w:t xml:space="preserve">Abstract (EN): </w:t>
      </w:r>
      <w:r>
        <w:t>Photodynamic therapy (PDT) and photothermal therapy (PTT) have emerged as promising modalities against tumor growth and distant metastases via inducing apoptosis and immunogenic cell death (ICD). However, their therapeutic efficacy is profoundly compromised by the acidic tumor microenvironment fueled by lactate extrusion, orchestrating multifaceted immunosuppression. Herein, a lactate metabolism checkpoint blockade strategy targeting monocarboxylate transporter 4 (MCT4) is proposed to augment photoimmunotherapy by co‐delivering MCT4 inhibitor syrosingopine (SY) and a phototheranostic agent L8BO (L8). Boasting robust intramolecular charge transfer (ICT) characteristics and an extended π‐conjugated architecture with lengthy alkyl chains, L8 possesses a diminished singlet‐triplet energy gap (∆</w:t>
      </w:r>
      <w:r>
        <w:t xml:space="preserve"> </w:t>
      </w:r>
      <w:r>
        <w:t>S‐T</w:t>
      </w:r>
      <w:r>
        <w:t xml:space="preserve"> </w:t>
      </w:r>
      <w:r>
        <w:t>) alongside elevated light‐harvesting property, achieving exceptional free radicals generation and 46.2% photothermal conversion efficiency (PCE). Triggered by lactate sequestration‐induced intracellular acidification, L8@SY nanoparticles (NPs)‐enabled photoimmunotherapy potently activates dendritic cells (DCs) maturation while eliciting substantial infiltration of T lymphocytes. Concurrently, natural killer (NK) cell activation and memory T‐cell differentiation are achieved, thereby suppressing both localized and distal tumor progression whilst concomitantly curtailing pulmonary metastatic dissemination. In brief, this study provides a novel combinatorial paradigm to potentiate photoimmunotherapy by targeting the lactate metabolism‐immune circuit rewiring strategy.</w:t>
      </w:r>
    </w:p>
    <w:p>
      <w:pPr>
        <w:spacing w:before="120" w:after="120"/>
      </w:pPr>
      <w:r>
        <w:rPr>
          <w:sz w:val="18"/>
        </w:rPr>
        <w:t>——————————————————————————————————————————————————————————————————————</w:t>
      </w:r>
    </w:p>
    <w:p>
      <w:pPr>
        <w:spacing w:before="160" w:after="40" w:line="240" w:lineRule="auto"/>
      </w:pPr>
      <w:r>
        <w:rPr>
          <w:b/>
        </w:rPr>
        <w:t xml:space="preserve">[235] </w:t>
      </w:r>
      <w:hyperlink r:id="rId451">
        <w:r>
          <w:rPr>
            <w:color w:val="1155CC"/>
            <w:u w:val="single"/>
          </w:rPr>
          <w:t>利用综合抗菌剂从综合抗菌剂进行工程设计,以精确处理多种药物、相对疾病和生物胶卷</w:t>
        </w:r>
      </w:hyperlink>
    </w:p>
    <w:p>
      <w:pPr>
        <w:spacing w:before="0" w:after="80"/>
      </w:pPr>
      <w:r>
        <w:rPr>
          <w:i/>
          <w:sz w:val="20"/>
        </w:rPr>
        <w:t>EN: Targeted Cascade Therapy with Multifunctional Nanovesicles Engineered from Synergistic Antibacterial Agents for Precision Treatment of Multidrug‐Resistant Infections and Biofilms</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52">
        <w:r>
          <w:rPr>
            <w:color w:val="1155CC"/>
            <w:u w:val="single"/>
          </w:rPr>
          <w:t>10.1002/adma.202511037</w:t>
        </w:r>
      </w:hyperlink>
    </w:p>
    <w:p>
      <w:pPr>
        <w:spacing w:before="0" w:after="120"/>
      </w:pPr>
      <w:r>
        <w:rPr>
          <w:b/>
        </w:rPr>
        <w:t xml:space="preserve">Notes: </w:t>
      </w:r>
      <w:r>
        <w:t>abstract_source=crossref</w:t>
      </w:r>
    </w:p>
    <w:p>
      <w:pPr>
        <w:spacing w:before="0" w:after="80" w:lineRule="auto" w:line="276"/>
      </w:pPr>
      <w:r>
        <w:rPr>
          <w:b/>
        </w:rPr>
        <w:t xml:space="preserve">摘要（ZH）: </w:t>
      </w:r>
      <w:r>
        <w:t>抗多种药物(MDR)抗药性运动(S. Aureus),被归类为高度优先二级病原体,对全球健康构成发光威胁,单体抗菌方法往往不能达到最佳效果,需要开发混合疗法。为应对这些挑战,开发了PH-反应性抗菌纳米囊,称为DAClLy, 将目标对准利根和多种抗微生物剂与补充性行动模式结合起来,以针对MDR细菌,提高效果,同时尽量减少不利影响。</w:t>
      </w:r>
    </w:p>
    <w:p>
      <w:pPr>
        <w:spacing w:before="0" w:after="200" w:lineRule="auto" w:line="276"/>
      </w:pPr>
      <w:r>
        <w:rPr>
          <w:b/>
        </w:rPr>
        <w:t xml:space="preserve">Abstract (EN): </w:t>
      </w:r>
      <w:r>
        <w:t>Multidrug‐resistant (MDR)</w:t>
      </w:r>
      <w:r>
        <w:t xml:space="preserve"> </w:t>
      </w:r>
      <w:r>
        <w:t>Staphylococcus aureus</w:t>
      </w:r>
      <w:r>
        <w:t xml:space="preserve"> </w:t>
      </w:r>
      <w:r>
        <w:t>(</w:t>
      </w:r>
      <w:r>
        <w:t xml:space="preserve"> </w:t>
      </w:r>
      <w:r>
        <w:t>S. aureus</w:t>
      </w:r>
      <w:r>
        <w:t xml:space="preserve"> </w:t>
      </w:r>
      <w:r>
        <w:t>), classified as a high‐priority tier II pathogen, poses a glowing threat to global health. Single‐mode antibacterial approaches often fall short of achieving optimal effects, necessitating the development of combination therapies. To address these challenges, pH‐responsive antibacterial nanovesicles, termed DAClLy, are developed by integrating targeting ligand and multiple antimicrobial agents with complementary modes of action to target MDR bacteria with enhanced efficacy while minimizing adverse effects. DAClLy are engineered through the complexation of sulfonium‐ion‐bearing antibacterial polypeptoids, and primary amine‐containing polypeptoids modified with 2,3‐dimethyl maleic anhydride, encapsulating lysostaphin, a bacteriolytic enzyme. Upon reaching the acidic microenvironment of bacterial infections, the DAClLy vesicles disassemble, releasing their antimicrobial components. The released lysostaphin degrades bacterial cell walls, while the polypeptoids synergistically disrupt bacterial membranes, resulting in a multi‐action bactericidal effect. This synergistic mechanism demonstrates remarkable efficacy against MDR</w:t>
      </w:r>
      <w:r>
        <w:t xml:space="preserve"> </w:t>
      </w:r>
      <w:r>
        <w:t>S. aureus</w:t>
      </w:r>
      <w:r>
        <w:t xml:space="preserve"> </w:t>
      </w:r>
      <w:r>
        <w:t>, including its resilient biofilm formations. In vivo studies have shown that the DAClLy vesicles exhibit potent antibacterial activity against MDR</w:t>
      </w:r>
      <w:r>
        <w:t xml:space="preserve"> </w:t>
      </w:r>
      <w:r>
        <w:t>S. aureus</w:t>
      </w:r>
      <w:r>
        <w:t xml:space="preserve"> </w:t>
      </w:r>
      <w:r>
        <w:t>‐induced skin and lung infections. The nanovesicles effectively penetrate the lung mucus barrier, addressing both surface‐level and deep‐tissue infections. By integrating multiple strategies, DAClLy offers a promising therapeutic strategy to combat MDR pathogens across diverse tissue contexts.</w:t>
      </w:r>
    </w:p>
    <w:p>
      <w:pPr>
        <w:spacing w:before="120" w:after="120"/>
      </w:pPr>
      <w:r>
        <w:rPr>
          <w:sz w:val="18"/>
        </w:rPr>
        <w:t>——————————————————————————————————————————————————————————————————————</w:t>
      </w:r>
    </w:p>
    <w:p>
      <w:pPr>
        <w:spacing w:before="160" w:after="40" w:line="240" w:lineRule="auto"/>
      </w:pPr>
      <w:r>
        <w:rPr>
          <w:b/>
        </w:rPr>
        <w:t xml:space="preserve">[236] </w:t>
      </w:r>
      <w:hyperlink r:id="rId453">
        <w:r>
          <w:rPr>
            <w:color w:val="1155CC"/>
            <w:u w:val="single"/>
          </w:rPr>
          <w:t>与原子散散射铁的催化作用,从二氧化碳中几乎达到100%的甲醇选择性电合成。</w:t>
        </w:r>
      </w:hyperlink>
    </w:p>
    <w:p>
      <w:pPr>
        <w:spacing w:before="0" w:after="80"/>
      </w:pPr>
      <w:r>
        <w:rPr>
          <w:i/>
          <w:sz w:val="20"/>
        </w:rPr>
        <w:t>EN: Gridized Nanopolymer Catalysis with Atomically Dispersed Iron Achieves the Nearly 100% Selective Electrosynthesis of Methanol From CO2</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54">
        <w:r>
          <w:rPr>
            <w:color w:val="1155CC"/>
            <w:u w:val="single"/>
          </w:rPr>
          <w:t>10.1002/adma.202511233</w:t>
        </w:r>
      </w:hyperlink>
    </w:p>
    <w:p>
      <w:pPr>
        <w:spacing w:before="0" w:after="120"/>
      </w:pPr>
      <w:r>
        <w:rPr>
          <w:b/>
        </w:rPr>
        <w:t xml:space="preserve">Notes: </w:t>
      </w:r>
      <w:r>
        <w:t>abstract_source=crossref</w:t>
      </w:r>
    </w:p>
    <w:p>
      <w:pPr>
        <w:spacing w:before="0" w:after="80" w:lineRule="auto" w:line="276"/>
      </w:pPr>
      <w:r>
        <w:rPr>
          <w:b/>
        </w:rPr>
        <w:t xml:space="preserve">摘要（ZH）: </w:t>
      </w:r>
      <w:r>
        <w:t>将二氧化碳电化学减少至甲醇(CH 3 OH)的电化学减少为零排放碳再循环和可再生能源储存提供了一个非常有希望的渠道,然而,实现高CH 3 OH选择性和长期稳定催化剂仍然很少,在商业化道路上提出了中心挑战,正在根据选择路径的关键机制,对活跃场地及其周围环境的金属中心进行多级设计。</w:t>
      </w:r>
    </w:p>
    <w:p>
      <w:pPr>
        <w:spacing w:before="0" w:after="200" w:lineRule="auto" w:line="276"/>
      </w:pPr>
      <w:r>
        <w:rPr>
          <w:b/>
        </w:rPr>
        <w:t xml:space="preserve">Abstract (EN): </w:t>
      </w:r>
      <w:r>
        <w:t>The electrochemical reduction of CO</w:t>
      </w:r>
      <w:r>
        <w:rPr>
          <w:vertAlign w:val="subscript"/>
        </w:rPr>
        <w:t>2</w:t>
      </w:r>
      <w:r>
        <w:t>to methanol (CH</w:t>
      </w:r>
      <w:r>
        <w:rPr>
          <w:vertAlign w:val="subscript"/>
        </w:rPr>
        <w:t>3</w:t>
      </w:r>
      <w:r>
        <w:t>OH) offers a highly promising avenue for zero‐emission carbon recycling and renewable energy storage. However, achieving high CH</w:t>
      </w:r>
      <w:r>
        <w:rPr>
          <w:vertAlign w:val="subscript"/>
        </w:rPr>
        <w:t>3</w:t>
      </w:r>
      <w:r>
        <w:t>OH selectivity and long‐term stability in catalysts remains rare, presenting central challenges on the path to their commercialization. It is emerging to make multiscale design of metal centers of active sites and their surrounding environments under the crucial mechanism of pathway selection. Herein, the gridized nanomolecular and nanopolymer catalysts are reported for high effective electroreduction of CO</w:t>
      </w:r>
      <w:r>
        <w:rPr>
          <w:vertAlign w:val="subscript"/>
        </w:rPr>
        <w:t>2</w:t>
      </w:r>
      <w:r>
        <w:t>to CH</w:t>
      </w:r>
      <w:r>
        <w:rPr>
          <w:vertAlign w:val="subscript"/>
        </w:rPr>
        <w:t>3</w:t>
      </w:r>
      <w:r>
        <w:t>OH. An A‐type nanogrid (AG) and its organic nanopolymers with atomically dispersed iron (Fe) are well identified with the unique catalytic active sites of Fe‐N</w:t>
      </w:r>
      <w:r>
        <w:rPr>
          <w:vertAlign w:val="subscript"/>
        </w:rPr>
        <w:t>1</w:t>
      </w:r>
      <w:r>
        <w:t>C</w:t>
      </w:r>
      <w:r>
        <w:rPr>
          <w:vertAlign w:val="subscript"/>
        </w:rPr>
        <w:t>3</w:t>
      </w:r>
      <w:r>
        <w:t>Cl</w:t>
      </w:r>
      <w:r>
        <w:rPr>
          <w:vertAlign w:val="subscript"/>
        </w:rPr>
        <w:t>1</w:t>
      </w:r>
      <w:r>
        <w:t>. Notably, Fe‐based AG nanopolymer (FePAG) catalyst exhibits a CH</w:t>
      </w:r>
      <w:r>
        <w:rPr>
          <w:vertAlign w:val="subscript"/>
        </w:rPr>
        <w:t>3</w:t>
      </w:r>
      <w:r>
        <w:t>OH Faradaic efficiency of 60.5%, a CH</w:t>
      </w:r>
      <w:r>
        <w:rPr>
          <w:vertAlign w:val="subscript"/>
        </w:rPr>
        <w:t>3</w:t>
      </w:r>
      <w:r>
        <w:t>OH selectivity of 98.3%, and a stability of up to 100 h, outperforming currently reported molecular catalysts. The superior selectivity is probably attributed to the cooperation between the stronger *CO adsorption and the super‐hindrance that suppresses aggregates to guarantee the dispersion of single active sites. This study provides new insights in the exploration of nanomolecular and nanopolymer catalysis.</w:t>
      </w:r>
    </w:p>
    <w:p>
      <w:pPr>
        <w:spacing w:before="120" w:after="120"/>
      </w:pPr>
      <w:r>
        <w:rPr>
          <w:sz w:val="18"/>
        </w:rPr>
        <w:t>——————————————————————————————————————————————————————————————————————</w:t>
      </w:r>
    </w:p>
    <w:p>
      <w:pPr>
        <w:spacing w:before="160" w:after="40" w:line="240" w:lineRule="auto"/>
      </w:pPr>
      <w:r>
        <w:rPr>
          <w:b/>
        </w:rPr>
        <w:t xml:space="preserve">[237] </w:t>
      </w:r>
      <w:hyperlink r:id="rId455">
        <w:r>
          <w:rPr>
            <w:color w:val="1155CC"/>
            <w:u w:val="single"/>
          </w:rPr>
          <w:t>通过自然电子捐助者康复和定向地表重建直接回收已降级的LiFFePOP4阴极物质</w:t>
        </w:r>
      </w:hyperlink>
    </w:p>
    <w:p>
      <w:pPr>
        <w:spacing w:before="0" w:after="80"/>
      </w:pPr>
      <w:r>
        <w:rPr>
          <w:i/>
          <w:sz w:val="20"/>
        </w:rPr>
        <w:t>EN: Direct Recycling of Degraded LiFePO4 Cathode Material via Natural Electron Donors Healing and Targeted Surface Reconstruction</w:t>
      </w:r>
    </w:p>
    <w:p>
      <w:pPr>
        <w:spacing w:before="0" w:after="120"/>
      </w:pPr>
      <w:r>
        <w:rPr>
          <w:b/>
        </w:rPr>
        <w:t xml:space="preserve">Source: </w:t>
      </w:r>
      <w:r>
        <w:t>Wiley: Advanced Materials: Table of Contents</w:t>
      </w:r>
      <w:r>
        <w:t xml:space="preserve">    </w:t>
      </w:r>
      <w:r>
        <w:rPr>
          <w:b/>
        </w:rPr>
        <w:t xml:space="preserve">Pub date: </w:t>
      </w:r>
      <w:r>
        <w:t>2026-01-03 06:20:51+00:00</w:t>
      </w:r>
      <w:r>
        <w:t xml:space="preserve">    </w:t>
      </w:r>
      <w:r>
        <w:rPr>
          <w:b/>
        </w:rPr>
        <w:t xml:space="preserve">DOI: </w:t>
      </w:r>
      <w:hyperlink r:id="rId456">
        <w:r>
          <w:rPr>
            <w:color w:val="1155CC"/>
            <w:u w:val="single"/>
          </w:rPr>
          <w:t>10.1002/adma.202511246</w:t>
        </w:r>
      </w:hyperlink>
    </w:p>
    <w:p>
      <w:pPr>
        <w:spacing w:before="0" w:after="120"/>
      </w:pPr>
      <w:r>
        <w:rPr>
          <w:b/>
        </w:rPr>
        <w:t xml:space="preserve">Notes: </w:t>
      </w:r>
      <w:r>
        <w:t>abstract_source=crossref</w:t>
      </w:r>
    </w:p>
    <w:p>
      <w:pPr>
        <w:spacing w:before="0" w:after="80" w:lineRule="auto" w:line="276"/>
      </w:pPr>
      <w:r>
        <w:rPr>
          <w:b/>
        </w:rPr>
        <w:t xml:space="preserve">摘要（ZH）: </w:t>
      </w:r>
      <w:r>
        <w:t>废阴极材料的直接直接再生摘要对新能源车辆工业的可持续发展至关重要,然而,由于缺乏有针对性的表面维修战略,再生的LiFePO 4 (LFP)(LFP)总是面临一些问题,如Fe ion再迁和缓慢的Li + 扩散,或恢复特定能力与稳定性之间的严重权衡。</w:t>
      </w:r>
    </w:p>
    <w:p>
      <w:pPr>
        <w:spacing w:before="0" w:after="200" w:lineRule="auto" w:line="276"/>
      </w:pPr>
      <w:r>
        <w:rPr>
          <w:b/>
        </w:rPr>
        <w:t xml:space="preserve">Abstract (EN): </w:t>
      </w:r>
      <w:r>
        <w:t>Direct regeneration of spent cathode materials is crucial for the sustainable development of the new energy vehicle industry. However, owing to the lack of targeted surface repair strategies, the regenerated LiFePO</w:t>
      </w:r>
      <w:r>
        <w:rPr>
          <w:vertAlign w:val="subscript"/>
        </w:rPr>
        <w:t>4</w:t>
      </w:r>
      <w:r>
        <w:t>(LFP) always faces some issues, such as Fe ions re‐migration and sluggish Li</w:t>
      </w:r>
      <w:r>
        <w:t xml:space="preserve"> </w:t>
      </w:r>
      <w:r>
        <w:t>+</w:t>
      </w:r>
      <w:r>
        <w:t xml:space="preserve"> </w:t>
      </w:r>
      <w:r>
        <w:t>diffusion, or a serious trade‐off between restored specific capacity and stability. Herein, an integrated bulk and surface restoration strategy is proposed to regenerate spent LFP (S‐LFP) via using natural tea polyphenols as electron donors to reduce Fe (III) phase and heal anti‐site defects in the bulk, and introducing a hybrid AlPO</w:t>
      </w:r>
      <w:r>
        <w:rPr>
          <w:vertAlign w:val="subscript"/>
        </w:rPr>
        <w:t>4</w:t>
      </w:r>
      <w:r>
        <w:t>/Li</w:t>
      </w:r>
      <w:r>
        <w:rPr>
          <w:vertAlign w:val="subscript"/>
        </w:rPr>
        <w:t>3</w:t>
      </w:r>
      <w:r>
        <w:t>PO</w:t>
      </w:r>
      <w:r>
        <w:rPr>
          <w:vertAlign w:val="subscript"/>
        </w:rPr>
        <w:t>4</w:t>
      </w:r>
      <w:r>
        <w:t>(AP/LP) patching coating at the fracture of carbon layer on LFP for targeted surface reconstruction, accompanied by Al doping into the bulk LFP. Theoretical calculations reveal that AP/LP patching coating forms a dual electron‐ and ion‐conducting layer with the residual carbon layer, coupling with strengthened Fe─O bonding by Al doping, to improve kinetics and stability of LFP during cycling. The optimized regenerated LFP cathode exhibits a capacity of 124.3 mAh g</w:t>
      </w:r>
      <w:r>
        <w:t xml:space="preserve"> </w:t>
      </w:r>
      <w:r>
        <w:t>−1</w:t>
      </w:r>
      <w:r>
        <w:t xml:space="preserve"> </w:t>
      </w:r>
      <w:r>
        <w:t>after 400 cycles at 2C with a capacity retention of 92.1%. This scalable healing and stabilizing strategy have large potential to strike a balance between specific capacity repairing and stability improvement in the regeneration process.</w:t>
      </w:r>
    </w:p>
    <w:p>
      <w:pPr>
        <w:spacing w:before="120" w:after="120"/>
      </w:pPr>
      <w:r>
        <w:rPr>
          <w:sz w:val="18"/>
        </w:rPr>
        <w:t>——————————————————————————————————————————————————————————————————————</w:t>
      </w:r>
    </w:p>
    <w:p>
      <w:pPr>
        <w:spacing w:before="160" w:after="40" w:line="240" w:lineRule="auto"/>
      </w:pPr>
      <w:r>
        <w:rPr>
          <w:b/>
        </w:rPr>
        <w:t xml:space="preserve">[238] </w:t>
      </w:r>
      <w:hyperlink r:id="rId457">
        <w:r>
          <w:rPr>
            <w:color w:val="1155CC"/>
            <w:u w:val="single"/>
          </w:rPr>
          <w:t>向高浓度和超长寿命优化</w:t>
        </w:r>
      </w:hyperlink>
    </w:p>
    <w:p>
      <w:pPr>
        <w:spacing w:before="0" w:after="80"/>
      </w:pPr>
      <w:r>
        <w:rPr>
          <w:i/>
          <w:sz w:val="20"/>
        </w:rPr>
        <w:t>EN: Dual‐Conductivity Optimization Toward High‐Rate and Ultralong Life All‐Solid‐State Lithium‐Sulfur Batteries</w:t>
      </w:r>
    </w:p>
    <w:p>
      <w:pPr>
        <w:spacing w:before="0" w:after="120"/>
      </w:pPr>
      <w:r>
        <w:rPr>
          <w:b/>
        </w:rPr>
        <w:t xml:space="preserve">Source: </w:t>
      </w:r>
      <w:r>
        <w:t>Wiley: Advanced Materials: Table of Contents</w:t>
      </w:r>
      <w:r>
        <w:t xml:space="preserve">    </w:t>
      </w:r>
      <w:r>
        <w:rPr>
          <w:b/>
        </w:rPr>
        <w:t xml:space="preserve">Pub date: </w:t>
      </w:r>
      <w:r>
        <w:t>2026-01-03 06:23:50+00:00</w:t>
      </w:r>
      <w:r>
        <w:t xml:space="preserve">    </w:t>
      </w:r>
      <w:r>
        <w:rPr>
          <w:b/>
        </w:rPr>
        <w:t xml:space="preserve">DOI: </w:t>
      </w:r>
      <w:hyperlink r:id="rId458">
        <w:r>
          <w:rPr>
            <w:color w:val="1155CC"/>
            <w:u w:val="single"/>
          </w:rPr>
          <w:t>10.1002/adma.202522976</w:t>
        </w:r>
      </w:hyperlink>
    </w:p>
    <w:p>
      <w:pPr>
        <w:spacing w:before="0" w:after="120"/>
      </w:pPr>
      <w:r>
        <w:rPr>
          <w:b/>
        </w:rPr>
        <w:t xml:space="preserve">Notes: </w:t>
      </w:r>
      <w:r>
        <w:t>abstract_source=crossref</w:t>
      </w:r>
    </w:p>
    <w:p>
      <w:pPr>
        <w:spacing w:before="0" w:after="80" w:lineRule="auto" w:line="276"/>
      </w:pPr>
      <w:r>
        <w:rPr>
          <w:b/>
        </w:rPr>
        <w:t xml:space="preserve">摘要（ZH）: </w:t>
      </w:r>
      <w:r>
        <w:t>ABSTACT All-SUDALCT ALUSTAL CLSBS(ASSLSBs)作为下一代能源储存系统,由于能源密度高,具有巨大的希望,但是,基于硫基阴极的实际应用在很大程度上受到其缓慢反应动力学的阻碍,特别是在高当前密度和长期循环下,特别是在高当前密度和长期循环下,因此,通过采用电子结构调控同组元素兴奋剂,我们成功地将硫化锂改造为同时促进离子扩散和电子导电,从而大大提升其反应动能学。通过部分代换代,形成SES债券,重组了Li 2 S的电子结构。这种效果同时产生。</w:t>
      </w:r>
    </w:p>
    <w:p>
      <w:pPr>
        <w:spacing w:before="0" w:after="200" w:lineRule="auto" w:line="276"/>
      </w:pPr>
      <w:r>
        <w:rPr>
          <w:b/>
        </w:rPr>
        <w:t xml:space="preserve">Abstract (EN): </w:t>
      </w:r>
      <w:r>
        <w:t>All‐solid‐state lithium‐sulfur batteries (ASSLSBs) hold great promise as next‐generation energy storage systems due to their high energy density. However, the practical application of sulfur‐based cathodes are largely hampered by their sluggish reaction kinetics, especially under high current densities and long‐term cycling. Herein, by employing electronic structure modulation via same‐group element doping, we successfully engineer lithium sulfide to concurrently facilitate ionic diffusion and electronic conduction, thereby significantly boosting its reaction kinetics. The formation of Se─S bonds, achieved by partial Se substitution, reorganizes the electronic structure of Li</w:t>
      </w:r>
      <w:r>
        <w:rPr>
          <w:vertAlign w:val="subscript"/>
        </w:rPr>
        <w:t>2</w:t>
      </w:r>
      <w:r>
        <w:t>S. This effect concurrently weakens sulfur's electronegativity to facilitate Li</w:t>
      </w:r>
      <w:r>
        <w:t xml:space="preserve"> </w:t>
      </w:r>
      <w:r>
        <w:t>+</w:t>
      </w:r>
      <w:r>
        <w:t xml:space="preserve"> </w:t>
      </w:r>
      <w:r>
        <w:t>diffusion and narrows the bandgap to boost electronic conduction. As a result, the Li</w:t>
      </w:r>
      <w:r>
        <w:rPr>
          <w:vertAlign w:val="subscript"/>
        </w:rPr>
        <w:t>2</w:t>
      </w:r>
      <w:r>
        <w:t>Se</w:t>
      </w:r>
      <w:r>
        <w:t xml:space="preserve"> </w:t>
      </w:r>
      <w:r>
        <w:t>0.2</w:t>
      </w:r>
      <w:r>
        <w:t xml:space="preserve"> </w:t>
      </w:r>
      <w:r>
        <w:t>S</w:t>
      </w:r>
      <w:r>
        <w:t xml:space="preserve"> </w:t>
      </w:r>
      <w:r>
        <w:t>0.8</w:t>
      </w:r>
      <w:r>
        <w:t xml:space="preserve"> </w:t>
      </w:r>
      <w:r>
        <w:t>cathode exhibits remarkable high‐rate capability, retaining 97.5% of its capacity after 1000 cycles at 1 A g</w:t>
      </w:r>
      <w:r>
        <w:t xml:space="preserve"> </w:t>
      </w:r>
      <w:r>
        <w:t>−1</w:t>
      </w:r>
      <w:r>
        <w:t xml:space="preserve"> </w:t>
      </w:r>
      <w:r>
        <w:t>. Moreover, a full cell combining Li</w:t>
      </w:r>
      <w:r>
        <w:rPr>
          <w:vertAlign w:val="subscript"/>
        </w:rPr>
        <w:t>2</w:t>
      </w:r>
      <w:r>
        <w:t>Se</w:t>
      </w:r>
      <w:r>
        <w:t xml:space="preserve"> </w:t>
      </w:r>
      <w:r>
        <w:t>0.2</w:t>
      </w:r>
      <w:r>
        <w:t xml:space="preserve"> </w:t>
      </w:r>
      <w:r>
        <w:t>S</w:t>
      </w:r>
      <w:r>
        <w:t xml:space="preserve"> </w:t>
      </w:r>
      <w:r>
        <w:t>0.8</w:t>
      </w:r>
      <w:r>
        <w:t xml:space="preserve"> </w:t>
      </w:r>
      <w:r>
        <w:t>with a Si anode delivers a high energy density of 1324 Wh kg</w:t>
      </w:r>
      <w:r>
        <w:t xml:space="preserve"> </w:t>
      </w:r>
      <w:r>
        <w:t>−1</w:t>
      </w:r>
      <w:r>
        <w:t xml:space="preserve"> </w:t>
      </w:r>
      <w:r>
        <w:t>, highlighting the feasibility of high‐specific‐energy and high safety ASSLSBs. This work provides an effective strategy toward high‐energy and high‐power solid‐state batteries.</w:t>
      </w:r>
    </w:p>
    <w:p>
      <w:pPr>
        <w:spacing w:before="120" w:after="120"/>
      </w:pPr>
      <w:r>
        <w:rPr>
          <w:sz w:val="18"/>
        </w:rPr>
        <w:t>——————————————————————————————————————————————————————————————————————</w:t>
      </w:r>
    </w:p>
    <w:p>
      <w:pPr>
        <w:spacing w:before="160" w:after="40" w:line="240" w:lineRule="auto"/>
      </w:pPr>
      <w:r>
        <w:rPr>
          <w:b/>
        </w:rPr>
        <w:t xml:space="preserve">[239] </w:t>
      </w:r>
      <w:hyperlink r:id="rId459">
        <w:r>
          <w:rPr>
            <w:color w:val="1155CC"/>
            <w:u w:val="single"/>
          </w:rPr>
          <w:t>固体邦替换和低熔化低熔化硬度金属挥发,具有极佳热电效的散装波光B2S3</w:t>
        </w:r>
      </w:hyperlink>
    </w:p>
    <w:p>
      <w:pPr>
        <w:spacing w:before="0" w:after="80"/>
      </w:pPr>
      <w:r>
        <w:rPr>
          <w:i/>
          <w:sz w:val="20"/>
        </w:rPr>
        <w:t>EN: Porous Bi2S3 Bulk With Excellent Thermoelectric Performance by Solid States Replacement and Low Melting‐Point Metal Volatilization</w:t>
      </w:r>
    </w:p>
    <w:p>
      <w:pPr>
        <w:spacing w:before="0" w:after="120"/>
      </w:pPr>
      <w:r>
        <w:rPr>
          <w:b/>
        </w:rPr>
        <w:t xml:space="preserve">Source: </w:t>
      </w:r>
      <w:r>
        <w:t>Wiley: Advanced Materials: Table of Contents</w:t>
      </w:r>
      <w:r>
        <w:t xml:space="preserve">    </w:t>
      </w:r>
      <w:r>
        <w:rPr>
          <w:b/>
        </w:rPr>
        <w:t xml:space="preserve">Pub date: </w:t>
      </w:r>
      <w:r>
        <w:t>2026-01-03 06:24:36+00:00</w:t>
      </w:r>
      <w:r>
        <w:t xml:space="preserve">    </w:t>
      </w:r>
      <w:r>
        <w:rPr>
          <w:b/>
        </w:rPr>
        <w:t xml:space="preserve">DOI: </w:t>
      </w:r>
      <w:hyperlink r:id="rId460">
        <w:r>
          <w:rPr>
            <w:color w:val="1155CC"/>
            <w:u w:val="single"/>
          </w:rPr>
          <w:t>10.1002/adma.202521215</w:t>
        </w:r>
      </w:hyperlink>
    </w:p>
    <w:p>
      <w:pPr>
        <w:spacing w:before="0" w:after="120"/>
      </w:pPr>
      <w:r>
        <w:rPr>
          <w:b/>
        </w:rPr>
        <w:t xml:space="preserve">Notes: </w:t>
      </w:r>
      <w:r>
        <w:t>abstract_source=crossref</w:t>
      </w:r>
    </w:p>
    <w:p>
      <w:pPr>
        <w:spacing w:before="0" w:after="80" w:lineRule="auto" w:line="276"/>
      </w:pPr>
      <w:r>
        <w:rPr>
          <w:b/>
        </w:rPr>
        <w:t xml:space="preserve">摘要（ZH）: </w:t>
      </w:r>
      <w:r>
        <w:t>Bismuth Sulfide(BB 2 S 3 ) 抽象硫化物(BB 2 S 3 ), 由于其环境友好性、 高西伯克系数和低热导导力, 热电场中具有潜力。 然而, 二进二进二进二进二S 3的ZT峰值不超过1.0, 抑制了其实际应用。 从二二二进三二二二S 3 的降水熔化过程开始, 本研究通过 FecoNi (FCN) 中型苯丙胺合金添加, 构建了多式、多尺度的地表第二阶段和多孔结构, 大大加强了ZT。</w:t>
      </w:r>
    </w:p>
    <w:p>
      <w:pPr>
        <w:spacing w:before="0" w:after="200" w:lineRule="auto" w:line="276"/>
      </w:pPr>
      <w:r>
        <w:rPr>
          <w:b/>
        </w:rPr>
        <w:t xml:space="preserve">Abstract (EN): </w:t>
      </w:r>
      <w:r>
        <w:t>Bismuth sulfide (Bi</w:t>
      </w:r>
      <w:r>
        <w:rPr>
          <w:vertAlign w:val="subscript"/>
        </w:rPr>
        <w:t>2</w:t>
      </w:r>
      <w:r>
        <w:t>S</w:t>
      </w:r>
      <w:r>
        <w:rPr>
          <w:vertAlign w:val="subscript"/>
        </w:rPr>
        <w:t>3</w:t>
      </w:r>
      <w:r>
        <w:t>) exhibits potentials in thermoelectric field, due to their environmental friendliness, high Seebeck coefficients, and low thermal conductivity. However, the peak</w:t>
      </w:r>
      <w:r>
        <w:t xml:space="preserve"> </w:t>
      </w:r>
      <w:r>
        <w:t>ZT</w:t>
      </w:r>
      <w:r>
        <w:t xml:space="preserve"> </w:t>
      </w:r>
      <w:r>
        <w:t>for binary Bi</w:t>
      </w:r>
      <w:r>
        <w:rPr>
          <w:vertAlign w:val="subscript"/>
        </w:rPr>
        <w:t>2</w:t>
      </w:r>
      <w:r>
        <w:t>S</w:t>
      </w:r>
      <w:r>
        <w:rPr>
          <w:vertAlign w:val="subscript"/>
        </w:rPr>
        <w:t>3</w:t>
      </w:r>
      <w:r>
        <w:t>does not exceed 1.0, inhibiting its practical applications. Starting from the precipitation smelting of bismuth concentrate process, this study constructs multi‐type, multi‐scale in‐situ secondary phases and porous structures through FeCoNi (FCN) medium‐entropy alloy addition, significantly enhancing the</w:t>
      </w:r>
      <w:r>
        <w:t xml:space="preserve"> </w:t>
      </w:r>
      <w:r>
        <w:t>ZT</w:t>
      </w:r>
      <w:r>
        <w:t xml:space="preserve"> </w:t>
      </w:r>
      <w:r>
        <w:t>value of Bi</w:t>
      </w:r>
      <w:r>
        <w:rPr>
          <w:vertAlign w:val="subscript"/>
        </w:rPr>
        <w:t>2</w:t>
      </w:r>
      <w:r>
        <w:t>S</w:t>
      </w:r>
      <w:r>
        <w:rPr>
          <w:vertAlign w:val="subscript"/>
        </w:rPr>
        <w:t>3</w:t>
      </w:r>
      <w:r>
        <w:t>‐based thermoelectric materials. The introduced FCN reacts with pre‐synthesized Bi</w:t>
      </w:r>
      <w:r>
        <w:rPr>
          <w:vertAlign w:val="subscript"/>
        </w:rPr>
        <w:t>2</w:t>
      </w:r>
      <w:r>
        <w:t>S</w:t>
      </w:r>
      <w:r>
        <w:rPr>
          <w:vertAlign w:val="subscript"/>
        </w:rPr>
        <w:t>3</w:t>
      </w:r>
      <w:r>
        <w:t>nanorod matrix during spark plasma sintering and forms precipitate complex with FCN‐S core and Bi shell microstructures. FCN doping improves the carrier concentration of Bi</w:t>
      </w:r>
      <w:r>
        <w:rPr>
          <w:vertAlign w:val="subscript"/>
        </w:rPr>
        <w:t>2</w:t>
      </w:r>
      <w:r>
        <w:t>S</w:t>
      </w:r>
      <w:r>
        <w:rPr>
          <w:vertAlign w:val="subscript"/>
        </w:rPr>
        <w:t>3</w:t>
      </w:r>
      <w:r>
        <w:t>and the reduced Bi from Bi</w:t>
      </w:r>
      <w:r>
        <w:rPr>
          <w:vertAlign w:val="subscript"/>
        </w:rPr>
        <w:t>2</w:t>
      </w:r>
      <w:r>
        <w:t>S</w:t>
      </w:r>
      <w:r>
        <w:rPr>
          <w:vertAlign w:val="subscript"/>
        </w:rPr>
        <w:t>3</w:t>
      </w:r>
      <w:r>
        <w:t>acts as carrier transport channels for mobility optimization. Due to the stacking effect of Bi</w:t>
      </w:r>
      <w:r>
        <w:rPr>
          <w:vertAlign w:val="subscript"/>
        </w:rPr>
        <w:t>2</w:t>
      </w:r>
      <w:r>
        <w:t>S</w:t>
      </w:r>
      <w:r>
        <w:rPr>
          <w:vertAlign w:val="subscript"/>
        </w:rPr>
        <w:t>3</w:t>
      </w:r>
      <w:r>
        <w:t>nanorods and the volatile nature of metallic Bi, porous Bi</w:t>
      </w:r>
      <w:r>
        <w:rPr>
          <w:vertAlign w:val="subscript"/>
        </w:rPr>
        <w:t>2</w:t>
      </w:r>
      <w:r>
        <w:t>S</w:t>
      </w:r>
      <w:r>
        <w:rPr>
          <w:vertAlign w:val="subscript"/>
        </w:rPr>
        <w:t>3</w:t>
      </w:r>
      <w:r>
        <w:t>structure is formed, characterized by randomly‐distributed and micro‐to‐nanoscale pores. The coexistence of various lattice defects effectively scatter phonons and suppress the lattice thermal conductivity, thus an excellent peak</w:t>
      </w:r>
      <w:r>
        <w:t xml:space="preserve"> </w:t>
      </w:r>
      <w:r>
        <w:t>ZT</w:t>
      </w:r>
      <w:r>
        <w:t xml:space="preserve"> </w:t>
      </w:r>
      <w:r>
        <w:t>of 1.1 is achieved at 773 K in a 0.25 wt.% FCN‐doped Bi</w:t>
      </w:r>
      <w:r>
        <w:rPr>
          <w:vertAlign w:val="subscript"/>
        </w:rPr>
        <w:t>2</w:t>
      </w:r>
      <w:r>
        <w:t>S</w:t>
      </w:r>
      <w:r>
        <w:rPr>
          <w:vertAlign w:val="subscript"/>
        </w:rPr>
        <w:t>3</w:t>
      </w:r>
      <w:r>
        <w:t>sample. This study, drawing on the process of ore smelting, proposes a convenient method for preparing high‐performance chalcogenide thermoelectric materials with porous structures.</w:t>
      </w:r>
    </w:p>
    <w:p>
      <w:pPr>
        <w:spacing w:before="120" w:after="120"/>
      </w:pPr>
      <w:r>
        <w:rPr>
          <w:sz w:val="18"/>
        </w:rPr>
        <w:t>——————————————————————————————————————————————————————————————————————</w:t>
      </w:r>
    </w:p>
    <w:p>
      <w:pPr>
        <w:spacing w:before="160" w:after="40" w:line="240" w:lineRule="auto"/>
      </w:pPr>
      <w:r>
        <w:rPr>
          <w:b/>
        </w:rPr>
        <w:t xml:space="preserve">[240] </w:t>
      </w:r>
      <w:hyperlink r:id="rId461">
        <w:r>
          <w:rPr>
            <w:color w:val="1155CC"/>
            <w:u w:val="single"/>
          </w:rPr>
          <w:t>在Situ骨骨再生中生物模拟脚架改进</w:t>
        </w:r>
      </w:hyperlink>
    </w:p>
    <w:p>
      <w:pPr>
        <w:spacing w:before="0" w:after="80"/>
      </w:pPr>
      <w:r>
        <w:rPr>
          <w:i/>
          <w:sz w:val="20"/>
        </w:rPr>
        <w:t>EN: Endogenous Metal Ion‐Enriched Immunostimulating Biomimetic Scaffold Improves In Situ Bone Regeneration</w:t>
      </w:r>
    </w:p>
    <w:p>
      <w:pPr>
        <w:spacing w:before="0" w:after="120"/>
      </w:pPr>
      <w:r>
        <w:rPr>
          <w:b/>
        </w:rPr>
        <w:t xml:space="preserve">Source: </w:t>
      </w:r>
      <w:r>
        <w:t>Wiley: Advanced Materials: Table of Contents</w:t>
      </w:r>
      <w:r>
        <w:t xml:space="preserve">    </w:t>
      </w:r>
      <w:r>
        <w:rPr>
          <w:b/>
        </w:rPr>
        <w:t xml:space="preserve">Pub date: </w:t>
      </w:r>
      <w:r>
        <w:t>2026-01-03 06:27:19+00:00</w:t>
      </w:r>
      <w:r>
        <w:t xml:space="preserve">    </w:t>
      </w:r>
      <w:r>
        <w:rPr>
          <w:b/>
        </w:rPr>
        <w:t xml:space="preserve">DOI: </w:t>
      </w:r>
      <w:hyperlink r:id="rId462">
        <w:r>
          <w:rPr>
            <w:color w:val="1155CC"/>
            <w:u w:val="single"/>
          </w:rPr>
          <w:t>10.1002/adma.202507071</w:t>
        </w:r>
      </w:hyperlink>
    </w:p>
    <w:p>
      <w:pPr>
        <w:spacing w:before="0" w:after="120"/>
      </w:pPr>
      <w:r>
        <w:rPr>
          <w:b/>
        </w:rPr>
        <w:t xml:space="preserve">Notes: </w:t>
      </w:r>
      <w:r>
        <w:t>abstract_source=crossref</w:t>
      </w:r>
    </w:p>
    <w:p>
      <w:pPr>
        <w:spacing w:before="0" w:after="80" w:lineRule="auto" w:line="276"/>
      </w:pPr>
      <w:r>
        <w:rPr>
          <w:b/>
        </w:rPr>
        <w:t xml:space="preserve">摘要（ZH）: </w:t>
      </w:r>
      <w:r>
        <w:t>大规模骨骼缺陷的有效就地再生和功能重建仍然是一项艰巨的临床挑战。内生金属离子已被证明能严格调节免疫反应和骨质改造,但是仍然缺乏精确调节内生离子的时空征聘动态的方法。在这里,我们开发了一种新的内生金属离子免疫刺激活性活性活性活性活性活化骨架,其基础是纳米氢氧丙酸盐(nHas)、科洛林纤维素(collagen firbils)和混合物粘合蛋白质(MAPs)的等级多级组装。 地中海-BBS不仅模仿了本地骨的纳米结构和机械特性,而且显著的是,组装成的地中海行动计划中含有丰富淋巴素和多巴胺胆的内流性BS。</w:t>
      </w:r>
    </w:p>
    <w:p>
      <w:pPr>
        <w:spacing w:before="0" w:after="200" w:lineRule="auto" w:line="276"/>
      </w:pPr>
      <w:r>
        <w:rPr>
          <w:b/>
        </w:rPr>
        <w:t xml:space="preserve">Abstract (EN): </w:t>
      </w:r>
      <w:r>
        <w:t>Effective in situ regeneration and functional reconstruction of large‐scale bone defects remain a formidable clinical challenge. The endogenous metal ions have been shown to critically regulate immune responses and bone remodeling, but methods for precisely regulating the spatiotemporal recruitment dynamics of endogenous ions are still lacking. Here, we develop a novel endogenous metal ion‐enriched immunostimulation‐amplified bone biomimetic scaffold (emia‐BBS) based on the hierarchical multi‐level assembly of nano‐hydroxyapatites (nHAs), collagen fibrils, and mussel adhesion proteins (MAPs). The emia‐BBS not only mimics the nanostructure and mechanical properties of native bone, but notably, the assembled MAPs endow emia‐BBS with abundant lysine and dopamine chemical structures, enabling efficient capture of endogenous metal ions to amplify ion‐mediated immunomodulation. Functionally, in large‐scale mandibular defects, emia‐BBS‐induced enrichment of endogenous metal ions could recruit and reprogram macrophages, thereby enhancing the innate immune response. These M2 macrophages, recruited by the emia‐BBS‐metal ion complex, in turn, facilitate the recruitment and osteogenic activation of endogenous LepR⁺ skeletal stem cells via the CCL5/CCR5/STAT3 axis. This study introduces an immunomodulatory strategy that harnesses endogenous ion dynamics to amplify regenerative signals, providing a precisely guided and clinically applicable approach for critical‐sized bone defect repair.</w:t>
      </w:r>
    </w:p>
    <w:p>
      <w:pPr>
        <w:spacing w:before="120" w:after="120"/>
      </w:pPr>
      <w:r>
        <w:rPr>
          <w:sz w:val="18"/>
        </w:rPr>
        <w:t>——————————————————————————————————————————————————————————————————————</w:t>
      </w:r>
    </w:p>
    <w:p>
      <w:pPr>
        <w:spacing w:before="160" w:after="40" w:line="240" w:lineRule="auto"/>
      </w:pPr>
      <w:r>
        <w:rPr>
          <w:b/>
        </w:rPr>
        <w:t xml:space="preserve">[241] </w:t>
      </w:r>
      <w:hyperlink r:id="rId463">
        <w:r>
          <w:rPr>
            <w:color w:val="1155CC"/>
            <w:u w:val="single"/>
          </w:rPr>
          <w:t>P'2和P2型Na2/3MnO2的电极性能受到 扫描剂量对P'2和P2型Na2/3MnO2电极性能的独特影响</w:t>
        </w:r>
      </w:hyperlink>
    </w:p>
    <w:p>
      <w:pPr>
        <w:spacing w:before="0" w:after="80"/>
      </w:pPr>
      <w:r>
        <w:rPr>
          <w:i/>
          <w:sz w:val="20"/>
        </w:rPr>
        <w:t>EN: Unique Impacts of Scandium Doping on Electrode Performance of P’2‐ and P2‐type Na2/3MnO2</w:t>
      </w:r>
    </w:p>
    <w:p>
      <w:pPr>
        <w:spacing w:before="0" w:after="120"/>
      </w:pPr>
      <w:r>
        <w:rPr>
          <w:b/>
        </w:rPr>
        <w:t xml:space="preserve">Source: </w:t>
      </w:r>
      <w:r>
        <w:t>Wiley: Advanced Materials: Table of Contents</w:t>
      </w:r>
      <w:r>
        <w:t xml:space="preserve">    </w:t>
      </w:r>
      <w:r>
        <w:rPr>
          <w:b/>
        </w:rPr>
        <w:t xml:space="preserve">Pub date: </w:t>
      </w:r>
      <w:r>
        <w:t>2026-01-03 06:27:20+00:00</w:t>
      </w:r>
      <w:r>
        <w:t xml:space="preserve">    </w:t>
      </w:r>
      <w:r>
        <w:rPr>
          <w:b/>
        </w:rPr>
        <w:t xml:space="preserve">DOI: </w:t>
      </w:r>
      <w:hyperlink r:id="rId464">
        <w:r>
          <w:rPr>
            <w:color w:val="1155CC"/>
            <w:u w:val="single"/>
          </w:rPr>
          <w:t>10.1002/adma.202511719</w:t>
        </w:r>
      </w:hyperlink>
    </w:p>
    <w:p>
      <w:pPr>
        <w:spacing w:before="0" w:after="120"/>
      </w:pPr>
      <w:r>
        <w:rPr>
          <w:b/>
        </w:rPr>
        <w:t xml:space="preserve">Notes: </w:t>
      </w:r>
      <w:r>
        <w:t>abstract_source=crossref</w:t>
      </w:r>
    </w:p>
    <w:p>
      <w:pPr>
        <w:spacing w:before="0" w:after="80" w:lineRule="auto" w:line="276"/>
      </w:pPr>
      <w:r>
        <w:rPr>
          <w:b/>
        </w:rPr>
        <w:t xml:space="preserve">摘要（ZH）: </w:t>
      </w:r>
      <w:r>
        <w:t>摘要层氧化锰钠是作为无稀有元素的高能纳米电池阴极材料的有希望的候选产品之一,在多型层氧化锰钠中,P'2'stype Na 2/3 MnO 2 电极显示以Mn 3+/4+ 红氧化物组合为基础的最高可逆功率220 mAh g-1;然而,周期寿命仍然是一个重大挑战。</w:t>
      </w:r>
    </w:p>
    <w:p>
      <w:pPr>
        <w:spacing w:before="0" w:after="200" w:lineRule="auto" w:line="276"/>
      </w:pPr>
      <w:r>
        <w:rPr>
          <w:b/>
        </w:rPr>
        <w:t xml:space="preserve">Abstract (EN): </w:t>
      </w:r>
      <w:r>
        <w:t>Layered sodium manganese oxides are one of the promising candidates as cathode materials for high‐capacity Na‐ion batteries free from rare elements. Among the polytypes of layered sodium manganese oxides, the P’2‐type Na</w:t>
      </w:r>
      <w:r>
        <w:t xml:space="preserve"> </w:t>
      </w:r>
      <w:r>
        <w:t>2/3</w:t>
      </w:r>
      <w:r>
        <w:t xml:space="preserve"> </w:t>
      </w:r>
      <w:r>
        <w:t>MnO</w:t>
      </w:r>
      <w:r>
        <w:rPr>
          <w:vertAlign w:val="subscript"/>
        </w:rPr>
        <w:t>2</w:t>
      </w:r>
      <w:r>
        <w:t>electrode exhibits the highest reversible capacity ≈220 mAh g</w:t>
      </w:r>
      <w:r>
        <w:t xml:space="preserve"> </w:t>
      </w:r>
      <w:r>
        <w:t>−1</w:t>
      </w:r>
      <w:r>
        <w:t xml:space="preserve"> </w:t>
      </w:r>
      <w:r>
        <w:t>based on the Mn</w:t>
      </w:r>
      <w:r>
        <w:t xml:space="preserve"> </w:t>
      </w:r>
      <w:r>
        <w:t>3+/4+</w:t>
      </w:r>
      <w:r>
        <w:t xml:space="preserve"> </w:t>
      </w:r>
      <w:r>
        <w:t>redox couple; however, the cycle life remained a significant challenge. Because of Jahn‐Teller (JT) active Mn</w:t>
      </w:r>
      <w:r>
        <w:t xml:space="preserve"> </w:t>
      </w:r>
      <w:r>
        <w:t>3+</w:t>
      </w:r>
      <w:r>
        <w:t xml:space="preserve"> </w:t>
      </w:r>
      <w:r>
        <w:t>ions ([Ar]</w:t>
      </w:r>
      <w:r>
        <w:t xml:space="preserve"> </w:t>
      </w:r>
      <w:r>
        <w:t>4s</w:t>
      </w:r>
      <w:r>
        <w:rPr>
          <w:vertAlign w:val="subscript"/>
        </w:rPr>
        <w:t>2</w:t>
      </w:r>
      <w:r>
        <w:t>3d</w:t>
      </w:r>
      <w:r>
        <w:rPr>
          <w:vertAlign w:val="subscript"/>
        </w:rPr>
        <w:t>4</w:t>
      </w:r>
      <w:r>
        <w:t xml:space="preserve"> </w:t>
      </w:r>
      <w:r>
        <w:t>), the layered structure is cooperatively distorted and experiences complex structural changes during Mn</w:t>
      </w:r>
      <w:r>
        <w:t xml:space="preserve"> </w:t>
      </w:r>
      <w:r>
        <w:t>3+/4+</w:t>
      </w:r>
      <w:r>
        <w:t xml:space="preserve"> </w:t>
      </w:r>
      <w:r>
        <w:t>redox accompanied by Na extraction/insertion. The impact of scandium(III) dopant in Na</w:t>
      </w:r>
      <w:r>
        <w:t xml:space="preserve"> </w:t>
      </w:r>
      <w:r>
        <w:t>2/3</w:t>
      </w:r>
      <w:r>
        <w:t xml:space="preserve"> </w:t>
      </w:r>
      <w:r>
        <w:t>[Mn</w:t>
      </w:r>
      <w:r>
        <w:t xml:space="preserve"> </w:t>
      </w:r>
      <w:r>
        <w:t>1‐</w:t>
      </w:r>
      <w:r>
        <w:t xml:space="preserve"> </w:t>
      </w:r>
      <w:r>
        <w:t>x</w:t>
      </w:r>
      <w:r>
        <w:t xml:space="preserve"> </w:t>
      </w:r>
      <w:r>
        <w:t>Sc</w:t>
      </w:r>
      <w:r>
        <w:t xml:space="preserve"> </w:t>
      </w:r>
      <w:r>
        <w:t>x</w:t>
      </w:r>
      <w:r>
        <w:t xml:space="preserve"> </w:t>
      </w:r>
      <w:r>
        <w:t>]O</w:t>
      </w:r>
      <w:r>
        <w:rPr>
          <w:vertAlign w:val="subscript"/>
        </w:rPr>
        <w:t>2</w:t>
      </w:r>
      <w:r>
        <w:t>on the cooperative lattice‐distortion and electrode performance is systematically investigated, and prepartion for distortion‐free hexagonal P2‐type Na</w:t>
      </w:r>
      <w:r>
        <w:t xml:space="preserve"> </w:t>
      </w:r>
      <w:r>
        <w:t>2/3</w:t>
      </w:r>
      <w:r>
        <w:t xml:space="preserve"> </w:t>
      </w:r>
      <w:r>
        <w:t>[(Mn</w:t>
      </w:r>
      <w:r>
        <w:t xml:space="preserve"> </w:t>
      </w:r>
      <w:r>
        <w:t>1‐</w:t>
      </w:r>
      <w:r>
        <w:t xml:space="preserve"> </w:t>
      </w:r>
      <w:r>
        <w:t>x</w:t>
      </w:r>
      <w:r>
        <w:t xml:space="preserve"> </w:t>
      </w:r>
      <w:r>
        <w:t>Sc</w:t>
      </w:r>
      <w:r>
        <w:t xml:space="preserve"> </w:t>
      </w:r>
      <w:r>
        <w:t>x</w:t>
      </w:r>
      <w:r>
        <w:t xml:space="preserve"> </w:t>
      </w:r>
      <w:r>
        <w:t>)</w:t>
      </w:r>
      <w:r>
        <w:t xml:space="preserve"> </w:t>
      </w:r>
      <w:r>
        <w:t>0.93</w:t>
      </w:r>
      <w:r>
        <w:t xml:space="preserve"> </w:t>
      </w:r>
      <w:r>
        <w:t>□</w:t>
      </w:r>
      <w:r>
        <w:t xml:space="preserve"> </w:t>
      </w:r>
      <w:r>
        <w:t>0.07</w:t>
      </w:r>
      <w:r>
        <w:t xml:space="preserve"> </w:t>
      </w:r>
      <w:r>
        <w:t>]O</w:t>
      </w:r>
      <w:r>
        <w:rPr>
          <w:vertAlign w:val="subscript"/>
        </w:rPr>
        <w:t>2</w:t>
      </w:r>
      <w:r>
        <w:t>(□ = vacancy) allows the contribution of the vacancies on the Mn site to be checked. Furthermore, a comparative study of the case of other trivalent metals of yttrium(III) and aluminum(III) as dopants is demonstrated. Thus, it is concluded that a unique synergetic effect of the Sc doping and JT distortion provides significant improvement of redox activity of P’2‐Na</w:t>
      </w:r>
      <w:r>
        <w:t xml:space="preserve"> </w:t>
      </w:r>
      <w:r>
        <w:t>2/3</w:t>
      </w:r>
      <w:r>
        <w:t xml:space="preserve"> </w:t>
      </w:r>
      <w:r>
        <w:t>[Mn</w:t>
      </w:r>
      <w:r>
        <w:t xml:space="preserve"> </w:t>
      </w:r>
      <w:r>
        <w:t>1‐</w:t>
      </w:r>
      <w:r>
        <w:t xml:space="preserve"> </w:t>
      </w:r>
      <w:r>
        <w:t>x</w:t>
      </w:r>
      <w:r>
        <w:t xml:space="preserve"> </w:t>
      </w:r>
      <w:r>
        <w:t>Sc</w:t>
      </w:r>
      <w:r>
        <w:t xml:space="preserve"> </w:t>
      </w:r>
      <w:r>
        <w:t>x</w:t>
      </w:r>
      <w:r>
        <w:t xml:space="preserve"> </w:t>
      </w:r>
      <w:r>
        <w:t>]O</w:t>
      </w:r>
      <w:r>
        <w:rPr>
          <w:vertAlign w:val="subscript"/>
        </w:rPr>
        <w:t>2</w:t>
      </w:r>
      <w:r>
        <w:t>, demonstrating stable cycling for more than 300 cycles in a Na‐ion cell. The findings highlight the critical role of the coexistence of the Sc dopant and honeycomb ordering of Mn</w:t>
      </w:r>
      <w:r>
        <w:t xml:space="preserve"> </w:t>
      </w:r>
      <w:r>
        <w:t>IV</w:t>
      </w:r>
      <w:r>
        <w:t xml:space="preserve"> </w:t>
      </w:r>
      <w:r>
        <w:t>(Mn</w:t>
      </w:r>
      <w:r>
        <w:t xml:space="preserve"> </w:t>
      </w:r>
      <w:r>
        <w:t>III</w:t>
      </w:r>
      <w:r>
        <w:t xml:space="preserve"> </w:t>
      </w:r>
      <w:r>
        <w:t>1‐</w:t>
      </w:r>
      <w:r>
        <w:t xml:space="preserve"> </w:t>
      </w:r>
      <w:r>
        <w:t>x</w:t>
      </w:r>
      <w:r>
        <w:t xml:space="preserve"> </w:t>
      </w:r>
      <w:r>
        <w:t>Sc</w:t>
      </w:r>
      <w:r>
        <w:t xml:space="preserve"> </w:t>
      </w:r>
      <w:r>
        <w:t>III</w:t>
      </w:r>
      <w:r>
        <w:t xml:space="preserve"> </w:t>
      </w:r>
      <w:r>
        <w:t>x</w:t>
      </w:r>
      <w:r>
        <w:t xml:space="preserve"> </w:t>
      </w:r>
      <w:r>
        <w:t>) in [Mn</w:t>
      </w:r>
      <w:r>
        <w:t xml:space="preserve"> </w:t>
      </w:r>
      <w:r>
        <w:t>1‐</w:t>
      </w:r>
      <w:r>
        <w:t xml:space="preserve"> </w:t>
      </w:r>
      <w:r>
        <w:t>x</w:t>
      </w:r>
      <w:r>
        <w:t xml:space="preserve"> </w:t>
      </w:r>
      <w:r>
        <w:t>Sc</w:t>
      </w:r>
      <w:r>
        <w:t xml:space="preserve"> </w:t>
      </w:r>
      <w:r>
        <w:t>x</w:t>
      </w:r>
      <w:r>
        <w:t xml:space="preserve"> </w:t>
      </w:r>
      <w:r>
        <w:t>]O</w:t>
      </w:r>
      <w:r>
        <w:rPr>
          <w:vertAlign w:val="subscript"/>
        </w:rPr>
        <w:t>2</w:t>
      </w:r>
      <w:r>
        <w:t>slabs of P’2‐Na</w:t>
      </w:r>
      <w:r>
        <w:t xml:space="preserve"> </w:t>
      </w:r>
      <w:r>
        <w:t>2/3</w:t>
      </w:r>
      <w:r>
        <w:t xml:space="preserve"> </w:t>
      </w:r>
      <w:r>
        <w:t>[Mn</w:t>
      </w:r>
      <w:r>
        <w:t xml:space="preserve"> </w:t>
      </w:r>
      <w:r>
        <w:t>1‐</w:t>
      </w:r>
      <w:r>
        <w:t xml:space="preserve"> </w:t>
      </w:r>
      <w:r>
        <w:t>x</w:t>
      </w:r>
      <w:r>
        <w:t xml:space="preserve"> </w:t>
      </w:r>
      <w:r>
        <w:t>Sc</w:t>
      </w:r>
      <w:r>
        <w:t xml:space="preserve"> </w:t>
      </w:r>
      <w:r>
        <w:t>x</w:t>
      </w:r>
      <w:r>
        <w:t xml:space="preserve"> </w:t>
      </w:r>
      <w:r>
        <w:t>]O</w:t>
      </w:r>
      <w:r>
        <w:rPr>
          <w:vertAlign w:val="subscript"/>
        </w:rPr>
        <w:t>2</w:t>
      </w:r>
      <w:r>
        <w:t>on the stable redox for long‐life Na‐ion batteries.</w:t>
      </w:r>
    </w:p>
    <w:p>
      <w:pPr>
        <w:spacing w:before="120" w:after="120"/>
      </w:pPr>
      <w:r>
        <w:rPr>
          <w:sz w:val="18"/>
        </w:rPr>
        <w:t>——————————————————————————————————————————————————————————————————————</w:t>
      </w:r>
    </w:p>
    <w:p>
      <w:pPr>
        <w:spacing w:before="160" w:after="40" w:line="240" w:lineRule="auto"/>
      </w:pPr>
      <w:r>
        <w:rPr>
          <w:b/>
        </w:rPr>
        <w:t xml:space="preserve">[242] </w:t>
      </w:r>
      <w:hyperlink r:id="rId465">
        <w:r>
          <w:rPr>
            <w:color w:val="1155CC"/>
            <w:u w:val="single"/>
          </w:rPr>
          <w:t>活性和被动热聚火花的适应性代金体</w:t>
        </w:r>
      </w:hyperlink>
    </w:p>
    <w:p>
      <w:pPr>
        <w:spacing w:before="0" w:after="80"/>
      </w:pPr>
      <w:r>
        <w:rPr>
          <w:i/>
          <w:sz w:val="20"/>
        </w:rPr>
        <w:t>EN: Adaptive Metaskins for Active and Passive Thermal Camouflage</w:t>
      </w:r>
    </w:p>
    <w:p>
      <w:pPr>
        <w:spacing w:before="0" w:after="120"/>
      </w:pPr>
      <w:r>
        <w:rPr>
          <w:b/>
        </w:rPr>
        <w:t xml:space="preserve">Source: </w:t>
      </w:r>
      <w:r>
        <w:t>Wiley: Advanced Materials: Table of Contents</w:t>
      </w:r>
      <w:r>
        <w:t xml:space="preserve">    </w:t>
      </w:r>
      <w:r>
        <w:rPr>
          <w:b/>
        </w:rPr>
        <w:t xml:space="preserve">Pub date: </w:t>
      </w:r>
      <w:r>
        <w:t>2026-01-03 06:27:20+00:00</w:t>
      </w:r>
      <w:r>
        <w:t xml:space="preserve">    </w:t>
      </w:r>
      <w:r>
        <w:rPr>
          <w:b/>
        </w:rPr>
        <w:t xml:space="preserve">DOI: </w:t>
      </w:r>
      <w:hyperlink r:id="rId466">
        <w:r>
          <w:rPr>
            <w:color w:val="1155CC"/>
            <w:u w:val="single"/>
          </w:rPr>
          <w:t>10.1002/adma.202506934</w:t>
        </w:r>
      </w:hyperlink>
    </w:p>
    <w:p>
      <w:pPr>
        <w:spacing w:before="0" w:after="120"/>
      </w:pPr>
      <w:r>
        <w:rPr>
          <w:b/>
        </w:rPr>
        <w:t xml:space="preserve">Notes: </w:t>
      </w:r>
      <w:r>
        <w:t>abstract_source=crossref</w:t>
      </w:r>
    </w:p>
    <w:p>
      <w:pPr>
        <w:spacing w:before="0" w:after="80" w:lineRule="auto" w:line="276"/>
      </w:pPr>
      <w:r>
        <w:rPr>
          <w:b/>
        </w:rPr>
        <w:t xml:space="preserve">摘要（ZH）: </w:t>
      </w:r>
      <w:r>
        <w:t>抽象动态热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掩,诸如日热建筑物和道路等热掩掩掩掩掩掩掩掩掩掩掩掩掩掩掩掩掩掩掩掩掩掩掩掩掩掩掩掩掩掩掩掩掩掩掩等。</w:t>
      </w:r>
    </w:p>
    <w:p>
      <w:pPr>
        <w:spacing w:before="0" w:after="200" w:lineRule="auto" w:line="276"/>
      </w:pPr>
      <w:r>
        <w:rPr>
          <w:b/>
        </w:rPr>
        <w:t xml:space="preserve">Abstract (EN): </w:t>
      </w:r>
      <w:r>
        <w:t>Dynamic thermal camouflage conceals objects from infrared detection by modulating surface emissivity to match the thermal signature of the background. However, existing emissivity modulation systems fail to perform effectively across both hot backgrounds, such as sun‐heated buildings and roads, and cold backgrounds, such as open fields. Here, an adaptive metaskin capable of operating in either active (externally powered) or passive mode is demonstrated, enabling effective camouflage across diverse thermal environments. This is achieved through the synergistic integration of a plasmonic MXene metasurface and a reprogrammable liquid crystal elastomer. The metaskin offers both a wide, continuously tunable emissivity range (≈41%) and a rapid temperature response (1.2 s), selectively triggered in the passive mode. In cold backgrounds (e.g., 20 °C), the system operates in an active mode, delivering a non‐volatile low‐emissivity state that conceals objects across a wide temperature range (e.g., 20–120 °C). In hot backgrounds (e.g., 50 °C), it switches to passive mode, autonomously modulating its emissivity and maintaining an average infrared contrast of just 4.7 °C for objects of 50–120 °C. This dual‐mode design is expected to address the challenges of active and passive thermal camouflage, opening new possibilities for dynamic thermal radiation management.</w:t>
      </w:r>
    </w:p>
    <w:p>
      <w:pPr>
        <w:spacing w:before="120" w:after="120"/>
      </w:pPr>
      <w:r>
        <w:rPr>
          <w:sz w:val="18"/>
        </w:rPr>
        <w:t>——————————————————————————————————————————————————————————————————————</w:t>
      </w:r>
    </w:p>
    <w:p>
      <w:pPr>
        <w:spacing w:before="160" w:after="40" w:line="240" w:lineRule="auto"/>
      </w:pPr>
      <w:r>
        <w:rPr>
          <w:b/>
        </w:rPr>
        <w:t xml:space="preserve">[243] </w:t>
      </w:r>
      <w:hyperlink r:id="rId467">
        <w:r>
          <w:rPr>
            <w:color w:val="1155CC"/>
            <w:u w:val="single"/>
          </w:rPr>
          <w:t>用于收集和监测海绵的三压电感应器</w:t>
        </w:r>
      </w:hyperlink>
    </w:p>
    <w:p>
      <w:pPr>
        <w:spacing w:before="0" w:after="80"/>
      </w:pPr>
      <w:r>
        <w:rPr>
          <w:i/>
          <w:sz w:val="20"/>
        </w:rPr>
        <w:t>EN: Bioinspired Heterogeneous Wettability Triboelectric Sensors for Sweat Collection and Monitoring</w:t>
      </w:r>
    </w:p>
    <w:p>
      <w:pPr>
        <w:spacing w:before="0" w:after="120"/>
      </w:pPr>
      <w:r>
        <w:rPr>
          <w:b/>
        </w:rPr>
        <w:t xml:space="preserve">Source: </w:t>
      </w:r>
      <w:r>
        <w:t>Wiley: Advanced Materials: Table of Contents</w:t>
      </w:r>
      <w:r>
        <w:t xml:space="preserve">    </w:t>
      </w:r>
      <w:r>
        <w:rPr>
          <w:b/>
        </w:rPr>
        <w:t xml:space="preserve">Pub date: </w:t>
      </w:r>
      <w:r>
        <w:t>2026-01-03 06:27:20+00:00</w:t>
      </w:r>
      <w:r>
        <w:t xml:space="preserve">    </w:t>
      </w:r>
      <w:r>
        <w:rPr>
          <w:b/>
        </w:rPr>
        <w:t xml:space="preserve">DOI: </w:t>
      </w:r>
      <w:hyperlink r:id="rId468">
        <w:r>
          <w:rPr>
            <w:color w:val="1155CC"/>
            <w:u w:val="single"/>
          </w:rPr>
          <w:t>10.1002/adma.202509920</w:t>
        </w:r>
      </w:hyperlink>
    </w:p>
    <w:p>
      <w:pPr>
        <w:spacing w:before="0" w:after="120"/>
      </w:pPr>
      <w:r>
        <w:rPr>
          <w:b/>
        </w:rPr>
        <w:t xml:space="preserve">Notes: </w:t>
      </w:r>
      <w:r>
        <w:t>abstract_source=crossref</w:t>
      </w:r>
    </w:p>
    <w:p>
      <w:pPr>
        <w:spacing w:before="0" w:after="80" w:lineRule="auto" w:line="276"/>
      </w:pPr>
      <w:r>
        <w:rPr>
          <w:b/>
        </w:rPr>
        <w:t xml:space="preserve">摘要（ZH）: </w:t>
      </w:r>
      <w:r>
        <w:t>具有非侵入性活体和现场检测技术优势的抽象三压热汗感应器催化了个性化药品和精确卫生管理系统的快速进步,然而,本研究利用激光切割和水相间自组战略开发生物模拟异湿性三压电材料(HWTM),在易湿性梯度和液体固体界面不对称曲线产生的拉贝压力差异的综合效应的推动下,从材料边缘到中央迅速收集汗水。</w:t>
      </w:r>
    </w:p>
    <w:p>
      <w:pPr>
        <w:spacing w:before="0" w:after="200" w:lineRule="auto" w:line="276"/>
      </w:pPr>
      <w:r>
        <w:rPr>
          <w:b/>
        </w:rPr>
        <w:t xml:space="preserve">Abstract (EN): </w:t>
      </w:r>
      <w:r>
        <w:t>Triboelectric sweat sensors, endowed with the technical advantages of non‐invasive ex vivo and in situ detection, have catalyzed the rapid advancement of personalized medicine and precision health management systems. However, the inherently low secretion rate and rapid evaporation of sweat pose significant challenges for its efficient collection and rapid analytical screening. This study leverages laser cutting and aqueous interfacial self‐assembly strategies to develop a biomimetic heterogeneous wettability triboelectric material (HWTM). Sweat is rapidly collected from the edge to the center of the material, driven by the combined effect of a wettability gradient and the Laplace pressure difference arising from asymmetric curvature at the liquid‐solid interface. This collection mechanism markedly enriches target analytes, yielding a signal‐to‐noise ratio (SNR) of 51 dB, which surpasses that of prevailing sweat sensor technologies. A portable wearable patch is engineered by integrating ion‐selective membranes and data processing modules, enabling selective salt ion profiling and real‐time wireless monitoring. This work paves the way for the rational design of sweat sensors grounded in fluidic transport mechanisms.</w:t>
      </w:r>
    </w:p>
    <w:p>
      <w:pPr>
        <w:spacing w:before="120" w:after="120"/>
      </w:pPr>
      <w:r>
        <w:rPr>
          <w:sz w:val="18"/>
        </w:rPr>
        <w:t>——————————————————————————————————————————————————————————————————————</w:t>
      </w:r>
    </w:p>
    <w:p>
      <w:pPr>
        <w:spacing w:before="160" w:after="40" w:line="240" w:lineRule="auto"/>
      </w:pPr>
      <w:r>
        <w:rPr>
          <w:b/>
        </w:rPr>
        <w:t xml:space="preserve">[244] </w:t>
      </w:r>
      <w:hyperlink r:id="rId469">
        <w:r>
          <w:rPr>
            <w:color w:val="1155CC"/>
            <w:u w:val="single"/>
          </w:rPr>
          <w:t>用于长期无线深海脑电动刺激不hi拔虫类缉获的超声波活性电极电除尘器纳米模拟器</w:t>
        </w:r>
      </w:hyperlink>
    </w:p>
    <w:p>
      <w:pPr>
        <w:spacing w:before="0" w:after="80"/>
      </w:pPr>
      <w:r>
        <w:rPr>
          <w:i/>
          <w:sz w:val="20"/>
        </w:rPr>
        <w:t>EN: Ultrasound Active Piezoelectric Nanostimulators for Long‐Acting Wireless Deep Brain Electric Stimulation to Inhibit Epileptic Seizures</w:t>
      </w:r>
    </w:p>
    <w:p>
      <w:pPr>
        <w:spacing w:before="0" w:after="120"/>
      </w:pPr>
      <w:r>
        <w:rPr>
          <w:b/>
        </w:rPr>
        <w:t xml:space="preserve">Source: </w:t>
      </w:r>
      <w:r>
        <w:t>Wiley: Advanced Materials: Table of Contents</w:t>
      </w:r>
      <w:r>
        <w:t xml:space="preserve">    </w:t>
      </w:r>
      <w:r>
        <w:rPr>
          <w:b/>
        </w:rPr>
        <w:t xml:space="preserve">Pub date: </w:t>
      </w:r>
      <w:r>
        <w:t>2026-01-03 06:27:20+00:00</w:t>
      </w:r>
      <w:r>
        <w:t xml:space="preserve">    </w:t>
      </w:r>
      <w:r>
        <w:rPr>
          <w:b/>
        </w:rPr>
        <w:t xml:space="preserve">DOI: </w:t>
      </w:r>
      <w:hyperlink r:id="rId470">
        <w:r>
          <w:rPr>
            <w:color w:val="1155CC"/>
            <w:u w:val="single"/>
          </w:rPr>
          <w:t>10.1002/adma.202420447</w:t>
        </w:r>
      </w:hyperlink>
    </w:p>
    <w:p>
      <w:pPr>
        <w:spacing w:before="0" w:after="120"/>
      </w:pPr>
      <w:r>
        <w:rPr>
          <w:b/>
        </w:rPr>
        <w:t xml:space="preserve">Notes: </w:t>
      </w:r>
      <w:r>
        <w:t>abstract_source=crossref</w:t>
      </w:r>
    </w:p>
    <w:p>
      <w:pPr>
        <w:spacing w:before="0" w:after="80" w:lineRule="auto" w:line="276"/>
      </w:pPr>
      <w:r>
        <w:rPr>
          <w:b/>
        </w:rPr>
        <w:t xml:space="preserve">摘要（ZH）: </w:t>
      </w:r>
      <w:r>
        <w:t>电深脑抽象刺激对癫痫抑制有效,但由于电极和脉冲发电机植入,将会导致神经组织损伤和炎症。超转磁和超转声刺激不能直接在深脑区域产生有效的电信号。在这里,建议使用派生电纳米粒子作为无线纳米刺激器,用于深脑电动刺激和对癫痫的最小侵入性抑制。聚二胺聚二甲酸铁乳性电动纳米模拟器可以坚持神经膜膜,在超声波辐照下生成脉冲电子信号,通过在膜膜上的调制电压化钙管道有效激活神经。这些纳米模拟器可以紧随神经膜膜,在超声波辐照下生成脉冲电子信号。</w:t>
      </w:r>
    </w:p>
    <w:p>
      <w:pPr>
        <w:spacing w:before="0" w:after="200" w:lineRule="auto" w:line="276"/>
      </w:pPr>
      <w:r>
        <w:rPr>
          <w:b/>
        </w:rPr>
        <w:t xml:space="preserve">Abstract (EN): </w:t>
      </w:r>
      <w:r>
        <w:t>Electrical deep brain stimulation is effective for epilepsy suppression, but will lead to neural tissue damage and inflammation due to implantation of electrodes and a pulse generator. Transcranial magnetic and transcranial ultrasound stimulation cannot directly generate effective electrical signals in deep brain regions. Here, the use of piezoelectric nanoparticles is proposed as wireless nanostimulators for deep brain electrical stimulation and minimally invasive suppression of epilepsy. Polydopamine‐coated barium titanate piezoelectric nanostimulators can adhere to neuronal membrane and generate pulsed electrical signals under ultrasound irradiation, effectively activating neurons through modulating voltage‐gated calcium channels on the membrane. These nanostimulators can be minimal‐invasively implanted into target deep brain regions, such as the hippocampal CA1, through stereotactic microinjection and remain stable for at least 14 weeks with negligible inflammatory reactions. These implanted nanostimulators precisely and effectively activate surrounding neurons and associated neural circuits in vivo under a portable low‐intensity ultrasound transducer. This piezoelectric nanostimulator‐based wireless deep brain electrical stimulation effectively suppresses epileptic seizures in both optogenetic and pilocarpine‐induced epilepsy rat models. By combining the deep penetration of ultrasound with the efficacy of piezoelectric stimulation, this minimally invasive method holds great promise for effective suppression of epileptic seizures and management of other neural disorders.</w:t>
      </w:r>
    </w:p>
    <w:p>
      <w:pPr>
        <w:spacing w:before="120" w:after="120"/>
      </w:pPr>
      <w:r>
        <w:rPr>
          <w:sz w:val="18"/>
        </w:rPr>
        <w:t>——————————————————————————————————————————————————————————————————————</w:t>
      </w:r>
    </w:p>
    <w:p>
      <w:pPr>
        <w:spacing w:before="160" w:after="40" w:line="240" w:lineRule="auto"/>
      </w:pPr>
      <w:r>
        <w:rPr>
          <w:b/>
        </w:rPr>
        <w:t xml:space="preserve">[245] </w:t>
      </w:r>
      <w:hyperlink r:id="rId471">
        <w:r>
          <w:rPr>
            <w:color w:val="1155CC"/>
            <w:u w:val="single"/>
          </w:rPr>
          <w:t>通过修复性宏图反常肺纤维化通过修复性宏图反常肺纤维化细胞</w:t>
        </w:r>
      </w:hyperlink>
    </w:p>
    <w:p>
      <w:pPr>
        <w:spacing w:before="0" w:after="80"/>
      </w:pPr>
      <w:r>
        <w:rPr>
          <w:i/>
          <w:sz w:val="20"/>
        </w:rPr>
        <w:t>EN: Innate Immune‐Cloaked Microgel‐Coated Mesenchymal Stromal Cells Reverse Persistent Pulmonary Fibrosis via Reparative Macrophages</w:t>
      </w:r>
    </w:p>
    <w:p>
      <w:pPr>
        <w:spacing w:before="0" w:after="120"/>
      </w:pPr>
      <w:r>
        <w:rPr>
          <w:b/>
        </w:rPr>
        <w:t xml:space="preserve">Source: </w:t>
      </w:r>
      <w:r>
        <w:t>Wiley: Advanced Materials: Table of Contents</w:t>
      </w:r>
      <w:r>
        <w:t xml:space="preserve">    </w:t>
      </w:r>
      <w:r>
        <w:rPr>
          <w:b/>
        </w:rPr>
        <w:t xml:space="preserve">Pub date: </w:t>
      </w:r>
      <w:r>
        <w:t>2026-01-03 06:27:20+00:00</w:t>
      </w:r>
      <w:r>
        <w:t xml:space="preserve">    </w:t>
      </w:r>
      <w:r>
        <w:rPr>
          <w:b/>
        </w:rPr>
        <w:t xml:space="preserve">DOI: </w:t>
      </w:r>
      <w:hyperlink r:id="rId472">
        <w:r>
          <w:rPr>
            <w:color w:val="1155CC"/>
            <w:u w:val="single"/>
          </w:rPr>
          <w:t>10.1002/adma.202504590</w:t>
        </w:r>
      </w:hyperlink>
    </w:p>
    <w:p>
      <w:pPr>
        <w:spacing w:before="0" w:after="120"/>
      </w:pPr>
      <w:r>
        <w:rPr>
          <w:b/>
        </w:rPr>
        <w:t xml:space="preserve">Notes: </w:t>
      </w:r>
      <w:r>
        <w:t>abstract_source=crossref</w:t>
      </w:r>
    </w:p>
    <w:p>
      <w:pPr>
        <w:spacing w:before="0" w:after="80" w:lineRule="auto" w:line="276"/>
      </w:pPr>
      <w:r>
        <w:rPr>
          <w:b/>
        </w:rPr>
        <w:t xml:space="preserve">摘要（ZH）: </w:t>
      </w:r>
      <w:r>
        <w:t>内生免疫系统既在组织损伤后的病原体过程的调解中发挥着双重作用,又成为有效提供治疗的障碍。在对宿主免疫部件进行调制的同时逃避免疫清除的战略为治疗复杂的慢性病(如纤维化)提供了有希望的解决方案。这里介绍了一个内生免疫检查站材料战略,在这种战略中,带有软相容微凝胶的中生神经热细胞与CD47自我标记活性细胞起作用,有效地逃避组织常驻大型动物的清除。这些工程细胞通过一个抛物体机制来扭转肺部的持久性纤维化损害。单细胞RNA测序确定了一种过渡性抗基因显示的大型动物。</w:t>
      </w:r>
    </w:p>
    <w:p>
      <w:pPr>
        <w:spacing w:before="0" w:after="200" w:lineRule="auto" w:line="276"/>
      </w:pPr>
      <w:r>
        <w:rPr>
          <w:b/>
        </w:rPr>
        <w:t xml:space="preserve">Abstract (EN): </w:t>
      </w:r>
      <w:r>
        <w:t>The innate immune system plays a dual role in both mediating pathogenic processes following tissue damage and acting as a barrier to effective therapeutic delivery. Strategies that evade immune clearance while modulating host immune components offer promising solutions for treating complex chronic diseases, such as fibrosis. Here, an innate immune checkpoint material‐based strategy is presented in which mesenchymal stromal cells, coated with a soft conformal microgel and functionalized with the CD47 self‐marker agonist, effectively evade clearance by tissue resident macrophages. These engineered cells reverse persistent fibrotic damage in the lungs through a paracrine mechanism. Single‐cell RNA sequencing identifies a transitional antigen‐presenting macrophage subpopulation that mediates these reparative effects. By combining immune cloaking with the presentation of local signals encoded in the gel coatings, this strategy can be used to design secretory cells for long‐term tissue remodeling, enabling a living pharmacy for chronic tissue damage.</w:t>
      </w:r>
    </w:p>
    <w:p>
      <w:pPr>
        <w:spacing w:before="120" w:after="120"/>
      </w:pPr>
      <w:r>
        <w:rPr>
          <w:sz w:val="18"/>
        </w:rPr>
        <w:t>——————————————————————————————————————————————————————————————————————</w:t>
      </w:r>
    </w:p>
    <w:p>
      <w:pPr>
        <w:spacing w:before="160" w:after="40" w:line="240" w:lineRule="auto"/>
      </w:pPr>
      <w:r>
        <w:rPr>
          <w:b/>
        </w:rPr>
        <w:t xml:space="preserve">[246] </w:t>
      </w:r>
      <w:hyperlink r:id="rId473">
        <w:r>
          <w:rPr>
            <w:color w:val="1155CC"/>
            <w:u w:val="single"/>
          </w:rPr>
          <w:t>高效率分子分离协调聚合玻璃统一MOF膜</w:t>
        </w:r>
      </w:hyperlink>
    </w:p>
    <w:p>
      <w:pPr>
        <w:spacing w:before="0" w:after="80"/>
      </w:pPr>
      <w:r>
        <w:rPr>
          <w:i/>
          <w:sz w:val="20"/>
        </w:rPr>
        <w:t>EN: Coordination Polymer Glass‐Unified MOF Membranes for High‐Efficiency Molecular Separations</w:t>
      </w:r>
    </w:p>
    <w:p>
      <w:pPr>
        <w:spacing w:before="0" w:after="120"/>
      </w:pPr>
      <w:r>
        <w:rPr>
          <w:b/>
        </w:rPr>
        <w:t xml:space="preserve">Source: </w:t>
      </w:r>
      <w:r>
        <w:t>Wiley: Advanced Materials: Table of Contents</w:t>
      </w:r>
      <w:r>
        <w:t xml:space="preserve">    </w:t>
      </w:r>
      <w:r>
        <w:rPr>
          <w:b/>
        </w:rPr>
        <w:t xml:space="preserve">Pub date: </w:t>
      </w:r>
      <w:r>
        <w:t>2026-01-03 06:27:20+00:00</w:t>
      </w:r>
      <w:r>
        <w:t xml:space="preserve">    </w:t>
      </w:r>
      <w:r>
        <w:rPr>
          <w:b/>
        </w:rPr>
        <w:t xml:space="preserve">DOI: </w:t>
      </w:r>
      <w:hyperlink r:id="rId474">
        <w:r>
          <w:rPr>
            <w:color w:val="1155CC"/>
            <w:u w:val="single"/>
          </w:rPr>
          <w:t>10.1002/adma.202512654</w:t>
        </w:r>
      </w:hyperlink>
    </w:p>
    <w:p>
      <w:pPr>
        <w:spacing w:before="0" w:after="120"/>
      </w:pPr>
      <w:r>
        <w:rPr>
          <w:b/>
        </w:rPr>
        <w:t xml:space="preserve">Notes: </w:t>
      </w:r>
      <w:r>
        <w:t>abstract_source=crossref</w:t>
      </w:r>
    </w:p>
    <w:p>
      <w:pPr>
        <w:spacing w:before="0" w:after="80" w:lineRule="auto" w:line="276"/>
      </w:pPr>
      <w:r>
        <w:rPr>
          <w:b/>
        </w:rPr>
        <w:t xml:space="preserve">摘要（ZH）: </w:t>
      </w:r>
      <w:r>
        <w:t>金属-机体抽象框架(MOFs)显示出在节能工业应用中分离薄膜的巨大潜力。 然而,由于间晶体缺陷,制造具有内在分离能力的任意的MOF薄膜仍是一个持续的挑战,这就需要对不同分离目标的合成条件进行具体的优化。 在这一点上,第一种协调聚合物(CP)玻璃统一化的MOF(GUM)薄膜是用融化的方法制造的,它为需求MOF膜制造制定了一种金枪鱼易碎和简便的战略。ZrGUM、AlGUM和ZnGUM膜的三种类型具有不同Zr、Al、ZnMOF的无缺陷和特征高密度、相互连接的选择性纳米网。</w:t>
      </w:r>
    </w:p>
    <w:p>
      <w:pPr>
        <w:spacing w:before="0" w:after="200" w:lineRule="auto" w:line="276"/>
      </w:pPr>
      <w:r>
        <w:rPr>
          <w:b/>
        </w:rPr>
        <w:t xml:space="preserve">Abstract (EN): </w:t>
      </w:r>
      <w:r>
        <w:t>Metal–organic frameworks (MOFs) demonstrate significant potential as separation membranes in energy‐efficient industrial applications. Nevertheless, fabricating an arbitrary MOF membrane with intrinsic separation capability remains a persistent challenge due to intercrystalline defects, necessitating case‐specific optimization of synthesis conditions for different separation targets. Herein, the first coordination polymer (CP) glass‐unified MOF (GUM) membranes are fabricated by a melt‐quenching approach, establishing a tunable and facile strategy for on‐demand MOF membrane fabrication. The three types of Zr‐GUM, Al‐GUM, and Zn‐GUM membranes with different Zr‐, Al‐, Zn‐MOFs are defect‐free and feature high‐density, interconnected, selective nanochannels that dominate the transport process. This strategy enables precise and rapid molecular separation in organic solvent nanofiltration, isomer pervaporation, and gas separation. Meanwhile, through non‐destructive modification of MOF crystals, the separation performance can be precisely fine‐tuned without compromising the structural integrity of the GUM membrane. Furthermore, leveraging the meltability of CP glass, this strategy enables the fabrication of innovative defect‐free membranes with integrated self‐healing properties. The GUM membranes demonstrate sustained high‐efficiency separation performance coupled with exceptional mechanical robustness, chemical resistance, and thermal stability, providing a facile strategy for both gas and liquid membrane separations.</w:t>
      </w:r>
    </w:p>
    <w:p>
      <w:pPr>
        <w:spacing w:before="120" w:after="120"/>
      </w:pPr>
      <w:r>
        <w:rPr>
          <w:sz w:val="18"/>
        </w:rPr>
        <w:t>——————————————————————————————————————————————————————————————————————</w:t>
      </w:r>
    </w:p>
    <w:p>
      <w:pPr>
        <w:spacing w:before="160" w:after="40" w:line="240" w:lineRule="auto"/>
      </w:pPr>
      <w:r>
        <w:rPr>
          <w:b/>
        </w:rPr>
        <w:t xml:space="preserve">[247] </w:t>
      </w:r>
      <w:hyperlink r:id="rId475">
        <w:r>
          <w:rPr>
            <w:color w:val="1155CC"/>
            <w:u w:val="single"/>
          </w:rPr>
          <w:t>(Zn,Ti)O 电子运输层在自由Sb2Se3光电阴极中能够实现最高的转化效率,以生产稳定太阳能氢气</w:t>
        </w:r>
      </w:hyperlink>
    </w:p>
    <w:p>
      <w:pPr>
        <w:spacing w:before="0" w:after="80"/>
      </w:pPr>
      <w:r>
        <w:rPr>
          <w:i/>
          <w:sz w:val="20"/>
        </w:rPr>
        <w:t>EN: (Zn,Ti)O Electron Transport Layer Enables the Highest Conversion Efficiency in Cd‐Free Sb2Se3 Photocathodes for Stable Solar Hydrogen Production</w:t>
      </w:r>
    </w:p>
    <w:p>
      <w:pPr>
        <w:spacing w:before="0" w:after="120"/>
      </w:pPr>
      <w:r>
        <w:rPr>
          <w:b/>
        </w:rPr>
        <w:t xml:space="preserve">Source: </w:t>
      </w:r>
      <w:r>
        <w:t>Wiley: Advanced Materials: Table of Contents</w:t>
      </w:r>
      <w:r>
        <w:t xml:space="preserve">    </w:t>
      </w:r>
      <w:r>
        <w:rPr>
          <w:b/>
        </w:rPr>
        <w:t xml:space="preserve">Pub date: </w:t>
      </w:r>
      <w:r>
        <w:t>2026-01-03 06:30:15+00:00</w:t>
      </w:r>
      <w:r>
        <w:t xml:space="preserve">    </w:t>
      </w:r>
      <w:r>
        <w:rPr>
          <w:b/>
        </w:rPr>
        <w:t xml:space="preserve">DOI: </w:t>
      </w:r>
      <w:hyperlink r:id="rId476">
        <w:r>
          <w:rPr>
            <w:color w:val="1155CC"/>
            <w:u w:val="single"/>
          </w:rPr>
          <w:t>10.1002/adma.202518202</w:t>
        </w:r>
      </w:hyperlink>
    </w:p>
    <w:p>
      <w:pPr>
        <w:spacing w:before="0" w:after="120"/>
      </w:pPr>
      <w:r>
        <w:rPr>
          <w:b/>
        </w:rPr>
        <w:t xml:space="preserve">Notes: </w:t>
      </w:r>
      <w:r>
        <w:t>abstract_source=crossref</w:t>
      </w:r>
    </w:p>
    <w:p>
      <w:pPr>
        <w:spacing w:before="0" w:after="80" w:lineRule="auto" w:line="276"/>
      </w:pPr>
      <w:r>
        <w:rPr>
          <w:b/>
        </w:rPr>
        <w:t xml:space="preserve">摘要（ZH）: </w:t>
      </w:r>
      <w:r>
        <w:t>由于光电化学(PEC)光电化(PEC)驱动的太阳氢生产低毒性、成本效益低和极佳的光电特性,ABSTACT antomon selenide (Sb 2 se 3 ) 已经成为一种很有希望的光电阴极材料,目前,高效的Sb 2 se 3光电阴极主要与CdS电子运输层(ETL)相伴而生,具有自然毒性、寄生性光吸收、间错配和/或不稳定性。在本研究中,我们引入了无光Sb 2 se 3光电极wi。</w:t>
      </w:r>
    </w:p>
    <w:p>
      <w:pPr>
        <w:spacing w:before="0" w:after="200" w:lineRule="auto" w:line="276"/>
      </w:pPr>
      <w:r>
        <w:rPr>
          <w:b/>
        </w:rPr>
        <w:t xml:space="preserve">Abstract (EN): </w:t>
      </w:r>
      <w:r>
        <w:t>Antimony selenide (Sb</w:t>
      </w:r>
      <w:r>
        <w:rPr>
          <w:vertAlign w:val="subscript"/>
        </w:rPr>
        <w:t>2</w:t>
      </w:r>
      <w:r>
        <w:t>Se</w:t>
      </w:r>
      <w:r>
        <w:rPr>
          <w:vertAlign w:val="subscript"/>
        </w:rPr>
        <w:t>3</w:t>
      </w:r>
      <w:r>
        <w:t>) has emerged as a promising photocathode material for photoelectrochemical (PEC)‐driven solar hydrogen production due to its low toxicity, cost‐effectiveness, and excellent photoelectric properties. Currently, efficient Sb</w:t>
      </w:r>
      <w:r>
        <w:rPr>
          <w:vertAlign w:val="subscript"/>
        </w:rPr>
        <w:t>2</w:t>
      </w:r>
      <w:r>
        <w:t>Se</w:t>
      </w:r>
      <w:r>
        <w:rPr>
          <w:vertAlign w:val="subscript"/>
        </w:rPr>
        <w:t>3</w:t>
      </w:r>
      <w:r>
        <w:t>photocathodes are mostly coupled with CdS electron transport layer (ETL), however, suffering from natural toxicity, parasitic light absorption, and interfacial mismatch and/or instability. In this study, we introduce a Cd‐free Sb</w:t>
      </w:r>
      <w:r>
        <w:rPr>
          <w:vertAlign w:val="subscript"/>
        </w:rPr>
        <w:t>2</w:t>
      </w:r>
      <w:r>
        <w:t>Se</w:t>
      </w:r>
      <w:r>
        <w:rPr>
          <w:vertAlign w:val="subscript"/>
        </w:rPr>
        <w:t>3</w:t>
      </w:r>
      <w:r>
        <w:t>photocathode with an atomic layer deposition‐processed (Zn,Ti)O ETL, which mitigates the respective limitations of binary oxides (i.e., ZnO and TiO</w:t>
      </w:r>
      <w:r>
        <w:rPr>
          <w:vertAlign w:val="subscript"/>
        </w:rPr>
        <w:t>2</w:t>
      </w:r>
      <w:r>
        <w:t>). The optimized (Zn,Ti)O ETL enhances electron carrier density, establishes a favorable ‘spike‐like’ band alignment at the Sb</w:t>
      </w:r>
      <w:r>
        <w:rPr>
          <w:vertAlign w:val="subscript"/>
        </w:rPr>
        <w:t>2</w:t>
      </w:r>
      <w:r>
        <w:t>Se</w:t>
      </w:r>
      <w:r>
        <w:rPr>
          <w:vertAlign w:val="subscript"/>
        </w:rPr>
        <w:t>3</w:t>
      </w:r>
      <w:r>
        <w:t>/(Zn,Ti)O interface, significantly improves charge separation and transport efficiencies, as well as the stability. Consequently, the champion device achieves an impressive photocurrent density (</w:t>
      </w:r>
      <w:r>
        <w:t xml:space="preserve"> </w:t>
      </w:r>
      <w:r>
        <w:t>J</w:t>
      </w:r>
      <w:r>
        <w:t xml:space="preserve"> </w:t>
      </w:r>
      <w:r>
        <w:t>ph</w:t>
      </w:r>
      <w:r>
        <w:t xml:space="preserve"> </w:t>
      </w:r>
      <w:r>
        <w:t>) of 31.1 mA/cm</w:t>
      </w:r>
      <w:r>
        <w:rPr>
          <w:vertAlign w:val="subscript"/>
        </w:rPr>
        <w:t>2</w:t>
      </w:r>
      <w:r>
        <w:t>, a record half‐cell solar‐to‐hydrogen (HC‐STH) efficiency of 5.27% for Cd‐free Sb</w:t>
      </w:r>
      <w:r>
        <w:rPr>
          <w:vertAlign w:val="subscript"/>
        </w:rPr>
        <w:t>2</w:t>
      </w:r>
      <w:r>
        <w:t>Se</w:t>
      </w:r>
      <w:r>
        <w:rPr>
          <w:vertAlign w:val="subscript"/>
        </w:rPr>
        <w:t>3</w:t>
      </w:r>
      <w:r>
        <w:t>photocathodes, and the highest unbiased STH efficiency of 2.50% in the Sb</w:t>
      </w:r>
      <w:r>
        <w:rPr>
          <w:vertAlign w:val="subscript"/>
        </w:rPr>
        <w:t>2</w:t>
      </w:r>
      <w:r>
        <w:t>Se</w:t>
      </w:r>
      <w:r>
        <w:rPr>
          <w:vertAlign w:val="subscript"/>
        </w:rPr>
        <w:t>3</w:t>
      </w:r>
      <w:r>
        <w:t>‐BiVO</w:t>
      </w:r>
      <w:r>
        <w:rPr>
          <w:vertAlign w:val="subscript"/>
        </w:rPr>
        <w:t>4</w:t>
      </w:r>
      <w:r>
        <w:t>tandem cell, setting a new benchmark for eco‐friendly and high‐performance PEC processed green hydrogen production.</w:t>
      </w:r>
    </w:p>
    <w:p>
      <w:pPr>
        <w:spacing w:before="120" w:after="120"/>
      </w:pPr>
      <w:r>
        <w:rPr>
          <w:sz w:val="18"/>
        </w:rPr>
        <w:t>——————————————————————————————————————————————————————————————————————</w:t>
      </w:r>
    </w:p>
    <w:p>
      <w:pPr>
        <w:spacing w:before="160" w:after="40" w:line="240" w:lineRule="auto"/>
      </w:pPr>
      <w:r>
        <w:rPr>
          <w:b/>
        </w:rPr>
        <w:t xml:space="preserve">[248] </w:t>
      </w:r>
      <w:hyperlink r:id="rId477">
        <w:r>
          <w:rPr>
            <w:color w:val="1155CC"/>
            <w:u w:val="single"/>
          </w:rPr>
          <w:t>在无活性皮派动物体内按顺序进行热热解碳-卤化物和碳-碳-碳-碳-碳保单激活</w:t>
        </w:r>
      </w:hyperlink>
    </w:p>
    <w:p>
      <w:pPr>
        <w:spacing w:before="0" w:after="80"/>
      </w:pPr>
      <w:r>
        <w:rPr>
          <w:i/>
          <w:sz w:val="20"/>
        </w:rPr>
        <w:t>EN: Sequential Heterolytic Carbon‐Halide and Carbon–Carbon Bond Activation in Unactivated Piperidines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478">
        <w:r>
          <w:rPr>
            <w:color w:val="1155CC"/>
            <w:u w:val="single"/>
          </w:rPr>
          <w:t>10.1002/anie.202512579</w:t>
        </w:r>
      </w:hyperlink>
    </w:p>
    <w:p>
      <w:pPr>
        <w:spacing w:before="0" w:after="120"/>
      </w:pPr>
      <w:r>
        <w:rPr>
          <w:b/>
        </w:rPr>
        <w:t xml:space="preserve">Notes: </w:t>
      </w:r>
      <w:r>
        <w:t>abstract_source=crossref</w:t>
      </w:r>
    </w:p>
    <w:p>
      <w:pPr>
        <w:spacing w:before="0" w:after="80" w:lineRule="auto" w:line="276"/>
      </w:pPr>
      <w:r>
        <w:rPr>
          <w:b/>
        </w:rPr>
        <w:t xml:space="preserve">摘要（ZH）: </w:t>
      </w:r>
      <w:r>
        <w:t>未活化 Csp 3 ─F 和 Csp 3 ─ Csp 3 ─ Csp 3 ─ Csp 3 3 3 3 3 3 3 键的热动力稳定性摘要仍然是有机合成中的一项重大挑战,因为实现在温和条件下有效分裂和高增益功能化的方法很少见。在这里,我们引入了涉及用有机铝试剂对4-卤化管进行热解活化作用的级联反应,随后是快速环向热力上有利的离子的开关,该离子正在通过正同时生成的含氟铝反离子的丙烯或烷基转移而形成C-C的联结。</w:t>
      </w:r>
    </w:p>
    <w:p>
      <w:pPr>
        <w:spacing w:before="0" w:after="200" w:lineRule="auto" w:line="276"/>
      </w:pPr>
      <w:r>
        <w:rPr>
          <w:b/>
        </w:rPr>
        <w:t xml:space="preserve">Abstract (EN): </w:t>
      </w:r>
      <w:r>
        <w:t>The thermodynamic stability of unactivated Csp</w:t>
      </w:r>
      <w:r>
        <w:rPr>
          <w:vertAlign w:val="subscript"/>
        </w:rPr>
        <w:t>3</w:t>
      </w:r>
      <w:r>
        <w:t>─F and Csp</w:t>
      </w:r>
      <w:r>
        <w:rPr>
          <w:vertAlign w:val="subscript"/>
        </w:rPr>
        <w:t>3</w:t>
      </w:r>
      <w:r>
        <w:t>─Csp</w:t>
      </w:r>
      <w:r>
        <w:rPr>
          <w:vertAlign w:val="subscript"/>
        </w:rPr>
        <w:t>3</w:t>
      </w:r>
      <w:r>
        <w:t>bonds remains a major challenge in organic synthesis as methods that achieve effective cleavage and high‐yielding functionalization under mild conditions are rare. Herein, we introduce a cascade reaction involving heterolytic activation of 4‐halopiperidines with organoaluminum reagents which is followed by fast ring opening toward a thermodynamically favored iminium ion that undergoes C─C bond formation via aryl or alkyl transfer from a concomitantly generated fluoroaluminate counteranion. Fluoropiperidines were found to be more reactive than other halides and are smoothly transformed into tertiary homoallyl amines with good to excellent yields. This reaction occurs at room temperature with high functional group tolerance and without noticeable by‐product formation. Similarly, Csp</w:t>
      </w:r>
      <w:r>
        <w:rPr>
          <w:vertAlign w:val="subscript"/>
        </w:rPr>
        <w:t>3</w:t>
      </w:r>
      <w:r>
        <w:t>─F bond scission is observed with 4,4‐difluoropiperidines, giving rise to monofluorinated alkene products as the Csp</w:t>
      </w:r>
      <w:r>
        <w:rPr>
          <w:vertAlign w:val="subscript"/>
        </w:rPr>
        <w:t>2</w:t>
      </w:r>
      <w:r>
        <w:t>─F bond generated during this process does not react. X‐ray crystallographic analysis of two cationic reaction intermediates simultaneously isolated in a single crystal provides a snapshot of the ring‐opening process and together with chemical trapping and control experiments is in agreement with an ionic mechanism and a three‐step reaction sequence. By contrast, defluorinative halide exchange leaving the piperidinyl ring intact prevails when 4‐fluoro‐ and 4,4‐difluoropiperidines are treated with aluminum trihalide Lewis acids.</w:t>
      </w:r>
    </w:p>
    <w:p>
      <w:pPr>
        <w:spacing w:before="120" w:after="120"/>
      </w:pPr>
      <w:r>
        <w:rPr>
          <w:sz w:val="18"/>
        </w:rPr>
        <w:t>——————————————————————————————————————————————————————————————————————</w:t>
      </w:r>
    </w:p>
    <w:p>
      <w:pPr>
        <w:spacing w:before="160" w:after="40" w:line="240" w:lineRule="auto"/>
      </w:pPr>
      <w:r>
        <w:rPr>
          <w:b/>
        </w:rPr>
        <w:t xml:space="preserve">[249] </w:t>
      </w:r>
      <w:hyperlink r:id="rId479">
        <w:r>
          <w:rPr>
            <w:color w:val="1155CC"/>
            <w:u w:val="single"/>
          </w:rPr>
          <w:t>合成合成抗药性集合人类IgGs中的抗体选择性</w:t>
        </w:r>
      </w:hyperlink>
    </w:p>
    <w:p>
      <w:pPr>
        <w:spacing w:before="0" w:after="80"/>
      </w:pPr>
      <w:r>
        <w:rPr>
          <w:i/>
          <w:sz w:val="20"/>
        </w:rPr>
        <w:t>EN: Acinetobacter baumannii α2–6‐Legionaminyltransferase‐Catalyzed Synthesis Reveals Legionaminic Acid Form Selectivity by Antibodies in Pooled Human IgGs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480">
        <w:r>
          <w:rPr>
            <w:color w:val="1155CC"/>
            <w:u w:val="single"/>
          </w:rPr>
          <w:t>10.1002/anie.202519750</w:t>
        </w:r>
      </w:hyperlink>
    </w:p>
    <w:p>
      <w:pPr>
        <w:spacing w:before="0" w:after="120"/>
      </w:pPr>
      <w:r>
        <w:rPr>
          <w:b/>
        </w:rPr>
        <w:t xml:space="preserve">Notes: </w:t>
      </w:r>
      <w:r>
        <w:t>abstract_source=crossref</w:t>
      </w:r>
    </w:p>
    <w:p>
      <w:pPr>
        <w:spacing w:before="0" w:after="80" w:lineRule="auto" w:line="276"/>
      </w:pPr>
      <w:r>
        <w:rPr>
          <w:b/>
        </w:rPr>
        <w:t xml:space="preserve">摘要（ZH）: </w:t>
      </w:r>
      <w:r>
        <w:t>遗传化学酸(Legs)是属于非球酸(NulO)家族的九碳酸单色元素,在多种致病细菌产生的聚沙亚化物或甘蓝蛋白中发现了各种腿状,包括抗碳酸乙酰乙酰乙酰乙酰乙酰乙酰乙酰乙酰乙酰乙酰乙酰乙酰乙酰丙烯酯的薄膜聚氨酯。根据基因序列预测出九碳酸性单色元素,但没有任何生物化学鉴定。在本研究中,我们报告了对一种团氨基转移酶的首次生物化学定性。我们证明,A. Guannidi K8菌株的AbGtr18是一种捐献性交替性α2-6-六-血基汞转移酶选择物。</w:t>
      </w:r>
    </w:p>
    <w:p>
      <w:pPr>
        <w:spacing w:before="0" w:after="200" w:lineRule="auto" w:line="276"/>
      </w:pPr>
      <w:r>
        <w:rPr>
          <w:b/>
        </w:rPr>
        <w:t xml:space="preserve">Abstract (EN): </w:t>
      </w:r>
      <w:r>
        <w:t>Legionaminic acids (Legs) are prokaryote‐specific nine‐carbon acidic monosaccharides belonging to the nonulosonic acid (NulO) family. Various Leg forms are found in the polysaccharides or glycoproteins produced by numerous pathogenic bacteria, including capsular polysaccharides of carbapenem‐resistant</w:t>
      </w:r>
      <w:r>
        <w:t xml:space="preserve"> </w:t>
      </w:r>
      <w:r>
        <w:t>Acinetobacter baumannii</w:t>
      </w:r>
      <w:r>
        <w:t xml:space="preserve"> </w:t>
      </w:r>
      <w:r>
        <w:t>. Hypothetic legionaminyltransferases have been predicted from gene sequences but none has been biochemically validated. In this study we report the first biochemical characterization of a legionaminyltransferase. We demonstrate that AbGtr18 from an</w:t>
      </w:r>
      <w:r>
        <w:t xml:space="preserve"> </w:t>
      </w:r>
      <w:r>
        <w:t>A. baumannii</w:t>
      </w:r>
      <w:r>
        <w:t xml:space="preserve"> </w:t>
      </w:r>
      <w:r>
        <w:t>K8 strain is a donor promiscuous α2–6‐legionaminyltransferase selective for α‐</w:t>
      </w:r>
      <w:r>
        <w:t xml:space="preserve"> </w:t>
      </w:r>
      <w:r>
        <w:t>N</w:t>
      </w:r>
      <w:r>
        <w:t xml:space="preserve"> </w:t>
      </w:r>
      <w:r>
        <w:t>‐acetylgalactosamine‐glycoside (GalNAcαOR) acceptors. In addition, streamlined chemical synthetic routes, including regio‐selective triflylation and azide substitution processes, were developed to prepare precursors or chemoenzymatic synthons of various forms of Legs. Applying the novel α2–6‐legionaminyltransferase AbGtr18 in one‐pot multienzyme (OPME) synthesis with or without additional chemical derivatization enabled rapid construction of a focused library of NulO‐glycosides (NulOα2–6GalNAcαOR) containing nine NulO forms. Binding and inhibition studies with these compounds revealed selective Leg forms recognized by the antibodies in the pooled human immunoglobulin (IgGs), reflecting natural occurrence of these Leg forms and indicating their prior encounters by human immune systems. AbGtr18 thus emerges as both a potential target for antibiotic development and a powerful biocatalyst for accessing synthetically challenging NulO‐glycosides with therapeutical potentials.</w:t>
      </w:r>
    </w:p>
    <w:p>
      <w:pPr>
        <w:spacing w:before="120" w:after="120"/>
      </w:pPr>
      <w:r>
        <w:rPr>
          <w:sz w:val="18"/>
        </w:rPr>
        <w:t>——————————————————————————————————————————————————————————————————————</w:t>
      </w:r>
    </w:p>
    <w:p>
      <w:pPr>
        <w:spacing w:before="160" w:after="40" w:line="240" w:lineRule="auto"/>
      </w:pPr>
      <w:r>
        <w:rPr>
          <w:b/>
        </w:rPr>
        <w:t xml:space="preserve">[250] </w:t>
      </w:r>
      <w:hyperlink r:id="rId481">
        <w:r>
          <w:rPr>
            <w:color w:val="1155CC"/>
            <w:u w:val="single"/>
          </w:rPr>
          <w:t>通过被倒置的 Perovskite 太阳能电池的共价有机框架使自相组装的单人同化</w:t>
        </w:r>
      </w:hyperlink>
    </w:p>
    <w:p>
      <w:pPr>
        <w:spacing w:before="0" w:after="80"/>
      </w:pPr>
      <w:r>
        <w:rPr>
          <w:i/>
          <w:sz w:val="20"/>
        </w:rPr>
        <w:t>EN: Homogenizing Self‐Assembled Monolayers via Covalent Organic Frameworks for Inverted Perovskite Solar Cells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482">
        <w:r>
          <w:rPr>
            <w:color w:val="1155CC"/>
            <w:u w:val="single"/>
          </w:rPr>
          <w:t>10.1002/anie.202519875</w:t>
        </w:r>
      </w:hyperlink>
    </w:p>
    <w:p>
      <w:pPr>
        <w:spacing w:before="0" w:after="120"/>
      </w:pPr>
      <w:r>
        <w:rPr>
          <w:b/>
        </w:rPr>
        <w:t xml:space="preserve">Notes: </w:t>
      </w:r>
      <w:r>
        <w:t>abstract_source=crossref</w:t>
      </w:r>
    </w:p>
    <w:p>
      <w:pPr>
        <w:spacing w:before="0" w:after="80" w:lineRule="auto" w:line="276"/>
      </w:pPr>
      <w:r>
        <w:rPr>
          <w:b/>
        </w:rPr>
        <w:t xml:space="preserve">摘要（ZH）: </w:t>
      </w:r>
      <w:r>
        <w:t>抽象的自组装单层(SAMs)由于具有调适能源水平和跨子质量的独特能力,在倒置的千伏伏氏太阳能电池中已成为充满希望的洞穴运输层(HTLs),然而,广泛使用的SAM分子[4](3,6-dimethoxy9H-carbazol9-yl)丁基]磷酸(MeO4PACz)存在分子聚合问题,与渗透性前体的湿性差,以及电导性有限,这些因素共同阻碍了高质量的百伏氏胶片的形成和高效的电源提取。 我们在此提出一个合理的SAM同质化战略,通过共价堆装法引入两个定制的共价有机框架(COFs)-PTCOF和ZnPTCOF-into MeO4PACz SAMs。这些CFs的设计是硬性的porrpt。</w:t>
      </w:r>
    </w:p>
    <w:p>
      <w:pPr>
        <w:spacing w:before="0" w:after="200" w:lineRule="auto" w:line="276"/>
      </w:pPr>
      <w:r>
        <w:rPr>
          <w:b/>
        </w:rPr>
        <w:t xml:space="preserve">Abstract (EN): </w:t>
      </w:r>
      <w:r>
        <w:t>Self‐assembled monolayers (SAMs) have emerged as promising hole transport layers (HTLs) in inverted perovskite solar cells (PSCs) due to their unique capability to modulate energy level alignment and interfacial quality. However, the widely used SAM molecule [4‐(3,6‐dimethoxy‐9H‐carbazol‐9‐yl)butyl]phosphonic acid (MeO‐4PACz) suffers from molecular aggregation, poor wettability with perovskite precursors, and limited electrical conductivity, which together hinder the formation of high‐quality perovskite films and efficient charge extraction. Herein, we propose a rational SAM homogenization strategy by introducing two tailor‐designed covalent organic frameworks (COFs)—PT‐COF and Zn‐PT‐COF—into MeO‐4PACz SAMs via co‐assembly. These COFs are designed with rigid porphyrin cores to enhance charge transport and flexible hydrophilic side chains to improve substrate wettability. The incorporation of COFs effectively disrupts MeO‐4PACz aggregation through π‐π interaction and hydrogen bonding, resulting in uniform, conductive, and well‐anchored SAMs. Consequently, the modified SAMs promote perovskite crystallization, reduce buried interface defects, and improve charge extraction. Devices employing Zn‐PT‐COF‐modified SAMs exhibit a champion power conversion efficiency of 26.39% (certified as 26.12%) with negligible hysteresis and outstanding operational stability, retaining 95% of initial efficiency after 1000 h continuous operation. This study offers a comprehensive molecular‐level strategy to overcome intrinsic limitations of MeO‐4PACz, providing a pathway for highly efficient and stable PSCs.</w:t>
      </w:r>
    </w:p>
    <w:p>
      <w:pPr>
        <w:spacing w:before="120" w:after="120"/>
      </w:pPr>
      <w:r>
        <w:rPr>
          <w:sz w:val="18"/>
        </w:rPr>
        <w:t>——————————————————————————————————————————————————————————————————————</w:t>
      </w:r>
    </w:p>
    <w:p>
      <w:pPr>
        <w:spacing w:before="160" w:after="40" w:line="240" w:lineRule="auto"/>
      </w:pPr>
      <w:r>
        <w:rPr>
          <w:b/>
        </w:rPr>
        <w:t xml:space="preserve">[251] </w:t>
      </w:r>
      <w:hyperlink r:id="rId483">
        <w:r>
          <w:rPr>
            <w:color w:val="1155CC"/>
            <w:u w:val="single"/>
          </w:rPr>
          <w:t>通过更强的弹性到更高的反应性: 阿尔基链对以太裂谷能量的激活对硅的影响</w:t>
        </w:r>
      </w:hyperlink>
    </w:p>
    <w:p>
      <w:pPr>
        <w:spacing w:before="0" w:after="80"/>
      </w:pPr>
      <w:r>
        <w:rPr>
          <w:i/>
          <w:sz w:val="20"/>
        </w:rPr>
        <w:t>EN: Through Stronger Hindrance to Higher Reactivity: Influence of the Alkyl Chains on the Activation Energy of Ether Cleavage on Silicon</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484">
        <w:r>
          <w:rPr>
            <w:color w:val="1155CC"/>
            <w:u w:val="single"/>
          </w:rPr>
          <w:t>10.1002/anie.202519990</w:t>
        </w:r>
      </w:hyperlink>
    </w:p>
    <w:p>
      <w:pPr>
        <w:spacing w:before="0" w:after="120"/>
      </w:pPr>
      <w:r>
        <w:rPr>
          <w:b/>
        </w:rPr>
        <w:t xml:space="preserve">Notes: </w:t>
      </w:r>
      <w:r>
        <w:t>abstract_source=crossref</w:t>
      </w:r>
    </w:p>
    <w:p>
      <w:pPr>
        <w:spacing w:before="0" w:after="80" w:lineRule="auto" w:line="276"/>
      </w:pPr>
      <w:r>
        <w:rPr>
          <w:b/>
        </w:rPr>
        <w:t xml:space="preserve">摘要（ZH）: </w:t>
      </w:r>
      <w:r>
        <w:t>地表化学的抽象反应经常以表面状态和反应分子的功能组之间的相互作用来讨论表面化学的抽象反应。在这里,我们证明,对于有限的亚子分子层的覆盖范围,即分子吸附剂不能再被当作孤立分子处理的表面覆盖范围,吸附剂表面上看似无辜的侧链也可以起决定性作用。在Si(001)的乙醚裂痕的例子中,它代表了2型反应的表面相似性,我们实验和根据初始计算结果显示,侧链阻力决定了CO分离到最后状态的活化能量。与简单的预期相反,我们通过实验和根据初始计算结果显示,侧链阻力决定了CO分离到最后状态的能量。</w:t>
      </w:r>
    </w:p>
    <w:p>
      <w:pPr>
        <w:spacing w:before="0" w:after="200" w:lineRule="auto" w:line="276"/>
      </w:pPr>
      <w:r>
        <w:rPr>
          <w:b/>
        </w:rPr>
        <w:t xml:space="preserve">Abstract (EN): </w:t>
      </w:r>
      <w:r>
        <w:t>Reactivity in surface chemistry is often discussed in terms of the interaction between surface states and the functional groups of the reacting molecule. Herein, we demonstrate that for finite submonolayer coverage, i.e., surface coverage at which the molecular adsorbates cannot be treated as isolated molecules anymore, the seemingly innocent side chains of the adsorbate can also play a decisive role. For the example of ether cleavage on Si(001), which represents the surface analogue of an 2‐type reaction, we show both experimentally and based on ab initio calculations that steric hindrance by the side chains determines the activation energy for C‐O dissociation into the final state. In contrast to a simple expectation, the</w:t>
      </w:r>
      <w:r>
        <w:t xml:space="preserve"> </w:t>
      </w:r>
      <w:r>
        <w:t>stronger</w:t>
      </w:r>
      <w:r>
        <w:t xml:space="preserve"> </w:t>
      </w:r>
      <w:r>
        <w:t>steric hindrance of the butyl group in butyl methyl ether leads to a</w:t>
      </w:r>
      <w:r>
        <w:t xml:space="preserve"> </w:t>
      </w:r>
      <w:r>
        <w:t>lower</w:t>
      </w:r>
      <w:r>
        <w:t xml:space="preserve"> </w:t>
      </w:r>
      <w:r>
        <w:t>activation energy for ether cleavage on Si(001) when compared to diethyl ether. This effect was traced back to different degrees of destabilization of the precursor and the transition state. Given the fact that for almost all technologically relevant processes the surface coverage is typically above the isolated‐molecule limit, our findings are of general importance for surface functionalization and can help to properly design future experiments.</w:t>
      </w:r>
    </w:p>
    <w:p>
      <w:pPr>
        <w:spacing w:before="120" w:after="120"/>
      </w:pPr>
      <w:r>
        <w:rPr>
          <w:sz w:val="18"/>
        </w:rPr>
        <w:t>——————————————————————————————————————————————————————————————————————</w:t>
      </w:r>
    </w:p>
    <w:p>
      <w:pPr>
        <w:spacing w:before="160" w:after="40" w:line="240" w:lineRule="auto"/>
      </w:pPr>
      <w:r>
        <w:rPr>
          <w:b/>
        </w:rPr>
        <w:t xml:space="preserve">[252] </w:t>
      </w:r>
      <w:hyperlink r:id="rId485">
        <w:r>
          <w:rPr>
            <w:color w:val="1155CC"/>
            <w:u w:val="single"/>
          </w:rPr>
          <w:t>氧苯甲醚与Aryl Diazoesters的亚氧苯甲醚对等重新排列:</w:t>
        </w:r>
      </w:hyperlink>
    </w:p>
    <w:p>
      <w:pPr>
        <w:spacing w:before="0" w:after="80"/>
      </w:pPr>
      <w:r>
        <w:rPr>
          <w:i/>
          <w:sz w:val="20"/>
        </w:rPr>
        <w:t>EN: Iridium Porphyrin‐Catalyzed Asymmetric Rearrangement of Oxindoles with Aryl Diazoesters: Enantioselective Synthesis of Chiral Tertiary 2‐Indolyl Alcohols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486">
        <w:r>
          <w:rPr>
            <w:color w:val="1155CC"/>
            <w:u w:val="single"/>
          </w:rPr>
          <w:t>10.1002/anie.202519102</w:t>
        </w:r>
      </w:hyperlink>
    </w:p>
    <w:p>
      <w:pPr>
        <w:spacing w:before="0" w:after="120"/>
      </w:pPr>
      <w:r>
        <w:rPr>
          <w:b/>
        </w:rPr>
        <w:t xml:space="preserve">Notes: </w:t>
      </w:r>
      <w:r>
        <w:t>abstract_source=crossref</w:t>
      </w:r>
    </w:p>
    <w:p>
      <w:pPr>
        <w:spacing w:before="0" w:after="80" w:lineRule="auto" w:line="276"/>
      </w:pPr>
      <w:r>
        <w:rPr>
          <w:b/>
        </w:rPr>
        <w:t xml:space="preserve">摘要（ZH）: </w:t>
      </w:r>
      <w:r>
        <w:t>抽象的C2位置的Indolles不对称功能化以支付三级手性酒精给有机合成带来了巨大的挑战,这主要是因为对C3回活性的固有偏好。 在这里,我们报告的是使用--轴---porphinin 复合体从oxindols产生和转化的碳基酰酰胺的不对称生成和转化。 这个系统使得oxindoles和ary diazosters之间能够发生高度的选择性和对应性选择性反应,其中涉及对等选择性碳基双酰形成、同步电子增殖和重新排列。 这一过程高效地提供了一系列难以通过直接的Friedel-Crafts对异性反应获得的2-indolyl醇。</w:t>
      </w:r>
    </w:p>
    <w:p>
      <w:pPr>
        <w:spacing w:before="0" w:after="200" w:lineRule="auto" w:line="276"/>
      </w:pPr>
      <w:r>
        <w:rPr>
          <w:b/>
        </w:rPr>
        <w:t xml:space="preserve">Abstract (EN): </w:t>
      </w:r>
      <w:r>
        <w:t>The asymmetric functionalization of indoles at the C2 position to afford chiral tertiary alcohols poses a formidable challenge in organic synthesis, primarily due to the inherent preference for C3 reactivity. Herein, we report the asymmetric generation and transformation of carbonyl ylides from oxindoles using a β‐aryl axially chiral iridium porphyrin complex. This system enables a highly site‐selective and enantioselective reaction between oxindoles and aryl diazoesters, involving enantioselective carbonyl ylide formation, tandem epoxidation, and rearrangement. The process efficiently provides a series of chiral tertiary 2‐indolyl alcohols that are difficult to access via direct Friedel–Crafts alkylation of indoles.</w:t>
      </w:r>
    </w:p>
    <w:p>
      <w:pPr>
        <w:spacing w:before="120" w:after="120"/>
      </w:pPr>
      <w:r>
        <w:rPr>
          <w:sz w:val="18"/>
        </w:rPr>
        <w:t>——————————————————————————————————————————————————————————————————————</w:t>
      </w:r>
    </w:p>
    <w:p>
      <w:pPr>
        <w:spacing w:before="160" w:after="40" w:line="240" w:lineRule="auto"/>
      </w:pPr>
      <w:r>
        <w:rPr>
          <w:b/>
        </w:rPr>
        <w:t xml:space="preserve">[253] </w:t>
      </w:r>
      <w:hyperlink r:id="rId487">
        <w:r>
          <w:rPr>
            <w:color w:val="1155CC"/>
            <w:u w:val="single"/>
          </w:rPr>
          <w:t>通过《增强锂储存电静脉回转条例》启动1TM解乱岩盐通道</w:t>
        </w:r>
      </w:hyperlink>
    </w:p>
    <w:p>
      <w:pPr>
        <w:spacing w:before="0" w:after="80"/>
      </w:pPr>
      <w:r>
        <w:rPr>
          <w:i/>
          <w:sz w:val="20"/>
        </w:rPr>
        <w:t>EN: Activate 1‐TM Channel of Disordered Rock Salts via Electrostatic Repulsion Regulation for Enhanced Lithium Storage</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488">
        <w:r>
          <w:rPr>
            <w:color w:val="1155CC"/>
            <w:u w:val="single"/>
          </w:rPr>
          <w:t>10.1002/anie.202518797</w:t>
        </w:r>
      </w:hyperlink>
    </w:p>
    <w:p>
      <w:pPr>
        <w:spacing w:before="0" w:after="120"/>
      </w:pPr>
      <w:r>
        <w:rPr>
          <w:b/>
        </w:rPr>
        <w:t xml:space="preserve">Notes: </w:t>
      </w:r>
      <w:r>
        <w:t>abstract_source=crossref</w:t>
      </w:r>
    </w:p>
    <w:p>
      <w:pPr>
        <w:spacing w:before="0" w:after="80" w:lineRule="auto" w:line="276"/>
      </w:pPr>
      <w:r>
        <w:rPr>
          <w:b/>
        </w:rPr>
        <w:t xml:space="preserve">摘要（ZH）: </w:t>
      </w:r>
      <w:r>
        <w:t>抽象失序岩石沙尔特(DRX)已成为下一代高能密度高李加扩散电池中大有希望的高容量阴极材料,然而,其实际应用受到内在的李+扩散机制的阻碍,因为只有0-过渡金属(TM)渠道允许可行的李+迁移,而1-TM和2/3/4-TM频道的李+扩散能量屏障高得令人望而却步,令人望而却步。</w:t>
      </w:r>
    </w:p>
    <w:p>
      <w:pPr>
        <w:spacing w:before="0" w:after="200" w:lineRule="auto" w:line="276"/>
      </w:pPr>
      <w:r>
        <w:rPr>
          <w:b/>
        </w:rPr>
        <w:t xml:space="preserve">Abstract (EN): </w:t>
      </w:r>
      <w:r>
        <w:t>Cation‐disordered rock‐salt (DRX) has emerged as a promising high‐capacity cathode material for next‐generation high‐energy‐density Li‐ion batteries. However, its practical deployment is hindered by intrinsic Li</w:t>
      </w:r>
      <w:r>
        <w:t xml:space="preserve"> </w:t>
      </w:r>
      <w:r>
        <w:t>+</w:t>
      </w:r>
      <w:r>
        <w:t xml:space="preserve"> </w:t>
      </w:r>
      <w:r>
        <w:t>diffusion mechanism, where only 0‐transition metal (0‐TM) channels permit feasible Li⁺ migration while 1‐TM and 2/3/4‐TM channels exhibit prohibitively high Li</w:t>
      </w:r>
      <w:r>
        <w:t xml:space="preserve"> </w:t>
      </w:r>
      <w:r>
        <w:t>+</w:t>
      </w:r>
      <w:r>
        <w:t xml:space="preserve"> </w:t>
      </w:r>
      <w:r>
        <w:t>diffusion energy barriers. Here, we leverage electrostatic repulsion regulation to activate the 1‐TM channel, which holds the highest potential for activation while constrained by restrictive tetrahedral site geometries, thereby introducing more Li</w:t>
      </w:r>
      <w:r>
        <w:t xml:space="preserve"> </w:t>
      </w:r>
      <w:r>
        <w:t>+</w:t>
      </w:r>
      <w:r>
        <w:t xml:space="preserve"> </w:t>
      </w:r>
      <w:r>
        <w:t>diffusion pathways and establishing a well‐connected percolating 3D Li</w:t>
      </w:r>
      <w:r>
        <w:t xml:space="preserve"> </w:t>
      </w:r>
      <w:r>
        <w:t>+</w:t>
      </w:r>
      <w:r>
        <w:t xml:space="preserve"> </w:t>
      </w:r>
      <w:r>
        <w:t>diffusion network within the DRX lattice to fundamentally addressing the kinetic limitations of DRX. Systematic investigations reveal that in the optimized sample, the tetrahedral height of 1‐TM channels increased significantly from 2.525 to 2.613 Å, concomitant with a volumetric expansion from 3.254 to 4.010 Å</w:t>
      </w:r>
      <w:r>
        <w:rPr>
          <w:vertAlign w:val="subscript"/>
        </w:rPr>
        <w:t>3</w:t>
      </w:r>
      <w:r>
        <w:t>, along with the Li</w:t>
      </w:r>
      <w:r>
        <w:t xml:space="preserve"> </w:t>
      </w:r>
      <w:r>
        <w:t>+</w:t>
      </w:r>
      <w:r>
        <w:t xml:space="preserve"> </w:t>
      </w:r>
      <w:r>
        <w:t>migration energy barrier significantly reduced from 1.48 to 0.26 eV. The enhanced Li</w:t>
      </w:r>
      <w:r>
        <w:t xml:space="preserve"> </w:t>
      </w:r>
      <w:r>
        <w:t>+</w:t>
      </w:r>
      <w:r>
        <w:t xml:space="preserve"> </w:t>
      </w:r>
      <w:r>
        <w:t>transport kinetics yield enhanced capacity (306 mAh g</w:t>
      </w:r>
      <w:r>
        <w:t xml:space="preserve"> </w:t>
      </w:r>
      <w:r>
        <w:t>−1</w:t>
      </w:r>
      <w:r>
        <w:t xml:space="preserve"> </w:t>
      </w:r>
      <w:r>
        <w:t>at 10 mA g</w:t>
      </w:r>
      <w:r>
        <w:t xml:space="preserve"> </w:t>
      </w:r>
      <w:r>
        <w:t>−1</w:t>
      </w:r>
      <w:r>
        <w:t xml:space="preserve"> </w:t>
      </w:r>
      <w:r>
        <w:t>), alongside superior rate capability (∼200 mAh g</w:t>
      </w:r>
      <w:r>
        <w:t xml:space="preserve"> </w:t>
      </w:r>
      <w:r>
        <w:t>−1</w:t>
      </w:r>
      <w:r>
        <w:t xml:space="preserve"> </w:t>
      </w:r>
      <w:r>
        <w:t>at 100 mA g</w:t>
      </w:r>
      <w:r>
        <w:t xml:space="preserve"> </w:t>
      </w:r>
      <w:r>
        <w:t>−1</w:t>
      </w:r>
      <w:r>
        <w:t xml:space="preserve"> </w:t>
      </w:r>
      <w:r>
        <w:t>). This work establishes a material design paradigm overcome transport bottlenecks in disordered cathode architectures.</w:t>
      </w:r>
    </w:p>
    <w:p>
      <w:pPr>
        <w:spacing w:before="120" w:after="120"/>
      </w:pPr>
      <w:r>
        <w:rPr>
          <w:sz w:val="18"/>
        </w:rPr>
        <w:t>——————————————————————————————————————————————————————————————————————</w:t>
      </w:r>
    </w:p>
    <w:p>
      <w:pPr>
        <w:spacing w:before="160" w:after="40" w:line="240" w:lineRule="auto"/>
      </w:pPr>
      <w:r>
        <w:rPr>
          <w:b/>
        </w:rPr>
        <w:t xml:space="preserve">[254] </w:t>
      </w:r>
      <w:hyperlink r:id="rId489">
        <w:r>
          <w:rPr>
            <w:color w:val="1155CC"/>
            <w:u w:val="single"/>
          </w:rPr>
          <w:t>五溴二苯醚的遗传编码 提供PF5-PF5-PProteins作为磷蛋白磷</w:t>
        </w:r>
      </w:hyperlink>
    </w:p>
    <w:p>
      <w:pPr>
        <w:spacing w:before="0" w:after="80"/>
      </w:pPr>
      <w:r>
        <w:rPr>
          <w:i/>
          <w:sz w:val="20"/>
        </w:rPr>
        <w:t>EN: Genetic Encoding of Pentafluorophosphato‐Phenylalanine Provides PF5‐Proteins as Phosphoprotein Mimetics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490">
        <w:r>
          <w:rPr>
            <w:color w:val="1155CC"/>
            <w:u w:val="single"/>
          </w:rPr>
          <w:t>10.1002/anie.202518789</w:t>
        </w:r>
      </w:hyperlink>
    </w:p>
    <w:p>
      <w:pPr>
        <w:spacing w:before="0" w:after="120"/>
      </w:pPr>
      <w:r>
        <w:rPr>
          <w:b/>
        </w:rPr>
        <w:t xml:space="preserve">Notes: </w:t>
      </w:r>
      <w:r>
        <w:t>abstract_source=crossref</w:t>
      </w:r>
    </w:p>
    <w:p>
      <w:pPr>
        <w:spacing w:before="0" w:after="80" w:lineRule="auto" w:line="276"/>
      </w:pPr>
      <w:r>
        <w:rPr>
          <w:b/>
        </w:rPr>
        <w:t xml:space="preserve">摘要（ZH）: </w:t>
      </w:r>
      <w:r>
        <w:t>蛋白磷酸摘要是改变13 000多个人类蛋白质结构、稳定性和活性的最重要翻译后修改之一,在这项工作中,磷基苯基氨基氟乙酰氟甲基苯丙胺(PF 5 CF 2 Phe)经过基因编码并纳入三种不同的蛋白。</w:t>
      </w:r>
    </w:p>
    <w:p>
      <w:pPr>
        <w:spacing w:before="0" w:after="200" w:lineRule="auto" w:line="276"/>
      </w:pPr>
      <w:r>
        <w:rPr>
          <w:b/>
        </w:rPr>
        <w:t xml:space="preserve">Abstract (EN): </w:t>
      </w:r>
      <w:r>
        <w:t>Protein phosphorylation is one of the most important posttranslational modifications altering the structure, stability, and activity of more than 13 000 human proteins. In this work, the phosphotyrosine mimetic pentafluorophosphato‐difluoromethyl‐phenylalanine (PF</w:t>
      </w:r>
      <w:r>
        <w:rPr>
          <w:vertAlign w:val="subscript"/>
        </w:rPr>
        <w:t>5</w:t>
      </w:r>
      <w:r>
        <w:t>CF</w:t>
      </w:r>
      <w:r>
        <w:rPr>
          <w:vertAlign w:val="subscript"/>
        </w:rPr>
        <w:t>2</w:t>
      </w:r>
      <w:r>
        <w:t>Phe) was genetically encoded and incorporated into three different proteins. Screening two libraries of orthogonal aminoacyl‐tRNA synthetases identified enzymes enabling the efficient and specific incorporation of PF</w:t>
      </w:r>
      <w:r>
        <w:rPr>
          <w:vertAlign w:val="subscript"/>
        </w:rPr>
        <w:t>5</w:t>
      </w:r>
      <w:r>
        <w:t>CF</w:t>
      </w:r>
      <w:r>
        <w:rPr>
          <w:vertAlign w:val="subscript"/>
        </w:rPr>
        <w:t>2</w:t>
      </w:r>
      <w:r>
        <w:t>Phe into red fluorescent protein (RFP) via amber stop codon suppression. Two model proteins, human ubiquitin (Ubq) and the B1 immunoglobulin‐binding domain of streptococcal protein G (GB1), were prepared with PF</w:t>
      </w:r>
      <w:r>
        <w:rPr>
          <w:vertAlign w:val="subscript"/>
        </w:rPr>
        <w:t>5</w:t>
      </w:r>
      <w:r>
        <w:t>CF</w:t>
      </w:r>
      <w:r>
        <w:rPr>
          <w:vertAlign w:val="subscript"/>
        </w:rPr>
        <w:t>2</w:t>
      </w:r>
      <w:r>
        <w:t>Phe mutations and investigated for potential interaction partners. While native GB1 showed no binding to protein tyrosine phosphatases (PTP), PF</w:t>
      </w:r>
      <w:r>
        <w:rPr>
          <w:vertAlign w:val="subscript"/>
        </w:rPr>
        <w:t>5</w:t>
      </w:r>
      <w:r>
        <w:t>‐GB1, with PF</w:t>
      </w:r>
      <w:r>
        <w:rPr>
          <w:vertAlign w:val="subscript"/>
        </w:rPr>
        <w:t>5</w:t>
      </w:r>
      <w:r>
        <w:t>CF</w:t>
      </w:r>
      <w:r>
        <w:rPr>
          <w:vertAlign w:val="subscript"/>
        </w:rPr>
        <w:t>2</w:t>
      </w:r>
      <w:r>
        <w:t>Phe at position 17, was a strong inhibitor of the phosphatases PTP1B and SHP2. PF</w:t>
      </w:r>
      <w:r>
        <w:rPr>
          <w:vertAlign w:val="subscript"/>
        </w:rPr>
        <w:t>5</w:t>
      </w:r>
      <w:r>
        <w:t>‐Ubq was produced and converted into the first example of a protein carrying the most prominent phosphotyrosine mimetic, phosphono‐difluoromethyl phenylalanine (PO</w:t>
      </w:r>
      <w:r>
        <w:rPr>
          <w:vertAlign w:val="subscript"/>
        </w:rPr>
        <w:t>3</w:t>
      </w:r>
      <w:r>
        <w:t>CF</w:t>
      </w:r>
      <w:r>
        <w:rPr>
          <w:vertAlign w:val="subscript"/>
        </w:rPr>
        <w:t>2</w:t>
      </w:r>
      <w:r>
        <w:t>Phe). With increasing need in the biosciences to delineate the functions of complex phosphorylation patterns, genetic encoding of PF</w:t>
      </w:r>
      <w:r>
        <w:rPr>
          <w:vertAlign w:val="subscript"/>
        </w:rPr>
        <w:t>5</w:t>
      </w:r>
      <w:r>
        <w:t>CF</w:t>
      </w:r>
      <w:r>
        <w:rPr>
          <w:vertAlign w:val="subscript"/>
        </w:rPr>
        <w:t>2</w:t>
      </w:r>
      <w:r>
        <w:t>Phe yielding phosphoprotein mimetics opens unique opportunities for precise functional studies where site‐specific and homogeneous protein modifications are required.</w:t>
      </w:r>
    </w:p>
    <w:p>
      <w:pPr>
        <w:spacing w:before="120" w:after="120"/>
      </w:pPr>
      <w:r>
        <w:rPr>
          <w:sz w:val="18"/>
        </w:rPr>
        <w:t>——————————————————————————————————————————————————————————————————————</w:t>
      </w:r>
    </w:p>
    <w:p>
      <w:pPr>
        <w:spacing w:before="160" w:after="40" w:line="240" w:lineRule="auto"/>
      </w:pPr>
      <w:r>
        <w:rPr>
          <w:b/>
        </w:rPr>
        <w:t xml:space="preserve">[255] </w:t>
      </w:r>
      <w:hyperlink r:id="rId491">
        <w:r>
          <w:rPr>
            <w:color w:val="1155CC"/>
            <w:u w:val="single"/>
          </w:rPr>
          <w:t>在一个新的极地混合玻璃与Squa-Pyramide [SbBR5]单元中实现综合光光和SHG</w:t>
        </w:r>
      </w:hyperlink>
    </w:p>
    <w:p>
      <w:pPr>
        <w:spacing w:before="0" w:after="80"/>
      </w:pPr>
      <w:r>
        <w:rPr>
          <w:i/>
          <w:sz w:val="20"/>
        </w:rPr>
        <w:t>EN: Achieving Combined Photoluminescence and SHG in a New Polar Hybrid Glass‐Ceramic with Square‐Pyramidal [SbBr5] Units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492">
        <w:r>
          <w:rPr>
            <w:color w:val="1155CC"/>
            <w:u w:val="single"/>
          </w:rPr>
          <w:t>10.1002/anie.202518787</w:t>
        </w:r>
      </w:hyperlink>
    </w:p>
    <w:p>
      <w:pPr>
        <w:spacing w:before="0" w:after="120"/>
      </w:pPr>
      <w:r>
        <w:rPr>
          <w:b/>
        </w:rPr>
        <w:t xml:space="preserve">Notes: </w:t>
      </w:r>
      <w:r>
        <w:t>abstract_source=crossref</w:t>
      </w:r>
    </w:p>
    <w:p>
      <w:pPr>
        <w:spacing w:before="0" w:after="80" w:lineRule="auto" w:line="276"/>
      </w:pPr>
      <w:r>
        <w:rPr>
          <w:b/>
        </w:rPr>
        <w:t xml:space="preserve">摘要（ZH）: </w:t>
      </w:r>
      <w:r>
        <w:t>由于其特殊的光学特性,抽象混合玻璃陶瓷已经引起了广泛的研究兴趣。混合玻璃陶瓷中结合发光和第二代口音(SHG)对于设计先进的装置特别感兴趣,但由于缺乏设计原则,具有挑战性。在本研究中,我们提出了两种教科书式的混合微粒(III)溴(PPTPP)2 [Sb 2 Br8] (1) 和(PPTPP) 2 [SbBR 5] (2 ),</w:t>
      </w:r>
    </w:p>
    <w:p>
      <w:pPr>
        <w:spacing w:before="0" w:after="200" w:lineRule="auto" w:line="276"/>
      </w:pPr>
      <w:r>
        <w:rPr>
          <w:b/>
        </w:rPr>
        <w:t xml:space="preserve">Abstract (EN): </w:t>
      </w:r>
      <w:r>
        <w:t>Hybrid glass‐ceramics have garnered extensive research interest due to their exceptional optical properties. Integrating luminescence and second harmonic generation (SHG) in hybrid glass‐ceramics is of particular interest for designing advanced devices, but is challenging owing to the lack of design principles. In this study, we present two textbook‐style comparative examples of hybrid antimony(III) bromides, (PPTPP)</w:t>
      </w:r>
      <w:r>
        <w:rPr>
          <w:vertAlign w:val="subscript"/>
        </w:rPr>
        <w:t>2</w:t>
      </w:r>
      <w:r>
        <w:t>[Sb</w:t>
      </w:r>
      <w:r>
        <w:rPr>
          <w:vertAlign w:val="subscript"/>
        </w:rPr>
        <w:t>2</w:t>
      </w:r>
      <w:r>
        <w:t>Br</w:t>
      </w:r>
      <w:r>
        <w:rPr>
          <w:vertAlign w:val="subscript"/>
        </w:rPr>
        <w:t>8</w:t>
      </w:r>
      <w:r>
        <w:t>] (</w:t>
      </w:r>
      <w:r>
        <w:rPr>
          <w:vertAlign w:val="subscript"/>
        </w:rPr>
        <w:t>1</w:t>
      </w:r>
      <w:r>
        <w:t>) and (PPTPP)</w:t>
      </w:r>
      <w:r>
        <w:rPr>
          <w:vertAlign w:val="subscript"/>
        </w:rPr>
        <w:t>2</w:t>
      </w:r>
      <w:r>
        <w:t>[SbBr</w:t>
      </w:r>
      <w:r>
        <w:rPr>
          <w:vertAlign w:val="subscript"/>
        </w:rPr>
        <w:t>5</w:t>
      </w:r>
      <w:r>
        <w:t>] (</w:t>
      </w:r>
      <w:r>
        <w:rPr>
          <w:vertAlign w:val="subscript"/>
        </w:rPr>
        <w:t>2</w:t>
      </w:r>
      <w:r>
        <w:t>), where PPTPP</w:t>
      </w:r>
      <w:r>
        <w:t xml:space="preserve"> </w:t>
      </w:r>
      <w:r>
        <w:t>+</w:t>
      </w:r>
      <w:r>
        <w:t xml:space="preserve"> </w:t>
      </w:r>
      <w:r>
        <w:t>= (3‐phenylpropyl)(triphenyl)phosphonium. Compound</w:t>
      </w:r>
      <w:r>
        <w:rPr>
          <w:vertAlign w:val="subscript"/>
        </w:rPr>
        <w:t>1</w:t>
      </w:r>
      <w:r>
        <w:t>with centrosymmetric seesaw [Sb</w:t>
      </w:r>
      <w:r>
        <w:rPr>
          <w:vertAlign w:val="subscript"/>
        </w:rPr>
        <w:t>2</w:t>
      </w:r>
      <w:r>
        <w:t>Br</w:t>
      </w:r>
      <w:r>
        <w:rPr>
          <w:vertAlign w:val="subscript"/>
        </w:rPr>
        <w:t>8</w:t>
      </w:r>
      <w:r>
        <w:t>] dimers crystallizes in</w:t>
      </w:r>
      <w:r>
        <w:t xml:space="preserve"> </w:t>
      </w:r>
      <w:r>
        <w:t>C</w:t>
      </w:r>
      <w:r>
        <w:t xml:space="preserve"> </w:t>
      </w:r>
      <w:r>
        <w:t>2/</w:t>
      </w:r>
      <w:r>
        <w:t>c</w:t>
      </w:r>
      <w:r>
        <w:t xml:space="preserve"> </w:t>
      </w:r>
      <w:r>
        <w:t>space group and is photoluminescently silent, whereas</w:t>
      </w:r>
      <w:r>
        <w:rPr>
          <w:vertAlign w:val="subscript"/>
        </w:rPr>
        <w:t>2</w:t>
      </w:r>
      <w:r>
        <w:t>with square‐pyramidal [SbBr</w:t>
      </w:r>
      <w:r>
        <w:rPr>
          <w:vertAlign w:val="subscript"/>
        </w:rPr>
        <w:t>5</w:t>
      </w:r>
      <w:r>
        <w:t>] monomers crystallizes in polar</w:t>
      </w:r>
      <w:r>
        <w:t xml:space="preserve"> </w:t>
      </w:r>
      <w:r>
        <w:t>P</w:t>
      </w:r>
      <w:r>
        <w:rPr>
          <w:vertAlign w:val="subscript"/>
        </w:rPr>
        <w:t>2</w:t>
      </w:r>
      <w:r>
        <w:rPr>
          <w:vertAlign w:val="subscript"/>
        </w:rPr>
        <w:t>1</w:t>
      </w:r>
      <w:r>
        <w:t>space group and exhibits photoluminescence under excitation at 416 nm. Both</w:t>
      </w:r>
      <w:r>
        <w:rPr>
          <w:vertAlign w:val="subscript"/>
        </w:rPr>
        <w:t>1</w:t>
      </w:r>
      <w:r>
        <w:t>and</w:t>
      </w:r>
      <w:r>
        <w:rPr>
          <w:vertAlign w:val="subscript"/>
        </w:rPr>
        <w:t>2</w:t>
      </w:r>
      <w:r>
        <w:t>have higher thermostability with decomposition temperatures of 552 K, and undergo crystal‐liquid‐glass transitions upon heating and natural cooling, with melting temperatures of 445 and 484 K and vitrification temperatures of 331 and 340 K, respectively. Notably, the glassy sample of</w:t>
      </w:r>
      <w:r>
        <w:rPr>
          <w:vertAlign w:val="subscript"/>
        </w:rPr>
        <w:t>2</w:t>
      </w:r>
      <w:r>
        <w:t>exhibits an onset recrystallization temperature of 383 K, enabling the facile fabrication of a polar glass‐ceramic (</w:t>
      </w:r>
      <w:r>
        <w:t xml:space="preserve"> </w:t>
      </w:r>
      <w:r>
        <w:t>2‐GC</w:t>
      </w:r>
      <w:r>
        <w:t xml:space="preserve"> </w:t>
      </w:r>
      <w:r>
        <w:t>) thin film under ambient conditions. Crucially,</w:t>
      </w:r>
      <w:r>
        <w:t xml:space="preserve"> </w:t>
      </w:r>
      <w:r>
        <w:t>2‐GC</w:t>
      </w:r>
      <w:r>
        <w:t xml:space="preserve"> </w:t>
      </w:r>
      <w:r>
        <w:t>present the first example of a hybrid glass‐ceramic system integrating luminescence (centered at 691 nm) and SHG (12.8 times stronger than that of its polycrystalline counterpart), pioneering an innovative route for designing multichannel materials.</w:t>
      </w:r>
    </w:p>
    <w:p>
      <w:pPr>
        <w:spacing w:before="120" w:after="120"/>
      </w:pPr>
      <w:r>
        <w:rPr>
          <w:sz w:val="18"/>
        </w:rPr>
        <w:t>——————————————————————————————————————————————————————————————————————</w:t>
      </w:r>
    </w:p>
    <w:p>
      <w:pPr>
        <w:spacing w:before="160" w:after="40" w:line="240" w:lineRule="auto"/>
      </w:pPr>
      <w:r>
        <w:rPr>
          <w:b/>
        </w:rPr>
        <w:t xml:space="preserve">[256] </w:t>
      </w:r>
      <w:hyperlink r:id="rId493">
        <w:r>
          <w:rPr>
            <w:color w:val="1155CC"/>
            <w:u w:val="single"/>
          </w:rPr>
          <w:t>利用Cu(I)-Phenotiazine综合共振有机框架,实施一个光诱原子转移极端聚合化战略</w:t>
        </w:r>
      </w:hyperlink>
    </w:p>
    <w:p>
      <w:pPr>
        <w:spacing w:before="0" w:after="80"/>
      </w:pPr>
      <w:r>
        <w:rPr>
          <w:i/>
          <w:sz w:val="20"/>
        </w:rPr>
        <w:t>EN: Two‐in‐One Strategy for Photoinduced Atom Transfer Radical Polymerization Using Cu(I)‐Phenothiazine Integrated Covalent Organic Frameworks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494">
        <w:r>
          <w:rPr>
            <w:color w:val="1155CC"/>
            <w:u w:val="single"/>
          </w:rPr>
          <w:t>10.1002/anie.202518707</w:t>
        </w:r>
      </w:hyperlink>
    </w:p>
    <w:p>
      <w:pPr>
        <w:spacing w:before="0" w:after="120"/>
      </w:pPr>
      <w:r>
        <w:rPr>
          <w:b/>
        </w:rPr>
        <w:t xml:space="preserve">Notes: </w:t>
      </w:r>
      <w:r>
        <w:t>abstract_source=crossref</w:t>
      </w:r>
    </w:p>
    <w:p>
      <w:pPr>
        <w:spacing w:before="0" w:after="80" w:lineRule="auto" w:line="276"/>
      </w:pPr>
      <w:r>
        <w:rPr>
          <w:b/>
        </w:rPr>
        <w:t xml:space="preserve">摘要（ZH）: </w:t>
      </w:r>
      <w:r>
        <w:t>摘要:在确保高效催化剂再循环的同时实现快速反应率的创新光电催化剂(PCs)的同步开发,仍然是大规模聚合物生产面临的重大挑战。在这里,我们提出了一个“二一”战略,将光活成分与三核三核环(I)三联三角复合体相结合,作为三个离子相联共价有机框架(COFs)的内在铜源。合成光活Cu(I)含COFs的光活性Cu(I)在水生照片引发的原子转移激进聚合物(photoQATRP)方面表现非常出色,实现了创纪录的1640倍转基因数和82分钟转基因频率(TOF),</w:t>
      </w:r>
    </w:p>
    <w:p>
      <w:pPr>
        <w:spacing w:before="0" w:after="200" w:lineRule="auto" w:line="276"/>
      </w:pPr>
      <w:r>
        <w:rPr>
          <w:b/>
        </w:rPr>
        <w:t xml:space="preserve">Abstract (EN): </w:t>
      </w:r>
      <w:r>
        <w:t>The concurrent development of innovative photocatalysts (PCs) that achieve fast reaction rates while ensuring efficient catalyst recycling remains a significant challenge for large‐scale polymer production. Herein, we present a “two‐in‐one” strategy that combines a photoactive component with a cyclic trinuclear Cu(I)‐incorporated triangular complex as the intrinsic copper source within three imine‐linked covalent organic frameworks (COFs). As‐synthesized photoactive Cu(I)‐containing COFs demonstrated exceptional performance in aqueous photoinduced atom transfer radical polymerization (photo‐ATRP), achieving a record‐breaking turnover number (TON) of 1640 and turnover frequency (TOF) of 82 min</w:t>
      </w:r>
      <w:r>
        <w:t xml:space="preserve"> </w:t>
      </w:r>
      <w:r>
        <w:t>−1</w:t>
      </w:r>
      <w:r>
        <w:t xml:space="preserve"> </w:t>
      </w:r>
      <w:r>
        <w:t>, while maintaining narrow polymer dispersity of 1.20. Such performance surpasses previously reported heterogeneous PCs designed for photo‐ATRP. Notably, the COF‐encapsulated “two‐in‐one” catalytic design endows the system with remarkable operational stability and near‐quantitative catalyst recovery. More importantly, such new COFs demonstrate outstanding process compatibility, enabling scalable production of well‐defined block copolymers in a single microreactor, without intermediate purification.</w:t>
      </w:r>
    </w:p>
    <w:p>
      <w:pPr>
        <w:spacing w:before="120" w:after="120"/>
      </w:pPr>
      <w:r>
        <w:rPr>
          <w:sz w:val="18"/>
        </w:rPr>
        <w:t>——————————————————————————————————————————————————————————————————————</w:t>
      </w:r>
    </w:p>
    <w:p>
      <w:pPr>
        <w:spacing w:before="160" w:after="40" w:line="240" w:lineRule="auto"/>
      </w:pPr>
      <w:r>
        <w:rPr>
          <w:b/>
        </w:rPr>
        <w:t xml:space="preserve">[257] </w:t>
      </w:r>
      <w:hyperlink r:id="rId495">
        <w:r>
          <w:rPr>
            <w:color w:val="1155CC"/>
            <w:u w:val="single"/>
          </w:rPr>
          <w:t>在有机半导体方面高能拉曼高能增强 稳定了用于指导老年阿尔茨海默氏病早期麻醉学的 Perovskite 热血结构</w:t>
        </w:r>
      </w:hyperlink>
    </w:p>
    <w:p>
      <w:pPr>
        <w:spacing w:before="0" w:after="80"/>
      </w:pPr>
      <w:r>
        <w:rPr>
          <w:i/>
          <w:sz w:val="20"/>
        </w:rPr>
        <w:t>EN: High‐Efficient Raman Enhancement on Organic Semiconductor‐Stabilized Perovskite Heterostructures for Guiding Early Theranostics of Alzheimer's Disease</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496">
        <w:r>
          <w:rPr>
            <w:color w:val="1155CC"/>
            <w:u w:val="single"/>
          </w:rPr>
          <w:t>10.1002/anie.202518319</w:t>
        </w:r>
      </w:hyperlink>
    </w:p>
    <w:p>
      <w:pPr>
        <w:spacing w:before="0" w:after="120"/>
      </w:pPr>
      <w:r>
        <w:rPr>
          <w:b/>
        </w:rPr>
        <w:t xml:space="preserve">Notes: </w:t>
      </w:r>
      <w:r>
        <w:t>abstract_source=crossref</w:t>
      </w:r>
    </w:p>
    <w:p>
      <w:pPr>
        <w:spacing w:before="0" w:after="80" w:lineRule="auto" w:line="276"/>
      </w:pPr>
      <w:r>
        <w:rPr>
          <w:b/>
        </w:rPr>
        <w:t xml:space="preserve">摘要（ZH）: </w:t>
      </w:r>
      <w:r>
        <w:t>由于金枪鱼带宽、高吸收系数和载体寿命长,抽象的 Perovskites最近成为具有吸引力的光化电子半导体,由于金枪鱼带宽、高吸收系数和载体寿命长,使得它成为一种以化学机械为基础的表面“加强拉曼散射”基质,成为理想的化学机械。然而,在环境条件下,普罗夫斯基普遍表现出不稳定性,限制了它们用于SERS生物分析的应用。在这里,我们通过在与氢恐惧性有机半导体的接口中有效地消化缺陷,建立了一个以普罗夫斯基为基础的电子半导体结构,这同时提高了普罗夫斯基-SERS基质的稳定性和效率。</w:t>
      </w:r>
    </w:p>
    <w:p>
      <w:pPr>
        <w:spacing w:before="0" w:after="200" w:lineRule="auto" w:line="276"/>
      </w:pPr>
      <w:r>
        <w:rPr>
          <w:b/>
        </w:rPr>
        <w:t xml:space="preserve">Abstract (EN): </w:t>
      </w:r>
      <w:r>
        <w:t>Perovskites have recently emerged as attractive optoelectronic semiconductors due to tunable bandgap, large absorption coefficient, and long carrier lifetime, making it ideal as a kind of chemical‐mechanism based surface‐enhanced Raman scattering (SERS) substrates. However, perovskites generally demonstrate poor stability at ambient conditions, limiting their applications for SERS bioanalysis. Herein, we created a perovskite‐based heterostructure through effectively passivating defects at the interface with hydrophobic organic semiconductors, which simultaneously enhanced the stability and efficiency of perovskite SERS substrate. The significant enhancement factor of 10</w:t>
      </w:r>
      <w:r>
        <w:rPr>
          <w:vertAlign w:val="subscript"/>
        </w:rPr>
        <w:t>7</w:t>
      </w:r>
      <w:r>
        <w:t>was mainly stemmed from the resonance Raman effect and the highly‐efficient charge transfer process driven by a novel light‐induced hot electron transfer mechanism in plasmon‐free substrates previously never reported. This system was subsequently developed as an integrated theranostic SERS platform for miR‐146a monitoring with a detection limit down to 0.2 fM, successfully guiding the early theranostics to enhance the therapeutic efficiency for Alzheimer's disease (AD). This work brings new light into the design of efficient and stable semiconductor SERS substrate and opens novel diagnosis and treatment options for AD.</w:t>
      </w:r>
    </w:p>
    <w:p>
      <w:pPr>
        <w:spacing w:before="120" w:after="120"/>
      </w:pPr>
      <w:r>
        <w:rPr>
          <w:sz w:val="18"/>
        </w:rPr>
        <w:t>——————————————————————————————————————————————————————————————————————</w:t>
      </w:r>
    </w:p>
    <w:p>
      <w:pPr>
        <w:spacing w:before="160" w:after="40" w:line="240" w:lineRule="auto"/>
      </w:pPr>
      <w:r>
        <w:rPr>
          <w:b/>
        </w:rPr>
        <w:t xml:space="preserve">[258] </w:t>
      </w:r>
      <w:hyperlink r:id="rId497">
        <w:r>
          <w:rPr>
            <w:color w:val="1155CC"/>
            <w:u w:val="single"/>
          </w:rPr>
          <w:t>通过磷硫磺酸盐和可实现的不相称利用CAtrop异构体的立体定型/调节级联</w:t>
        </w:r>
      </w:hyperlink>
    </w:p>
    <w:p>
      <w:pPr>
        <w:spacing w:before="0" w:after="80"/>
      </w:pPr>
      <w:r>
        <w:rPr>
          <w:i/>
          <w:sz w:val="20"/>
        </w:rPr>
        <w:t>EN: Stereodivergent Access to C‐N Atropisomers via Phosphonium Salt‐Enabled Desymmetrizing Remote Cyclization/Aromatization Cascade</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498">
        <w:r>
          <w:rPr>
            <w:color w:val="1155CC"/>
            <w:u w:val="single"/>
          </w:rPr>
          <w:t>10.1002/anie.202518310</w:t>
        </w:r>
      </w:hyperlink>
    </w:p>
    <w:p>
      <w:pPr>
        <w:spacing w:before="0" w:after="120"/>
      </w:pPr>
      <w:r>
        <w:rPr>
          <w:b/>
        </w:rPr>
        <w:t xml:space="preserve">Notes: </w:t>
      </w:r>
      <w:r>
        <w:t>abstract_source=crossref</w:t>
      </w:r>
    </w:p>
    <w:p>
      <w:pPr>
        <w:spacing w:before="0" w:after="80" w:lineRule="auto" w:line="276"/>
      </w:pPr>
      <w:r>
        <w:rPr>
          <w:b/>
        </w:rPr>
        <w:t xml:space="preserve">摘要（ZH）: </w:t>
      </w:r>
      <w:r>
        <w:t>本研究摘要中,我们描述了一种高效的有机分析抗碘方法,该方法通过远距离非对称循环增殖/芳香化级联,合成C轴式手性化合物。通过利用具有相同成因元素的两等级手性磷化磷酸盐的正式遥控控制,阳性Naryl阳性阳性阳性阳性物质以非对称形式[4+2]进行非对称性[4+2]循环增殖/农业化,提供结构上多样化的C轴式手性产品。这种方法具有广泛的基底范围,能够在温和条件下,以高效和优异的方式,从经济上实际合成CN原子异构体的对应配置。</w:t>
      </w:r>
    </w:p>
    <w:p>
      <w:pPr>
        <w:spacing w:before="0" w:after="200" w:lineRule="auto" w:line="276"/>
      </w:pPr>
      <w:r>
        <w:rPr>
          <w:b/>
        </w:rPr>
        <w:t xml:space="preserve">Abstract (EN): </w:t>
      </w:r>
      <w:r>
        <w:t>In this study, we describe a highly efficient organocatalytic enantiodivergent method for synthesizing C‐N axially chiral compounds via remote asymmetric cycloaddition/aromatization cascade. By leveraging formally remote stereocontrol from two classes of chiral phosphonium salts sharing identical stereogenic elements, prochiral</w:t>
      </w:r>
      <w:r>
        <w:t xml:space="preserve"> </w:t>
      </w:r>
      <w:r>
        <w:t>N</w:t>
      </w:r>
      <w:r>
        <w:t xml:space="preserve"> </w:t>
      </w:r>
      <w:r>
        <w:t>‐aryl maleimides undergo asymmetric formal [4 + 2] cycloaddition/aromatization in an atropodivergent manner, affording structurally diverse C‐N axially chiral products. This approach features broad substrate scope and enables practical, atom‐economical synthesis of both enantiomeric configurations of C‐N atropisomers under mild conditions, with high efficiency and excellent enantioselectivity. Notably, an unexpected synergistic desymmetrization/dynamic kinetic resolution process was observed in this transformation. Mechanistic studies elucidated the origin of stereochemical induction. Furthermore, the utility of enantioenriched products is demonstrated through downstream transformations and, specifically, in constructing circularly polarized luminescence (CPL)‐active C‐N axially chiral organic small molecules, which may hold significant potential for chiral optoelectronic applications.</w:t>
      </w:r>
    </w:p>
    <w:p>
      <w:pPr>
        <w:spacing w:before="120" w:after="120"/>
      </w:pPr>
      <w:r>
        <w:rPr>
          <w:sz w:val="18"/>
        </w:rPr>
        <w:t>——————————————————————————————————————————————————————————————————————</w:t>
      </w:r>
    </w:p>
    <w:p>
      <w:pPr>
        <w:spacing w:before="160" w:after="40" w:line="240" w:lineRule="auto"/>
      </w:pPr>
      <w:r>
        <w:rPr>
          <w:b/>
        </w:rPr>
        <w:t xml:space="preserve">[259] </w:t>
      </w:r>
      <w:hyperlink r:id="rId499">
        <w:r>
          <w:rPr>
            <w:color w:val="1155CC"/>
            <w:u w:val="single"/>
          </w:rPr>
          <w:t>Dreiklang 一种脱co的可转换可转换荧光荧光蛋白</w:t>
        </w:r>
      </w:hyperlink>
    </w:p>
    <w:p>
      <w:pPr>
        <w:spacing w:before="0" w:after="80"/>
      </w:pPr>
      <w:r>
        <w:rPr>
          <w:i/>
          <w:sz w:val="20"/>
        </w:rPr>
        <w:t>EN: Dynamics and Mechanism of Off‐ to On‐Switching in Dreiklang a Decoupled Reversibly Switchable Fluorescent Protein</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00">
        <w:r>
          <w:rPr>
            <w:color w:val="1155CC"/>
            <w:u w:val="single"/>
          </w:rPr>
          <w:t>10.1002/anie.202518264</w:t>
        </w:r>
      </w:hyperlink>
    </w:p>
    <w:p>
      <w:pPr>
        <w:spacing w:before="0" w:after="120"/>
      </w:pPr>
      <w:r>
        <w:rPr>
          <w:b/>
        </w:rPr>
        <w:t xml:space="preserve">Notes: </w:t>
      </w:r>
      <w:r>
        <w:t>abstract_source=crossref</w:t>
      </w:r>
    </w:p>
    <w:p>
      <w:pPr>
        <w:spacing w:before="0" w:after="80" w:lineRule="auto" w:line="276"/>
      </w:pPr>
      <w:r>
        <w:rPr>
          <w:b/>
        </w:rPr>
        <w:t xml:space="preserve">摘要（ZH）: </w:t>
      </w:r>
      <w:r>
        <w:t>抽象Dreiklang是一种可逆可变转换的荧光蛋白蛋白(Rs),在州外具有独特性,是一种紫外吸收的典型FP染色体水化形式的紫外吸水形式,典型FP染色体。在这里,我们报告德雷克兰州向州过渡的离岸至州过渡期的超快动态。我们报告采用补充的超快光学和振动瞬时吸收法,解决铬摩光驱动蛋白结构动态。这种方法可以观察蛋白质对债券破裂和形成事件的实时反应。兴奋电子状态以无恒星指数化方式以数十至数百微秒的速度衰减,正在以几倍的丰度进行光脱水。形成的主要光产品被确定为FP铬的精度质化形式,最初以环绕式Hübond进行。</w:t>
      </w:r>
    </w:p>
    <w:p>
      <w:pPr>
        <w:spacing w:before="0" w:after="200" w:lineRule="auto" w:line="276"/>
      </w:pPr>
      <w:r>
        <w:rPr>
          <w:b/>
        </w:rPr>
        <w:t xml:space="preserve">Abstract (EN): </w:t>
      </w:r>
      <w:r>
        <w:t>Dreiklang is a reversibly switchable (rs) fluorescent protein (FP) with a unique off‐state, a UV absorbing hydrated form of the typical FP chromophore. Here we report ultrafast dynamics of the off‐ to on‐state transition in Dreiklang using complementary ultrafast optical and vibrational transient absorption to resolve chromophore driven protein structural dynamics. This approach allows observation of the real‐time response in a protein to bond breaking and forming events. The excited electronic state decays in a nonsingle exponential fashion in tens to hundreds of picoseconds, undergoing photodehydration with a yield of several per‐cent. The primary photoproduct formed is identified as the cis protonated form of the FP chromophore, initially in a perturbed H‐bonded environment. This primary product relaxes on a few microseconds timescale by a mechanism involving changes to a glutamic acid residue and modifications of the amide backbone, possibly involving a carbonyl to imine tautomerization. The temporal and spectral resolution of Dreiklang's photodehydration provides data against which to test quantum chemical calculations of reaction dynamics in proteins and suggests a route to modifying and potentially enhancing its photoswitching properties.</w:t>
      </w:r>
    </w:p>
    <w:p>
      <w:pPr>
        <w:spacing w:before="120" w:after="120"/>
      </w:pPr>
      <w:r>
        <w:rPr>
          <w:sz w:val="18"/>
        </w:rPr>
        <w:t>——————————————————————————————————————————————————————————————————————</w:t>
      </w:r>
    </w:p>
    <w:p>
      <w:pPr>
        <w:spacing w:before="160" w:after="40" w:line="240" w:lineRule="auto"/>
      </w:pPr>
      <w:r>
        <w:rPr>
          <w:b/>
        </w:rPr>
        <w:t xml:space="preserve">[260] </w:t>
      </w:r>
      <w:hyperlink r:id="rId501">
        <w:r>
          <w:rPr>
            <w:color w:val="1155CC"/>
            <w:u w:val="single"/>
          </w:rPr>
          <w:t>动态保兑 启用的 Abvient 驱动汽车</w:t>
        </w:r>
      </w:hyperlink>
    </w:p>
    <w:p>
      <w:pPr>
        <w:spacing w:before="0" w:after="80"/>
      </w:pPr>
      <w:r>
        <w:rPr>
          <w:i/>
          <w:sz w:val="20"/>
        </w:rPr>
        <w:t>EN: Dynamic Bonding Enabled Ambient‐Driven Motors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02">
        <w:r>
          <w:rPr>
            <w:color w:val="1155CC"/>
            <w:u w:val="single"/>
          </w:rPr>
          <w:t>10.1002/anie.202518011</w:t>
        </w:r>
      </w:hyperlink>
    </w:p>
    <w:p>
      <w:pPr>
        <w:spacing w:before="0" w:after="120"/>
      </w:pPr>
      <w:r>
        <w:rPr>
          <w:b/>
        </w:rPr>
        <w:t xml:space="preserve">Notes: </w:t>
      </w:r>
      <w:r>
        <w:t>abstract_source=crossref</w:t>
      </w:r>
    </w:p>
    <w:p>
      <w:pPr>
        <w:spacing w:before="0" w:after="80" w:lineRule="auto" w:line="276"/>
      </w:pPr>
      <w:r>
        <w:rPr>
          <w:b/>
        </w:rPr>
        <w:t xml:space="preserve">摘要（ZH）: </w:t>
      </w:r>
      <w:r>
        <w:t>利用环境低密度能量并把它转换成宏观运动,是生命系统的一个标志。然而,人工系统往往受到高能量要求和复杂控制机制的限制。受Salmonella的启发,它利用动态电离约束协调进行连续运动,我们提出了一个新型的自我振动发动机概念,它利用分子级动态结合来收获微小的环境能量和电能宏观行为。具体地说,我们开发了一个协调式机动振动器(CoMO),它以新颖的超分子PDMS材料为基础,在正常的PDMS的热膨胀能力与被动层的近2 000倍的热膨胀能力上,与正常的PDMS的热膨胀能力成倍。COM可以像体温一样低的采集周围能源。</w:t>
      </w:r>
    </w:p>
    <w:p>
      <w:pPr>
        <w:spacing w:before="0" w:after="200" w:lineRule="auto" w:line="276"/>
      </w:pPr>
      <w:r>
        <w:rPr>
          <w:b/>
        </w:rPr>
        <w:t xml:space="preserve">Abstract (EN): </w:t>
      </w:r>
      <w:r>
        <w:t>Harnessing ambient low‐density energy and converting it into macroscopic motion is a hallmark of living systems. However, artificial systems are often limited by high energy requirements and intricate control mechanisms. Inspired by Salmonella, which uses dynamic ion‐binding coordination for continuous motion, we proposed a novel concept of self‐oscillating motors leveraging molecular‐level dynamic bonding to harvest trivial ambient energy and power macroscopic, self‐sustained behavior. Specifically, we developed a coordination motorized oscillator (CoMO) based on novel supramolecular PDMS material with 25‐fold thermo‐inflation ability of normal PDMS and nearly 2000‐fold that of the passive layer. CoMO can harvest ambient energy as low as body temperature to reversibly dissociate coordination crosslinks, transforming molecular transitions into sustained macroscopic oscillation. Its universality facilitates the amplification of macroscopic motion via the collective behaviors of CoMOs. Moreover, this principle empowers the development of ambient‐driven coordination motored robots (CoMbot) with multi‐modal locomotion and adaptability across diverse terrains. Such dynamic chemical transitions enabled chemo‐mechanical coupling for self‐sustained systems, paving new avenues for robust transition‐mechanical transducing material systems and soft machineries with unprecedented capabilities.</w:t>
      </w:r>
    </w:p>
    <w:p>
      <w:pPr>
        <w:spacing w:before="120" w:after="120"/>
      </w:pPr>
      <w:r>
        <w:rPr>
          <w:sz w:val="18"/>
        </w:rPr>
        <w:t>——————————————————————————————————————————————————————————————————————</w:t>
      </w:r>
    </w:p>
    <w:p>
      <w:pPr>
        <w:spacing w:before="160" w:after="40" w:line="240" w:lineRule="auto"/>
      </w:pPr>
      <w:r>
        <w:rPr>
          <w:b/>
        </w:rPr>
        <w:t xml:space="preserve">[261] </w:t>
      </w:r>
      <w:hyperlink r:id="rId503">
        <w:r>
          <w:rPr>
            <w:color w:val="1155CC"/>
            <w:u w:val="single"/>
          </w:rPr>
          <w:t>以电子增强振动循环确定绝对配置</w:t>
        </w:r>
      </w:hyperlink>
    </w:p>
    <w:p>
      <w:pPr>
        <w:spacing w:before="0" w:after="80"/>
      </w:pPr>
      <w:r>
        <w:rPr>
          <w:i/>
          <w:sz w:val="20"/>
        </w:rPr>
        <w:t>EN: Absolute Configuration Determination with Electronically Enhanced Vibrational Circular Dichroism</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04">
        <w:r>
          <w:rPr>
            <w:color w:val="1155CC"/>
            <w:u w:val="single"/>
          </w:rPr>
          <w:t>10.1002/anie.202517979</w:t>
        </w:r>
      </w:hyperlink>
    </w:p>
    <w:p>
      <w:pPr>
        <w:spacing w:before="0" w:after="120"/>
      </w:pPr>
      <w:r>
        <w:rPr>
          <w:b/>
        </w:rPr>
        <w:t xml:space="preserve">Notes: </w:t>
      </w:r>
      <w:r>
        <w:t>abstract_source=crossref</w:t>
      </w:r>
    </w:p>
    <w:p>
      <w:pPr>
        <w:spacing w:before="0" w:after="80" w:lineRule="auto" w:line="276"/>
      </w:pPr>
      <w:r>
        <w:rPr>
          <w:b/>
        </w:rPr>
        <w:t xml:space="preserve">摘要（ZH）: </w:t>
      </w:r>
      <w:r>
        <w:t>从地面振动转换和磁极极向低偏低兴奋状态(LLLES)的转换到磁极向低偏低兴奋状态(LLES)的交接中,在开放的外壳过渡金属复合体中产生了振动循环电极的抽象强度增强。在这项工作中,我们将Nafie的振动结合理论应用到Me(II)()()sparteine(Me = Zn, Co, Ni)复合体中,以调查这些增强效应。我们表明,VCD的强度对于时间依赖密度功能理论(TDDFT)或状态平均完整的空间自相协调场(SAQACSSCF)的计算都无法充分准确地预测的刺激能量能量极敏感。我们说,使用更精确的量化学方法,这些振动能量是巨大的。</w:t>
      </w:r>
    </w:p>
    <w:p>
      <w:pPr>
        <w:spacing w:before="0" w:after="200" w:lineRule="auto" w:line="276"/>
      </w:pPr>
      <w:r>
        <w:rPr>
          <w:b/>
        </w:rPr>
        <w:t xml:space="preserve">Abstract (EN): </w:t>
      </w:r>
      <w:r>
        <w:t>Intensity enhancement in vibrational circular dichroism (VCD) arises in open‐shell transition metal complexes from coupling between ground‐state vibrational transitions and magnetic dipole‐allowed transitions to low‐lying excited states (LLESs). In this work, we apply Nafie's vibronic coupling theory to Me(II)‐(‐)‐sparteine‐ (Me = Zn, Co, Ni) complexes to investigate these enhancement effects. We show that the VCD intensity is extremely sensitive to the excitation energies that neither time‐dependent density functional theory (TDDFT) nor state‐averaged complete active space self‐consistent field (SA‐CASSCF) calculations can predict with sufficient accuracy. We argue that instead of using more accurate quantum chemistry methods these excitation energies can be treated as parameters and optimized against experimental spectra. With this approach, we obtain simulated VCD similarity scores above 0.4, a threshold considered reliable for absolute configuration assignment. The ability to quantitatively reproduce enhanced experimental spectra with computations opens up new research areas, offering amongst else unique possibilities for the study of the chiral structure of systems such as transition metal complexes and metalloproteins that so far have remained intractable.</w:t>
      </w:r>
    </w:p>
    <w:p>
      <w:pPr>
        <w:spacing w:before="120" w:after="120"/>
      </w:pPr>
      <w:r>
        <w:rPr>
          <w:sz w:val="18"/>
        </w:rPr>
        <w:t>——————————————————————————————————————————————————————————————————————</w:t>
      </w:r>
    </w:p>
    <w:p>
      <w:pPr>
        <w:spacing w:before="160" w:after="40" w:line="240" w:lineRule="auto"/>
      </w:pPr>
      <w:r>
        <w:rPr>
          <w:b/>
        </w:rPr>
        <w:t xml:space="preserve">[262] </w:t>
      </w:r>
      <w:hyperlink r:id="rId505">
        <w:r>
          <w:rPr>
            <w:color w:val="1155CC"/>
            <w:u w:val="single"/>
          </w:rPr>
          <w:t>通过饱和BSi2周期促进活动</w:t>
        </w:r>
      </w:hyperlink>
    </w:p>
    <w:p>
      <w:pPr>
        <w:spacing w:before="0" w:after="80"/>
      </w:pPr>
      <w:r>
        <w:rPr>
          <w:i/>
          <w:sz w:val="20"/>
        </w:rPr>
        <w:t>EN: Ring Strain‐Promoted Activation of Pyridines by a Saturated BSi2 Cycle</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06">
        <w:r>
          <w:rPr>
            <w:color w:val="1155CC"/>
            <w:u w:val="single"/>
          </w:rPr>
          <w:t>10.1002/anie.202517462</w:t>
        </w:r>
      </w:hyperlink>
    </w:p>
    <w:p>
      <w:pPr>
        <w:spacing w:before="0" w:after="120"/>
      </w:pPr>
      <w:r>
        <w:rPr>
          <w:b/>
        </w:rPr>
        <w:t xml:space="preserve">Notes: </w:t>
      </w:r>
      <w:r>
        <w:t>abstract_source=crossref</w:t>
      </w:r>
    </w:p>
    <w:p>
      <w:pPr>
        <w:spacing w:before="0" w:after="80" w:lineRule="auto" w:line="276"/>
      </w:pPr>
      <w:r>
        <w:rPr>
          <w:b/>
        </w:rPr>
        <w:t xml:space="preserve">摘要（ZH）: </w:t>
      </w:r>
      <w:r>
        <w:t>抽象环菌系是增加活性的一种既定战略。我们使用一种难以捉摸的饱和 BSi 2 圆柱状B2 圆柱形,我们在此利用与硅的大小不匹配。根据DFT对母体BSi的计算,分解Tip 2 Si = SiTipLi 和 BH 3 = SSMe 2 有选择地提供亚离子双极双亚氨基的锂盐,SiHTipBH 2 - (Tip = 2,4,6异丙基苯基)</w:t>
      </w:r>
    </w:p>
    <w:p>
      <w:pPr>
        <w:spacing w:before="0" w:after="200" w:lineRule="auto" w:line="276"/>
      </w:pPr>
      <w:r>
        <w:rPr>
          <w:b/>
        </w:rPr>
        <w:t xml:space="preserve">Abstract (EN): </w:t>
      </w:r>
      <w:r>
        <w:t>Ring strain is a well‐established strategy to increase reactivity. Employing an elusive saturated BSi</w:t>
      </w:r>
      <w:r>
        <w:rPr>
          <w:vertAlign w:val="subscript"/>
        </w:rPr>
        <w:t>2</w:t>
      </w:r>
      <w:r>
        <w:t>ring motif, we here exploit the size mismatch between boron and silicon to this end. The reaction of disilenide Tip</w:t>
      </w:r>
      <w:r>
        <w:rPr>
          <w:vertAlign w:val="subscript"/>
        </w:rPr>
        <w:t>2</w:t>
      </w:r>
      <w:r>
        <w:t>Si = SiTipLi with BH</w:t>
      </w:r>
      <w:r>
        <w:rPr>
          <w:vertAlign w:val="subscript"/>
        </w:rPr>
        <w:t>3</w:t>
      </w:r>
      <w:r>
        <w:t>·SMe</w:t>
      </w:r>
      <w:r>
        <w:rPr>
          <w:vertAlign w:val="subscript"/>
        </w:rPr>
        <w:t>2</w:t>
      </w:r>
      <w:r>
        <w:t>selectively affords the lithium salt of anionic boratadisilirane</w:t>
      </w:r>
      <w:r>
        <w:t xml:space="preserve"> </w:t>
      </w:r>
      <w:r>
        <w:t>c</w:t>
      </w:r>
      <w:r>
        <w:t xml:space="preserve"> </w:t>
      </w:r>
      <w:r>
        <w:t>‐SiTip</w:t>
      </w:r>
      <w:r>
        <w:rPr>
          <w:vertAlign w:val="subscript"/>
        </w:rPr>
        <w:t>2</w:t>
      </w:r>
      <w:r>
        <w:t>SiHTipBH</w:t>
      </w:r>
      <w:r>
        <w:rPr>
          <w:vertAlign w:val="subscript"/>
        </w:rPr>
        <w:t>2</w:t>
      </w:r>
      <w:r>
        <w:t>−</w:t>
      </w:r>
      <w:r>
        <w:t>(Tip = 2,4,6‐triisopropylphenyl), which according to DFT calculations on the parent system BSi</w:t>
      </w:r>
      <w:r>
        <w:rPr>
          <w:vertAlign w:val="subscript"/>
        </w:rPr>
        <w:t>2</w:t>
      </w:r>
      <w:r>
        <w:t>H</w:t>
      </w:r>
      <w:r>
        <w:rPr>
          <w:vertAlign w:val="subscript"/>
        </w:rPr>
        <w:t>6</w:t>
      </w:r>
      <w:r>
        <w:t>−</w:t>
      </w:r>
      <w:r>
        <w:t>is much more strained than isoelectronic analogues such as cyclopropane (C</w:t>
      </w:r>
      <w:r>
        <w:rPr>
          <w:vertAlign w:val="subscript"/>
        </w:rPr>
        <w:t>3</w:t>
      </w:r>
      <w:r>
        <w:t>H</w:t>
      </w:r>
      <w:r>
        <w:rPr>
          <w:vertAlign w:val="subscript"/>
        </w:rPr>
        <w:t>6</w:t>
      </w:r>
      <w:r>
        <w:t>), boratirane (BC</w:t>
      </w:r>
      <w:r>
        <w:rPr>
          <w:vertAlign w:val="subscript"/>
        </w:rPr>
        <w:t>2</w:t>
      </w:r>
      <w:r>
        <w:t>H</w:t>
      </w:r>
      <w:r>
        <w:rPr>
          <w:vertAlign w:val="subscript"/>
        </w:rPr>
        <w:t>6</w:t>
      </w:r>
      <w:r>
        <w:t>−</w:t>
      </w:r>
      <w:r>
        <w:t>), and cyclotrisilane (Si</w:t>
      </w:r>
      <w:r>
        <w:rPr>
          <w:vertAlign w:val="subscript"/>
        </w:rPr>
        <w:t>3</w:t>
      </w:r>
      <w:r>
        <w:t>H</w:t>
      </w:r>
      <w:r>
        <w:rPr>
          <w:vertAlign w:val="subscript"/>
        </w:rPr>
        <w:t>6</w:t>
      </w:r>
      <w:r>
        <w:t>). Indeed, it spontaneously and selectively activates a range of pyridine derivatives: pyridine itself undergoes</w:t>
      </w:r>
      <w:r>
        <w:t xml:space="preserve"> </w:t>
      </w:r>
      <w:r>
        <w:t>ortho</w:t>
      </w:r>
      <w:r>
        <w:t xml:space="preserve"> </w:t>
      </w:r>
      <w:r>
        <w:t>‐CH activation under dearomatization of a second equivalent; 2 equivalents of</w:t>
      </w:r>
      <w:r>
        <w:t xml:space="preserve"> </w:t>
      </w:r>
      <w:r>
        <w:t>para</w:t>
      </w:r>
      <w:r>
        <w:t xml:space="preserve"> </w:t>
      </w:r>
      <w:r>
        <w:t>‐dimethylaminopyridine (DMAP) are C─C‐coupled in</w:t>
      </w:r>
      <w:r>
        <w:t xml:space="preserve"> </w:t>
      </w:r>
      <w:r>
        <w:t>ortho</w:t>
      </w:r>
      <w:r>
        <w:t xml:space="preserve"> </w:t>
      </w:r>
      <w:r>
        <w:t>‐ and</w:t>
      </w:r>
      <w:r>
        <w:t xml:space="preserve"> </w:t>
      </w:r>
      <w:r>
        <w:t>meta</w:t>
      </w:r>
      <w:r>
        <w:t xml:space="preserve"> </w:t>
      </w:r>
      <w:r>
        <w:t>‐position; and pentafluoropyridine (PFP) is CF‐activated in</w:t>
      </w:r>
      <w:r>
        <w:t xml:space="preserve"> </w:t>
      </w:r>
      <w:r>
        <w:t>para</w:t>
      </w:r>
      <w:r>
        <w:t xml:space="preserve"> </w:t>
      </w:r>
      <w:r>
        <w:t>‐position.</w:t>
      </w:r>
    </w:p>
    <w:p>
      <w:pPr>
        <w:spacing w:before="120" w:after="120"/>
      </w:pPr>
      <w:r>
        <w:rPr>
          <w:sz w:val="18"/>
        </w:rPr>
        <w:t>——————————————————————————————————————————————————————————————————————</w:t>
      </w:r>
    </w:p>
    <w:p>
      <w:pPr>
        <w:spacing w:before="160" w:after="40" w:line="240" w:lineRule="auto"/>
      </w:pPr>
      <w:r>
        <w:rPr>
          <w:b/>
        </w:rPr>
        <w:t xml:space="preserve">[263] </w:t>
      </w:r>
      <w:hyperlink r:id="rId507">
        <w:r>
          <w:rPr>
            <w:color w:val="1155CC"/>
            <w:u w:val="single"/>
          </w:rPr>
          <w:t>将细胞粉化聚体(硫化物)脱硫至利益基质:无痕量投送的动态共价生物合成</w:t>
        </w:r>
      </w:hyperlink>
    </w:p>
    <w:p>
      <w:pPr>
        <w:spacing w:before="0" w:after="80"/>
      </w:pPr>
      <w:r>
        <w:rPr>
          <w:i/>
          <w:sz w:val="20"/>
        </w:rPr>
        <w:t>EN: Grafting Cell‐Penetrating Poly(disulfide)s to Substrates of Interest: Dynamic Covalent Bioconjugation for Traceless Delivery</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08">
        <w:r>
          <w:rPr>
            <w:color w:val="1155CC"/>
            <w:u w:val="single"/>
          </w:rPr>
          <w:t>10.1002/anie.202517229</w:t>
        </w:r>
      </w:hyperlink>
    </w:p>
    <w:p>
      <w:pPr>
        <w:spacing w:before="0" w:after="120"/>
      </w:pPr>
      <w:r>
        <w:rPr>
          <w:b/>
        </w:rPr>
        <w:t xml:space="preserve">Notes: </w:t>
      </w:r>
      <w:r>
        <w:t>abstract_source=crossref</w:t>
      </w:r>
    </w:p>
    <w:p>
      <w:pPr>
        <w:spacing w:before="0" w:after="80" w:lineRule="auto" w:line="276"/>
      </w:pPr>
      <w:r>
        <w:rPr>
          <w:b/>
        </w:rPr>
        <w:t xml:space="preserve">摘要（ZH）: </w:t>
      </w:r>
      <w:r>
        <w:t>尽管人们日益理解和赞赏摘要摘要,但由于实际的无痕量标记无法解决日常输送问题,因此Thiol中度吸收(TMU)的使用仍然不足,因为目前还没有解决日常输送问题的实际无痕量标记。最受欢迎的细胞内渗透聚(解硫化物)(CPD)最初是作为无痕量标记引入的,这些标记可以从任何含有硫醇的含息基底基底(SOI)中切入,并在吸收后立即在细胞质体中脱聚。这个办法在实际操作中并不理想,但对于解决实际问题并不理想,因为中性水中SOIs &amp; gt;30 μM高于大多数生物研究中可接受的。在这里,我们报告说,CPD粘贴SOIs,而不是粘贴,提供了动态共价的细胞内生物conj。</w:t>
      </w:r>
    </w:p>
    <w:p>
      <w:pPr>
        <w:spacing w:before="0" w:after="200" w:lineRule="auto" w:line="276"/>
      </w:pPr>
      <w:r>
        <w:rPr>
          <w:b/>
        </w:rPr>
        <w:t xml:space="preserve">Abstract (EN): </w:t>
      </w:r>
      <w:r>
        <w:t>Although increasingly understood and appreciated, thiol‐mediated uptake (TMU) remains underused because practical traceless tags that solve daily delivery problems are not yet available. The most popular cell‐penetrating poly(disulfide)s (CPDs) were initially introduced as traceless tags that could be grafted from any thiol‐containing substrate of interest (SOI) in situ and would depolymerize in the cytosol right after uptake. This approach was operational but not ideal for solving practical problems because the concentrations of SOIs &amp;gt;30 µM needed in neutral water are above those acceptable in most biological studies. Here, we report that CPD grafting‐to SOIs, rather than grafting‐from, provides access to dynamic covalent cysteine bioconjugation with protein concentrations down to 50 nM, which is more than 600 times below standard grafting‐from CPD chemistry. With rate constants up to 1500 M</w:t>
      </w:r>
      <w:r>
        <w:t xml:space="preserve"> </w:t>
      </w:r>
      <w:r>
        <w:t>−1</w:t>
      </w:r>
      <w:r>
        <w:t xml:space="preserve"> </w:t>
      </w:r>
      <w:r>
        <w:t>s</w:t>
      </w:r>
      <w:r>
        <w:t xml:space="preserve"> </w:t>
      </w:r>
      <w:r>
        <w:t>−1</w:t>
      </w:r>
      <w:r>
        <w:t xml:space="preserve"> </w:t>
      </w:r>
      <w:r>
        <w:t>, CPD grafting‐to is as fast as the record covalent cysteine bioconjugation (heteroaromatic sulfones), in the range of the best bioorthogonal reaction (IEDDA), and 3000 times faster than cystine grafting‐to. Experimental evidence for CPD grafting to probes, peptides and proteins with one, two, or several proximal thiols, efficient TMU of their conjugates, and the cytosolic release of functional SOIs, such as fluorescent antibodies against the nuclear pore complex, supports the discovery of operational traceless TMU tags, at last.</w:t>
      </w:r>
    </w:p>
    <w:p>
      <w:pPr>
        <w:spacing w:before="120" w:after="120"/>
      </w:pPr>
      <w:r>
        <w:rPr>
          <w:sz w:val="18"/>
        </w:rPr>
        <w:t>——————————————————————————————————————————————————————————————————————</w:t>
      </w:r>
    </w:p>
    <w:p>
      <w:pPr>
        <w:spacing w:before="160" w:after="40" w:line="240" w:lineRule="auto"/>
      </w:pPr>
      <w:r>
        <w:rPr>
          <w:b/>
        </w:rPr>
        <w:t xml:space="preserve">[264] </w:t>
      </w:r>
      <w:hyperlink r:id="rId509">
        <w:r>
          <w:rPr>
            <w:color w:val="1155CC"/>
            <w:u w:val="single"/>
          </w:rPr>
          <w:t>Cs2PtCl6 Perovskite 与V4C3Tx MXene 实现高效氢进化和氧化铀的强大结合的Cs2PtCl6 Perovskite的干涉合成</w:t>
        </w:r>
      </w:hyperlink>
    </w:p>
    <w:p>
      <w:pPr>
        <w:spacing w:before="0" w:after="80"/>
      </w:pPr>
      <w:r>
        <w:rPr>
          <w:i/>
          <w:sz w:val="20"/>
        </w:rPr>
        <w:t>EN: Interfacial Synthesis of Cs2PtCl6 Perovskite for Strong Coupling with V4C3Tx MXene Toward Efficient Hydrogen Evolution and Urea Oxidation</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10">
        <w:r>
          <w:rPr>
            <w:color w:val="1155CC"/>
            <w:u w:val="single"/>
          </w:rPr>
          <w:t>10.1002/anie.202516929</w:t>
        </w:r>
      </w:hyperlink>
    </w:p>
    <w:p>
      <w:pPr>
        <w:spacing w:before="0" w:after="120"/>
      </w:pPr>
      <w:r>
        <w:rPr>
          <w:b/>
        </w:rPr>
        <w:t xml:space="preserve">Notes: </w:t>
      </w:r>
      <w:r>
        <w:t>abstract_source=crossref</w:t>
      </w:r>
    </w:p>
    <w:p>
      <w:pPr>
        <w:spacing w:before="0" w:after="80" w:lineRule="auto" w:line="276"/>
      </w:pPr>
      <w:r>
        <w:rPr>
          <w:b/>
        </w:rPr>
        <w:t xml:space="preserve">摘要（ZH）: </w:t>
      </w:r>
      <w:r>
        <w:t>这项工作的一个关键创新是开发一种捕捉方法,在环境条件下在液体-液体界面中合成活性Cs 2 PtCl 6纳米粒子。 由此产生的纳米级Cs 2 PtCl 6粒子可以通过PtCl 6 2 - 单位与各种MXenes结合,其中V 4 C 3 T X MXene 形式与 Cs 2 PtCl 6</w:t>
      </w:r>
    </w:p>
    <w:p>
      <w:pPr>
        <w:spacing w:before="0" w:after="200" w:lineRule="auto" w:line="276"/>
      </w:pPr>
      <w:r>
        <w:rPr>
          <w:b/>
        </w:rPr>
        <w:t xml:space="preserve">Abstract (EN): </w:t>
      </w:r>
      <w:r>
        <w:t>A key innovation in this work is the development of a trapping method to synthesize perovskite Cs</w:t>
      </w:r>
      <w:r>
        <w:rPr>
          <w:vertAlign w:val="subscript"/>
        </w:rPr>
        <w:t>2</w:t>
      </w:r>
      <w:r>
        <w:t>PtCl</w:t>
      </w:r>
      <w:r>
        <w:rPr>
          <w:vertAlign w:val="subscript"/>
        </w:rPr>
        <w:t>6</w:t>
      </w:r>
      <w:r>
        <w:t>nanoparticles at a liquid–liquid interface under ambient conditions. The resulting nanoscale Cs</w:t>
      </w:r>
      <w:r>
        <w:rPr>
          <w:vertAlign w:val="subscript"/>
        </w:rPr>
        <w:t>2</w:t>
      </w:r>
      <w:r>
        <w:t>PtCl</w:t>
      </w:r>
      <w:r>
        <w:rPr>
          <w:vertAlign w:val="subscript"/>
        </w:rPr>
        <w:t>6</w:t>
      </w:r>
      <w:r>
        <w:t>particles are able to combine with various MXenes via PtCl</w:t>
      </w:r>
      <w:r>
        <w:rPr>
          <w:vertAlign w:val="subscript"/>
        </w:rPr>
        <w:t>6</w:t>
      </w:r>
      <w:r>
        <w:t>2−</w:t>
      </w:r>
      <w:r>
        <w:t>units, among which V</w:t>
      </w:r>
      <w:r>
        <w:rPr>
          <w:vertAlign w:val="subscript"/>
        </w:rPr>
        <w:t>4</w:t>
      </w:r>
      <w:r>
        <w:t>C</w:t>
      </w:r>
      <w:r>
        <w:rPr>
          <w:vertAlign w:val="subscript"/>
        </w:rPr>
        <w:t>3</w:t>
      </w:r>
      <w:r>
        <w:t>T</w:t>
      </w:r>
      <w:r>
        <w:t xml:space="preserve"> </w:t>
      </w:r>
      <w:r>
        <w:t>X</w:t>
      </w:r>
      <w:r>
        <w:t xml:space="preserve"> </w:t>
      </w:r>
      <w:r>
        <w:t>MXene forms strongly coupled Cs</w:t>
      </w:r>
      <w:r>
        <w:rPr>
          <w:vertAlign w:val="subscript"/>
        </w:rPr>
        <w:t>2</w:t>
      </w:r>
      <w:r>
        <w:t>PtCl</w:t>
      </w:r>
      <w:r>
        <w:rPr>
          <w:vertAlign w:val="subscript"/>
        </w:rPr>
        <w:t>6</w:t>
      </w:r>
      <w:r>
        <w:t>@V</w:t>
      </w:r>
      <w:r>
        <w:rPr>
          <w:vertAlign w:val="subscript"/>
        </w:rPr>
        <w:t>4</w:t>
      </w:r>
      <w:r>
        <w:t>C</w:t>
      </w:r>
      <w:r>
        <w:rPr>
          <w:vertAlign w:val="subscript"/>
        </w:rPr>
        <w:t>3</w:t>
      </w:r>
      <w:r>
        <w:t>T</w:t>
      </w:r>
      <w:r>
        <w:t xml:space="preserve"> </w:t>
      </w:r>
      <w:r>
        <w:t>X</w:t>
      </w:r>
      <w:r>
        <w:t xml:space="preserve"> </w:t>
      </w:r>
      <w:r>
        <w:t>composites. Cs</w:t>
      </w:r>
      <w:r>
        <w:rPr>
          <w:vertAlign w:val="subscript"/>
        </w:rPr>
        <w:t>2</w:t>
      </w:r>
      <w:r>
        <w:t>PtCl</w:t>
      </w:r>
      <w:r>
        <w:rPr>
          <w:vertAlign w:val="subscript"/>
        </w:rPr>
        <w:t>6</w:t>
      </w:r>
      <w:r>
        <w:t>@V</w:t>
      </w:r>
      <w:r>
        <w:rPr>
          <w:vertAlign w:val="subscript"/>
        </w:rPr>
        <w:t>4</w:t>
      </w:r>
      <w:r>
        <w:t>C</w:t>
      </w:r>
      <w:r>
        <w:rPr>
          <w:vertAlign w:val="subscript"/>
        </w:rPr>
        <w:t>3</w:t>
      </w:r>
      <w:r>
        <w:t>T</w:t>
      </w:r>
      <w:r>
        <w:t xml:space="preserve"> </w:t>
      </w:r>
      <w:r>
        <w:t>X</w:t>
      </w:r>
      <w:r>
        <w:t xml:space="preserve"> </w:t>
      </w:r>
      <w:r>
        <w:t>exhibits excellent hydrogen evolution reaction (HER), delivering a dramatically reduced overpotential of ∼39 mV a current density of 10 mA cm</w:t>
      </w:r>
      <w:r>
        <w:t xml:space="preserve"> </w:t>
      </w:r>
      <w:r>
        <w:t>−</w:t>
      </w:r>
      <w:r>
        <w:rPr>
          <w:vertAlign w:val="subscript"/>
        </w:rPr>
        <w:t>2</w:t>
      </w:r>
      <w:r>
        <w:t>, which outperforms the pristine V</w:t>
      </w:r>
      <w:r>
        <w:rPr>
          <w:vertAlign w:val="subscript"/>
        </w:rPr>
        <w:t>4</w:t>
      </w:r>
      <w:r>
        <w:t>C</w:t>
      </w:r>
      <w:r>
        <w:rPr>
          <w:vertAlign w:val="subscript"/>
        </w:rPr>
        <w:t>3</w:t>
      </w:r>
      <w:r>
        <w:t>T</w:t>
      </w:r>
      <w:r>
        <w:t xml:space="preserve"> </w:t>
      </w:r>
      <w:r>
        <w:t>X</w:t>
      </w:r>
      <w:r>
        <w:t xml:space="preserve"> </w:t>
      </w:r>
      <w:r>
        <w:t>, Cs</w:t>
      </w:r>
      <w:r>
        <w:rPr>
          <w:vertAlign w:val="subscript"/>
        </w:rPr>
        <w:t>2</w:t>
      </w:r>
      <w:r>
        <w:t>PtCl</w:t>
      </w:r>
      <w:r>
        <w:rPr>
          <w:vertAlign w:val="subscript"/>
        </w:rPr>
        <w:t>6</w:t>
      </w:r>
      <w:r>
        <w:t>, and other Cs</w:t>
      </w:r>
      <w:r>
        <w:rPr>
          <w:vertAlign w:val="subscript"/>
        </w:rPr>
        <w:t>2</w:t>
      </w:r>
      <w:r>
        <w:t>PtCl</w:t>
      </w:r>
      <w:r>
        <w:rPr>
          <w:vertAlign w:val="subscript"/>
        </w:rPr>
        <w:t>6</w:t>
      </w:r>
      <w:r>
        <w:t>@MXenes composites investigated. On the other hand, Cs</w:t>
      </w:r>
      <w:r>
        <w:rPr>
          <w:vertAlign w:val="subscript"/>
        </w:rPr>
        <w:t>2</w:t>
      </w:r>
      <w:r>
        <w:t>PtCl</w:t>
      </w:r>
      <w:r>
        <w:rPr>
          <w:vertAlign w:val="subscript"/>
        </w:rPr>
        <w:t>6</w:t>
      </w:r>
      <w:r>
        <w:t>@V</w:t>
      </w:r>
      <w:r>
        <w:rPr>
          <w:vertAlign w:val="subscript"/>
        </w:rPr>
        <w:t>4</w:t>
      </w:r>
      <w:r>
        <w:t>C</w:t>
      </w:r>
      <w:r>
        <w:rPr>
          <w:vertAlign w:val="subscript"/>
        </w:rPr>
        <w:t>3</w:t>
      </w:r>
      <w:r>
        <w:t>T</w:t>
      </w:r>
      <w:r>
        <w:t xml:space="preserve"> </w:t>
      </w:r>
      <w:r>
        <w:t>X</w:t>
      </w:r>
      <w:r>
        <w:t xml:space="preserve"> </w:t>
      </w:r>
      <w:r>
        <w:t>exhibits negligible oxygen evolution reaction, but remarkably high‐performance urea oxidation reaction. The selective anodic reactivity simultaneously reduces the overall energy input required for HER. Comprehensive studies with other MXenes and their Cs</w:t>
      </w:r>
      <w:r>
        <w:rPr>
          <w:vertAlign w:val="subscript"/>
        </w:rPr>
        <w:t>2</w:t>
      </w:r>
      <w:r>
        <w:t>PtCl</w:t>
      </w:r>
      <w:r>
        <w:rPr>
          <w:vertAlign w:val="subscript"/>
        </w:rPr>
        <w:t>6</w:t>
      </w:r>
      <w:r>
        <w:t>hybrids highlight the unique and critical role of V</w:t>
      </w:r>
      <w:r>
        <w:rPr>
          <w:vertAlign w:val="subscript"/>
        </w:rPr>
        <w:t>4</w:t>
      </w:r>
      <w:r>
        <w:t>C</w:t>
      </w:r>
      <w:r>
        <w:rPr>
          <w:vertAlign w:val="subscript"/>
        </w:rPr>
        <w:t>3</w:t>
      </w:r>
      <w:r>
        <w:t>T</w:t>
      </w:r>
      <w:r>
        <w:t xml:space="preserve"> </w:t>
      </w:r>
      <w:r>
        <w:t>X</w:t>
      </w:r>
      <w:r>
        <w:t xml:space="preserve"> </w:t>
      </w:r>
      <w:r>
        <w:t>in facilitating electron transfer and catalytic stability, paving the way for simultaneous production of clean energy and remediation of organic pollutants.</w:t>
      </w:r>
    </w:p>
    <w:p>
      <w:pPr>
        <w:spacing w:before="120" w:after="120"/>
      </w:pPr>
      <w:r>
        <w:rPr>
          <w:sz w:val="18"/>
        </w:rPr>
        <w:t>——————————————————————————————————————————————————————————————————————</w:t>
      </w:r>
    </w:p>
    <w:p>
      <w:pPr>
        <w:spacing w:before="160" w:after="40" w:line="240" w:lineRule="auto"/>
      </w:pPr>
      <w:r>
        <w:rPr>
          <w:b/>
        </w:rPr>
        <w:t xml:space="preserve">[265] </w:t>
      </w:r>
      <w:hyperlink r:id="rId511">
        <w:r>
          <w:rPr>
            <w:color w:val="1155CC"/>
            <w:u w:val="single"/>
          </w:rPr>
          <w:t>通过 " 基流 " 生成的中转大会调节不规则的气化变异</w:t>
        </w:r>
      </w:hyperlink>
    </w:p>
    <w:p>
      <w:pPr>
        <w:spacing w:before="0" w:after="80"/>
      </w:pPr>
      <w:r>
        <w:rPr>
          <w:i/>
          <w:sz w:val="20"/>
        </w:rPr>
        <w:t>EN: Regulating Promiscuous Catalysis via Substrate‐Induced Transient Assembly</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12">
        <w:r>
          <w:rPr>
            <w:color w:val="1155CC"/>
            <w:u w:val="single"/>
          </w:rPr>
          <w:t>10.1002/anie.202511352</w:t>
        </w:r>
      </w:hyperlink>
    </w:p>
    <w:p>
      <w:pPr>
        <w:spacing w:before="0" w:after="120"/>
      </w:pPr>
      <w:r>
        <w:rPr>
          <w:b/>
        </w:rPr>
        <w:t xml:space="preserve">Notes: </w:t>
      </w:r>
      <w:r>
        <w:t>abstract_source=crossref</w:t>
      </w:r>
    </w:p>
    <w:p>
      <w:pPr>
        <w:spacing w:before="0" w:after="80" w:lineRule="auto" w:line="276"/>
      </w:pPr>
      <w:r>
        <w:rPr>
          <w:b/>
        </w:rPr>
        <w:t xml:space="preserve">摘要（ZH）: </w:t>
      </w:r>
      <w:r>
        <w:t>系统化学家引进了合成基模模拟器,这些模拟器在加强聚丙化物折叠和模拟原始酶的催化活动方面证明是行之有效的。然而,一个催化剂催化性杂交,即一个催化剂催化多种正心反应的能力,如何影响生物前化学的多样化,在很大程度上仍未得到解决。我们在报告中报告了一种新型的、基基基质的、由一种精密预组装peptide 和Fmocglycine 之间的合成基模类。在无平衡条件下形成的纳米结构提供了合适的微环境,可以促进催化剂的潜力。</w:t>
      </w:r>
    </w:p>
    <w:p>
      <w:pPr>
        <w:spacing w:before="0" w:after="200" w:lineRule="auto" w:line="276"/>
      </w:pPr>
      <w:r>
        <w:rPr>
          <w:b/>
        </w:rPr>
        <w:t xml:space="preserve">Abstract (EN): </w:t>
      </w:r>
      <w:r>
        <w:t>In nature, substrate‐induced assembly is a fundamental requirement for a wide range of enzyme‐driven chemical transformations. Systems chemists have introduced synthetic substrate analogues that have proven effective in enhancing catalytic activities of assembling peptide folds, and mimic primitive enzymes. However, how catalytic promiscuity, the ability of one catalyst to catalyse multiple orthogonal reactions, might have shaped the diversification of prebiotic chemistry, remains largely unaddressed. Herein, we report a novel transient, substrate‐induced co‐assembly between a lysine‐rich pre‐assembling peptide and Fmoc‐glycine. The nanostructure formed under nonequilibrium conditions provides the suitable microenvironment to promote the potential of catalytically active amino acids, performing orthogonal hydrolysis and C═N condensation reactions. Simultaneously, carbamate bond cleavage of the labile Fmoc group destabilises the co‐assembly in the activated state, causing the structure to collapse gradually. By encoding catalytic promiscuity into assembling building blocks under kinetic control, we shed light on the emergence of primitive catalysis with broad substrate scope at the origin of life.</w:t>
      </w:r>
    </w:p>
    <w:p>
      <w:pPr>
        <w:spacing w:before="120" w:after="120"/>
      </w:pPr>
      <w:r>
        <w:rPr>
          <w:sz w:val="18"/>
        </w:rPr>
        <w:t>——————————————————————————————————————————————————————————————————————</w:t>
      </w:r>
    </w:p>
    <w:p>
      <w:pPr>
        <w:spacing w:before="160" w:after="40" w:line="240" w:lineRule="auto"/>
      </w:pPr>
      <w:r>
        <w:rPr>
          <w:b/>
        </w:rPr>
        <w:t xml:space="preserve">[266] </w:t>
      </w:r>
      <w:hyperlink r:id="rId513">
        <w:r>
          <w:rPr>
            <w:color w:val="1155CC"/>
            <w:u w:val="single"/>
          </w:rPr>
          <w:t>新型氧化碳化物固体电解解液与全国太阳能电池的干涉性电离电离电导的超快速合成</w:t>
        </w:r>
      </w:hyperlink>
    </w:p>
    <w:p>
      <w:pPr>
        <w:spacing w:before="0" w:after="80"/>
      </w:pPr>
      <w:r>
        <w:rPr>
          <w:i/>
          <w:sz w:val="20"/>
        </w:rPr>
        <w:t>EN: Minutes‐Scale Ultrafast Synthesis of New Oxyhalides Solid Electrolytes with Interfacial Ionic Conduction for All‐Solid‐State Batteries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14">
        <w:r>
          <w:rPr>
            <w:color w:val="1155CC"/>
            <w:u w:val="single"/>
          </w:rPr>
          <w:t>10.1002/anie.202516259</w:t>
        </w:r>
      </w:hyperlink>
    </w:p>
    <w:p>
      <w:pPr>
        <w:spacing w:before="0" w:after="120"/>
      </w:pPr>
      <w:r>
        <w:rPr>
          <w:b/>
        </w:rPr>
        <w:t xml:space="preserve">Notes: </w:t>
      </w:r>
      <w:r>
        <w:t>abstract_source=crossref</w:t>
      </w:r>
    </w:p>
    <w:p>
      <w:pPr>
        <w:spacing w:before="0" w:after="80" w:lineRule="auto" w:line="276"/>
      </w:pPr>
      <w:r>
        <w:rPr>
          <w:b/>
        </w:rPr>
        <w:t xml:space="preserve">摘要（ZH）: </w:t>
      </w:r>
      <w:r>
        <w:t>Halide Solid State 电解解层(SSES)摘要显示,所有固体电池(SSSEs)都极有希望,但它们依赖长期的球碾磨来实现必要的电离传导性,这严重削弱了能源效率。在这里,我们报告了一个通过超快球转动过程合成的新型Zr基氧卤化物SSE(OHLZC),这是一个超快球转动过程合成的(18分钟)-卤化硫化物记录。 值得注意的是,将加工范围从0.11毫升升至1.09毫升S厘米-1——在同等合成期间,报告的最大Zr基卤化物表现优。</w:t>
      </w:r>
    </w:p>
    <w:p>
      <w:pPr>
        <w:spacing w:before="0" w:after="200" w:lineRule="auto" w:line="276"/>
      </w:pPr>
      <w:r>
        <w:rPr>
          <w:b/>
        </w:rPr>
        <w:t xml:space="preserve">Abstract (EN): </w:t>
      </w:r>
      <w:r>
        <w:t>Halide solid‐state electrolytes (SSEs) show exceptional promise for all‐solid‐state batteries (ASSBs), yet their dependence on prolonged ball milling to achieve required ionic conductivity critically compromises energy efficiency. Here, we report a novel Zr‐based oxyhalide SSE (oh‐LZC) synthesized via an ultrafast ball‐milling process (18 min)—a record for halide SSEs. Remarkably, extending processing to just 1.5 h boosts ionic conductivity from 0.11 to 1.09 mS cm</w:t>
      </w:r>
      <w:r>
        <w:t xml:space="preserve"> </w:t>
      </w:r>
      <w:r>
        <w:t>−1</w:t>
      </w:r>
      <w:r>
        <w:t xml:space="preserve"> </w:t>
      </w:r>
      <w:r>
        <w:t>—outperforming most reported Zr‐based halides at equivalent synthesis durations. Critical to this advance is the strategic substitution of expensive Li</w:t>
      </w:r>
      <w:r>
        <w:rPr>
          <w:vertAlign w:val="subscript"/>
        </w:rPr>
        <w:t>2</w:t>
      </w:r>
      <w:r>
        <w:t>O with cost‐effective Ta</w:t>
      </w:r>
      <w:r>
        <w:rPr>
          <w:vertAlign w:val="subscript"/>
        </w:rPr>
        <w:t>2</w:t>
      </w:r>
      <w:r>
        <w:t>O</w:t>
      </w:r>
      <w:r>
        <w:rPr>
          <w:vertAlign w:val="subscript"/>
        </w:rPr>
        <w:t>5</w:t>
      </w:r>
      <w:r>
        <w:t>as the oxygen source—which simultaneously acts as a core‐like pseudo‐catalyst. During ultrafast milling, this drives formation of a shell‐like conductive amorphous oxyhalide, directly enabling a novel interfacial conduction mechanism as confirmed by high‐resolution microscopy and spectroscopy. ASSBs assembled with oh‐LZC synthesized in 18 min exhibit excellent compatibility with uncoated LiCoO</w:t>
      </w:r>
      <w:r>
        <w:rPr>
          <w:vertAlign w:val="subscript"/>
        </w:rPr>
        <w:t>2</w:t>
      </w:r>
      <w:r>
        <w:t>, delivering robust cycling stability (&amp;gt;80% capacity retention after 450 cycles). Validated with alternative oxygen sources (Nb</w:t>
      </w:r>
      <w:r>
        <w:rPr>
          <w:vertAlign w:val="subscript"/>
        </w:rPr>
        <w:t>2</w:t>
      </w:r>
      <w:r>
        <w:t>O</w:t>
      </w:r>
      <w:r>
        <w:rPr>
          <w:vertAlign w:val="subscript"/>
        </w:rPr>
        <w:t>5</w:t>
      </w:r>
      <w:r>
        <w:t>), this pseudo‐catalyst approach demonstrates versatility, pioneering accelerated synthesis protocols for halide SSEs and beyond.</w:t>
      </w:r>
    </w:p>
    <w:p>
      <w:pPr>
        <w:spacing w:before="120" w:after="120"/>
      </w:pPr>
      <w:r>
        <w:rPr>
          <w:sz w:val="18"/>
        </w:rPr>
        <w:t>——————————————————————————————————————————————————————————————————————</w:t>
      </w:r>
    </w:p>
    <w:p>
      <w:pPr>
        <w:spacing w:before="160" w:after="40" w:line="240" w:lineRule="auto"/>
      </w:pPr>
      <w:r>
        <w:rPr>
          <w:b/>
        </w:rPr>
        <w:t xml:space="preserve">[267] </w:t>
      </w:r>
      <w:hyperlink r:id="rId515">
        <w:r>
          <w:rPr>
            <w:color w:val="1155CC"/>
            <w:u w:val="single"/>
          </w:rPr>
          <w:t>中聚氧化物氧化氧化碳的氧化氧化物</w:t>
        </w:r>
      </w:hyperlink>
    </w:p>
    <w:p>
      <w:pPr>
        <w:spacing w:before="0" w:after="80"/>
      </w:pPr>
      <w:r>
        <w:rPr>
          <w:i/>
          <w:sz w:val="20"/>
        </w:rPr>
        <w:t>EN: Cryogenic Carbon Monoxide Oxidation on Cuprous Oxide</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16">
        <w:r>
          <w:rPr>
            <w:color w:val="1155CC"/>
            <w:u w:val="single"/>
          </w:rPr>
          <w:t>10.1002/anie.202515673</w:t>
        </w:r>
      </w:hyperlink>
    </w:p>
    <w:p>
      <w:pPr>
        <w:spacing w:before="0" w:after="120"/>
      </w:pPr>
      <w:r>
        <w:rPr>
          <w:b/>
        </w:rPr>
        <w:t xml:space="preserve">Notes: </w:t>
      </w:r>
      <w:r>
        <w:t>abstract_source=crossref</w:t>
      </w:r>
    </w:p>
    <w:p>
      <w:pPr>
        <w:spacing w:before="0" w:after="80" w:lineRule="auto" w:line="276"/>
      </w:pPr>
      <w:r>
        <w:rPr>
          <w:b/>
        </w:rPr>
        <w:t xml:space="preserve">摘要（ZH）: </w:t>
      </w:r>
      <w:r>
        <w:t>在低温下使用土富材料进行抽象氧化反应对于推进可持续化学解决方案至关重要。CO氧化是氧化特性和推进地表化学基本概念的基准反应。虽然在低温(300K至200K)下出现了金属氧化物氧化的若干实例,但低温系统中的反活性通常要求在金属氧化物上使用金属纳米粒子。这里,我们展示了Cu 2 O(111)面的氧原子与CO在100K以下温度下形成CO2。将光谱实验证据与计算结合起来,</w:t>
      </w:r>
    </w:p>
    <w:p>
      <w:pPr>
        <w:spacing w:before="0" w:after="200" w:lineRule="auto" w:line="276"/>
      </w:pPr>
      <w:r>
        <w:rPr>
          <w:b/>
        </w:rPr>
        <w:t xml:space="preserve">Abstract (EN): </w:t>
      </w:r>
      <w:r>
        <w:t>Performing oxidation reactions at low temperatures using earth‐abundant materials is crucial for advancing solutions for sustainable chemistry. CO oxidation serves as a benchmark reaction to characterize oxidation and to advance fundamental concepts in surface chemistry. While there are several examples of CO oxidation occurring on metal oxides at low temperatures, from 300 K to ∼200 K, reactivity in the cryogenic temperature regime typically requires a metal nanoparticle on a metal oxide. Here, we show oxygen atoms on the (111) facet of Cu</w:t>
      </w:r>
      <w:r>
        <w:rPr>
          <w:vertAlign w:val="subscript"/>
        </w:rPr>
        <w:t>2</w:t>
      </w:r>
      <w:r>
        <w:t>O react with CO to form CO</w:t>
      </w:r>
      <w:r>
        <w:rPr>
          <w:vertAlign w:val="subscript"/>
        </w:rPr>
        <w:t>2</w:t>
      </w:r>
      <w:r>
        <w:t>at temperatures below 100 K. Combining spectroscopic experimental evidence with calculations, we propose a low barrier path for CO oxidation at reconstructed surface sites on Cu</w:t>
      </w:r>
      <w:r>
        <w:rPr>
          <w:vertAlign w:val="subscript"/>
        </w:rPr>
        <w:t>2</w:t>
      </w:r>
      <w:r>
        <w:t>O(111). This finding is a rare example of an earth‐abundant metal oxide, in this case copper, that can provide highly reactive multifunctional sites, enabling both adsorption and reaction fundamental steps toward the efficient heterogeneous oxidation of chemicals.</w:t>
      </w:r>
    </w:p>
    <w:p>
      <w:pPr>
        <w:spacing w:before="120" w:after="120"/>
      </w:pPr>
      <w:r>
        <w:rPr>
          <w:sz w:val="18"/>
        </w:rPr>
        <w:t>——————————————————————————————————————————————————————————————————————</w:t>
      </w:r>
    </w:p>
    <w:p>
      <w:pPr>
        <w:spacing w:before="160" w:after="40" w:line="240" w:lineRule="auto"/>
      </w:pPr>
      <w:r>
        <w:rPr>
          <w:b/>
        </w:rPr>
        <w:t xml:space="preserve">[268] </w:t>
      </w:r>
      <w:hyperlink r:id="rId517">
        <w:r>
          <w:rPr>
            <w:color w:val="1155CC"/>
            <w:u w:val="single"/>
          </w:rPr>
          <w:t>来自异乙基IrIII-AuI天文星的 亮光极极化电化学照明</w:t>
        </w:r>
      </w:hyperlink>
    </w:p>
    <w:p>
      <w:pPr>
        <w:spacing w:before="0" w:after="80"/>
      </w:pPr>
      <w:r>
        <w:rPr>
          <w:i/>
          <w:sz w:val="20"/>
        </w:rPr>
        <w:t>EN: Bright Circularly Polarized Electrochemiluminescence from Heterobinuclear IrIII–AuI Enantiomers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18">
        <w:r>
          <w:rPr>
            <w:color w:val="1155CC"/>
            <w:u w:val="single"/>
          </w:rPr>
          <w:t>10.1002/anie.202510787</w:t>
        </w:r>
      </w:hyperlink>
    </w:p>
    <w:p>
      <w:pPr>
        <w:spacing w:before="0" w:after="120"/>
      </w:pPr>
      <w:r>
        <w:rPr>
          <w:b/>
        </w:rPr>
        <w:t xml:space="preserve">Notes: </w:t>
      </w:r>
      <w:r>
        <w:t>abstract_source=crossref</w:t>
      </w:r>
    </w:p>
    <w:p>
      <w:pPr>
        <w:spacing w:before="0" w:after="80" w:lineRule="auto" w:line="276"/>
      </w:pPr>
      <w:r>
        <w:rPr>
          <w:b/>
        </w:rPr>
        <w:t xml:space="preserve">摘要（ZH）: </w:t>
      </w:r>
      <w:r>
        <w:t>高效循环两极化电化学光学探测器(CPECL)的开发仍然处于初级阶段,其实例也非常有限。然而,这些探测器的完成将使得能够通过以高信号对音率监测发光分化偏向,从而收集出关于探测器手性环境的绝佳信息。尽管如此,这是一项极具挑战性的任务,需要手性ECL活性发射机进行明智的化学工程。在这里,我们的目标是通过展示一种新型的对等性乙基乙基Ir(III)-Au(I)复合物,通过化学、结构学和光学技术对之进行彻底调查,从而扩大光学光学实验器的分子。</w:t>
      </w:r>
    </w:p>
    <w:p>
      <w:pPr>
        <w:spacing w:before="0" w:after="200" w:lineRule="auto" w:line="276"/>
      </w:pPr>
      <w:r>
        <w:rPr>
          <w:b/>
        </w:rPr>
        <w:t xml:space="preserve">Abstract (EN): </w:t>
      </w:r>
      <w:r>
        <w:t>The development of efficient circularly polarized electrochemiluminescence (CP‐ECL) probes is still at its infancy and examples are still very limited. Yet, their achievement would enable gathering a readout that carries privileged information on the probe's chiral environment by monitoring luminescence polarization bias with high signal‐to‐noise ratio. Notwithstanding, this is a highly challenging task and requires judicious chemical engineering of chiral ECL‐active emitters. Herein, we aim at expanding the palette of CP‐ECL luminophores by presenting a novel class of enantiopure heterobinuclear Ir(III)–Au(I) complexes, which are investigated thoroughly by means of chemical, structural, and (chiro‐)optical techniques. The ground and excited state properties are also elucidated by using density functional theory (DFT) approaches including spin‐orbital coupling (SOC) perturbation. The chiral‐at‐metal complexes display luminescence with a polarization bias of the emitted light that is function of the helical arrangement of the coordination sphere around the Ir(III) center. Overall, the photo‐ and electro‐active complexes unraveled in this work combine unparallelly high photoluminescence quantum yield in the orange region, excellent circularly polarized luminescence (CPL) brightness up to 4.5 M</w:t>
      </w:r>
      <w:r>
        <w:t xml:space="preserve"> </w:t>
      </w:r>
      <w:r>
        <w:t>−1</w:t>
      </w:r>
      <w:r>
        <w:t xml:space="preserve"> </w:t>
      </w:r>
      <w:r>
        <w:t>cm</w:t>
      </w:r>
      <w:r>
        <w:t xml:space="preserve"> </w:t>
      </w:r>
      <w:r>
        <w:t>−1</w:t>
      </w:r>
      <w:r>
        <w:t xml:space="preserve"> </w:t>
      </w:r>
      <w:r>
        <w:t>with a notable ECL activity. Finally, these features provide emitters with CP‐ECL efficiency that encompass remarkably by a factor 3.5 that of the well‐known benchmark</w:t>
      </w:r>
      <w:r>
        <w:t xml:space="preserve"> </w:t>
      </w:r>
      <w:r>
        <w:t>tris</w:t>
      </w:r>
      <w:r>
        <w:t xml:space="preserve"> </w:t>
      </w:r>
      <w:r>
        <w:t>‐(2,2′‐bipyridyl)ruthenium(II).</w:t>
      </w:r>
    </w:p>
    <w:p>
      <w:pPr>
        <w:spacing w:before="120" w:after="120"/>
      </w:pPr>
      <w:r>
        <w:rPr>
          <w:sz w:val="18"/>
        </w:rPr>
        <w:t>——————————————————————————————————————————————————————————————————————</w:t>
      </w:r>
    </w:p>
    <w:p>
      <w:pPr>
        <w:spacing w:before="160" w:after="40" w:line="240" w:lineRule="auto"/>
      </w:pPr>
      <w:r>
        <w:rPr>
          <w:b/>
        </w:rPr>
        <w:t xml:space="preserve">[269] </w:t>
      </w:r>
      <w:hyperlink r:id="rId519">
        <w:r>
          <w:rPr>
            <w:color w:val="1155CC"/>
            <w:u w:val="single"/>
          </w:rPr>
          <w:t>可靠地确定光反应动动动和闭合/立氯乙烯开关的量子功率</w:t>
        </w:r>
      </w:hyperlink>
    </w:p>
    <w:p>
      <w:pPr>
        <w:spacing w:before="0" w:after="80"/>
      </w:pPr>
      <w:r>
        <w:rPr>
          <w:i/>
          <w:sz w:val="20"/>
        </w:rPr>
        <w:t>EN: Reliable Determination of Photoreaction Kinetics and Cyclization/Cycloreversion Quantum Yields for Dithienylethene Switches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20">
        <w:r>
          <w:rPr>
            <w:color w:val="1155CC"/>
            <w:u w:val="single"/>
          </w:rPr>
          <w:t>10.1002/anie.202514591</w:t>
        </w:r>
      </w:hyperlink>
    </w:p>
    <w:p>
      <w:pPr>
        <w:spacing w:before="0" w:after="120"/>
      </w:pPr>
      <w:r>
        <w:rPr>
          <w:b/>
        </w:rPr>
        <w:t xml:space="preserve">Notes: </w:t>
      </w:r>
      <w:r>
        <w:t>abstract_source=crossref</w:t>
      </w:r>
    </w:p>
    <w:p>
      <w:pPr>
        <w:spacing w:before="0" w:after="80" w:lineRule="auto" w:line="276"/>
      </w:pPr>
      <w:r>
        <w:rPr>
          <w:b/>
        </w:rPr>
        <w:t xml:space="preserve">摘要（ZH）: </w:t>
      </w:r>
      <w:r>
        <w:t>介绍了一个全面描述ditienylethene(DTE)系统中光反应动动能的通用和灵活模型。拟议方法有助于可靠地确定不同条件下的光循环和光环转换量量的产量。最重要的是,该方法适用于广泛的光开关浓度和竞争性反应的核算,例如取消封闭形式。通过对动能方程式采用分析和数字解决方案,我们取得了一致的结果:数字方法确保了量子增益测定的高准确性,而分析方法允许预测DTE光反应行为。该模型的稳健性在四种不同的DTE光电开关中得到了验证。</w:t>
      </w:r>
    </w:p>
    <w:p>
      <w:pPr>
        <w:spacing w:before="0" w:after="200" w:lineRule="auto" w:line="276"/>
      </w:pPr>
      <w:r>
        <w:rPr>
          <w:b/>
        </w:rPr>
        <w:t xml:space="preserve">Abstract (EN): </w:t>
      </w:r>
      <w:r>
        <w:t>A universal and flexible model fully describing photoreaction kinetics in dithienylethene (DTE) systems is presented. The proposed method enables reliable determination of photocyclization and photocycloreversion quantum yields at various conditions. Most importantly, it is applicable to a broad range of photoswitch concentrations and accounts for competitive reactions, such as annulation of the closed form. By employing both analytical and numerical solutions to the kinetic equations, we achieve consistent results: the numerical method ensures high accuracy in quantum yield determination, while the analytical method allows for the prediction of DTE photoreaction behavior. The robustness of the model was validated across four distinct DTE photoswitches under varying concentrations, solvents, excitation wavelengths conditions, demonstrating its broad applicability and reliability.</w:t>
      </w:r>
    </w:p>
    <w:p>
      <w:pPr>
        <w:spacing w:before="120" w:after="120"/>
      </w:pPr>
      <w:r>
        <w:rPr>
          <w:sz w:val="18"/>
        </w:rPr>
        <w:t>——————————————————————————————————————————————————————————————————————</w:t>
      </w:r>
    </w:p>
    <w:p>
      <w:pPr>
        <w:spacing w:before="160" w:after="40" w:line="240" w:lineRule="auto"/>
      </w:pPr>
      <w:r>
        <w:rPr>
          <w:b/>
        </w:rPr>
        <w:t xml:space="preserve">[270] </w:t>
      </w:r>
      <w:hyperlink r:id="rId521">
        <w:r>
          <w:rPr>
            <w:color w:val="1155CC"/>
            <w:u w:val="single"/>
          </w:rPr>
          <w:t>通过红毒和闪光分子进行接触电气化</w:t>
        </w:r>
      </w:hyperlink>
    </w:p>
    <w:p>
      <w:pPr>
        <w:spacing w:before="0" w:after="80"/>
      </w:pPr>
      <w:r>
        <w:rPr>
          <w:i/>
          <w:sz w:val="20"/>
        </w:rPr>
        <w:t>EN: Contact Electrification via Redox‐Active Molecules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22">
        <w:r>
          <w:rPr>
            <w:color w:val="1155CC"/>
            <w:u w:val="single"/>
          </w:rPr>
          <w:t>10.1002/anie.202510031</w:t>
        </w:r>
      </w:hyperlink>
    </w:p>
    <w:p>
      <w:pPr>
        <w:spacing w:before="0" w:after="120"/>
      </w:pPr>
      <w:r>
        <w:rPr>
          <w:b/>
        </w:rPr>
        <w:t xml:space="preserve">Notes: </w:t>
      </w:r>
      <w:r>
        <w:t>abstract_source=crossref</w:t>
      </w:r>
    </w:p>
    <w:p>
      <w:pPr>
        <w:spacing w:before="0" w:after="80" w:lineRule="auto" w:line="276"/>
      </w:pPr>
      <w:r>
        <w:rPr>
          <w:b/>
        </w:rPr>
        <w:t xml:space="preserve">摘要（ZH）: </w:t>
      </w:r>
      <w:r>
        <w:t>电子电气化,作为两种(不同)不同材料接触时的电荷转移,受到地表化学的强烈影响,该化学控制了电荷分离的效率。对于从机械能源中收集电能,电子电子传输效率高的材料对配对至关重要。在这里,我们引入了一种战略,通过与红氧化活性有机分子的表面功能化使用电子电荷传输来进行电电气化。具体地说,我们将Au(111)表面与甲基甲基甲基甲基二氧化二苯胺和四甲硫二苯乙烯作为捐献者,11,11,11,12,12,12 硝基苯丙胺作为接受者,实现了稳定和共价的固定化。</w:t>
      </w:r>
    </w:p>
    <w:p>
      <w:pPr>
        <w:spacing w:before="0" w:after="200" w:lineRule="auto" w:line="276"/>
      </w:pPr>
      <w:r>
        <w:rPr>
          <w:b/>
        </w:rPr>
        <w:t xml:space="preserve">Abstract (EN): </w:t>
      </w:r>
      <w:r>
        <w:t>Contact electrification, as the transfer of charge upon the contact of two (dis)similar materials, is strongly influenced by surface chemistry, which governs the efficiency of charge separation. For harvesting electrical energy from mechanical energy, material pairs with high electron‐transfer efficiency are essential. Here, we introduce a strategy to use electronic charge transfer in contact electrification via surface functionalization with redox‐active organic molecules. Specifically, we functionalize Au(111) surfaces with mercaptomethyl‐terminated redox‐active molecules, namely triphenylamine and tetrathiafulvalene as donors and 11,11,12,12‐tetracyano‐9,10‐anthraquinodimethane as an acceptor, achieving stable and covalent immobilization, as confirmed by X‐ray photoelectron spectroscopy, electrochemical characterization, and density functional theory calculations, and enabling molecular‐level electron‐transfer. To quantify charge transfer at the micrometer scale, we introduce a contact electrification assay combining atomic force microscopy‐based force spectroscopy and Kelvin probe force microscopy. This approach allows for a precise measurement of charge transfer between Au(111) surfaces functionalized with redox‐active molecules, revealing an electron‐driven mechanism capable of achieving surface charge densities of (120 ± 17) µC m</w:t>
      </w:r>
      <w:r>
        <w:t xml:space="preserve"> </w:t>
      </w:r>
      <w:r>
        <w:t>−2</w:t>
      </w:r>
      <w:r>
        <w:t xml:space="preserve"> </w:t>
      </w:r>
      <w:r>
        <w:t>. Our findings deepen the fundamental understanding of contact electrification by demonstrating that electron transfer—depending on the choice of materials—can indeed be its origin, and pave the way for the development of more efficient triboelectric devices.</w:t>
      </w:r>
    </w:p>
    <w:p>
      <w:pPr>
        <w:spacing w:before="120" w:after="120"/>
      </w:pPr>
      <w:r>
        <w:rPr>
          <w:sz w:val="18"/>
        </w:rPr>
        <w:t>——————————————————————————————————————————————————————————————————————</w:t>
      </w:r>
    </w:p>
    <w:p>
      <w:pPr>
        <w:spacing w:before="160" w:after="40" w:line="240" w:lineRule="auto"/>
      </w:pPr>
      <w:r>
        <w:rPr>
          <w:b/>
        </w:rPr>
        <w:t xml:space="preserve">[271] </w:t>
      </w:r>
      <w:hyperlink r:id="rId523">
        <w:r>
          <w:rPr>
            <w:color w:val="1155CC"/>
            <w:u w:val="single"/>
          </w:rPr>
          <w:t>Perovskite Nanocrystals的基拉尔议会和奇拉尔模板效果促进作用的结合</w:t>
        </w:r>
      </w:hyperlink>
    </w:p>
    <w:p>
      <w:pPr>
        <w:spacing w:before="0" w:after="80"/>
      </w:pPr>
      <w:r>
        <w:rPr>
          <w:i/>
          <w:sz w:val="20"/>
        </w:rPr>
        <w:t>EN: The Combination of Chiral Assembly and Chiral Template Effects Boosts Circularly Polarized Luminescence of Perovskite Nanocrystals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24">
        <w:r>
          <w:rPr>
            <w:color w:val="1155CC"/>
            <w:u w:val="single"/>
          </w:rPr>
          <w:t>10.1002/anie.202507812</w:t>
        </w:r>
      </w:hyperlink>
    </w:p>
    <w:p>
      <w:pPr>
        <w:spacing w:before="0" w:after="120"/>
      </w:pPr>
      <w:r>
        <w:rPr>
          <w:b/>
        </w:rPr>
        <w:t xml:space="preserve">Notes: </w:t>
      </w:r>
      <w:r>
        <w:t>abstract_source=crossref</w:t>
      </w:r>
    </w:p>
    <w:p>
      <w:pPr>
        <w:spacing w:before="0" w:after="80" w:lineRule="auto" w:line="276"/>
      </w:pPr>
      <w:r>
        <w:rPr>
          <w:b/>
        </w:rPr>
        <w:t xml:space="preserve">摘要（ZH）: </w:t>
      </w:r>
      <w:r>
        <w:t>Perovskite Namrystals(PNCs)摘要显示循环两极化的光亮(CPL)是展示和光通信技术的一个很有希望的材料类别,因为其排放覆盖了整个可见范围,且光光光光光度接近;然而,这些材料在所发光量的上传中具有低选择性,大多数研究都侧重于绿色排放;我们通过利用和拓宽精神多极化的PNCs与手性有机模板之间的互动范围来解决这些问题。为此目的,我们选择了三种红色、绿色和蓝色排放的PNCs,并以复合薄膜的形式将其引入一个手性液体晶体矩阵。</w:t>
      </w:r>
    </w:p>
    <w:p>
      <w:pPr>
        <w:spacing w:before="0" w:after="200" w:lineRule="auto" w:line="276"/>
      </w:pPr>
      <w:r>
        <w:rPr>
          <w:b/>
        </w:rPr>
        <w:t xml:space="preserve">Abstract (EN): </w:t>
      </w:r>
      <w:r>
        <w:t>Perovskite nanocrystals (PNCs) exhibiting circularly polarized luminescence (CPL) represent a promising class of materials for display and light communication technologies, owing to their emission covering the entire visible range with near‐unity photoluminescence efficiency. However, these materials suffer from low selectivity in the handedness of the emitted light, with most studies focusing on green emission. We address these issues by exploiting and broadening the scope of interactions between achiral PNCs and chiral organic templates. For this purpose, we select three types of PNCs with red, green, and blue emissions and introduce them into a chiral liquid‐crystalline matrix in the form of composite thin films. Electron microscopy confirmed the assembly of PNCs within nanoscale gaps formed by supramolecular, liquid crystalline structures. The obtained composites displayed a CPL dissymmetry factor</w:t>
      </w:r>
      <w:r>
        <w:t xml:space="preserve"> </w:t>
      </w:r>
      <w:r>
        <w:t>g</w:t>
      </w:r>
      <w:r>
        <w:t xml:space="preserve"> </w:t>
      </w:r>
      <w:r>
        <w:t>lum</w:t>
      </w:r>
      <w:r>
        <w:t xml:space="preserve"> </w:t>
      </w:r>
      <w:r>
        <w:t>up to ≈ 0.24. The highly dissymmetric CPL properties were found to result from an interplay between two effects:</w:t>
      </w:r>
      <w:r>
        <w:t xml:space="preserve"> </w:t>
      </w:r>
      <w:r>
        <w:t>chiral assembly</w:t>
      </w:r>
      <w:r>
        <w:t xml:space="preserve"> </w:t>
      </w:r>
      <w:r>
        <w:t>of PNCs within a chiral environment (intrinsic) and the</w:t>
      </w:r>
      <w:r>
        <w:t xml:space="preserve"> </w:t>
      </w:r>
      <w:r>
        <w:t>selective filtering</w:t>
      </w:r>
      <w:r>
        <w:t xml:space="preserve"> </w:t>
      </w:r>
      <w:r>
        <w:t>by the chiral matrix. This system enables control over the dominant factors by adjusting the CPL spectral region and type of particle assembly, providing thin film materials with highly dissymmetric and spectrally tunable CPL responses.</w:t>
      </w:r>
    </w:p>
    <w:p>
      <w:pPr>
        <w:spacing w:before="120" w:after="120"/>
      </w:pPr>
      <w:r>
        <w:rPr>
          <w:sz w:val="18"/>
        </w:rPr>
        <w:t>——————————————————————————————————————————————————————————————————————</w:t>
      </w:r>
    </w:p>
    <w:p>
      <w:pPr>
        <w:spacing w:before="160" w:after="40" w:line="240" w:lineRule="auto"/>
      </w:pPr>
      <w:r>
        <w:rPr>
          <w:b/>
        </w:rPr>
        <w:t xml:space="preserve">[272] </w:t>
      </w:r>
      <w:hyperlink r:id="rId525">
        <w:r>
          <w:rPr>
            <w:color w:val="1155CC"/>
            <w:u w:val="single"/>
          </w:rPr>
          <w:t>聚苯乙烯催化酶脱聚合</w:t>
        </w:r>
      </w:hyperlink>
    </w:p>
    <w:p>
      <w:pPr>
        <w:spacing w:before="0" w:after="80"/>
      </w:pPr>
      <w:r>
        <w:rPr>
          <w:i/>
          <w:sz w:val="20"/>
        </w:rPr>
        <w:t>EN: Harnessing Colloidal Dispersion for Laccase‐Driven Enzymatic Depolymerization of Polystyrene</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26">
        <w:r>
          <w:rPr>
            <w:color w:val="1155CC"/>
            <w:u w:val="single"/>
          </w:rPr>
          <w:t>10.1002/anie.202513937</w:t>
        </w:r>
      </w:hyperlink>
    </w:p>
    <w:p>
      <w:pPr>
        <w:spacing w:before="0" w:after="120"/>
      </w:pPr>
      <w:r>
        <w:rPr>
          <w:b/>
        </w:rPr>
        <w:t xml:space="preserve">Notes: </w:t>
      </w:r>
      <w:r>
        <w:t>abstract_source=crossref</w:t>
      </w:r>
    </w:p>
    <w:p>
      <w:pPr>
        <w:spacing w:before="0" w:after="80" w:lineRule="auto" w:line="276"/>
      </w:pPr>
      <w:r>
        <w:rPr>
          <w:b/>
        </w:rPr>
        <w:t xml:space="preserve">摘要（ZH）: </w:t>
      </w:r>
      <w:r>
        <w:t>抽象聚苯乙烯(PS)是使用最为广泛的合成聚合物之一,每年全球产量约为2,000万吨。然而,其坚固的C-C骨气使得其高度耐受(生物)化学脱聚合作用,而且尚未开发可持续的再生/循环法。在这里,我们利用由Trametes versicolal lacase、 1-H-Hoxybenzoriazole (HBT) 和环境氧组成的液态调节器系统(LMS ), 建立一个在温和水条件下高效去除聚苯乙烯聚合的证明。 为了克服亚基可获取性问题, PS 被配制成骨质稳定纳米粒子, 推动远距离生物分离。 在这种条件下,高达99.9%的脱氧气分泌。</w:t>
      </w:r>
    </w:p>
    <w:p>
      <w:pPr>
        <w:spacing w:before="0" w:after="200" w:lineRule="auto" w:line="276"/>
      </w:pPr>
      <w:r>
        <w:rPr>
          <w:b/>
        </w:rPr>
        <w:t xml:space="preserve">Abstract (EN): </w:t>
      </w:r>
      <w:r>
        <w:t>Polystyrene (PS) is one of the most widely used synthetic polymers, with annual global production of around 20 million tons. However, its robust C─C backbone renders it highly recalcitrant to (bio)chemical depolymerization, and no sustainable re‐/up‐cycling method has yet been developed. Here, we establish a proof‐of‐concept for the efficient depolymerization of PS under mild aqueous conditions, using a laccase–mediator system (LMS) composed of</w:t>
      </w:r>
      <w:r>
        <w:t xml:space="preserve"> </w:t>
      </w:r>
      <w:r>
        <w:t>Trametes versicolor</w:t>
      </w:r>
      <w:r>
        <w:t xml:space="preserve"> </w:t>
      </w:r>
      <w:r>
        <w:t>laccase, 1‐hydroxybenzotriazole (HBT), and ambient oxygen. To overcome substrate accessibility issues, PS is formulated into colloidally stable nanoparticles, promoting interfacial remote biocatalysis. Under such conditions, up to 99.9% decrease in molar mass is achieved from an initial PS of over 2 million g mol</w:t>
      </w:r>
      <w:r>
        <w:t xml:space="preserve"> </w:t>
      </w:r>
      <w:r>
        <w:t>−1</w:t>
      </w:r>
      <w:r>
        <w:t xml:space="preserve"> </w:t>
      </w:r>
      <w:r>
        <w:t>, synthesized by ab initio free‐radical emulsion polymerization. This colloidal dispersion strategy is also effective for commercial PS and expanded PS waste processed by post‐dispersion in surfactant‐containing aqueous media. Mechanistic studies suggest that LMS‐mediated depolymerization proceeds via HBT radical diffusion into PS nanoparticles, triggering hydrogen atom transfer (HAT)‐based oxidation and β‐scissions of PS chains. This approach provides an efficient method for PS depolymerization using aqueous conditions, ambient O</w:t>
      </w:r>
      <w:r>
        <w:rPr>
          <w:vertAlign w:val="subscript"/>
        </w:rPr>
        <w:t>2</w:t>
      </w:r>
      <w:r>
        <w:t>and a native enzyme without harsh solvents or experimental conditions.</w:t>
      </w:r>
    </w:p>
    <w:p>
      <w:pPr>
        <w:spacing w:before="120" w:after="120"/>
      </w:pPr>
      <w:r>
        <w:rPr>
          <w:sz w:val="18"/>
        </w:rPr>
        <w:t>——————————————————————————————————————————————————————————————————————</w:t>
      </w:r>
    </w:p>
    <w:p>
      <w:pPr>
        <w:spacing w:before="160" w:after="40" w:line="240" w:lineRule="auto"/>
      </w:pPr>
      <w:r>
        <w:rPr>
          <w:b/>
        </w:rPr>
        <w:t xml:space="preserve">[273] </w:t>
      </w:r>
      <w:hyperlink r:id="rId527">
        <w:r>
          <w:rPr>
            <w:color w:val="1155CC"/>
            <w:u w:val="single"/>
          </w:rPr>
          <w:t>OxalateBridged Biuento Fe(II) 驱动协同双电压通过实质性旋转互动减少NO2</w:t>
        </w:r>
      </w:hyperlink>
    </w:p>
    <w:p>
      <w:pPr>
        <w:spacing w:before="0" w:after="80"/>
      </w:pPr>
      <w:r>
        <w:rPr>
          <w:i/>
          <w:sz w:val="20"/>
        </w:rPr>
        <w:t>EN: Oxalate‐Bridged Binuclear Fe(II) Drives Concerted Two‐Electron Reduction of NO2 by Substantial Spin Interactions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28">
        <w:r>
          <w:rPr>
            <w:color w:val="1155CC"/>
            <w:u w:val="single"/>
          </w:rPr>
          <w:t>10.1002/anie.202512391</w:t>
        </w:r>
      </w:hyperlink>
    </w:p>
    <w:p>
      <w:pPr>
        <w:spacing w:before="0" w:after="120"/>
      </w:pPr>
      <w:r>
        <w:rPr>
          <w:b/>
        </w:rPr>
        <w:t xml:space="preserve">Notes: </w:t>
      </w:r>
      <w:r>
        <w:t>abstract_source=crossref</w:t>
      </w:r>
    </w:p>
    <w:p>
      <w:pPr>
        <w:spacing w:before="0" w:after="80" w:lineRule="auto" w:line="276"/>
      </w:pPr>
      <w:r>
        <w:rPr>
          <w:b/>
        </w:rPr>
        <w:t xml:space="preserve">摘要（ZH）: </w:t>
      </w:r>
      <w:r>
        <w:t>减少二号摘要在活性氮循环中起着关键作用,影响大气氧化能力和二次气溶胶形成。普遍认为,减少二号摘要通过单一电子还原途径进行,产生二号电子减试,或HONO作为初级产品。我们在此报告,六甲基环乙烷(II)复合物可导致将二号电子直接减为NO,而二号电子协调法(II)通过共同的单一电子减试途径将二号电子减为HNO。</w:t>
      </w:r>
    </w:p>
    <w:p>
      <w:pPr>
        <w:spacing w:before="0" w:after="200" w:lineRule="auto" w:line="276"/>
      </w:pPr>
      <w:r>
        <w:rPr>
          <w:b/>
        </w:rPr>
        <w:t xml:space="preserve">Abstract (EN): </w:t>
      </w:r>
      <w:r>
        <w:t>NO</w:t>
      </w:r>
      <w:r>
        <w:rPr>
          <w:vertAlign w:val="subscript"/>
        </w:rPr>
        <w:t>2</w:t>
      </w:r>
      <w:r>
        <w:t>reduction plays a key role in the active nitrogen cycle, influencing atmospheric oxidation capacity and secondary aerosol formation. NO</w:t>
      </w:r>
      <w:r>
        <w:rPr>
          <w:vertAlign w:val="subscript"/>
        </w:rPr>
        <w:t>2</w:t>
      </w:r>
      <w:r>
        <w:t>reduction is commonly believed to proceed via a single‐electron reduction pathway, yielding NO</w:t>
      </w:r>
      <w:r>
        <w:rPr>
          <w:vertAlign w:val="subscript"/>
        </w:rPr>
        <w:t>2</w:t>
      </w:r>
      <w:r>
        <w:t>−</w:t>
      </w:r>
      <w:r>
        <w:t>or HONO as primary products. Here, we report that oxalate‐bridged binuclear Fe(II) complex can lead to the two‐electron reduction of NO</w:t>
      </w:r>
      <w:r>
        <w:rPr>
          <w:vertAlign w:val="subscript"/>
        </w:rPr>
        <w:t>2</w:t>
      </w:r>
      <w:r>
        <w:t>directly to NO, while the citrate‐coordinated Fe(II) primarily reduces NO</w:t>
      </w:r>
      <w:r>
        <w:rPr>
          <w:vertAlign w:val="subscript"/>
        </w:rPr>
        <w:t>2</w:t>
      </w:r>
      <w:r>
        <w:t>to HONO through the common single‐electron reduction pathway. We systematically compare the coordination and magnetic properties between this oxalate‐bridged Fe(II) complex with the citrate‐coordinated one. Unlike the paramagnetic Fe(II) citrate complex with disordered Fe spin alignments, the oxalate‐bridged binuclear Fe(II) complex exhibits antiferromagnetic interactions with antiparallel spin alignments of the unpaired electrons between the two Fe(II) centers. We propose that such antiferromagnetic interactions facilitate the concerted transfer of the two electrons with antiparallel spin alignments from each Fe(II) centers in the oxalate‐bridged Fe(II) complex to the empty lowest unoccupied molecular orbital (LUMO) of NO</w:t>
      </w:r>
      <w:r>
        <w:rPr>
          <w:vertAlign w:val="subscript"/>
        </w:rPr>
        <w:t>2</w:t>
      </w:r>
      <w:r>
        <w:t>, leading to NO formation. Our findings reveal, for the first time, a two‐electron reduction pathway of NO</w:t>
      </w:r>
      <w:r>
        <w:rPr>
          <w:vertAlign w:val="subscript"/>
        </w:rPr>
        <w:t>2</w:t>
      </w:r>
      <w:r>
        <w:t>by the oxalate‐bridged binuclear Fe(II) complex formed from environmentally abundant iron oxides and oxalic acid, providing new insights into the active nitrogen cycling.</w:t>
      </w:r>
    </w:p>
    <w:p>
      <w:pPr>
        <w:spacing w:before="120" w:after="120"/>
      </w:pPr>
      <w:r>
        <w:rPr>
          <w:sz w:val="18"/>
        </w:rPr>
        <w:t>——————————————————————————————————————————————————————————————————————</w:t>
      </w:r>
    </w:p>
    <w:p>
      <w:pPr>
        <w:spacing w:before="160" w:after="40" w:line="240" w:lineRule="auto"/>
      </w:pPr>
      <w:r>
        <w:rPr>
          <w:b/>
        </w:rPr>
        <w:t xml:space="preserve">[274] </w:t>
      </w:r>
      <w:hyperlink r:id="rId529">
        <w:r>
          <w:rPr>
            <w:color w:val="1155CC"/>
            <w:u w:val="single"/>
          </w:rPr>
          <w:t>用于强化H2O2生产的可编程脉冲酸水氧化氧化</w:t>
        </w:r>
      </w:hyperlink>
    </w:p>
    <w:p>
      <w:pPr>
        <w:spacing w:before="0" w:after="80"/>
      </w:pPr>
      <w:r>
        <w:rPr>
          <w:i/>
          <w:sz w:val="20"/>
        </w:rPr>
        <w:t>EN: Programmable Pulsed Acidic Water Oxidation for Enhanced H2O2 Production</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30">
        <w:r>
          <w:rPr>
            <w:color w:val="1155CC"/>
            <w:u w:val="single"/>
          </w:rPr>
          <w:t>10.1002/anie.202519874</w:t>
        </w:r>
      </w:hyperlink>
    </w:p>
    <w:p>
      <w:pPr>
        <w:spacing w:before="0" w:after="120"/>
      </w:pPr>
      <w:r>
        <w:rPr>
          <w:b/>
        </w:rPr>
        <w:t xml:space="preserve">Notes: </w:t>
      </w:r>
      <w:r>
        <w:t>abstract_source=crossref</w:t>
      </w:r>
    </w:p>
    <w:p>
      <w:pPr>
        <w:spacing w:before="0" w:after="80" w:lineRule="auto" w:line="276"/>
      </w:pPr>
      <w:r>
        <w:rPr>
          <w:b/>
        </w:rPr>
        <w:t xml:space="preserve">摘要（ZH）: </w:t>
      </w:r>
      <w:r>
        <w:t>高价值、无害生态的化学品,具有重要的医学和工业用途。 在酸性环境中,通过水氧化反应(WOR)进行H 2 O 2 电子合成至关重要,但具有挑战性。在本研究中,我们采用了一种新的方法,采用可编程的脉冲潜在电解(PPE),采用机器学习(ML)优化法,在酸性条件下使用Bronded 钻石催化剂合成H 2 O 2。这种方法取得了高法拉地效率。</w:t>
      </w:r>
    </w:p>
    <w:p>
      <w:pPr>
        <w:spacing w:before="0" w:after="200" w:lineRule="auto" w:line="276"/>
      </w:pPr>
      <w:r>
        <w:rPr>
          <w:b/>
        </w:rPr>
        <w:t xml:space="preserve">Abstract (EN): </w:t>
      </w:r>
      <w:r>
        <w:t>Hydrogen peroxide (H</w:t>
      </w:r>
      <w:r>
        <w:rPr>
          <w:vertAlign w:val="subscript"/>
        </w:rPr>
        <w:t>2</w:t>
      </w:r>
      <w:r>
        <w:t>O</w:t>
      </w:r>
      <w:r>
        <w:rPr>
          <w:vertAlign w:val="subscript"/>
        </w:rPr>
        <w:t>2</w:t>
      </w:r>
      <w:r>
        <w:t>) is a high‐value, eco‐friendly chemical with significant medical and industrial applications. H</w:t>
      </w:r>
      <w:r>
        <w:rPr>
          <w:vertAlign w:val="subscript"/>
        </w:rPr>
        <w:t>2</w:t>
      </w:r>
      <w:r>
        <w:t>O</w:t>
      </w:r>
      <w:r>
        <w:rPr>
          <w:vertAlign w:val="subscript"/>
        </w:rPr>
        <w:t>2</w:t>
      </w:r>
      <w:r>
        <w:t>electrosynthesis via water oxidation reaction (WOR) in acidic environments is crucial yet challenging. In this study, we introduce a novel approach by employing programmable pulse potential electrolysis (PPE) with machine learning (ML) optimization to synthesize H</w:t>
      </w:r>
      <w:r>
        <w:rPr>
          <w:vertAlign w:val="subscript"/>
        </w:rPr>
        <w:t>2</w:t>
      </w:r>
      <w:r>
        <w:t>O</w:t>
      </w:r>
      <w:r>
        <w:rPr>
          <w:vertAlign w:val="subscript"/>
        </w:rPr>
        <w:t>2</w:t>
      </w:r>
      <w:r>
        <w:t>in acidic conditions using a Boron‐doped diamond (BDD) catalyst. This approach achieved a high Faradaic efficiency (FE) of up to 64.16% and a H</w:t>
      </w:r>
      <w:r>
        <w:rPr>
          <w:vertAlign w:val="subscript"/>
        </w:rPr>
        <w:t>2</w:t>
      </w:r>
      <w:r>
        <w:t>O</w:t>
      </w:r>
      <w:r>
        <w:rPr>
          <w:vertAlign w:val="subscript"/>
        </w:rPr>
        <w:t>2</w:t>
      </w:r>
      <w:r>
        <w:t>production rate of 25.62 µmol cm</w:t>
      </w:r>
      <w:r>
        <w:t xml:space="preserve"> </w:t>
      </w:r>
      <w:r>
        <w:t>−2</w:t>
      </w:r>
      <w:r>
        <w:t xml:space="preserve"> </w:t>
      </w:r>
      <w:r>
        <w:t>min</w:t>
      </w:r>
      <w:r>
        <w:t xml:space="preserve"> </w:t>
      </w:r>
      <w:r>
        <w:t>−1</w:t>
      </w:r>
      <w:r>
        <w:t xml:space="preserve"> </w:t>
      </w:r>
      <w:r>
        <w:t>, which represents a 28.9‐fold increase in FE and a 51.8‐fold boost in H</w:t>
      </w:r>
      <w:r>
        <w:rPr>
          <w:vertAlign w:val="subscript"/>
        </w:rPr>
        <w:t>2</w:t>
      </w:r>
      <w:r>
        <w:t>O</w:t>
      </w:r>
      <w:r>
        <w:rPr>
          <w:vertAlign w:val="subscript"/>
        </w:rPr>
        <w:t>2</w:t>
      </w:r>
      <w:r>
        <w:t>yields in comparison to constant potential electrolysis (CPE). Furthermore, it was revealed that H</w:t>
      </w:r>
      <w:r>
        <w:rPr>
          <w:vertAlign w:val="subscript"/>
        </w:rPr>
        <w:t>2</w:t>
      </w:r>
      <w:r>
        <w:t>O</w:t>
      </w:r>
      <w:r>
        <w:rPr>
          <w:vertAlign w:val="subscript"/>
        </w:rPr>
        <w:t>2</w:t>
      </w:r>
      <w:r>
        <w:t>generation influenced by the nonFaradaic current stage at the anode. Meanwhile, hydrogenation processes at the cathode increase the abundance of C─H functional groups on the surface of BDD catalyst, which in turn enhances the production of H</w:t>
      </w:r>
      <w:r>
        <w:rPr>
          <w:vertAlign w:val="subscript"/>
        </w:rPr>
        <w:t>2</w:t>
      </w:r>
      <w:r>
        <w:t>O</w:t>
      </w:r>
      <w:r>
        <w:rPr>
          <w:vertAlign w:val="subscript"/>
        </w:rPr>
        <w:t>2</w:t>
      </w:r>
      <w:r>
        <w:t>. The findings also confirm that H</w:t>
      </w:r>
      <w:r>
        <w:rPr>
          <w:vertAlign w:val="subscript"/>
        </w:rPr>
        <w:t>2</w:t>
      </w:r>
      <w:r>
        <w:t>O</w:t>
      </w:r>
      <w:r>
        <w:rPr>
          <w:vertAlign w:val="subscript"/>
        </w:rPr>
        <w:t>2</w:t>
      </w:r>
      <w:r>
        <w:t>is produced through a step involving •OH radical formation, as supported by both experimental observations and DFT simulations. This study not only demonstrates the significant potential of PPE in WOR but also underscores the powerful role of ML in optimizing complex multi‐parameter experimental conditions.</w:t>
      </w:r>
    </w:p>
    <w:p>
      <w:pPr>
        <w:spacing w:before="120" w:after="120"/>
      </w:pPr>
      <w:r>
        <w:rPr>
          <w:sz w:val="18"/>
        </w:rPr>
        <w:t>——————————————————————————————————————————————————————————————————————</w:t>
      </w:r>
    </w:p>
    <w:p>
      <w:pPr>
        <w:spacing w:before="160" w:after="40" w:line="240" w:lineRule="auto"/>
      </w:pPr>
      <w:r>
        <w:rPr>
          <w:b/>
        </w:rPr>
        <w:t xml:space="preserve">[275] </w:t>
      </w:r>
      <w:hyperlink r:id="rId531">
        <w:r>
          <w:rPr>
            <w:color w:val="1155CC"/>
            <w:u w:val="single"/>
          </w:rPr>
          <w:t>米尔科·丁多</w:t>
        </w:r>
      </w:hyperlink>
    </w:p>
    <w:p>
      <w:pPr>
        <w:spacing w:before="0" w:after="80"/>
      </w:pPr>
      <w:r>
        <w:rPr>
          <w:i/>
          <w:sz w:val="20"/>
        </w:rPr>
        <w:t>EN: Mirco Dindo</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32">
        <w:r>
          <w:rPr>
            <w:color w:val="1155CC"/>
            <w:u w:val="single"/>
          </w:rPr>
          <w:t>10.1002/anie.202525219</w:t>
        </w:r>
      </w:hyperlink>
    </w:p>
    <w:p>
      <w:pPr>
        <w:spacing w:before="0" w:after="120"/>
      </w:pPr>
      <w:r>
        <w:rPr>
          <w:b/>
        </w:rPr>
        <w:t xml:space="preserve">Notes: </w:t>
      </w:r>
      <w:r>
        <w:t>abstract_source=semanticscholar</w:t>
      </w:r>
    </w:p>
    <w:p>
      <w:pPr>
        <w:spacing w:before="0" w:after="80" w:lineRule="auto" w:line="276"/>
      </w:pPr>
      <w:r>
        <w:rPr>
          <w:b/>
        </w:rPr>
        <w:t xml:space="preserve">摘要（ZH）: </w:t>
      </w:r>
      <w:r>
        <w:t>"我本想发现核磁共振,意识到RNA既能成为信息又能成为催化剂是令人着迷的..."</w:t>
      </w:r>
    </w:p>
    <w:p>
      <w:pPr>
        <w:spacing w:before="0" w:after="200" w:lineRule="auto" w:line="276"/>
      </w:pPr>
      <w:r>
        <w:rPr>
          <w:b/>
        </w:rPr>
        <w:t xml:space="preserve">Abstract (EN): </w:t>
      </w:r>
      <w:r>
        <w:t>"I would have liked to have discovered ribozymes, the realization that RNA can be both information and catalyst is fascinating… If I could be any age, I would like to be exactly where I am now because despite the challenges, I'm finally building something that's truly mine…" Find out more about Mirco Dindo in his Introducing… Profile.</w:t>
      </w:r>
    </w:p>
    <w:p>
      <w:pPr>
        <w:spacing w:before="120" w:after="120"/>
      </w:pPr>
      <w:r>
        <w:rPr>
          <w:sz w:val="18"/>
        </w:rPr>
        <w:t>——————————————————————————————————————————————————————————————————————</w:t>
      </w:r>
    </w:p>
    <w:p>
      <w:pPr>
        <w:spacing w:before="160" w:after="40" w:line="240" w:lineRule="auto"/>
      </w:pPr>
      <w:r>
        <w:rPr>
          <w:b/>
        </w:rPr>
        <w:t xml:space="preserve">[276] </w:t>
      </w:r>
      <w:hyperlink r:id="rId533">
        <w:r>
          <w:rPr>
            <w:color w:val="1155CC"/>
            <w:u w:val="single"/>
          </w:rPr>
          <w:t>由带有空间双极配置的单容容主机矩阵启动的高度高效且稳定的二进制</w:t>
        </w:r>
      </w:hyperlink>
    </w:p>
    <w:p>
      <w:pPr>
        <w:spacing w:before="0" w:after="80"/>
      </w:pPr>
      <w:r>
        <w:rPr>
          <w:i/>
          <w:sz w:val="20"/>
        </w:rPr>
        <w:t>EN: Highly Efficient and Stable Binary‐Doped Narrowband Blue OLEDs Enabled by a Single‐Component Host Matrix with a Spatial Bipolarity Configuration</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34">
        <w:r>
          <w:rPr>
            <w:color w:val="1155CC"/>
            <w:u w:val="single"/>
          </w:rPr>
          <w:t>10.1002/anie.202521715</w:t>
        </w:r>
      </w:hyperlink>
    </w:p>
    <w:p>
      <w:pPr>
        <w:spacing w:before="0" w:after="120"/>
      </w:pPr>
      <w:r>
        <w:rPr>
          <w:b/>
        </w:rPr>
        <w:t xml:space="preserve">Notes: </w:t>
      </w:r>
      <w:r>
        <w:t>abstract_source=crossref</w:t>
      </w:r>
    </w:p>
    <w:p>
      <w:pPr>
        <w:spacing w:before="0" w:after="80" w:lineRule="auto" w:line="276"/>
      </w:pPr>
      <w:r>
        <w:rPr>
          <w:b/>
        </w:rPr>
        <w:t xml:space="preserve">摘要（ZH）: </w:t>
      </w:r>
      <w:r>
        <w:t>高高效和稳定的窄带蓝有机光发射二极管(OLEDs)对高清晰度显示至关重要,然而,通过简洁的二进制制造结构实现这些装置仍具有挑战性。 在这里,为高性能双极配置的高性OLEDs开发了有效而稳健的单构件主机矩阵,具有空间双极配置。 有两个精心设计的分子建在连接boron-oxygen和carbazole衍生组的非合成硅链接器上。 肉氧-氧电子接收和碳化电子冷却聚苯乙烯展示了协同和互补的组合功能,实现了广带的热能状态,以及热活性延迟荧光度a。</w:t>
      </w:r>
    </w:p>
    <w:p>
      <w:pPr>
        <w:spacing w:before="0" w:after="200" w:lineRule="auto" w:line="276"/>
      </w:pPr>
      <w:r>
        <w:rPr>
          <w:b/>
        </w:rPr>
        <w:t xml:space="preserve">Abstract (EN): </w:t>
      </w:r>
      <w:r>
        <w:t>Highly efficient and stable narrowband blue organic light‐emitting diodes (OLEDs) are vital for high‐definition displays, yet the achievement of such devices via a concise binary‐doped fabrication architecture remains challenging. Herein, an effective and robust single‐component host matrix with a spatial bipolarity configuration is developed for high‐performance OLEDs. Two elaborately designed molecules are constructed on a non‐conjugated silyl linker connecting boron–oxygen and carbazole‐derived groups. The boron–oxygen electron‐accepting and carbazole‐based electron‐donating moieties exhibit synergistic and complementary group functions, achieving wide bandgaps of excited energy states, along with thermally activated delayed fluorescence and bipolar carrier transport features. Following the incorporation of a blue multiresonant guest emitter, the doped emissive film showcases enhanced horizontal orientation and photoluminescent efficiency. The binary‐doped narrowband blue OLEDs achieve the record maximum external quantum efficiency of 42.3% with low roll‐off (efficiency of 38.3% at 1,000 cd m</w:t>
      </w:r>
      <w:r>
        <w:t xml:space="preserve"> </w:t>
      </w:r>
      <w:r>
        <w:t>−2</w:t>
      </w:r>
      <w:r>
        <w:t xml:space="preserve"> </w:t>
      </w:r>
      <w:r>
        <w:t>), and the improved operational stability with a half‐lifetime of 3076 h at an initial luminance of 100 cd m</w:t>
      </w:r>
      <w:r>
        <w:t xml:space="preserve"> </w:t>
      </w:r>
      <w:r>
        <w:t>−2</w:t>
      </w:r>
      <w:r>
        <w:t xml:space="preserve"> </w:t>
      </w:r>
      <w:r>
        <w:t>. This study reveals that the utilization of a spatial bipolarity host matrix is a promising approach to realize narrowband blue OLEDs with concise architecture and high performance.</w:t>
      </w:r>
    </w:p>
    <w:p>
      <w:pPr>
        <w:spacing w:before="120" w:after="120"/>
      </w:pPr>
      <w:r>
        <w:rPr>
          <w:sz w:val="18"/>
        </w:rPr>
        <w:t>——————————————————————————————————————————————————————————————————————</w:t>
      </w:r>
    </w:p>
    <w:p>
      <w:pPr>
        <w:spacing w:before="160" w:after="40" w:line="240" w:lineRule="auto"/>
      </w:pPr>
      <w:r>
        <w:rPr>
          <w:b/>
        </w:rPr>
        <w:t xml:space="preserve">[277] </w:t>
      </w:r>
      <w:hyperlink r:id="rId535">
        <w:r>
          <w:rPr>
            <w:color w:val="1155CC"/>
            <w:u w:val="single"/>
          </w:rPr>
          <w:t>光电活度极光区光电开关</w:t>
        </w:r>
      </w:hyperlink>
    </w:p>
    <w:p>
      <w:pPr>
        <w:spacing w:before="0" w:after="80"/>
      </w:pPr>
      <w:r>
        <w:rPr>
          <w:i/>
          <w:sz w:val="20"/>
        </w:rPr>
        <w:t>EN: Photoactivatable Hydrazone Photoswitches</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36">
        <w:r>
          <w:rPr>
            <w:color w:val="1155CC"/>
            <w:u w:val="single"/>
          </w:rPr>
          <w:t>10.1002/anie.202521324</w:t>
        </w:r>
      </w:hyperlink>
    </w:p>
    <w:p>
      <w:pPr>
        <w:spacing w:before="0" w:after="120"/>
      </w:pPr>
      <w:r>
        <w:rPr>
          <w:b/>
        </w:rPr>
        <w:t xml:space="preserve">Notes: </w:t>
      </w:r>
      <w:r>
        <w:t>abstract_source=crossref</w:t>
      </w:r>
    </w:p>
    <w:p>
      <w:pPr>
        <w:spacing w:before="0" w:after="80" w:lineRule="auto" w:line="276"/>
      </w:pPr>
      <w:r>
        <w:rPr>
          <w:b/>
        </w:rPr>
        <w:t xml:space="preserve">摘要（ZH）: </w:t>
      </w:r>
      <w:r>
        <w:t>分子光电开关通常在使用不同波长的辐照后两个热动力稳定状态之间发生可逆转的转变,是在不同研究领域具有广泛用途的极有价值的工具。 在此,我们引入了一个新的光电动光动光电开关类别:可开关分子的设计设计是,在1号辐照时,从稳定的前体中进行初步光化活化,产生主动光开关,在用另外两个波辐照时显示可逆转的异构体化。</w:t>
      </w:r>
    </w:p>
    <w:p>
      <w:pPr>
        <w:spacing w:before="0" w:after="200" w:lineRule="auto" w:line="276"/>
      </w:pPr>
      <w:r>
        <w:rPr>
          <w:b/>
        </w:rPr>
        <w:t xml:space="preserve">Abstract (EN): </w:t>
      </w:r>
      <w:r>
        <w:t>Photoactivatable molecules enable on‐demand generation of active species via external light stimulation, allowing for precise spatiotemporal control over their activation. Molecular photoswitches, which typically undergo reversible transitions between two thermodynamically stable states upon irradiation with distinct wavelengths, are highly valuable tools with broad utility in different research areas. Herein, we introduce a new class of photoactivatable photoswitches: the switchable molecules are designed to undergo initial photochemical activation from a stable precursor upon irradiation at λ</w:t>
      </w:r>
      <w:r>
        <w:rPr>
          <w:vertAlign w:val="subscript"/>
        </w:rPr>
        <w:t>1</w:t>
      </w:r>
      <w:r>
        <w:t>, generating active photoswitches that exhibit reversible isomerization when irradiated with two other wavelengths (λ</w:t>
      </w:r>
      <w:r>
        <w:rPr>
          <w:vertAlign w:val="subscript"/>
        </w:rPr>
        <w:t>2</w:t>
      </w:r>
      <w:r>
        <w:t>and λ</w:t>
      </w:r>
      <w:r>
        <w:rPr>
          <w:vertAlign w:val="subscript"/>
        </w:rPr>
        <w:t>3</w:t>
      </w:r>
      <w:r>
        <w:t>) of light</w:t>
      </w:r>
      <w:r>
        <w:t xml:space="preserve"> </w:t>
      </w:r>
      <w:r>
        <w:t>.</w:t>
      </w:r>
      <w:r>
        <w:t xml:space="preserve"> </w:t>
      </w:r>
      <w:r>
        <w:t>Crucially, neither λ</w:t>
      </w:r>
      <w:r>
        <w:rPr>
          <w:vertAlign w:val="subscript"/>
        </w:rPr>
        <w:t>2</w:t>
      </w:r>
      <w:r>
        <w:t>nor λ</w:t>
      </w:r>
      <w:r>
        <w:rPr>
          <w:vertAlign w:val="subscript"/>
        </w:rPr>
        <w:t>3</w:t>
      </w:r>
      <w:r>
        <w:t>alone activates the photoswitch precursor, ensuring temporal and orthogonal control over both activation and switching processes. This photoactivatable system operates through a sequential photochemical pathway that involves a photoinduced tetrazole–hydrazone transformation, followed by</w:t>
      </w:r>
      <w:r>
        <w:t xml:space="preserve"> </w:t>
      </w:r>
      <w:r>
        <w:t>E</w:t>
      </w:r>
      <w:r>
        <w:t xml:space="preserve"> </w:t>
      </w:r>
      <w:r>
        <w:t>/</w:t>
      </w:r>
      <w:r>
        <w:t>Z</w:t>
      </w:r>
      <w:r>
        <w:t xml:space="preserve"> </w:t>
      </w:r>
      <w:r>
        <w:t>photoisomerization of the resulting hydrazone motif. Upon irradiation at</w:t>
      </w:r>
      <w:r>
        <w:t xml:space="preserve"> </w:t>
      </w:r>
      <w:r>
        <w:t>λ</w:t>
      </w:r>
      <w:r>
        <w:rPr>
          <w:vertAlign w:val="subscript"/>
        </w:rPr>
        <w:t>1</w:t>
      </w:r>
      <w:r>
        <w:t>, the diaryl tetrazole precursor undergoes rapid photolysis with concomitant nitrogen extrusion, generating a reactive nitrile imine (NI) intermediate. This intermediate subsequently undergoes an intramolecular nucleophilic addition to furnish the hydrazone‐based photoswitch in situ. Notably, strategic incorporation of heteroatoms within the molecular architecture significantly enhances the thermal stability of both</w:t>
      </w:r>
      <w:r>
        <w:t xml:space="preserve"> </w:t>
      </w:r>
      <w:r>
        <w:t>E</w:t>
      </w:r>
      <w:r>
        <w:t xml:space="preserve"> </w:t>
      </w:r>
      <w:r>
        <w:t>/</w:t>
      </w:r>
      <w:r>
        <w:t>Z</w:t>
      </w:r>
      <w:r>
        <w:t xml:space="preserve"> </w:t>
      </w:r>
      <w:r>
        <w:t>isomers by facilitating intramolecular hydrogen‐bonding interactions.</w:t>
      </w:r>
    </w:p>
    <w:p>
      <w:pPr>
        <w:spacing w:before="120" w:after="120"/>
      </w:pPr>
      <w:r>
        <w:rPr>
          <w:sz w:val="18"/>
        </w:rPr>
        <w:t>——————————————————————————————————————————————————————————————————————</w:t>
      </w:r>
    </w:p>
    <w:p>
      <w:pPr>
        <w:spacing w:before="160" w:after="40" w:line="240" w:lineRule="auto"/>
      </w:pPr>
      <w:r>
        <w:rPr>
          <w:b/>
        </w:rPr>
        <w:t xml:space="preserve">[278] </w:t>
      </w:r>
      <w:hyperlink r:id="rId537">
        <w:r>
          <w:rPr>
            <w:color w:val="1155CC"/>
            <w:u w:val="single"/>
          </w:rPr>
          <w:t>磷光中心一等和二等电热碳-卤化物债券激活</w:t>
        </w:r>
      </w:hyperlink>
    </w:p>
    <w:p>
      <w:pPr>
        <w:spacing w:before="0" w:after="80"/>
      </w:pPr>
      <w:r>
        <w:rPr>
          <w:i/>
          <w:sz w:val="20"/>
        </w:rPr>
        <w:t>EN: One‐ and Two‐Electron Carbon–Halide Bond Activation at a Phosphorus Center</w:t>
      </w:r>
    </w:p>
    <w:p>
      <w:pPr>
        <w:spacing w:before="0" w:after="120"/>
      </w:pPr>
      <w:r>
        <w:rPr>
          <w:b/>
        </w:rPr>
        <w:t xml:space="preserve">Source: </w:t>
      </w:r>
      <w:r>
        <w:t>Wiley: Angewandte Chemie International Edition: Table of Contents</w:t>
      </w:r>
      <w:r>
        <w:t xml:space="preserve">    </w:t>
      </w:r>
      <w:r>
        <w:rPr>
          <w:b/>
        </w:rPr>
        <w:t xml:space="preserve">Pub date: </w:t>
      </w:r>
      <w:r>
        <w:t>2026-01-03 06:30:47+00:00</w:t>
      </w:r>
      <w:r>
        <w:t xml:space="preserve">    </w:t>
      </w:r>
      <w:r>
        <w:rPr>
          <w:b/>
        </w:rPr>
        <w:t xml:space="preserve">DOI: </w:t>
      </w:r>
      <w:hyperlink r:id="rId538">
        <w:r>
          <w:rPr>
            <w:color w:val="1155CC"/>
            <w:u w:val="single"/>
          </w:rPr>
          <w:t>10.1002/anie.202521209</w:t>
        </w:r>
      </w:hyperlink>
    </w:p>
    <w:p>
      <w:pPr>
        <w:spacing w:before="0" w:after="120"/>
      </w:pPr>
      <w:r>
        <w:rPr>
          <w:b/>
        </w:rPr>
        <w:t xml:space="preserve">Notes: </w:t>
      </w:r>
      <w:r>
        <w:t>abstract_source=crossref</w:t>
      </w:r>
    </w:p>
    <w:p>
      <w:pPr>
        <w:spacing w:before="0" w:after="80" w:lineRule="auto" w:line="276"/>
      </w:pPr>
      <w:r>
        <w:rPr>
          <w:b/>
        </w:rPr>
        <w:t xml:space="preserve">摘要（ZH）: </w:t>
      </w:r>
      <w:r>
        <w:t>主要组别元素激活小分子的抽象作用作为过渡性金属催化的替代物,引起了人们的极大注意。尽管过渡性金属因其可获得的单电子(1e)和双电子(2e)路径,在单电子(1e)和双电子(2e)路径之间的转换方面优异,但主要组别元素的这种可转换性仍然罕见。在这项工作中,我们报告了金属光伏成份复合体的磷化物转移反应对各种有机卤化物的选择性活化,这四种不同模式是S N 2或S N Ar类型替代、E2消除或通过卤化原子转移再导导导基联。这些再导联。</w:t>
      </w:r>
    </w:p>
    <w:p>
      <w:pPr>
        <w:spacing w:before="0" w:after="200" w:lineRule="auto" w:line="276"/>
      </w:pPr>
      <w:r>
        <w:rPr>
          <w:b/>
        </w:rPr>
        <w:t xml:space="preserve">Abstract (EN): </w:t>
      </w:r>
      <w:r>
        <w:t>The activation of small molecules by main‐group elements has garnered significant attention as a potential alternative to transition metal catalysis. While transition metals excel in switching between single‐electron (1e) and two‐electron (2e) pathways due to their accessible d‐orbitals, such switchability remains uncommon for main‐group elements. In this work, we report the phosphorus‐centered selective activation of various organohalides by phosphorus‐atom transfer reaction of metallophosphanorcaradiene complex, which presents four distinct modes, S</w:t>
      </w:r>
      <w:r>
        <w:t xml:space="preserve"> </w:t>
      </w:r>
      <w:r>
        <w:t>N</w:t>
      </w:r>
      <w:r>
        <w:t xml:space="preserve"> </w:t>
      </w:r>
      <w:r>
        <w:t>2 or S</w:t>
      </w:r>
      <w:r>
        <w:t xml:space="preserve"> </w:t>
      </w:r>
      <w:r>
        <w:t>N</w:t>
      </w:r>
      <w:r>
        <w:t xml:space="preserve"> </w:t>
      </w:r>
      <w:r>
        <w:t>Ar‐type substitution, E2 elimination, or reductive radical coupling via halogen‐atom transfer. These reactivities selectively show 1e or 2e pathways depending on the substrate, mimicking oxidative addition and radical activation steps traditionally reserved for transition metals. These divergent modes of reactivity are enabled by the substantial orbital interactions between the single phosphorus atom center and [Cp*(Idipp)(CO)Ru] fragment, which can be viewed as a metalloligand, allowing for switchable reactivities between 2e and 1e pathways. Furthermore, this platform enables the modular synthesis of phosphines bearing three different substituents through a “P + 2E + Nu” strategy, establishing a new phosphorus‐atom transfer route to organophosphorus molecules (E = electrophile; Nu = nucleophile).</w:t>
      </w:r>
    </w:p>
    <w:p>
      <w:pPr>
        <w:spacing w:before="120" w:after="120"/>
      </w:pPr>
      <w:r>
        <w:rPr>
          <w:sz w:val="18"/>
        </w:rPr>
        <w:t>——————————————————————————————————————————————————————————————————————</w:t>
      </w:r>
    </w:p>
    <w:p>
      <w:pPr>
        <w:spacing w:before="160" w:after="40" w:line="240" w:lineRule="auto"/>
      </w:pPr>
      <w:r>
        <w:rPr>
          <w:b/>
        </w:rPr>
        <w:t xml:space="preserve">[279] </w:t>
      </w:r>
      <w:hyperlink r:id="rId539">
        <w:r>
          <w:rPr>
            <w:color w:val="1155CC"/>
            <w:u w:val="single"/>
          </w:rPr>
          <w:t>[ASAP] 高性能有机太阳能电池非自愿接受物核心卤化的计算-指导安置</w:t>
        </w:r>
      </w:hyperlink>
    </w:p>
    <w:p>
      <w:pPr>
        <w:spacing w:before="0" w:after="80"/>
      </w:pPr>
      <w:r>
        <w:rPr>
          <w:i/>
          <w:sz w:val="20"/>
        </w:rPr>
        <w:t>EN: [ASAP] Computation-Guided Placement of Nonfullerene Acceptor Core Halogenation for High-Performance Organic Solar Cells</w:t>
      </w:r>
    </w:p>
    <w:p>
      <w:pPr>
        <w:spacing w:before="0" w:after="120"/>
      </w:pPr>
      <w:r>
        <w:rPr>
          <w:b/>
        </w:rPr>
        <w:t xml:space="preserve">Source: </w:t>
      </w:r>
      <w:r>
        <w:t>Journal of the American Chemical Society: Latest Articles (ACS Publications)</w:t>
      </w:r>
      <w:r>
        <w:t xml:space="preserve">    </w:t>
      </w:r>
      <w:r>
        <w:rPr>
          <w:b/>
        </w:rPr>
        <w:t xml:space="preserve">Pub date: </w:t>
      </w:r>
      <w:r>
        <w:t>2026-01-03 14:07:11+00:00</w:t>
      </w:r>
      <w:r>
        <w:t xml:space="preserve">    </w:t>
      </w:r>
      <w:r>
        <w:rPr>
          <w:b/>
        </w:rPr>
        <w:t xml:space="preserve">DOI: </w:t>
      </w:r>
      <w:hyperlink r:id="rId540">
        <w:r>
          <w:rPr>
            <w:color w:val="1155CC"/>
            <w:u w:val="single"/>
          </w:rPr>
          <w:t>10.1021/jacs.5c16058</w:t>
        </w:r>
      </w:hyperlink>
    </w:p>
    <w:p>
      <w:pPr>
        <w:spacing w:before="0" w:after="120"/>
      </w:pPr>
      <w:r>
        <w:rPr>
          <w:b/>
        </w:rPr>
        <w:t xml:space="preserve">Notes: </w:t>
      </w:r>
      <w:r>
        <w:t>abstract_source=pubmed</w:t>
      </w:r>
    </w:p>
    <w:p>
      <w:pPr>
        <w:spacing w:before="0" w:after="80" w:lineRule="auto" w:line="276"/>
      </w:pPr>
      <w:r>
        <w:rPr>
          <w:b/>
        </w:rPr>
        <w:t xml:space="preserve">摘要（ZH）: </w:t>
      </w:r>
      <w:r>
        <w:t>在提高有机太阳能电池(OSCs)效率方面,非全天接受器(NFAs)的战略分子设计在提高有机太阳能电池(OSCs)效率方面发挥着关键作用。 在此,我们从理论理论计算的原则出发,报告了一系列新的基于五氧化乙烷的NFAs(Qx-PhHal,Hal = F, Cl或Br),在分子的中央接受器核心上使用不同的卤素替代物,以调查其对OSC性能的影响。值得注意的是,含有溴化的NFA的OSS,其功率转换效率(PCE = 17.58%)大大高于含氟或氯化NFAs(14%)。理论和实验分析表明,溴化会增强电学互动、捐赠者接受性或错误性、晶体和纤维素电影形态学相对于其他卤化的形态学。</w:t>
      </w:r>
    </w:p>
    <w:p>
      <w:pPr>
        <w:spacing w:before="0" w:after="200" w:lineRule="auto" w:line="276"/>
      </w:pPr>
      <w:r>
        <w:rPr>
          <w:b/>
        </w:rPr>
        <w:t xml:space="preserve">Abstract (EN): </w:t>
      </w:r>
      <w:r>
        <w:t>The strategic molecular design of nonfullerene acceptors (NFAs) plays a crucial role in enhancing the efficiency of organic solar cells (OSCs). Here, working from first-principles theoretical computation, we report a new series of quinoxaline-based NFAs (Qx-PhHal, where Hal = F, Cl, or Br) with varying halogen substitution on the central acceptor core of the molecules to investigate their impact on OSC performance. Notably, OSCs incorporating the brominated NFA demonstrate a significantly higher power conversion efficiency (PCE = 17.58%) than those with fluorinated or chlorinated NFAs (∼14%). Theoretical and experimental analyses reveal that bromination enhances electrostatic interactions, donor-acceptor miscibility, crystallinity, and fibrillar film morphology versus the other halogenated NFAs, thereby enhancing exciton dissociation efficiency, more balanced hole/electron mobility, and reduced exciton recombination rates in the corresponding OSCs. Additionally, ternary solar cells incorporating the brominated NFA as the third component achieve a very high PCE of 20.14%. These findings provide valuable insights into the molecular design of future high-performance NFAs for OSC applications.</w:t>
      </w:r>
    </w:p>
    <w:p>
      <w:pPr>
        <w:spacing w:before="120" w:after="120"/>
      </w:pPr>
      <w:r>
        <w:rPr>
          <w:sz w:val="18"/>
        </w:rPr>
        <w:t>——————————————————————————————————————————————————————————————————————</w:t>
      </w:r>
    </w:p>
    <w:p>
      <w:pPr>
        <w:spacing w:before="160" w:after="40" w:line="240" w:lineRule="auto"/>
      </w:pPr>
      <w:r>
        <w:rPr>
          <w:b/>
        </w:rPr>
        <w:t xml:space="preserve">[280] </w:t>
      </w:r>
      <w:hyperlink r:id="rId541">
        <w:r>
          <w:rPr>
            <w:color w:val="1155CC"/>
            <w:u w:val="single"/>
          </w:rPr>
          <w:t>绿色电力贸易的市场化和新能源企业的投资决定</w:t>
        </w:r>
      </w:hyperlink>
    </w:p>
    <w:p>
      <w:pPr>
        <w:spacing w:before="0" w:after="80"/>
      </w:pPr>
      <w:r>
        <w:rPr>
          <w:i/>
          <w:sz w:val="20"/>
        </w:rPr>
        <w:t>EN: The marketization of green electricity trading and investment decisions of new energy enterprises</w:t>
      </w:r>
    </w:p>
    <w:p>
      <w:pPr>
        <w:spacing w:before="0" w:after="120"/>
      </w:pPr>
      <w:r>
        <w:rPr>
          <w:b/>
        </w:rPr>
        <w:t xml:space="preserve">Source: </w:t>
      </w:r>
      <w:r>
        <w:t>ScienceDirect Publication: Energy Policy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[281] </w:t>
      </w:r>
      <w:hyperlink r:id="rId542">
        <w:r>
          <w:rPr>
            <w:color w:val="1155CC"/>
            <w:u w:val="single"/>
          </w:rPr>
          <w:t>基于物理知情神经网络和转移学习的多规模休养建模</w:t>
        </w:r>
      </w:hyperlink>
    </w:p>
    <w:p>
      <w:pPr>
        <w:spacing w:before="0" w:after="80"/>
      </w:pPr>
      <w:r>
        <w:rPr>
          <w:i/>
          <w:sz w:val="20"/>
        </w:rPr>
        <w:t>EN: Multi-scale wake modeling based on physics-informed neural networks and transfer learning</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[282] </w:t>
      </w:r>
      <w:hyperlink r:id="rId543">
        <w:r>
          <w:rPr>
            <w:color w:val="1155CC"/>
            <w:u w:val="single"/>
          </w:rPr>
          <w:t>使用适应性操作条件处理的高效电源系统矫正控制:基于GATN-RL的方法</w:t>
        </w:r>
      </w:hyperlink>
    </w:p>
    <w:p>
      <w:pPr>
        <w:spacing w:before="0" w:after="80"/>
      </w:pPr>
      <w:r>
        <w:rPr>
          <w:i/>
          <w:sz w:val="20"/>
        </w:rPr>
        <w:t>EN: Efficient power system corrective control with adaptive operation condition handling: A GATN-RL based method</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[283] </w:t>
      </w:r>
      <w:hyperlink r:id="rId544">
        <w:r>
          <w:rPr>
            <w:color w:val="1155CC"/>
            <w:u w:val="single"/>
          </w:rPr>
          <w:t>从用于早期设计的单一视角概念图像对办公楼能源使用情况的AI-动力预测</w:t>
        </w:r>
      </w:hyperlink>
    </w:p>
    <w:p>
      <w:pPr>
        <w:spacing w:before="0" w:after="80"/>
      </w:pPr>
      <w:r>
        <w:rPr>
          <w:i/>
          <w:sz w:val="20"/>
        </w:rPr>
        <w:t>EN: AI-empowered prediction of office building energy use from single-view conceptual images for early-stage design</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[284] </w:t>
      </w:r>
      <w:hyperlink r:id="rId545">
        <w:r>
          <w:rPr>
            <w:color w:val="1155CC"/>
            <w:u w:val="single"/>
          </w:rPr>
          <w:t>先进的红氧化物流动电池功能性膜设计的创新和前景</w:t>
        </w:r>
      </w:hyperlink>
    </w:p>
    <w:p>
      <w:pPr>
        <w:spacing w:before="0" w:after="80"/>
      </w:pPr>
      <w:r>
        <w:rPr>
          <w:i/>
          <w:sz w:val="20"/>
        </w:rPr>
        <w:t>EN: Innovations and prospects on functional membrane design for advanced redox flow batteries</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[285] </w:t>
      </w:r>
      <w:hyperlink r:id="rId546">
        <w:r>
          <w:rPr>
            <w:color w:val="1155CC"/>
            <w:u w:val="single"/>
          </w:rPr>
          <w:t>加速净-零转换:卫星洞见揭示燃煤发电厂的去碳化潜力</w:t>
        </w:r>
      </w:hyperlink>
    </w:p>
    <w:p>
      <w:pPr>
        <w:spacing w:before="0" w:after="80"/>
      </w:pPr>
      <w:r>
        <w:rPr>
          <w:i/>
          <w:sz w:val="20"/>
        </w:rPr>
        <w:t>EN: Accelerating net-zero transition: Satellite insight reveals Decarbonization potential of coal-fired power plants</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[286] </w:t>
      </w:r>
      <w:hyperlink r:id="rId547">
        <w:r>
          <w:rPr>
            <w:color w:val="1155CC"/>
            <w:u w:val="single"/>
          </w:rPr>
          <w:t>作者更正: 更改细胞表面组合码, 重新连接嗅觉电路</w:t>
        </w:r>
      </w:hyperlink>
    </w:p>
    <w:p>
      <w:pPr>
        <w:spacing w:before="0" w:after="80"/>
      </w:pPr>
      <w:r>
        <w:rPr>
          <w:i/>
          <w:sz w:val="20"/>
        </w:rPr>
        <w:t>EN: Author Correction: Rewiring an olfactory circuit by altering cell-surface combinatorial code</w:t>
      </w:r>
    </w:p>
    <w:p>
      <w:pPr>
        <w:spacing w:before="0" w:after="120"/>
      </w:pPr>
      <w:r>
        <w:rPr>
          <w:b/>
        </w:rPr>
        <w:t xml:space="preserve">Source: </w:t>
      </w:r>
      <w:r>
        <w:t>Nature</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[287] </w:t>
      </w:r>
      <w:hyperlink r:id="rId548">
        <w:r>
          <w:rPr>
            <w:color w:val="1155CC"/>
            <w:u w:val="single"/>
          </w:rPr>
          <w:t>作者校正: 校正: 校正 校正: repulsion 指示在嗅觉电路中匹配合成伙伴</w:t>
        </w:r>
      </w:hyperlink>
    </w:p>
    <w:p>
      <w:pPr>
        <w:spacing w:before="0" w:after="80"/>
      </w:pPr>
      <w:r>
        <w:rPr>
          <w:i/>
          <w:sz w:val="20"/>
        </w:rPr>
        <w:t>EN: Author Correction: Repulsions instruct synaptic partner matching in an olfactory circuit</w:t>
      </w:r>
    </w:p>
    <w:p>
      <w:pPr>
        <w:spacing w:before="0" w:after="120"/>
      </w:pPr>
      <w:r>
        <w:rPr>
          <w:b/>
        </w:rPr>
        <w:t xml:space="preserve">Source: </w:t>
      </w:r>
      <w:r>
        <w:t>Nature</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[288] </w:t>
      </w:r>
      <w:hyperlink r:id="rId549">
        <w:r>
          <w:rPr>
            <w:color w:val="1155CC"/>
            <w:u w:val="single"/>
          </w:rPr>
          <w:t>城市规模屋顶改造优先事项:将热性能、能源影响、城市形态学和人口接触联系起来</w:t>
        </w:r>
      </w:hyperlink>
    </w:p>
    <w:p>
      <w:pPr>
        <w:spacing w:before="0" w:after="80"/>
      </w:pPr>
      <w:r>
        <w:rPr>
          <w:i/>
          <w:sz w:val="20"/>
        </w:rPr>
        <w:t>EN: City-scale rooftop retrofit prioritization: linking thermal performance, energy impacts, urban morphology, and population exposure</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[289] </w:t>
      </w:r>
      <w:hyperlink r:id="rId550">
        <w:r>
          <w:rPr>
            <w:color w:val="1155CC"/>
            <w:u w:val="single"/>
          </w:rPr>
          <w:t>受温度依赖的阴极饥饿对PEMFC堆叠的寒起行为的影响:一项实验性调查</w:t>
        </w:r>
      </w:hyperlink>
    </w:p>
    <w:p>
      <w:pPr>
        <w:spacing w:before="0" w:after="80"/>
      </w:pPr>
      <w:r>
        <w:rPr>
          <w:i/>
          <w:sz w:val="20"/>
        </w:rPr>
        <w:t>EN: Temperature-dependent cathode starvation effects on cold start behavior of PEMFC stacks: An experimental investigation</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[290] </w:t>
      </w:r>
      <w:hyperlink r:id="rId551">
        <w:r>
          <w:rPr>
            <w:color w:val="1155CC"/>
            <w:u w:val="single"/>
          </w:rPr>
          <w:t>基于潜在扩散的中期概率负载预测生成模型模型</w:t>
        </w:r>
      </w:hyperlink>
    </w:p>
    <w:p>
      <w:pPr>
        <w:spacing w:before="0" w:after="80"/>
      </w:pPr>
      <w:r>
        <w:rPr>
          <w:i/>
          <w:sz w:val="20"/>
        </w:rPr>
        <w:t>EN: Generative modeling for mid-term probabilistic load forecasting based on latent diffusion</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[291] </w:t>
      </w:r>
      <w:hyperlink r:id="rId552">
        <w:r>
          <w:rPr>
            <w:color w:val="1155CC"/>
            <w:u w:val="single"/>
          </w:rPr>
          <w:t>利用机械学习,大规模模拟太阳能水泵太阳能水泵</w:t>
        </w:r>
      </w:hyperlink>
    </w:p>
    <w:p>
      <w:pPr>
        <w:spacing w:before="0" w:after="80"/>
      </w:pPr>
      <w:r>
        <w:rPr>
          <w:i/>
          <w:sz w:val="20"/>
        </w:rPr>
        <w:t>EN: Large-scale modeling of solar water pumps using machine learning</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[292] </w:t>
      </w:r>
      <w:hyperlink r:id="rId553">
        <w:r>
          <w:rPr>
            <w:color w:val="1155CC"/>
            <w:u w:val="single"/>
          </w:rPr>
          <w:t>利用卫星云光学深度进行短期太阳辐射预报的物理知情的机器学习方法</w:t>
        </w:r>
      </w:hyperlink>
    </w:p>
    <w:p>
      <w:pPr>
        <w:spacing w:before="0" w:after="80"/>
      </w:pPr>
      <w:r>
        <w:rPr>
          <w:i/>
          <w:sz w:val="20"/>
        </w:rPr>
        <w:t>EN: A physics-informed machine learning method for short-term solar radiation forecast with satellite-derived cloud optical depth</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[293] </w:t>
      </w:r>
      <w:hyperlink r:id="rId554">
        <w:r>
          <w:rPr>
            <w:color w:val="1155CC"/>
            <w:u w:val="single"/>
          </w:rPr>
          <w:t>以PI-DRA-PPO为基础的适应性家庭能源管理,用于综合电、氢和热储存系统</w:t>
        </w:r>
      </w:hyperlink>
    </w:p>
    <w:p>
      <w:pPr>
        <w:spacing w:before="0" w:after="80"/>
      </w:pPr>
      <w:r>
        <w:rPr>
          <w:i/>
          <w:sz w:val="20"/>
        </w:rPr>
        <w:t>EN: Adaptive home energy management based on PI-DRA-PPO for integrated electricity, hydrogen, and heat storage systems</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[294] </w:t>
      </w:r>
      <w:hyperlink r:id="rId555">
        <w:r>
          <w:rPr>
            <w:color w:val="1155CC"/>
            <w:u w:val="single"/>
          </w:rPr>
          <w:t>具有可再生能源互动的岛屿上微型电网的经济自主运行:卫星辅助的超空联合强化学习方法</w:t>
        </w:r>
      </w:hyperlink>
    </w:p>
    <w:p>
      <w:pPr>
        <w:spacing w:before="0" w:after="80"/>
      </w:pPr>
      <w:r>
        <w:rPr>
          <w:i/>
          <w:sz w:val="20"/>
        </w:rPr>
        <w:t>EN: Economic autonomous operation of microgrids on islands with renewable energy interactions: A satellite-aided over-the-air federated reinforcement learning approach</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[295] </w:t>
      </w:r>
      <w:hyperlink r:id="rId556">
        <w:r>
          <w:rPr>
            <w:color w:val="1155CC"/>
            <w:u w:val="single"/>
          </w:rPr>
          <w:t>在有形制约下通过基于SKR的神经网络进行冷却器性能模型模拟的方法</w:t>
        </w:r>
      </w:hyperlink>
    </w:p>
    <w:p>
      <w:pPr>
        <w:spacing w:before="0" w:after="80"/>
      </w:pPr>
      <w:r>
        <w:rPr>
          <w:i/>
          <w:sz w:val="20"/>
        </w:rPr>
        <w:t>EN: A method for chiller performance modeling via SKR-based neural network under physical constraints</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[296] </w:t>
      </w:r>
      <w:hyperlink r:id="rId557">
        <w:r>
          <w:rPr>
            <w:color w:val="1155CC"/>
            <w:u w:val="single"/>
          </w:rPr>
          <w:t>下一代海洋引擎和越野发动机的变量阀阀阀起动(VVVA):全面审查未来排放立法的遵守情况</w:t>
        </w:r>
      </w:hyperlink>
    </w:p>
    <w:p>
      <w:pPr>
        <w:spacing w:before="0" w:after="80"/>
      </w:pPr>
      <w:r>
        <w:rPr>
          <w:i/>
          <w:sz w:val="20"/>
        </w:rPr>
        <w:t>EN: Variable valve actuation (VVA) for next-generation marine and off-road engines: a comprehensive review for meeting future emissions legislation</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[297] </w:t>
      </w:r>
      <w:hyperlink r:id="rId558">
        <w:r>
          <w:rPr>
            <w:color w:val="1155CC"/>
            <w:u w:val="single"/>
          </w:rPr>
          <w:t>能源投资和包容性增长方面的公私伙伴关系</w:t>
        </w:r>
      </w:hyperlink>
    </w:p>
    <w:p>
      <w:pPr>
        <w:spacing w:before="0" w:after="80"/>
      </w:pPr>
      <w:r>
        <w:rPr>
          <w:i/>
          <w:sz w:val="20"/>
        </w:rPr>
        <w:t>EN: Public-private partnership in energy investment and inclusive growth</w:t>
      </w:r>
    </w:p>
    <w:p>
      <w:pPr>
        <w:spacing w:before="0" w:after="120"/>
      </w:pPr>
      <w:r>
        <w:rPr>
          <w:b/>
        </w:rPr>
        <w:t xml:space="preserve">Source: </w:t>
      </w:r>
      <w:r>
        <w:t>ScienceDirect Publication: Energy Policy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[298] </w:t>
      </w:r>
      <w:hyperlink r:id="rId559">
        <w:r>
          <w:rPr>
            <w:color w:val="1155CC"/>
            <w:u w:val="single"/>
          </w:rPr>
          <w:t>东盟燃煤发电厂氨水联燃</w:t>
        </w:r>
      </w:hyperlink>
    </w:p>
    <w:p>
      <w:pPr>
        <w:spacing w:before="0" w:after="80"/>
      </w:pPr>
      <w:r>
        <w:rPr>
          <w:i/>
          <w:sz w:val="20"/>
        </w:rPr>
        <w:t>EN: Co-combustion of ammonia in coal-fired power plants in ASEAN</w:t>
      </w:r>
    </w:p>
    <w:p>
      <w:pPr>
        <w:spacing w:before="0" w:after="120"/>
      </w:pPr>
      <w:r>
        <w:rPr>
          <w:b/>
        </w:rPr>
        <w:t xml:space="preserve">Source: </w:t>
      </w:r>
      <w:r>
        <w:t>ScienceDirect Publication: Energy Policy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[299] </w:t>
      </w:r>
      <w:hyperlink r:id="rId560">
        <w:r>
          <w:rPr>
            <w:color w:val="1155CC"/>
            <w:u w:val="single"/>
          </w:rPr>
          <w:t>地缘政治分裂和能源过渡不平等:气候政策的不确定性、制裁以及石油和天然气部门</w:t>
        </w:r>
      </w:hyperlink>
    </w:p>
    <w:p>
      <w:pPr>
        <w:spacing w:before="0" w:after="80"/>
      </w:pPr>
      <w:r>
        <w:rPr>
          <w:i/>
          <w:sz w:val="20"/>
        </w:rPr>
        <w:t>EN: Geopolitical fragmentation and energy transition inequalities: Climate policy uncertainty, sanctions, and the oil and gas sector</w:t>
      </w:r>
    </w:p>
    <w:p>
      <w:pPr>
        <w:spacing w:before="0" w:after="120"/>
      </w:pPr>
      <w:r>
        <w:rPr>
          <w:b/>
        </w:rPr>
        <w:t xml:space="preserve">Source: </w:t>
      </w:r>
      <w:r>
        <w:t>ScienceDirect Publication: Energy Policy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[300] </w:t>
      </w:r>
      <w:hyperlink r:id="rId561">
        <w:r>
          <w:rPr>
            <w:color w:val="1155CC"/>
            <w:u w:val="single"/>
          </w:rPr>
          <w:t>电动公共汽车电池更换补贴分配平等:中国各省市的证据</w:t>
        </w:r>
      </w:hyperlink>
    </w:p>
    <w:p>
      <w:pPr>
        <w:spacing w:before="0" w:after="80"/>
      </w:pPr>
      <w:r>
        <w:rPr>
          <w:i/>
          <w:sz w:val="20"/>
        </w:rPr>
        <w:t>EN: Allocation equality of battery replacement subsidy for electric buses: Evidence from provinces and cities in China</w:t>
      </w:r>
    </w:p>
    <w:p>
      <w:pPr>
        <w:spacing w:before="0" w:after="120"/>
      </w:pPr>
      <w:r>
        <w:rPr>
          <w:b/>
        </w:rPr>
        <w:t xml:space="preserve">Source: </w:t>
      </w:r>
      <w:r>
        <w:t>ScienceDirect Publication: Energy Policy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[301] </w:t>
      </w:r>
      <w:hyperlink r:id="rId562">
        <w:r>
          <w:rPr>
            <w:color w:val="1155CC"/>
            <w:u w:val="single"/>
          </w:rPr>
          <w:t>对电网的惯性估计:对方法、挑战和未来前景的审查</w:t>
        </w:r>
      </w:hyperlink>
    </w:p>
    <w:p>
      <w:pPr>
        <w:spacing w:before="0" w:after="80"/>
      </w:pPr>
      <w:r>
        <w:rPr>
          <w:i/>
          <w:sz w:val="20"/>
        </w:rPr>
        <w:t>EN: Inertia estimation for power grids: A review of methods, challenges, and future prospects</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[302] </w:t>
      </w:r>
      <w:hyperlink r:id="rId563">
        <w:r>
          <w:rPr>
            <w:color w:val="1155CC"/>
            <w:u w:val="single"/>
          </w:rPr>
          <w:t>托马托斯:潜在热热能储存装置的地形和材料优化</w:t>
        </w:r>
      </w:hyperlink>
    </w:p>
    <w:p>
      <w:pPr>
        <w:spacing w:before="0" w:after="80"/>
      </w:pPr>
      <w:r>
        <w:rPr>
          <w:i/>
          <w:sz w:val="20"/>
        </w:rPr>
        <w:t>EN: TOMATOES: Topology and material optimization for latent heat thermal energy storage devices</w:t>
      </w:r>
    </w:p>
    <w:p>
      <w:pPr>
        <w:spacing w:before="0" w:after="120"/>
      </w:pPr>
      <w:r>
        <w:rPr>
          <w:b/>
        </w:rPr>
        <w:t xml:space="preserve">Source: </w:t>
      </w:r>
      <w:r>
        <w:t>ScienceDirect Publication: Applied Energy</w:t>
      </w:r>
      <w:r>
        <w:t xml:space="preserve">    </w:t>
      </w:r>
      <w:r>
        <w:rPr>
          <w:b/>
        </w:rPr>
        <w:t xml:space="preserve">Pub date: </w:t>
      </w:r>
      <w:r>
        <w:t>2026-01-04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[303] </w:t>
      </w:r>
      <w:hyperlink r:id="rId564">
        <w:r>
          <w:rPr>
            <w:color w:val="1155CC"/>
            <w:u w:val="single"/>
          </w:rPr>
          <w:t>[ASAP] Harziane Diterpenos的相异总合成总量</w:t>
        </w:r>
      </w:hyperlink>
    </w:p>
    <w:p>
      <w:pPr>
        <w:spacing w:before="0" w:after="80"/>
      </w:pPr>
      <w:r>
        <w:rPr>
          <w:i/>
          <w:sz w:val="20"/>
        </w:rPr>
        <w:t>EN: [ASAP] Divergent Total Synthesis of the Harziane Diterpenoids</w:t>
      </w:r>
    </w:p>
    <w:p>
      <w:pPr>
        <w:spacing w:before="0" w:after="120"/>
      </w:pPr>
      <w:r>
        <w:rPr>
          <w:b/>
        </w:rPr>
        <w:t xml:space="preserve">Source: </w:t>
      </w:r>
      <w:r>
        <w:t>Journal of the American Chemical Society: Latest Articles (ACS Publications)</w:t>
      </w:r>
      <w:r>
        <w:t xml:space="preserve">    </w:t>
      </w:r>
      <w:r>
        <w:rPr>
          <w:b/>
        </w:rPr>
        <w:t xml:space="preserve">Pub date: </w:t>
      </w:r>
      <w:r>
        <w:t>2026-01-04 09:49:13+00:00</w:t>
      </w:r>
      <w:r>
        <w:t xml:space="preserve">    </w:t>
      </w:r>
      <w:r>
        <w:rPr>
          <w:b/>
        </w:rPr>
        <w:t xml:space="preserve">DOI: </w:t>
      </w:r>
      <w:hyperlink r:id="rId565">
        <w:r>
          <w:rPr>
            <w:color w:val="1155CC"/>
            <w:u w:val="single"/>
          </w:rPr>
          <w:t>10.1021/jacs.5c14490</w:t>
        </w:r>
      </w:hyperlink>
    </w:p>
    <w:p>
      <w:pPr>
        <w:spacing w:before="0" w:after="120"/>
      </w:pPr>
      <w:r>
        <w:rPr>
          <w:b/>
        </w:rPr>
        <w:t xml:space="preserve">Notes: </w:t>
      </w:r>
      <w:r>
        <w:t>abstract_source=pubmed</w:t>
      </w:r>
    </w:p>
    <w:p>
      <w:pPr>
        <w:spacing w:before="0" w:after="80" w:lineRule="auto" w:line="276"/>
      </w:pPr>
      <w:r>
        <w:rPr>
          <w:b/>
        </w:rPr>
        <w:t xml:space="preserve">摘要（ZH）: </w:t>
      </w:r>
      <w:r>
        <w:t>沙兹尼天然产品二苯基天然制品家族拥有一个在结构上不同于二级代谢物的立化密集6/5/7/7/7/4四四环环化框架,在结构上对二次代谢物具有不同的结构。 事实上,其成员包含多达六个毗连的立体中心、三个全碳四氟中心以及自1992年首次报告创始成员以来被隔离的近50个成员中的一系列不同的氧化模式。 我们在此报告一个简明的战略,该战略以四元中心分析以及共同中间逻辑为指导,导致三个家庭成员与三个具有独特的立形化学和氧化形态的家庭成员以及第四个拟议结构相融合;所有成员仅从这一共同的、后期中间体进入了1-3个步骤,其中三个仅从这一普通的、后期中间体进入了1-3步,三个仅从这一普通的中间体进入了该中间体,最后的中间体进入了3步。</w:t>
      </w:r>
    </w:p>
    <w:p>
      <w:pPr>
        <w:spacing w:before="0" w:after="200" w:lineRule="auto" w:line="276"/>
      </w:pPr>
      <w:r>
        <w:rPr>
          <w:b/>
        </w:rPr>
        <w:t xml:space="preserve">Abstract (EN): </w:t>
      </w:r>
      <w:r>
        <w:t>The harziane family of diterpenoid natural products possesses a stereochemically dense 6/5/7/4 tetracyclic framework that is structurally distinct among secondary metabolites. Indeed, members contain up to six contiguous stereocenters, three all-carbon quaternary centers, and an array of differential oxidation patterns across the nearly 50 members that have been isolated since the inaugural member was first reported in 1992. Herein we report a concise strategy, guided both by quaternary center analysis as well as common intermediate logic, that has led to the synthesis of three family members with distinctive stereochemical and oxidation patterns as well as the proposed structure of a fourth; all were accessed in just 1-3 steps from that common, late-stage intermediate, and three of these structures have been prepared for the first time. Four other natural products were obtained formally from that same material. Key operations include (1) a Au(I)-catalyzed cycloisomerization reaction to forge their unique bicyclo[5.2.0]nonane framework, (2) a strategic semi-Pinacol ring contraction that sets the stage for formation of the final ring system, and (3) a suite of late-stage site- and chemo-selective redox reactions using synthetic handles on two different halves of the molecule that, when properly orchestrated, smoothly complete the targets.</w:t>
      </w:r>
    </w:p>
    <w:p>
      <w:pPr>
        <w:spacing w:before="120" w:after="120"/>
      </w:pPr>
      <w:r>
        <w:rPr>
          <w:sz w:val="18"/>
        </w:rPr>
        <w:t>——————————————————————————————————————————————————————————————————————</w:t>
      </w:r>
    </w:p>
    <w:p>
      <w:pPr>
        <w:spacing w:before="160" w:after="40" w:line="240" w:lineRule="auto"/>
      </w:pPr>
      <w:r>
        <w:rPr>
          <w:b/>
        </w:rPr>
        <w:t xml:space="preserve">[304] </w:t>
      </w:r>
      <w:hyperlink r:id="rId566">
        <w:r>
          <w:rPr>
            <w:color w:val="1155CC"/>
            <w:u w:val="single"/>
          </w:rPr>
          <w:t>[ASAP] 单原子催化与Anion浓缩环境的单原子隔解,以增强Zn-I2电池的稳定</w:t>
        </w:r>
      </w:hyperlink>
    </w:p>
    <w:p>
      <w:pPr>
        <w:spacing w:before="0" w:after="80"/>
      </w:pPr>
      <w:r>
        <w:rPr>
          <w:i/>
          <w:sz w:val="20"/>
        </w:rPr>
        <w:t>EN: [ASAP] Single-Atom Catalysis with Anion-Enriched Environments for Enhanced Stability of Zn–I2 Batteries</w:t>
      </w:r>
    </w:p>
    <w:p>
      <w:pPr>
        <w:spacing w:before="0" w:after="120"/>
      </w:pPr>
      <w:r>
        <w:rPr>
          <w:b/>
        </w:rPr>
        <w:t xml:space="preserve">Source: </w:t>
      </w:r>
      <w:r>
        <w:t>ACS Energy Letters: Latest Articles (ACS Publications)</w:t>
      </w:r>
      <w:r>
        <w:t xml:space="preserve">    </w:t>
      </w:r>
      <w:r>
        <w:rPr>
          <w:b/>
        </w:rPr>
        <w:t xml:space="preserve">Pub date: </w:t>
      </w:r>
      <w:r>
        <w:t>2026-01-04 14:54:59+00:00</w:t>
      </w:r>
      <w:r>
        <w:t xml:space="preserve">    </w:t>
      </w:r>
      <w:r>
        <w:rPr>
          <w:b/>
        </w:rPr>
        <w:t xml:space="preserve">DOI: </w:t>
      </w:r>
      <w:hyperlink r:id="rId567">
        <w:r>
          <w:rPr>
            <w:color w:val="1155CC"/>
            <w:u w:val="single"/>
          </w:rPr>
          <w:t>10.1021/acsenergylett.5c03294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[305] </w:t>
      </w:r>
      <w:hyperlink r:id="rId568">
        <w:r>
          <w:rPr>
            <w:color w:val="1155CC"/>
            <w:u w:val="single"/>
          </w:rPr>
          <w:t>[ASAP] 对称碳氢化:丙烷的分子内氢氧化</w:t>
        </w:r>
      </w:hyperlink>
    </w:p>
    <w:p>
      <w:pPr>
        <w:spacing w:before="0" w:after="80"/>
      </w:pPr>
      <w:r>
        <w:rPr>
          <w:i/>
          <w:sz w:val="20"/>
        </w:rPr>
        <w:t>EN: [ASAP] Asymmetric Carbonium Ion Catalysis: The Intramolecular Hydroalkoxylation of Cyclopropanes</w:t>
      </w:r>
    </w:p>
    <w:p>
      <w:pPr>
        <w:spacing w:before="0" w:after="120"/>
      </w:pPr>
      <w:r>
        <w:rPr>
          <w:b/>
        </w:rPr>
        <w:t xml:space="preserve">Source: </w:t>
      </w:r>
      <w:r>
        <w:t>Journal of the American Chemical Society: Latest Articles (ACS Publications)</w:t>
      </w:r>
      <w:r>
        <w:t xml:space="preserve">    </w:t>
      </w:r>
      <w:r>
        <w:rPr>
          <w:b/>
        </w:rPr>
        <w:t xml:space="preserve">Pub date: </w:t>
      </w:r>
      <w:r>
        <w:t>2026-01-04 17:50:12+00:00</w:t>
      </w:r>
      <w:r>
        <w:t xml:space="preserve">    </w:t>
      </w:r>
      <w:r>
        <w:rPr>
          <w:b/>
        </w:rPr>
        <w:t xml:space="preserve">DOI: </w:t>
      </w:r>
      <w:hyperlink r:id="rId569">
        <w:r>
          <w:rPr>
            <w:color w:val="1155CC"/>
            <w:u w:val="single"/>
          </w:rPr>
          <w:t>10.1021/jacs.5c20876</w:t>
        </w:r>
      </w:hyperlink>
    </w:p>
    <w:p>
      <w:pPr>
        <w:spacing w:before="0" w:after="120"/>
      </w:pPr>
      <w:r>
        <w:rPr>
          <w:b/>
        </w:rPr>
        <w:t xml:space="preserve">Notes: </w:t>
      </w:r>
      <w:r>
        <w:t>abstract_source=pubmed</w:t>
      </w:r>
    </w:p>
    <w:p>
      <w:pPr>
        <w:spacing w:before="0" w:after="80" w:lineRule="auto" w:line="276"/>
      </w:pPr>
      <w:r>
        <w:rPr>
          <w:b/>
        </w:rPr>
        <w:t xml:space="preserve">摘要（ZH）: </w:t>
      </w:r>
      <w:r>
        <w:t>丙丙烷是药物发现和天然产品合成中有价值的合成中间体。然而,环丙烷的立体选择性功能化仍然是一个根本性挑战,传统上需要事先激活母碳氢化合物。在这里,我们报告了环丙烷的有机分析不对称分子内氢氧代谢,它通过使用手性二二二二二二二光催化剂克服了这一制约。我们的战略直接为具有高度对等选择性(最高为96.5:3.5 ER)的对等浓缩替代四氢氟烷提供了条件。动能分析显示,对基底依赖零级,支持催化剂饱和。综合实验和计算研究表明,前反应催化剂-基离子对子稳定下来。</w:t>
      </w:r>
    </w:p>
    <w:p>
      <w:pPr>
        <w:spacing w:before="0" w:after="200" w:lineRule="auto" w:line="276"/>
      </w:pPr>
      <w:r>
        <w:rPr>
          <w:b/>
        </w:rPr>
        <w:t xml:space="preserve">Abstract (EN): </w:t>
      </w:r>
      <w:r>
        <w:t>Cyclopropanes serve as valuable synthetic intermediates in drug discovery and natural product synthesis. However, the stereoselective functionalization of cyclopropanes remains a fundamental challenge, traditionally necessitating the prior activation of the parent hydrocarbon. Here, we report an organocatalytic asymmetric intramolecular hydroalkoxylation of cyclopropanes that overcomes this constraint using chiral imidodiphosphorimidate catalysts. Our strategy directly affords enantioenriched substituted tetrahydrofurans with high enantioselectivity (up to 96.5:3.5 er). Kinetic analyses reveal a zero-order dependence on the substrate and support catalyst saturation. Combined experimental and computational studies suggest that the prereaction catalyst-substrate ion pair is stabilized through noncovalent interactions leading to the formation of a transient cycloproponium ion-like transition state. This work provides a potentially general platform for stereoselective cyclopropane functionalization.</w:t>
      </w:r>
    </w:p>
    <w:p>
      <w:pPr>
        <w:spacing w:before="120" w:after="120"/>
      </w:pPr>
      <w:r>
        <w:rPr>
          <w:sz w:val="18"/>
        </w:rPr>
        <w:t>——————————————————————————————————————————————————————————————————————</w:t>
      </w:r>
    </w:p>
    <w:p>
      <w:pPr>
        <w:spacing w:before="160" w:after="40" w:line="240" w:lineRule="auto"/>
      </w:pPr>
      <w:r>
        <w:rPr>
          <w:b/>
        </w:rPr>
        <w:t xml:space="preserve">[306] </w:t>
      </w:r>
      <w:hyperlink r:id="rId570">
        <w:r>
          <w:rPr>
            <w:color w:val="1155CC"/>
            <w:u w:val="single"/>
          </w:rPr>
          <w:t>[ASAP] 用于可缩放锌-碘流电池的高磁电解解槽</w:t>
        </w:r>
      </w:hyperlink>
    </w:p>
    <w:p>
      <w:pPr>
        <w:spacing w:before="0" w:after="80"/>
      </w:pPr>
      <w:r>
        <w:rPr>
          <w:i/>
          <w:sz w:val="20"/>
        </w:rPr>
        <w:t>EN: [ASAP] High-Entropy Electrolyte for Scalable Zinc–Iodine Flow Batteries</w:t>
      </w:r>
    </w:p>
    <w:p>
      <w:pPr>
        <w:spacing w:before="0" w:after="120"/>
      </w:pPr>
      <w:r>
        <w:rPr>
          <w:b/>
        </w:rPr>
        <w:t xml:space="preserve">Source: </w:t>
      </w:r>
      <w:r>
        <w:t>ACS Energy Letters: Latest Articles (ACS Publications)</w:t>
      </w:r>
      <w:r>
        <w:t xml:space="preserve">    </w:t>
      </w:r>
      <w:r>
        <w:rPr>
          <w:b/>
        </w:rPr>
        <w:t xml:space="preserve">Pub date: </w:t>
      </w:r>
      <w:r>
        <w:t>2026-01-04 18:08:43+00:00</w:t>
      </w:r>
      <w:r>
        <w:t xml:space="preserve">    </w:t>
      </w:r>
      <w:r>
        <w:rPr>
          <w:b/>
        </w:rPr>
        <w:t xml:space="preserve">DOI: </w:t>
      </w:r>
      <w:hyperlink r:id="rId571">
        <w:r>
          <w:rPr>
            <w:color w:val="1155CC"/>
            <w:u w:val="single"/>
          </w:rPr>
          <w:t>10.1021/acsenergylett.5c04158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[307] </w:t>
      </w:r>
      <w:hyperlink r:id="rId572">
        <w:r>
          <w:rPr>
            <w:color w:val="1155CC"/>
            <w:u w:val="single"/>
          </w:rPr>
          <w:t>[ASAP]压力下非晶碳气渗透性结构机制</w:t>
        </w:r>
      </w:hyperlink>
    </w:p>
    <w:p>
      <w:pPr>
        <w:spacing w:before="0" w:after="80"/>
      </w:pPr>
      <w:r>
        <w:rPr>
          <w:i/>
          <w:sz w:val="20"/>
        </w:rPr>
        <w:t>EN: [ASAP] Structural Mechanism for Gas Permeability in Noncrystalline Carbon under Pressure</w:t>
      </w:r>
    </w:p>
    <w:p>
      <w:pPr>
        <w:spacing w:before="0" w:after="120"/>
      </w:pPr>
      <w:r>
        <w:rPr>
          <w:b/>
        </w:rPr>
        <w:t xml:space="preserve">Source: </w:t>
      </w:r>
      <w:r>
        <w:t>Journal of the American Chemical Society: Latest Articles (ACS Publications)</w:t>
      </w:r>
      <w:r>
        <w:t xml:space="preserve">    </w:t>
      </w:r>
      <w:r>
        <w:rPr>
          <w:b/>
        </w:rPr>
        <w:t xml:space="preserve">Pub date: </w:t>
      </w:r>
      <w:r>
        <w:t>2026-01-04 18:42:01+00:00</w:t>
      </w:r>
      <w:r>
        <w:t xml:space="preserve">    </w:t>
      </w:r>
      <w:r>
        <w:rPr>
          <w:b/>
        </w:rPr>
        <w:t xml:space="preserve">DOI: </w:t>
      </w:r>
      <w:hyperlink r:id="rId573">
        <w:r>
          <w:rPr>
            <w:color w:val="1155CC"/>
            <w:u w:val="single"/>
          </w:rPr>
          <w:t>10.1021/jacs.5c17051</w:t>
        </w:r>
      </w:hyperlink>
    </w:p>
    <w:p>
      <w:pPr>
        <w:spacing w:before="0" w:after="120"/>
      </w:pPr>
      <w:r>
        <w:rPr>
          <w:b/>
        </w:rPr>
        <w:t xml:space="preserve">Notes: </w:t>
      </w:r>
      <w:r>
        <w:t>abstract_source=pubmed</w:t>
      </w:r>
    </w:p>
    <w:p>
      <w:pPr>
        <w:spacing w:before="0" w:after="80" w:lineRule="auto" w:line="276"/>
      </w:pPr>
      <w:r>
        <w:rPr>
          <w:b/>
        </w:rPr>
        <w:t xml:space="preserve">摘要（ZH）: </w:t>
      </w:r>
      <w:r>
        <w:t>Volatiles 可以在高压下形成新型化合物并表现出特殊特性。 最近开发的纳米结构化钻石胶囊(NDCs)能够保护原本通常无法抑制的高压挥发性,用于环境环境中的基础研究和实践应用。NDC合成中的一个关键过程是挥发性在压力驱动下扩散到封闭的玻璃碳(前体材料)纳米孔隙。然而,允许这种扩散的结构路径仍然不明确,因为一般认为玻璃碳极易渗透。在这里,我们结合了原地高压同步器X射线分解和小角X射线散射,辅之以传输电子显微镜,以调查压力源。</w:t>
      </w:r>
    </w:p>
    <w:p>
      <w:pPr>
        <w:spacing w:before="0" w:after="200" w:lineRule="auto" w:line="276"/>
      </w:pPr>
      <w:r>
        <w:rPr>
          <w:b/>
        </w:rPr>
        <w:t xml:space="preserve">Abstract (EN): </w:t>
      </w:r>
      <w:r>
        <w:t>Volatiles can form novel compounds and exhibit extraordinary properties under high pressure. The recently developed nanostructured diamond capsules (NDCs) enable the preservation of otherwise typically unquenchable high-pressure volatiles for fundamental research and practical applications in ambient environments. A critical process in NDC synthesis is the pressure-driven diffusion of volatiles into the enclosed nanopores of glassy carbon, the precursor material. However, the structural pathways that allow such diffusion remain unclear, as glassy carbon is typically considered to be extremely impermeable. Here, we combined in situ high-pressure synchrotron X-ray diffraction and small-angle X-ray scattering, complemented by transmission electron microscopy, to investigate the pressure-induced diffusion of two model gases, helium and argon, into glassy carbon and amorphous carbon. Our findings reveal that gas penetration occurs through disordered structural defects in glassy carbon rather than via the usually expected interlayer spacing between its weakly bonded graphene-like layers. Based on this mechanism, we further demonstrate that moderate pressures can also drive gas diffusion into various amorphous carbon nanospheres, identifying them as viable alternative precursors for NDCs. These findings close a critical gap in understanding gas permeability in disordered carbon under pressure and provide essential guidance for tailoring carbon precursors to optimize NDCs for applications with high-pressure volatiles.</w:t>
      </w:r>
    </w:p>
    <w:p>
      <w:pPr>
        <w:spacing w:before="120" w:after="120"/>
      </w:pPr>
      <w:r>
        <w:rPr>
          <w:sz w:val="18"/>
        </w:rPr>
        <w:t>——————————————————————————————————————————————————————————————————————</w:t>
      </w:r>
    </w:p>
    <w:p>
      <w:pPr>
        <w:spacing w:before="160" w:after="40" w:line="240" w:lineRule="auto"/>
      </w:pPr>
      <w:r>
        <w:rPr>
          <w:b/>
        </w:rPr>
        <w:t xml:space="preserve">[308] </w:t>
      </w:r>
      <w:hyperlink r:id="rId574">
        <w:r>
          <w:rPr>
            <w:color w:val="1155CC"/>
            <w:u w:val="single"/>
          </w:rPr>
          <w:t>[ASAP] 二氧化碳电解器当前密度和选择性的当地变化</w:t>
        </w:r>
      </w:hyperlink>
    </w:p>
    <w:p>
      <w:pPr>
        <w:spacing w:before="0" w:after="80"/>
      </w:pPr>
      <w:r>
        <w:rPr>
          <w:i/>
          <w:sz w:val="20"/>
        </w:rPr>
        <w:t>EN: [ASAP] Local Variations in Current Density and Selectivity in CO2 Electrolyzers</w:t>
      </w:r>
    </w:p>
    <w:p>
      <w:pPr>
        <w:spacing w:before="0" w:after="120"/>
      </w:pPr>
      <w:r>
        <w:rPr>
          <w:b/>
        </w:rPr>
        <w:t xml:space="preserve">Source: </w:t>
      </w:r>
      <w:r>
        <w:t>ACS Energy Letters: Latest Articles (ACS Publications)</w:t>
      </w:r>
      <w:r>
        <w:t xml:space="preserve">    </w:t>
      </w:r>
      <w:r>
        <w:rPr>
          <w:b/>
        </w:rPr>
        <w:t xml:space="preserve">Pub date: </w:t>
      </w:r>
      <w:r>
        <w:t>2026-01-04 19:01:50+00:00</w:t>
      </w:r>
      <w:r>
        <w:t xml:space="preserve">    </w:t>
      </w:r>
      <w:r>
        <w:rPr>
          <w:b/>
        </w:rPr>
        <w:t xml:space="preserve">DOI: </w:t>
      </w:r>
      <w:hyperlink r:id="rId575">
        <w:r>
          <w:rPr>
            <w:color w:val="1155CC"/>
            <w:u w:val="single"/>
          </w:rPr>
          <w:t>10.1021/acsenergylett.5c03770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[309] </w:t>
      </w:r>
      <w:hyperlink r:id="rId576">
        <w:r>
          <w:rPr>
            <w:color w:val="1155CC"/>
            <w:u w:val="single"/>
          </w:rPr>
          <w:t>[ASAP] 扩大的副光生素类:带有红氧化可转置磁性(反)芳烃性和强力近红外吸收的波粒大型循环</w:t>
        </w:r>
      </w:hyperlink>
    </w:p>
    <w:p>
      <w:pPr>
        <w:spacing w:before="0" w:after="80"/>
      </w:pPr>
      <w:r>
        <w:rPr>
          <w:i/>
          <w:sz w:val="20"/>
        </w:rPr>
        <w:t>EN: [ASAP] Expanded Boraporphyrinoids: Boron Macrocycles with Redox Switchable Magnetic (Anti)aromaticity and Strong Near-Infrared Absorption</w:t>
      </w:r>
    </w:p>
    <w:p>
      <w:pPr>
        <w:spacing w:before="0" w:after="120"/>
      </w:pPr>
      <w:r>
        <w:rPr>
          <w:b/>
        </w:rPr>
        <w:t xml:space="preserve">Source: </w:t>
      </w:r>
      <w:r>
        <w:t>Journal of the American Chemical Society: Latest Articles (ACS Publications)</w:t>
      </w:r>
      <w:r>
        <w:t xml:space="preserve">    </w:t>
      </w:r>
      <w:r>
        <w:rPr>
          <w:b/>
        </w:rPr>
        <w:t xml:space="preserve">Pub date: </w:t>
      </w:r>
      <w:r>
        <w:t>2026-01-04 19:10:54+00:00</w:t>
      </w:r>
      <w:r>
        <w:t xml:space="preserve">    </w:t>
      </w:r>
      <w:r>
        <w:rPr>
          <w:b/>
        </w:rPr>
        <w:t xml:space="preserve">DOI: </w:t>
      </w:r>
      <w:hyperlink r:id="rId577">
        <w:r>
          <w:rPr>
            <w:color w:val="1155CC"/>
            <w:u w:val="single"/>
          </w:rPr>
          <w:t>10.1021/jacs.5c18822</w:t>
        </w:r>
      </w:hyperlink>
    </w:p>
    <w:p>
      <w:pPr>
        <w:spacing w:before="0" w:after="120"/>
      </w:pPr>
      <w:r>
        <w:rPr>
          <w:b/>
        </w:rPr>
        <w:t xml:space="preserve">Notes: </w:t>
      </w:r>
      <w:r>
        <w:t>abstract_source=pubmed</w:t>
      </w:r>
    </w:p>
    <w:p>
      <w:pPr>
        <w:spacing w:before="0" w:after="80" w:lineRule="auto" w:line="276"/>
      </w:pPr>
      <w:r>
        <w:rPr>
          <w:b/>
        </w:rPr>
        <w:t xml:space="preserve">摘要（ZH）: </w:t>
      </w:r>
      <w:r>
        <w:t>合成合成素类是经过深入研究的有机染色素类有机染色素,可展示出特殊的光电子特性,例如由于全色吸收和高灭绝系数以及长波长电磁光谱区域的排放而导致的高效光捕捉能力,以及长波电磁光谱区域的排放。要将这些特征用于具体应用,关键在于有效调合其电子特性,例如,通过将异氧原子纳入其“系统”来实现电子特性。虽然引入三坐标对子特别有趣,因为其空空的轨道、正丙草类的影响至今尚未得到探讨。</w:t>
      </w:r>
    </w:p>
    <w:p>
      <w:pPr>
        <w:spacing w:before="0" w:after="200" w:lineRule="auto" w:line="276"/>
      </w:pPr>
      <w:r>
        <w:rPr>
          <w:b/>
        </w:rPr>
        <w:t xml:space="preserve">Abstract (EN): </w:t>
      </w:r>
      <w:r>
        <w:t>Synthetic porphyrinoids are an intensely researched class of organic chromophores that can exhibit exceptional optoelectronic properties such as efficient light-harvesting capabilities due to panchromatic absorption and high extinction coefficients as well as emission in the long-wavelength electromagnetic spectral region. To harness these features for specific applications, it is pivotal to effectively tune their electronic properties, which can be achieved, for example, by incorporating heteroatoms into their π-system. Although the introduction of three-coordinate boron is particularly interesting due to the effect of its vacant p-orbital, boraporphyrinoids have hardly been explored so far. Herein, we report the synthesis of electron-deficient diboratetrathiaporphyrin(2.1.2.1) 1 and its doubly reduced form K2[1], as well as their partially saturated analogs 2 and K2[2], respectively. Experimental and computational results show that neutral 1 is globally antiaromatic in the context of the magnetic criterion, while twofold reduction to K2[1] leads to a switch to global aromaticity. In contrast, reduction of 2 to K2[2] results in the attenuation of local aromaticity in the thiophene units. These findings are corroborated with a detailed comparative computational study on the aromatic properties of simplified model systems. The observed redox switching between global antiaromaticity and aromaticity is unprecedented in organoboron macrocycles. Porphyrinoid K2[1] exhibits strong absorption ranging from the UV to the NIR spectral region, as well as photoluminescence in the NIR region (985 nm).</w:t>
      </w:r>
    </w:p>
    <w:p>
      <w:pPr>
        <w:spacing w:before="120" w:after="120"/>
      </w:pPr>
      <w:r>
        <w:rPr>
          <w:sz w:val="18"/>
        </w:rPr>
        <w:t>——————————————————————————————————————————————————————————————————————</w:t>
      </w:r>
    </w:p>
    <w:p>
      <w:pPr>
        <w:spacing w:before="160" w:after="40" w:line="240" w:lineRule="auto"/>
      </w:pPr>
      <w:r>
        <w:rPr>
          <w:b/>
        </w:rPr>
        <w:t xml:space="preserve">[310] </w:t>
      </w:r>
      <w:hyperlink r:id="rId578">
        <w:r>
          <w:rPr>
            <w:color w:val="1155CC"/>
            <w:u w:val="single"/>
          </w:rPr>
          <w:t>[阿施] PGLA和Magain 2 Can Can 通过瞬时微玻璃分形类固醇微粒波纹膜2 Can porate membranes</w:t>
        </w:r>
      </w:hyperlink>
    </w:p>
    <w:p>
      <w:pPr>
        <w:spacing w:before="0" w:after="80"/>
      </w:pPr>
      <w:r>
        <w:rPr>
          <w:i/>
          <w:sz w:val="20"/>
        </w:rPr>
        <w:t>EN: [ASAP] PGLa and Magainin 2 Can Porate Membranes via Transient Hourglass-Shaped Toroidal Pores</w:t>
      </w:r>
    </w:p>
    <w:p>
      <w:pPr>
        <w:spacing w:before="0" w:after="120"/>
      </w:pPr>
      <w:r>
        <w:rPr>
          <w:b/>
        </w:rPr>
        <w:t xml:space="preserve">Source: </w:t>
      </w:r>
      <w:r>
        <w:t>Journal of the American Chemical Society: Latest Articles (ACS Publications)</w:t>
      </w:r>
      <w:r>
        <w:t xml:space="preserve">    </w:t>
      </w:r>
      <w:r>
        <w:rPr>
          <w:b/>
        </w:rPr>
        <w:t xml:space="preserve">Pub date: </w:t>
      </w:r>
      <w:r>
        <w:t>2026-01-04 19:11:25+00:00</w:t>
      </w:r>
      <w:r>
        <w:t xml:space="preserve">    </w:t>
      </w:r>
      <w:r>
        <w:rPr>
          <w:b/>
        </w:rPr>
        <w:t xml:space="preserve">DOI: </w:t>
      </w:r>
      <w:hyperlink r:id="rId579">
        <w:r>
          <w:rPr>
            <w:color w:val="1155CC"/>
            <w:u w:val="single"/>
          </w:rPr>
          <w:t>10.1021/jacs.5c11101</w:t>
        </w:r>
      </w:hyperlink>
    </w:p>
    <w:p>
      <w:pPr>
        <w:spacing w:before="0" w:after="120"/>
      </w:pPr>
      <w:r>
        <w:rPr>
          <w:b/>
        </w:rPr>
        <w:t xml:space="preserve">Notes: </w:t>
      </w:r>
      <w:r>
        <w:t>abstract_source=pubmed</w:t>
      </w:r>
    </w:p>
    <w:p>
      <w:pPr>
        <w:spacing w:before="0" w:after="80" w:lineRule="auto" w:line="276"/>
      </w:pPr>
      <w:r>
        <w:rPr>
          <w:b/>
        </w:rPr>
        <w:t xml:space="preserve">摘要（ZH）: </w:t>
      </w:r>
      <w:r>
        <w:t>抗微生物抗药性已成为一个重要的全球公共卫生问题,需要迅速和全面地予以关注。为了应对这一紧迫挑战,作为各种生物自然合成的内生免疫系统组成部分的抗微生物浸泡物(AMPs)具有替代治疗剂的潜力,但主要障碍在于缺乏有效的实验方法,无法调查氨膜活性在原子规模上的短暂行为。在本研究中,我们采用了全原子分子动态模拟,以阐明两种马加林及其等分子混合物,即PGLA和Magain 2(Mag2)。尽管进行了长达数十年的广泛调查,但烟雾仍构成两种马加林及其等分子混合物(PGLa和Magain 2 (Mag2)。</w:t>
      </w:r>
    </w:p>
    <w:p>
      <w:pPr>
        <w:spacing w:before="0" w:after="200" w:lineRule="auto" w:line="276"/>
      </w:pPr>
      <w:r>
        <w:rPr>
          <w:b/>
        </w:rPr>
        <w:t xml:space="preserve">Abstract (EN): </w:t>
      </w:r>
      <w:r>
        <w:t>Antimicrobial resistance has emerged as a significant global public health concern, necessitating prompt and comprehensive attention. In response to this pressing challenge, antimicrobial peptides (AMPs), which are innate immune system components naturally synthesized by diverse organisms, hold potential as alternative therapeutic agents. However, a primary obstacle resides in the absence of effective experimental methodologies capable of investigating transient behaviors of membrane active peptides at the atomic scale. In this study, we have employed all-atom molecular dynamics (MD) simulations to elucidate the mechanisms underlying the behavior of two magainin peptides and their equimolar mixture, namely PGLa and magainin 2 (Mag2). Despite extensive investigation spanning decades, the fundamental mechanisms governing these peptides are still not fully understood. Our findings demonstrate that simulation time scales over 10 μs can capture the formation of pores within bacterial model membrane mimics and obtain comprehensive insights into the spontaneous self-assembly of magainin peptides. An hourglass pore model is proposed to explain their transient membrane perforation, where peptides self-assemble to support the pore structure from both membrane leaflets as double stacks. Atomistic MD simulations provide an unprecedented direct view on selective transmembrane binding, pore formation, pore fluctuation and ultimately pore closure. These insights offer a new promising path for the development of peptide-based therapeutics tailored to combat bacterial infections.</w:t>
      </w:r>
    </w:p>
    <w:p>
      <w:pPr>
        <w:spacing w:before="120" w:after="120"/>
      </w:pPr>
      <w:r>
        <w:rPr>
          <w:sz w:val="18"/>
        </w:rPr>
        <w:t>——————————————————————————————————————————————————————————————————————</w:t>
      </w:r>
    </w:p>
    <w:p>
      <w:pPr>
        <w:spacing w:before="160" w:after="40" w:line="240" w:lineRule="auto"/>
      </w:pPr>
      <w:r>
        <w:rPr>
          <w:b/>
        </w:rPr>
        <w:t xml:space="preserve">[311] </w:t>
      </w:r>
      <w:hyperlink r:id="rId580">
        <w:r>
          <w:rPr>
            <w:color w:val="1155CC"/>
            <w:u w:val="single"/>
          </w:rPr>
          <w:t>PFASS 热处理方法和加强</w:t>
        </w:r>
      </w:hyperlink>
    </w:p>
    <w:p>
      <w:pPr>
        <w:spacing w:before="0" w:after="80"/>
      </w:pPr>
      <w:r>
        <w:rPr>
          <w:i/>
          <w:sz w:val="20"/>
        </w:rPr>
        <w:t>EN: PFAS thermal treatment approaches and enhancement</w:t>
      </w:r>
    </w:p>
    <w:p>
      <w:pPr>
        <w:spacing w:before="0" w:after="120"/>
      </w:pPr>
      <w:r>
        <w:rPr>
          <w:b/>
        </w:rPr>
        <w:t xml:space="preserve">Source: </w:t>
      </w:r>
      <w:r>
        <w:t>Nature Reviews Clean Technology</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热技术,包括焚化、热解和热解吸,都是从受污染的介质中去除每和多氟烷基物质(PFAS)的全面选择,然而,这些热处理产生不完全销毁的产品(PIDs),而完整的PFAS矿化很少在950°C以下实现。 在这次审查中,我们审查了PFAS和PID形成机制的热降解和矿化途径,并强调了在降低温度下加强PFAS矿化的创新战略。</w:t>
      </w:r>
    </w:p>
    <w:p>
      <w:pPr>
        <w:spacing w:before="0" w:after="200" w:lineRule="auto" w:line="276"/>
      </w:pPr>
      <w:r>
        <w:rPr>
          <w:b/>
        </w:rPr>
        <w:t xml:space="preserve">Abstract (EN): </w:t>
      </w:r>
      <w:r>
        <w:t>Thermal technologies, including incineration, pyrolysis and thermal desorption, are full-scale options for removing per- and polyfluoroalkyl substances (PFAS) from contaminated media. However, these thermal treatments generate products of incomplete destruction (PIDs), and complete PFAS mineralization is rarely achieved below 950 °C. In this Review, we examine the thermal degradation and mineralization pathways of PFAS and the PID-formation mechanisms, and highlight innovative strategies to enhance PFAS mineralization at reduced temperatures. PFAS-removal efficiencies are excellent (over 90%) across thermal technologies provided that high temperatures (above 700 °C) are used; however, mineralization efficiencies are generally less than 40% at temperatures below 700 °C and accompanied by the formation of PIDs, including perfluorocarbon greenhouse gases. Thermal phase transitions of PFAS (solid or sorbed to molten to vapour states) typically precede PFAS decomposition. Vapour containment is therefore essential to minimize fugitive emissions. The use of additives (activated carbon, alkali metals, alkaline-earth metals and platinum-group metals) can substantially minimize PID formation and improve mineralization (to more than 95%) at moderate temperatures (200–500 °C). However, additive-enhanced approaches are at varying stages of readiness, and further validation and process optimization are needed prior to large-scale implementation.</w:t>
      </w:r>
    </w:p>
    <w:p>
      <w:pPr>
        <w:spacing w:before="120" w:after="120"/>
      </w:pPr>
      <w:r>
        <w:rPr>
          <w:sz w:val="18"/>
        </w:rPr>
        <w:t>——————————————————————————————————————————————————————————————————————</w:t>
      </w:r>
    </w:p>
    <w:p>
      <w:pPr>
        <w:spacing w:before="160" w:after="40" w:line="240" w:lineRule="auto"/>
      </w:pPr>
      <w:r>
        <w:rPr>
          <w:b/>
        </w:rPr>
        <w:t xml:space="preserve">[312] </w:t>
      </w:r>
      <w:hyperlink r:id="rId581">
        <w:r>
          <w:rPr>
            <w:color w:val="1155CC"/>
            <w:u w:val="single"/>
          </w:rPr>
          <w:t>直接对应选择性C(sp3)-H通过金属粉末红外氧化物催解将N-alkyl 虫结合</w:t>
        </w:r>
      </w:hyperlink>
    </w:p>
    <w:p>
      <w:pPr>
        <w:spacing w:before="0" w:after="80"/>
      </w:pPr>
      <w:r>
        <w:rPr>
          <w:i/>
          <w:sz w:val="20"/>
        </w:rPr>
        <w:t>EN: Direct enantioselective C(sp3)−H coupling of N-alkyl anilines via metallaphotoredox catalysis</w:t>
      </w:r>
    </w:p>
    <w:p>
      <w:pPr>
        <w:spacing w:before="0" w:after="120"/>
      </w:pPr>
      <w:r>
        <w:rPr>
          <w:b/>
        </w:rPr>
        <w:t xml:space="preserve">Source: </w:t>
      </w:r>
      <w:r>
        <w:t>Nature Chemistry</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在制药和农用化学合成中,地雷功能化至关重要,然而,N-alkyl anilines的直接对应选择性α-C(sp3)-H功能化仍具有挑战性。 在这里,我们展示了α-C(sp3)-HN-alkyl anilines的金属对甲状腺素催化激进方法,引入了简单的、在分子上阻碍丙酮光化催化剂。 这一关键创新延缓了不理想的后电子传输,使AL-anilinoalkyl 激进一代得以高效地实现。 我们的战略使用了相继的单电子转移和质子转移过程,从而克服了现有方法的多重限制。 我们与一个手淫镍催化剂一起,实现了多种N-alkyl anil anilines与各种(hetero)卤化剂的选址、对应选择性的相互连接。</w:t>
      </w:r>
    </w:p>
    <w:p>
      <w:pPr>
        <w:spacing w:before="0" w:after="200" w:lineRule="auto" w:line="276"/>
      </w:pPr>
      <w:r>
        <w:rPr>
          <w:b/>
        </w:rPr>
        <w:t xml:space="preserve">Abstract (EN): </w:t>
      </w:r>
      <w:r>
        <w:t>Amine functionalization is crucial in pharmaceutical and agrochemical synthesis yet direct enantioselective α-C(sp3)–H functionalization of N-alkyl anilines remains challenging. Here we show a metallaphotoredox-catalysed radical approach for α-C(sp3)–H arylation of N-alkyl anilines, introducing a simple, sterically hindered aryl ketone photocatalyst. This key innovation slows undesired back-electron transfer, enabling efficient α-anilinoalkyl radical generation. Our strategy uses a sequential single-electron transfer and proton transfer process, thereby overcoming multiple limitations of existing methods. In conjunction with a chiral nickel catalyst, we have achieved site-selective, enantioselective arylation of diverse N-alkyl anilines with various (hetero)aryl halides. The method exhibits exceptional functional group tolerance, enabling modular functionalization of complex molecular structures. This approach provides an effective route to valuable α-aryl amines, offering significant possibilities for drug discovery and streamlining challenging synthetic sequences.</w:t>
      </w:r>
    </w:p>
    <w:p>
      <w:pPr>
        <w:spacing w:before="120" w:after="120"/>
      </w:pPr>
      <w:r>
        <w:rPr>
          <w:sz w:val="18"/>
        </w:rPr>
        <w:t>——————————————————————————————————————————————————————————————————————</w:t>
      </w:r>
    </w:p>
    <w:p>
      <w:pPr>
        <w:spacing w:before="160" w:after="40" w:line="240" w:lineRule="auto"/>
      </w:pPr>
      <w:r>
        <w:rPr>
          <w:b/>
        </w:rPr>
        <w:t xml:space="preserve">[313] </w:t>
      </w:r>
      <w:hyperlink r:id="rId582">
        <w:r>
          <w:rPr>
            <w:color w:val="1155CC"/>
            <w:u w:val="single"/>
          </w:rPr>
          <w:t>电化学潜伏在热催化氢的表面之下</w:t>
        </w:r>
      </w:hyperlink>
    </w:p>
    <w:p>
      <w:pPr>
        <w:spacing w:before="0" w:after="80"/>
      </w:pPr>
      <w:r>
        <w:rPr>
          <w:i/>
          <w:sz w:val="20"/>
        </w:rPr>
        <w:t>EN: Electrochemistry lurks beneath the surface of thermocatalytic hydrogenations</w:t>
      </w:r>
    </w:p>
    <w:p>
      <w:pPr>
        <w:spacing w:before="0" w:after="120"/>
      </w:pPr>
      <w:r>
        <w:rPr>
          <w:b/>
        </w:rPr>
        <w:t xml:space="preserve">Source: </w:t>
      </w:r>
      <w:r>
        <w:t>Nature Chemistry</w:t>
      </w:r>
      <w:r>
        <w:t xml:space="preserve">    </w:t>
      </w:r>
      <w:r>
        <w:rPr>
          <w:b/>
        </w:rPr>
        <w:t xml:space="preserve">Pub date: </w:t>
      </w:r>
      <w:r>
        <w:t>2026-01-05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[314] </w:t>
      </w:r>
      <w:hyperlink r:id="rId583">
        <w:r>
          <w:rPr>
            <w:color w:val="1155CC"/>
            <w:u w:val="single"/>
          </w:rPr>
          <w:t>用于稳定二维活性过气管的</w:t>
        </w:r>
      </w:hyperlink>
    </w:p>
    <w:p>
      <w:pPr>
        <w:spacing w:before="0" w:after="80"/>
      </w:pPr>
      <w:r>
        <w:rPr>
          <w:i/>
          <w:sz w:val="20"/>
        </w:rPr>
        <w:t>EN: Intralayer bidentate diammoniums for stable two-dimensional perovskites</w:t>
      </w:r>
    </w:p>
    <w:p>
      <w:pPr>
        <w:spacing w:before="0" w:after="120"/>
      </w:pPr>
      <w:r>
        <w:rPr>
          <w:b/>
        </w:rPr>
        <w:t xml:space="preserve">Source: </w:t>
      </w:r>
      <w:r>
        <w:t>Nature Chemistry</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两维(2D)金属卤化百草枯在光电子应用方面引起了相当大的注意。 常规的 2D 百草枯包括鲁德列斯登-Popper(R-P)、Dion-Jacobson(D-J)和交替电解阶段。 在这里,我们引入了一种2D 百草枯的类别,其中包括了称为B-D 级的中左层内螺旋藻,称为B-D级,目的是加强结构多样性和稳定性。我们用一个硬核心单元和两个聚氨酯-绝缘链接组合成了牵引线螺旋藻,并获得了含有这些B-D离子的单晶体和层内引线协调。分子动态模拟显示,与R-P级和D-J级对等相比,B-D-D级与无机层相比,B-D-D级的结合能量更强。</w:t>
      </w:r>
    </w:p>
    <w:p>
      <w:pPr>
        <w:spacing w:before="0" w:after="200" w:lineRule="auto" w:line="276"/>
      </w:pPr>
      <w:r>
        <w:rPr>
          <w:b/>
        </w:rPr>
        <w:t xml:space="preserve">Abstract (EN): </w:t>
      </w:r>
      <w:r>
        <w:t>Two-dimensional (2D) metal halide perovskites have attracted considerable attention for optoelectronic applications. Conventional 2D perovskites include Ruddlesden–Popper (R-P), Dion–Jacobson (D-J) and alternating cation phases. Here we introduce a class of 2D perovskite incorporating intralayer bidentate ligands, termed B-D phase perovskites, designed to enhance structural diversity and stability. We synthesized bidentate ligands with a rigid core unit and two ipsilateral ammonium-terminated linker groups, and obtained single crystals incorporating these B-D ligands with intralayer bidentate coordination. Molecular dynamics simulations reveal that the B-D ligand exhibits stronger binding energies to the inorganic layer compared with its R-P and D-J phase counterparts. Polycrystalline thin films of B-D phase showed superior thermal resistance, outperforming R-P and D-J phase analogues by 1,600% and 140% respectively, based on absorption stability assessments. Photovoltaic devices incorporating the B-D ligand exhibited higher power conversion efficiency and extended stability. These findings establish B-D phase 2D perovskites as a promising platform for next-generation optoelectronic applications, advancing ligand engineering for metal halide perovskites and other hybrid materials.</w:t>
      </w:r>
    </w:p>
    <w:p>
      <w:pPr>
        <w:spacing w:before="120" w:after="120"/>
      </w:pPr>
      <w:r>
        <w:rPr>
          <w:sz w:val="18"/>
        </w:rPr>
        <w:t>——————————————————————————————————————————————————————————————————————</w:t>
      </w:r>
    </w:p>
    <w:p>
      <w:pPr>
        <w:spacing w:before="160" w:after="40" w:line="240" w:lineRule="auto"/>
      </w:pPr>
      <w:r>
        <w:rPr>
          <w:b/>
        </w:rPr>
        <w:t xml:space="preserve">[315] </w:t>
      </w:r>
      <w:hyperlink r:id="rId584">
        <w:r>
          <w:rPr>
            <w:color w:val="1155CC"/>
            <w:u w:val="single"/>
          </w:rPr>
          <w:t>进行可伸缩的可伸缩的、稳定且可提高稳定性的柔性渗透式光伏发电的无定形谷物边界工程</w:t>
        </w:r>
      </w:hyperlink>
    </w:p>
    <w:p>
      <w:pPr>
        <w:spacing w:before="0" w:after="80"/>
      </w:pPr>
      <w:r>
        <w:rPr>
          <w:i/>
          <w:sz w:val="20"/>
        </w:rPr>
        <w:t>EN: Amorphous grain boundary engineering for scalable flexible perovskite photovoltaics with improved stability</w:t>
      </w:r>
    </w:p>
    <w:p>
      <w:pPr>
        <w:spacing w:before="0" w:after="120"/>
      </w:pPr>
      <w:r>
        <w:rPr>
          <w:b/>
        </w:rPr>
        <w:t xml:space="preserve">Source: </w:t>
      </w:r>
      <w:r>
        <w:t>Nature Energy</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柔软的千伏天太阳能电池对轻型光伏电池有着希望,但它们的性能、耐久性和可伸缩性却落后于僵硬的太阳能电池。常规效率提高战略,如谷物扩大或铅碘化消能,往往会降低机械性能。 我们在这里将数据驱动的机器学习与消能方法相结合,以克服这一权衡。 我们设计了在原位自行组合的粮食边界上形成的β环环十二脱脂衍生物,通过协调债券、氢债券和宿主-众人互动加强光电子特性和机械复原力。 我们实现了灵活太阳能电池,效率为24.52%,耐久性增强:在1万个弯曲周期后保持92.5%的效率,300天后保持95%。</w:t>
      </w:r>
    </w:p>
    <w:p>
      <w:pPr>
        <w:spacing w:before="0" w:after="200" w:lineRule="auto" w:line="276"/>
      </w:pPr>
      <w:r>
        <w:rPr>
          <w:b/>
        </w:rPr>
        <w:t xml:space="preserve">Abstract (EN): </w:t>
      </w:r>
      <w:r>
        <w:t>Flexible perovskite solar cells hold promises for lightweight photovoltaics, yet their performance, durability and scalability lag behind rigid counterparts. Conventional efficiency-enhancing strategies, such as grain enlargement or lead iodide passivation, often degrade mechanical robustness. Here we combine data-driven machine learning with a passivation approach to overcome this trade-off. We design β-cyclodextrin derivatives that form in situ self-assembled amorphous grain boundaries, enhancing optoelectronic properties and mechanical resilience through coordination bonds, hydrogen bonds and host–guest interactions. We achieve flexible solar cells with an efficiency of 24.52% and enhanced durability: 92.5% efficiency retention after 10,000 bending cycles, 95% after 300 days in ambient air and 80% under 650 h of maximum power point tracking. We demonstrate modules with certified efficiencies of 21.09% (aperture area: 21.07 cm2) and 17.38% (aperture area: 0.5 m2, 86.9 W). Larger-area module (aperture area: 1.4725 m2) delivers 226 W power output and power per weight of 558 W kg−1. Our work addresses critical barriers in flexible perovskite photovoltaics.</w:t>
      </w:r>
    </w:p>
    <w:p>
      <w:pPr>
        <w:spacing w:before="120" w:after="120"/>
      </w:pPr>
      <w:r>
        <w:rPr>
          <w:sz w:val="18"/>
        </w:rPr>
        <w:t>——————————————————————————————————————————————————————————————————————</w:t>
      </w:r>
    </w:p>
    <w:p>
      <w:pPr>
        <w:spacing w:before="160" w:after="40" w:line="240" w:lineRule="auto"/>
      </w:pPr>
      <w:r>
        <w:rPr>
          <w:b/>
        </w:rPr>
        <w:t xml:space="preserve">[316] </w:t>
      </w:r>
      <w:hyperlink r:id="rId585">
        <w:r>
          <w:rPr>
            <w:color w:val="1155CC"/>
            <w:u w:val="single"/>
          </w:rPr>
          <w:t>Sunyaeveldovich 检测红色轮班热气</w:t>
        </w:r>
      </w:hyperlink>
    </w:p>
    <w:p>
      <w:pPr>
        <w:spacing w:before="0" w:after="80"/>
      </w:pPr>
      <w:r>
        <w:rPr>
          <w:i/>
          <w:sz w:val="20"/>
        </w:rPr>
        <w:t>EN: Sunyaev–Zeldovich detection of hot intracluster gas at redshift 4.3</w:t>
      </w:r>
    </w:p>
    <w:p>
      <w:pPr>
        <w:spacing w:before="0" w:after="120"/>
      </w:pPr>
      <w:r>
        <w:rPr>
          <w:b/>
        </w:rPr>
        <w:t xml:space="preserve">Source: </w:t>
      </w:r>
      <w:r>
        <w:t>Nature</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1. 宇宙模拟预测,随着小群群中的气团内气团内气团内气团内气团内气团内气团内气团内气团内气团内气团内气团内气团内气团内的气团内气团内气团内气团内的气团内气团内气团内气团内热量和温度会下降到更早的时期,目前大多数银河系内的斗篷(107 K)是热气团内热气团内气团内热气团内热气团内热气团内热气团内热气团内热气团内热气团内热气团内热气团内热气团内热气团内热气团内热团内热气团内热气团内热团内热气团内热团内热团内气团内热气团内热气团内热气团内热气团内热气团内热团内热团内热团内热团内气团内热团内热团内热团内热团内热团内热团内热团内热团内热团内热团内</w:t>
      </w:r>
    </w:p>
    <w:p>
      <w:pPr>
        <w:spacing w:before="0" w:after="200" w:lineRule="auto" w:line="276"/>
      </w:pPr>
      <w:r>
        <w:rPr>
          <w:b/>
        </w:rPr>
        <w:t xml:space="preserve">Abstract (EN): </w:t>
      </w:r>
      <w:r>
        <w:t>Most baryons in present-day galaxy clusters exist as hot gas (≳107 K), forming the intracluster medium (ICM)1. Cosmological simulations predict that the mass and temperature of the ICM decline towards earlier times, as intracluster gas in younger clusters is still assembling and being heated2,3,4. To date, hot ICM has been securely detected only in a few systems at or above z ≈ 2, leaving the timing and mechanism of ICM assembly uncertain5,6,7. Here we report the direct observation of hot intracluster gas via its thermal Sunyaev–Zeldovich signature in the protocluster SPT2349–56 with the Atacama Large Millimeter/submillimeter Array. SPT2349–56 hosts a large molecular gas reservoir and three radio-loud active galactic nuclei (AGN) within an approximately 100-kpc region at z = 4.3 (refs. 8,9,10,11). The measurement implies a thermal energy of about 1061 erg in the core, about 10 times more than gravity alone should produce. Contrary to current theoretical expectations3,4,12, the hot ICM in SPT2349–56 demonstrates that substantial heating can occur very early in cluster assembly, depositing enough energy to overheat the nascent ICM well before mature clusters become common at z ≈ 2.</w:t>
      </w:r>
    </w:p>
    <w:p>
      <w:pPr>
        <w:spacing w:before="120" w:after="120"/>
      </w:pPr>
      <w:r>
        <w:rPr>
          <w:sz w:val="18"/>
        </w:rPr>
        <w:t>——————————————————————————————————————————————————————————————————————</w:t>
      </w:r>
    </w:p>
    <w:p>
      <w:pPr>
        <w:spacing w:before="160" w:after="40" w:line="240" w:lineRule="auto"/>
      </w:pPr>
      <w:r>
        <w:rPr>
          <w:b/>
        </w:rPr>
        <w:t xml:space="preserve">[317] </w:t>
      </w:r>
      <w:hyperlink r:id="rId586">
        <w:r>
          <w:rPr>
            <w:color w:val="1155CC"/>
            <w:u w:val="single"/>
          </w:rPr>
          <w:t>将CO2或CO对多碳产品减少CO2或CO的缩放电催化剂</w:t>
        </w:r>
      </w:hyperlink>
    </w:p>
    <w:p>
      <w:pPr>
        <w:spacing w:before="0" w:after="80"/>
      </w:pPr>
      <w:r>
        <w:rPr>
          <w:i/>
          <w:sz w:val="20"/>
        </w:rPr>
        <w:t>EN: Scaling electrocatalysts for reduction of CO2 or CO to multicarbon products</w:t>
      </w:r>
    </w:p>
    <w:p>
      <w:pPr>
        <w:spacing w:before="0" w:after="120"/>
      </w:pPr>
      <w:r>
        <w:rPr>
          <w:b/>
        </w:rPr>
        <w:t xml:space="preserve">Source: </w:t>
      </w:r>
      <w:r>
        <w:t>Nature Reviews Materials</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虽然实验室规模示范现在利用毫克催化剂在平方厘米尺度上实现了令人鼓舞的选择性和当前密度,但工业实施需要平米的电极和每台电解器10克以上的催化剂。 在全球取代约2%的基于化石的乙烯每年需要大约10吨催化剂,使材料生产具有与电化学效率一样必不可少的可缩放性。 扩大C2+生产带来了不同的挑战,因为基于Cu的催化剂表现出结构敏感的选择性,需要与电极精确结合。</w:t>
      </w:r>
    </w:p>
    <w:p>
      <w:pPr>
        <w:spacing w:before="0" w:after="200" w:lineRule="auto" w:line="276"/>
      </w:pPr>
      <w:r>
        <w:rPr>
          <w:b/>
        </w:rPr>
        <w:t xml:space="preserve">Abstract (EN): </w:t>
      </w:r>
      <w:r>
        <w:t>Electrochemical CO2 reduction (CO2R) to multicarbon (C2+) products can reduce the carbon intensity of both chemicals and fuels. Although laboratory-scale demonstrations now achieve encouraging selectivities and current densities on the square centimetre scale using milligrams of catalyst, industrial implementation demands electrodes on the square metre scale and more than 10 grams of catalyst per electrolyser. Replacing just 2% or so of fossil-based ethylene globally would require about 10 tonnes of catalyst annually, making scalability in material production as essential as electrochemical efficiency. Scaling C2+ production introduces distinct challenges, as Cu-based catalysts show structure-sensitive selectivity, necessitating precise integration with electrodes. In this Perspective, we evaluate current strategies for catalyst–electrode integration — nanoparticle catalyst deposition, electrodeposition and sputtering — and argue that electrodeposition and sputtering will be constrained in scalability by throughput and substrate limitations. In contrast, nanoparticle deposition — pre-synthesizing nanoparticles and coating them onto electrodes — combines structural tunability with compatibility for high-throughput roll-to-roll processing, as demonstrated in large-scale manufacturing for fuel cells, water electrolysers and batteries. Building on evidence from the literature, we propose a workflow connecting scalable catalyst synthesis to continuous coating. We further advocate establishing catalyst production throughput (for example, grams per hour) as a benchmark alongside conventional electrochemical performance metrics. We highlight catalyst stability and uniform, high-speed ink coating processes as top research priorities for gigawatt-scale CO2R-to-C2+ products.</w:t>
      </w:r>
    </w:p>
    <w:p>
      <w:pPr>
        <w:spacing w:before="120" w:after="120"/>
      </w:pPr>
      <w:r>
        <w:rPr>
          <w:sz w:val="18"/>
        </w:rPr>
        <w:t>——————————————————————————————————————————————————————————————————————</w:t>
      </w:r>
    </w:p>
    <w:p>
      <w:pPr>
        <w:spacing w:before="160" w:after="40" w:line="240" w:lineRule="auto"/>
      </w:pPr>
      <w:r>
        <w:rPr>
          <w:b/>
        </w:rPr>
        <w:t xml:space="preserve">[318] </w:t>
      </w:r>
      <w:hyperlink r:id="rId587">
        <w:r>
          <w:rPr>
            <w:color w:val="1155CC"/>
            <w:u w:val="single"/>
          </w:rPr>
          <w:t>可持续可扩展的多地球光伏发电行动</w:t>
        </w:r>
      </w:hyperlink>
    </w:p>
    <w:p>
      <w:pPr>
        <w:spacing w:before="0" w:after="80"/>
      </w:pPr>
      <w:r>
        <w:rPr>
          <w:i/>
          <w:sz w:val="20"/>
        </w:rPr>
        <w:t>EN: Actions for sustainably scalable multi-terawatt photovoltaics</w:t>
      </w:r>
    </w:p>
    <w:p>
      <w:pPr>
        <w:spacing w:before="0" w:after="120"/>
      </w:pPr>
      <w:r>
        <w:rPr>
          <w:b/>
        </w:rPr>
        <w:t xml:space="preserve">Source: </w:t>
      </w:r>
      <w:r>
        <w:t>Nature Reviews Clean Technology</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光伏发电(PV)系统的全球部署正在进入多地球范围内,随着光电工业的扩展,关于效率、材料选择和回收利用的决定将产生越来越大的影响。在本审查中,我们评估了哪些行动能确保光电工业的可持续性。光电发电系统在光电装置整个寿命期内所需的材料数量比化石燃料电力少两到三个级;然而,增加大约50万平方公里的模块面积仍然在资源消耗和可持续性方面构成严重挑战。在将物质流纳入循环经济的同时减少物质需求可以提高材料供应的可持续性。短期内,光电发电的快速增长将使得电能解碳化。</w:t>
      </w:r>
    </w:p>
    <w:p>
      <w:pPr>
        <w:spacing w:before="0" w:after="200" w:lineRule="auto" w:line="276"/>
      </w:pPr>
      <w:r>
        <w:rPr>
          <w:b/>
        </w:rPr>
        <w:t xml:space="preserve">Abstract (EN): </w:t>
      </w:r>
      <w:r>
        <w:t>Global deployment of photovoltaic (PV) systems is entering the multi-terawatt scale. Decisions on efficiency, material selection and recyclability will have increasingly large impacts as the PV industry expands. In this Review, we assess which actions ensure sustainability in the PV industry. A PV system requires two to three orders of magnitude less material compared with fossil fuel electricity over the device’s lifetime; however, adding around half a million square kilometres of module area still creates serious challenges in terms of resource consumption and sustainability. Reducing material demands while incorporating material streams into a circular economy can increase the sustainability of material supply. In the short term, the rapid growth PV will enable decarbonization of the electricity supply, whereas development of multijunction devices and thin-film technologies such as perovskite or concentrator III–V PV can reduce material and energy demand. End-of-life management for PV modules must be considered at the design stage, as these decisions affect future waste outcomes decades later. Finally, social responsibility is an integral part of sustainability and essential for broad acceptance of PV. Understanding the specific challenges of available options will enable optimum sustainable yield from multi-terawatt-scale PVs.</w:t>
      </w:r>
    </w:p>
    <w:p>
      <w:pPr>
        <w:spacing w:before="120" w:after="120"/>
      </w:pPr>
      <w:r>
        <w:rPr>
          <w:sz w:val="18"/>
        </w:rPr>
        <w:t>——————————————————————————————————————————————————————————————————————</w:t>
      </w:r>
    </w:p>
    <w:p>
      <w:pPr>
        <w:spacing w:before="160" w:after="40" w:line="240" w:lineRule="auto"/>
      </w:pPr>
      <w:r>
        <w:rPr>
          <w:b/>
        </w:rPr>
        <w:t xml:space="preserve">[319] </w:t>
      </w:r>
      <w:hyperlink r:id="rId588">
        <w:r>
          <w:rPr>
            <w:color w:val="1155CC"/>
            <w:u w:val="single"/>
          </w:rPr>
          <w:t>电池电极材料中无推力气体进化装置</w:t>
        </w:r>
      </w:hyperlink>
    </w:p>
    <w:p>
      <w:pPr>
        <w:spacing w:before="0" w:after="80"/>
      </w:pPr>
      <w:r>
        <w:rPr>
          <w:i/>
          <w:sz w:val="20"/>
        </w:rPr>
        <w:t>EN: Unravelling gas evolution mechanisms in battery electrode materials</w:t>
      </w:r>
    </w:p>
    <w:p>
      <w:pPr>
        <w:spacing w:before="0" w:after="120"/>
      </w:pPr>
      <w:r>
        <w:rPr>
          <w:b/>
        </w:rPr>
        <w:t xml:space="preserve">Source: </w:t>
      </w:r>
      <w:r>
        <w:t>Nature Chemistry</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LiFexMn1-xPO4 阳性电极材料显示出提高电池安全性、电密度和成本效益的巨大潜力。然而,气体进化缩短了可循环性,并提出了额外的安全关切,这提出了重大挑战。LiFexMn1-xPO4 电池的气体进化机制不为人所知,妨碍了物质改进工作。这里我们检查了LiFexMn1-xPO4-光谱全细胞,同时对正电极和负电极的气体进化进行量化和检测。我们发现,90%以上的进化气体由二氧化碳和H2组成。 CO2来自LiFexMn1-xPO4的侧反应,电化学和化学途径的贡献几乎相同。 H2是石墨固体电极界面的化学侧反应造成的。</w:t>
      </w:r>
    </w:p>
    <w:p>
      <w:pPr>
        <w:spacing w:before="0" w:after="200" w:lineRule="auto" w:line="276"/>
      </w:pPr>
      <w:r>
        <w:rPr>
          <w:b/>
        </w:rPr>
        <w:t xml:space="preserve">Abstract (EN): </w:t>
      </w:r>
      <w:r>
        <w:t>LiFexMn1−xPO4 positive electrode materials show significant potential for enhancing battery safety, power density and cost-effectiveness. However, gas evolution shortens the cyclability and raises additional safety concerns, presenting a major challenge. The gas evolution mechanisms in LiFexMn1−xPO4 batteries are poorly understood, impeding the material improvement efforts. Here we examine a LiFexMn1−xPO4-graphite full cell, simultaneously quantifying and probing gas evolution from positive and negative electrodes. We found over 90% of the evolved gas was composed of CO2 and H2. CO2 originated from side reactions at LiFexMn1−xPO4, with almost equal contributions from electrochemical and chemical pathways. H2 resulted from chemical side reactions at the graphite’s solid–electrolyte interface and was closely associated with the dissolution of Mn/Fe ions from the LiFexMn1−xPO4. We developed a LiFexMn1−xPO4 with a dense carbon layer coating, which inhibited metal ion dissolution by an order of magnitude and minimized side reactions at both electrodes. A 4.1-Ah pouch cell exhibited stable performance over 540 cycles with over 90% capacity retention.</w:t>
      </w:r>
    </w:p>
    <w:p>
      <w:pPr>
        <w:spacing w:before="120" w:after="120"/>
      </w:pPr>
      <w:r>
        <w:rPr>
          <w:sz w:val="18"/>
        </w:rPr>
        <w:t>——————————————————————————————————————————————————————————————————————</w:t>
      </w:r>
    </w:p>
    <w:p>
      <w:pPr>
        <w:spacing w:before="160" w:after="40" w:line="240" w:lineRule="auto"/>
      </w:pPr>
      <w:r>
        <w:rPr>
          <w:b/>
        </w:rPr>
        <w:t xml:space="preserve">[320] </w:t>
      </w:r>
      <w:hyperlink r:id="rId589">
        <w:r>
          <w:rPr>
            <w:color w:val="1155CC"/>
            <w:u w:val="single"/>
          </w:rPr>
          <w:t>林业权力下放对尼泊尔农村不平等的影响</w:t>
        </w:r>
      </w:hyperlink>
    </w:p>
    <w:p>
      <w:pPr>
        <w:spacing w:before="0" w:after="80"/>
      </w:pPr>
      <w:r>
        <w:rPr>
          <w:i/>
          <w:sz w:val="20"/>
        </w:rPr>
        <w:t>EN: Effects of forestry decentralization on rural inequality in Nepal</w:t>
      </w:r>
    </w:p>
    <w:p>
      <w:pPr>
        <w:spacing w:before="0" w:after="120"/>
      </w:pPr>
      <w:r>
        <w:rPr>
          <w:b/>
        </w:rPr>
        <w:t xml:space="preserve">Source: </w:t>
      </w:r>
      <w:r>
        <w:t>Nature Sustainability</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然而,权力下放治理下的地方利益往往不平等,反映了现存的社会不平等。我们分析两次全国人口普查的微观数据,我们把这些数据与关于实施这些普查的行政数据合并在一起。</w:t>
      </w:r>
    </w:p>
    <w:p>
      <w:pPr>
        <w:spacing w:before="0" w:after="200" w:lineRule="auto" w:line="276"/>
      </w:pPr>
      <w:r>
        <w:rPr>
          <w:b/>
        </w:rPr>
        <w:t xml:space="preserve">Abstract (EN): </w:t>
      </w:r>
      <w:r>
        <w:t>Decentralized approaches to natural resource governance can promote conservation while reducing poverty in the Global South. However, the local benefits under decentralized governance are often unequal, reflecting extant social inequalities. There is a lack of rigorous evidence from national-scale studies showing how decentralization programmes affect inequality compared with what is observed in decentralization’s absence, and extant theory leads to competing hypotheses about such effects. We use data from a large-scale forestry-sector decentralization programme in Nepal during 2001–2011 to test general theories regarding the effects of such initiatives on inequality. We analyse census micro-data from two nationwide censuses, which we merge with administrative data on the implementation of decentralization and analyse through a two-way fixed-effects estimation approach. We find evidence suggesting that Nepal’s programme delivers significant poverty-alleviating benefits to the dominant ethnic and caste groups and comparatively smaller benefits to members of marginalized minority groups, resulting in apparent local increases in rural inequality associated with the programme. Thus, even relatively progressive programmes, such as Nepal’s, may lead to potential trade-offs between poverty alleviation, environmental conservation and inequality outcomes. Improved compliance with equity provisions may help to equalize effects, as could more substantial targeted benefits.</w:t>
      </w:r>
    </w:p>
    <w:p>
      <w:pPr>
        <w:spacing w:before="120" w:after="120"/>
      </w:pPr>
      <w:r>
        <w:rPr>
          <w:sz w:val="18"/>
        </w:rPr>
        <w:t>——————————————————————————————————————————————————————————————————————</w:t>
      </w:r>
    </w:p>
    <w:p>
      <w:pPr>
        <w:spacing w:before="160" w:after="40" w:line="240" w:lineRule="auto"/>
      </w:pPr>
      <w:r>
        <w:rPr>
          <w:b/>
        </w:rPr>
        <w:t xml:space="preserve">[321] </w:t>
      </w:r>
      <w:hyperlink r:id="rId590">
        <w:r>
          <w:rPr>
            <w:color w:val="1155CC"/>
            <w:u w:val="single"/>
          </w:rPr>
          <w:t>基于弹性地貌衣着的体感应网络</w:t>
        </w:r>
      </w:hyperlink>
    </w:p>
    <w:p>
      <w:pPr>
        <w:spacing w:before="0" w:after="80"/>
      </w:pPr>
      <w:r>
        <w:rPr>
          <w:i/>
          <w:sz w:val="20"/>
        </w:rPr>
        <w:t>EN: Body sensor networks based on flexible topological clothing</w:t>
      </w:r>
    </w:p>
    <w:p>
      <w:pPr>
        <w:spacing w:before="0" w:after="120"/>
      </w:pPr>
      <w:r>
        <w:rPr>
          <w:b/>
        </w:rPr>
        <w:t xml:space="preserve">Source: </w:t>
      </w:r>
      <w:r>
        <w:t>Nature Electronics</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人体传感器网络无线连接多个机载传感器,使用能够支持近场或地面微波传播的元材料,但这类网络的设计一般限于一维单元细胞结构,地形元材料常常用于激光和光子源等光子应用,但由于生物环境中灵活性低、弯曲损失高、能量耗竭高,它们与生物系统的融合仍然有限。我们在此报告灵活的地心元材料服装,可在人体上提供强大的生物感测网络。这种方法以由薄金属导导导纺织品制造的二维表层材料为基础。</w:t>
      </w:r>
    </w:p>
    <w:p>
      <w:pPr>
        <w:spacing w:before="0" w:after="200" w:lineRule="auto" w:line="276"/>
      </w:pPr>
      <w:r>
        <w:rPr>
          <w:b/>
        </w:rPr>
        <w:t xml:space="preserve">Abstract (EN): </w:t>
      </w:r>
      <w:r>
        <w:t>Body sensor networks wirelessly interconnect multiple on-body sensors using metamaterials that are capable of supporting microwave near-field or surface-wave propagations. However, the design of such networks is typically restricted to one-dimensional unit-cell structures. Topological metamaterials are often used in photonics applications such as lasers and photon sources, but their integration with biological systems remain limited due to low flexibility, high bending loss and high energy dissipation in biological environments. Here we report flexible topological metamaterial clothing that can provide robust biosensing networks on the human body. The approach is based on two-dimensional topological modules fabricated from thin metallic conductive textiles. The resulting topological edge states improve on-body signal transmission by over three orders of magnitude (more than 30 dB) compared with conventional radiative networks, and can maintain performance under various bending angles. The modular design allows reconfiguration by varying the combination of topological phase modules. We show that the topological clothing with interconnected biosensors, and enhanced with machine learning algorithms, can monitor vital signs during exercise with an over two orders of magnitude improvement in signal-to-noise ratio and a threefold increase in accuracy compared with a system without topological clothing.</w:t>
      </w:r>
    </w:p>
    <w:p>
      <w:pPr>
        <w:spacing w:before="120" w:after="120"/>
      </w:pPr>
      <w:r>
        <w:rPr>
          <w:sz w:val="18"/>
        </w:rPr>
        <w:t>——————————————————————————————————————————————————————————————————————</w:t>
      </w:r>
    </w:p>
    <w:p>
      <w:pPr>
        <w:spacing w:before="160" w:after="40" w:line="240" w:lineRule="auto"/>
      </w:pPr>
      <w:r>
        <w:rPr>
          <w:b/>
        </w:rPr>
        <w:t xml:space="preserve">[322] </w:t>
      </w:r>
      <w:hyperlink r:id="rId591">
        <w:r>
          <w:rPr>
            <w:color w:val="1155CC"/>
            <w:u w:val="single"/>
          </w:rPr>
          <w:t>由一致的 Higgs 模式驱动的二维卤化全氟辛基磺酸四边形元可变四角相</w:t>
        </w:r>
      </w:hyperlink>
    </w:p>
    <w:p>
      <w:pPr>
        <w:spacing w:before="0" w:after="80"/>
      </w:pPr>
      <w:r>
        <w:rPr>
          <w:i/>
          <w:sz w:val="20"/>
        </w:rPr>
        <w:t>EN: A metastable tetragonal phase in two-dimensional halide perovskite lattices driven by a coherent Higgs mode</w:t>
      </w:r>
    </w:p>
    <w:p>
      <w:pPr>
        <w:spacing w:before="0" w:after="120"/>
      </w:pPr>
      <w:r>
        <w:rPr>
          <w:b/>
        </w:rPr>
        <w:t xml:space="preserve">Source: </w:t>
      </w:r>
      <w:r>
        <w:t>Nature Materials</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金属卤化全氟辛基磺酸金属的光电子特性由它们结合的结构和光物理特性来界定,然而它们的晶状行为仍然未得到充分探索。在这里,我们利用刺激性刺激拉曼光谱分析法,研究二维丁烯基铅碘化(((BA)2PbI4)薄膜(((BA)2PbI4))的光导光导光导电动动态动态,其刺激强度、光能和温度各不相同。我们发现,虽然(BA)2PbI4展示了两个热可进入的正方位相交相相交相相交相,光振动的光振动声带瞬间将拉蒂引导到一个不同、更高对称的四角相位相。我们显示,在低至高对称路径后,在平面和外的八向倾斜斜面倾斜面方向同时发生扭曲,以两维为标志的振动。</w:t>
      </w:r>
    </w:p>
    <w:p>
      <w:pPr>
        <w:spacing w:before="0" w:after="200" w:lineRule="auto" w:line="276"/>
      </w:pPr>
      <w:r>
        <w:rPr>
          <w:b/>
        </w:rPr>
        <w:t xml:space="preserve">Abstract (EN): </w:t>
      </w:r>
      <w:r>
        <w:t>The optoelectronic properties of metal halide perovskites are defined by their coupled structural and photophysical properties, yet their lattice behaviour remains underexplored. Here, using impulsive stimulated Raman spectroscopy, we study light-induced phonon dynamics of two-dimensional butylammonium lead iodide ((BA)2PbI4) films under varying excitation intensities, photon energies and temperatures. We reveal that, whereas (BA)2PbI4 exhibits two thermally accessible orthorhombic phases, optically excited phonons transiently direct the lattice to a distinct, higher symmetry tetragonal phase. We show that bandgap oscillations arise from simultaneous distortions of in-plane and out-of-plane octahedral tilt angles with oscillations following a low-to-high symmetry pathway, marked by two vibrational frequencies independent of intensity—a signature of an optically excited Higgs mode. Notably, the Higgs mode at below-bandgap excitation induces a fourfold larger spectral shift than above-bandgap, where photogenerated charge carriers drive the system away from the optically induced tetragonal phase. This study illustrates how optomechanical coupling influences the optical properties of two-dimensional perovskites.</w:t>
      </w:r>
    </w:p>
    <w:p>
      <w:pPr>
        <w:spacing w:before="120" w:after="120"/>
      </w:pPr>
      <w:r>
        <w:rPr>
          <w:sz w:val="18"/>
        </w:rPr>
        <w:t>——————————————————————————————————————————————————————————————————————</w:t>
      </w:r>
    </w:p>
    <w:p>
      <w:pPr>
        <w:spacing w:before="160" w:after="40" w:line="240" w:lineRule="auto"/>
      </w:pPr>
      <w:r>
        <w:rPr>
          <w:b/>
        </w:rPr>
        <w:t xml:space="preserve">[323] </w:t>
      </w:r>
      <w:hyperlink r:id="rId592">
        <w:r>
          <w:rPr>
            <w:color w:val="1155CC"/>
            <w:u w:val="single"/>
          </w:rPr>
          <w:t>解除微纤维术语线索的破坏</w:t>
        </w:r>
      </w:hyperlink>
    </w:p>
    <w:p>
      <w:pPr>
        <w:spacing w:before="0" w:after="80"/>
      </w:pPr>
      <w:r>
        <w:rPr>
          <w:i/>
          <w:sz w:val="20"/>
        </w:rPr>
        <w:t>EN: Unravelling the threads of microfibre terminology</w:t>
      </w:r>
    </w:p>
    <w:p>
      <w:pPr>
        <w:spacing w:before="0" w:after="120"/>
      </w:pPr>
      <w:r>
        <w:rPr>
          <w:b/>
        </w:rPr>
        <w:t xml:space="preserve">Source: </w:t>
      </w:r>
      <w:r>
        <w:t>Nature Sustainability</w:t>
      </w:r>
      <w:r>
        <w:t xml:space="preserve">    </w:t>
      </w:r>
      <w:r>
        <w:rPr>
          <w:b/>
        </w:rPr>
        <w:t xml:space="preserve">Pub date: </w:t>
      </w:r>
      <w:r>
        <w:t>2026-01-05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[324] </w:t>
      </w:r>
      <w:hyperlink r:id="rId593">
        <w:r>
          <w:rPr>
            <w:color w:val="1155CC"/>
            <w:u w:val="single"/>
          </w:rPr>
          <w:t>在直升机三层石墨中模拟超摩尔放松</w:t>
        </w:r>
      </w:hyperlink>
    </w:p>
    <w:p>
      <w:pPr>
        <w:spacing w:before="0" w:after="80"/>
      </w:pPr>
      <w:r>
        <w:rPr>
          <w:i/>
          <w:sz w:val="20"/>
        </w:rPr>
        <w:t>EN: Imaging supermoiré relaxation in helical trilayer graphene</w:t>
      </w:r>
    </w:p>
    <w:p>
      <w:pPr>
        <w:spacing w:before="0" w:after="120"/>
      </w:pPr>
      <w:r>
        <w:rPr>
          <w:b/>
        </w:rPr>
        <w:t xml:space="preserve">Source: </w:t>
      </w:r>
      <w:r>
        <w:t>Nature Materials</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在扭曲的van der Waals材料中,本地原子放松可以改变基本电子结构。 确定拉蒂的重建特征及其易变能力对于理解新兴电子状态至关重要, 特别是在多层层中, 在多层中, Moiré lattices 之间的干扰会产生更大的超摩尔模式, 其能量对本地堆叠非常敏感。 我们在这里用热量三层石墨电子特性来想象空间调节, 这表明它会放松到一个大域的超级结构中, 且周期性均匀。 我们显示超摩伊雷域的面积因菌株而增加, 并且可以在同一设备中改变, 同时保护每个域的本地特性 。 最后, 我们观察到在域布有更高的导力 。</w:t>
      </w:r>
    </w:p>
    <w:p>
      <w:pPr>
        <w:spacing w:before="0" w:after="200" w:lineRule="auto" w:line="276"/>
      </w:pPr>
      <w:r>
        <w:rPr>
          <w:b/>
        </w:rPr>
        <w:t xml:space="preserve">Abstract (EN): </w:t>
      </w:r>
      <w:r>
        <w:t>In twisted van der Waals materials, local atomic relaxation can alter the underlying electronic structure. Characterizing lattice reconstruction and its susceptibility to strain is essential for understanding emergent electronic states, especially in multilayers in which interference between moiré lattices yields larger supermoiré patterns whose energy is highly sensitive to local stacking. Here we image spatial modulations in the electronic character of helical trilayer graphene, which indicate relaxation into a superstructure of large domains with uniform moiré periodicity. We show that the supermoiré domain size is increased by strain and can be altered in the same device while preserving the local properties within each domain. Finally, we observe a higher conductance at the domain boundaries, consistent with predictions that they host counterpropagating edge modes. Our work provides a real-space visualization of moiré-periodic domains, reveals two independently tunable length scales and demonstrates strain engineering as a route towards designing correlated topological networks at the supermoiré scale.</w:t>
      </w:r>
    </w:p>
    <w:p>
      <w:pPr>
        <w:spacing w:before="120" w:after="120"/>
      </w:pPr>
      <w:r>
        <w:rPr>
          <w:sz w:val="18"/>
        </w:rPr>
        <w:t>——————————————————————————————————————————————————————————————————————</w:t>
      </w:r>
    </w:p>
    <w:p>
      <w:pPr>
        <w:spacing w:before="160" w:after="40" w:line="240" w:lineRule="auto"/>
      </w:pPr>
      <w:r>
        <w:rPr>
          <w:b/>
        </w:rPr>
        <w:t xml:space="preserve">[325] </w:t>
      </w:r>
      <w:hyperlink r:id="rId594">
        <w:r>
          <w:rPr>
            <w:color w:val="1155CC"/>
            <w:u w:val="single"/>
          </w:rPr>
          <w:t>为建设更好的全固态锂电池而专门设计的固态电解解器的谷物边界</w:t>
        </w:r>
      </w:hyperlink>
    </w:p>
    <w:p>
      <w:pPr>
        <w:spacing w:before="0" w:after="80"/>
      </w:pPr>
      <w:r>
        <w:rPr>
          <w:i/>
          <w:sz w:val="20"/>
        </w:rPr>
        <w:t>EN: Tailoring grain boundaries of solid-state electrolytes for building better all-solid-state lithium batteries</w:t>
      </w:r>
    </w:p>
    <w:p>
      <w:pPr>
        <w:spacing w:before="0" w:after="120"/>
      </w:pPr>
      <w:r>
        <w:rPr>
          <w:b/>
        </w:rPr>
        <w:t xml:space="preserve">Source: </w:t>
      </w:r>
      <w:r>
        <w:t>RSC - Chem. Soc. Rev. latest articles</w:t>
      </w:r>
      <w:r>
        <w:t xml:space="preserve">    </w:t>
      </w:r>
      <w:r>
        <w:rPr>
          <w:b/>
        </w:rPr>
        <w:t xml:space="preserve">Pub date: </w:t>
      </w:r>
      <w:r>
        <w:t>2026-01-05 00:00:00+00:00</w:t>
      </w:r>
    </w:p>
    <w:p>
      <w:pPr>
        <w:spacing w:before="0" w:after="120"/>
      </w:pPr>
      <w:r>
        <w:rPr>
          <w:b/>
        </w:rPr>
        <w:t xml:space="preserve">Notes: </w:t>
      </w:r>
      <w:r>
        <w:t>abstract_source=rsc_html</w:t>
      </w:r>
    </w:p>
    <w:p>
      <w:pPr>
        <w:spacing w:before="0" w:after="80" w:lineRule="auto" w:line="276"/>
      </w:pPr>
      <w:r>
        <w:rPr>
          <w:b/>
        </w:rPr>
        <w:t xml:space="preserve">摘要（ZH）: </w:t>
      </w:r>
      <w:r>
        <w:t>谷地边界是多晶体材料中固有的和不可避免的微结构特征,在确定固态电解层的总体性能方面起着决定性作用。尽管小型和小型实体在使全固体和高能量密度的固态锂电池(ASSLBs)更加安全和高能量密度方面大有希望,但它们的功能性主要由基体决定。这些基体严重妨碍离子运输,促进锂脱丁酸的传播,加速内部退化,从而损害细胞的性能和寿命。然而,尽管对GB的监管进行了大量研究,但仍然缺乏对其形成机制的全面审查和针对ASSLBs的具体改进战略。在这次审查中,我们强调形成机械体的情况。</w:t>
      </w:r>
    </w:p>
    <w:p>
      <w:pPr>
        <w:spacing w:before="0" w:after="200" w:lineRule="auto" w:line="276"/>
      </w:pPr>
      <w:r>
        <w:rPr>
          <w:b/>
        </w:rPr>
        <w:t xml:space="preserve">Abstract (EN): </w:t>
      </w:r>
      <w:r>
        <w:t>Grain boundaries (GBs), which are inherent and unavoidable microstructural features in polycrystalline materials, play a decisive role in determining the overall performance of solid-state electrolytes (SSEs). Although SSEs hold great promise for enabling safer and higher-energy-density all-solid-state lithium batteries (ASSLBs), their functional properties are largely dominated by GBs. These GBs severely impede ionic transport, promote lithium dendrite propagation, and accelerate interfacial degradation, thereby compromising the performance and lifespan of the cell. However, despite the significant research on GB regulation, a comprehensive review of their formation mechanisms and improvement strategies specific to ASSLBs is still lacking. In this review, we highlight the formation mechanism of GBs and the effect of their fundamental physical and electrochemical characteristics on the safety and electrochemical performance of SSEs, integrating recent insights from experimental and computational analyses. The effective strategies for suppressing and mitigating GB-related limitations are summarized to enhance the performance of SSEs, along with proposed future research directions in GB engineering. By consolidating current knowledge, this review aims to connect fundamental understanding to practical battery design and provide actionable guidance for addressing the GB challenges in ASSLBs.</w:t>
      </w:r>
    </w:p>
    <w:p>
      <w:pPr>
        <w:spacing w:before="120" w:after="120"/>
      </w:pPr>
      <w:r>
        <w:rPr>
          <w:sz w:val="18"/>
        </w:rPr>
        <w:t>——————————————————————————————————————————————————————————————————————</w:t>
      </w:r>
    </w:p>
    <w:p>
      <w:pPr>
        <w:spacing w:before="160" w:after="40" w:line="240" w:lineRule="auto"/>
      </w:pPr>
      <w:r>
        <w:rPr>
          <w:b/>
        </w:rPr>
        <w:t xml:space="preserve">[326] </w:t>
      </w:r>
      <w:hyperlink r:id="rId595">
        <w:r>
          <w:rPr>
            <w:color w:val="1155CC"/>
            <w:u w:val="single"/>
          </w:rPr>
          <w:t>利用带螺栓的螺钉结的Mn综合体,提高二氧化碳氢化的生产率和稳定性</w:t>
        </w:r>
      </w:hyperlink>
    </w:p>
    <w:p>
      <w:pPr>
        <w:spacing w:before="0" w:after="80"/>
      </w:pPr>
      <w:r>
        <w:rPr>
          <w:i/>
          <w:sz w:val="20"/>
        </w:rPr>
        <w:t>EN: Improving productivity and stability for CO2 hydrogenation by using pincer-ligated Mn complexes with hemilabile ligands</w:t>
      </w:r>
    </w:p>
    <w:p>
      <w:pPr>
        <w:spacing w:before="0" w:after="120"/>
      </w:pPr>
      <w:r>
        <w:rPr>
          <w:b/>
        </w:rPr>
        <w:t xml:space="preserve">Source: </w:t>
      </w:r>
      <w:r>
        <w:t>Chem</w:t>
      </w:r>
      <w:r>
        <w:t xml:space="preserve">    </w:t>
      </w:r>
      <w:r>
        <w:rPr>
          <w:b/>
        </w:rPr>
        <w:t xml:space="preserve">Pub date: </w:t>
      </w:r>
      <w:r>
        <w:t>2026-01-05 00:00:00+00:00</w:t>
      </w:r>
    </w:p>
    <w:p>
      <w:pPr>
        <w:spacing w:before="0" w:after="120"/>
      </w:pPr>
      <w:r>
        <w:rPr>
          <w:b/>
        </w:rPr>
        <w:t xml:space="preserve">Notes: </w:t>
      </w:r>
      <w:r>
        <w:t>abstract_source=rss_cell</w:t>
      </w:r>
    </w:p>
    <w:p>
      <w:pPr>
        <w:spacing w:before="0" w:after="80" w:lineRule="auto" w:line="276"/>
      </w:pPr>
      <w:r>
        <w:rPr>
          <w:b/>
        </w:rPr>
        <w:t xml:space="preserve">摘要（ZH）: </w:t>
      </w:r>
      <w:r>
        <w:t>在Wedal 等人(Wedal 等人) 与另外一个用于防止催化剂分解的助产物合成了含有针线的Mn催化剂。这些复合物提供了极好的更替次数、更替频率和二氧化碳氢化寿命,供囚犯取而代之。催化性能与助产物的结合强度有关,这种强度不能太强或太弱。这项工作为设计各种应用的催化剂提供了原则。</w:t>
      </w:r>
    </w:p>
    <w:p>
      <w:pPr>
        <w:spacing w:before="0" w:after="200" w:lineRule="auto" w:line="276"/>
      </w:pPr>
      <w:r>
        <w:rPr>
          <w:b/>
        </w:rPr>
        <w:t xml:space="preserve">Abstract (EN): </w:t>
      </w:r>
      <w:r>
        <w:t>Pincer-ligated first-row transition-metal catalysts facilitate many reactions but often undergo rapid deactivation. Here, Wedal et al. synthesize Mn catalysts containing pincer ligands with an additional hemilabile donor designed to prevent catalyst decomposition. These complexes give excellent turnover numbers, turnover frequencies, and lifetimes for CO2 hydrogenation to formate. Catalytic performance is related to the binding strength of the hemilabile donor, which cannot be too strong or too weak. This work provides principles for designing catalysts for a variety of applications.</w:t>
      </w:r>
    </w:p>
    <w:p>
      <w:pPr>
        <w:spacing w:before="120" w:after="120"/>
      </w:pPr>
      <w:r>
        <w:rPr>
          <w:sz w:val="18"/>
        </w:rPr>
        <w:t>——————————————————————————————————————————————————————————————————————</w:t>
      </w:r>
    </w:p>
    <w:p>
      <w:pPr>
        <w:spacing w:before="160" w:after="40" w:line="240" w:lineRule="auto"/>
      </w:pPr>
      <w:r>
        <w:rPr>
          <w:b/>
        </w:rPr>
        <w:t xml:space="preserve">[327] </w:t>
      </w:r>
      <w:hyperlink r:id="rId596">
        <w:r>
          <w:rPr>
            <w:color w:val="1155CC"/>
            <w:u w:val="single"/>
          </w:rPr>
          <w:t>2000年至2023年之间,业务效率提高,中国网上购物的排放密集度降低三分之一</w:t>
        </w:r>
      </w:hyperlink>
    </w:p>
    <w:p>
      <w:pPr>
        <w:spacing w:before="0" w:after="80"/>
      </w:pPr>
      <w:r>
        <w:rPr>
          <w:i/>
          <w:sz w:val="20"/>
        </w:rPr>
        <w:t>EN: Operational efficiencies reduce emission intensity of online shopping in China by one-third between 2000 and 2023</w:t>
      </w:r>
    </w:p>
    <w:p>
      <w:pPr>
        <w:spacing w:before="0" w:after="120"/>
      </w:pPr>
      <w:r>
        <w:rPr>
          <w:b/>
        </w:rPr>
        <w:t xml:space="preserve">Source: </w:t>
      </w:r>
      <w:r>
        <w:t>One Earth</w:t>
      </w:r>
      <w:r>
        <w:t xml:space="preserve">    </w:t>
      </w:r>
      <w:r>
        <w:rPr>
          <w:b/>
        </w:rPr>
        <w:t xml:space="preserve">Pub date: </w:t>
      </w:r>
      <w:r>
        <w:t>2026-01-05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[328] </w:t>
      </w:r>
      <w:hyperlink r:id="rId597">
        <w:r>
          <w:rPr>
            <w:color w:val="1155CC"/>
            <w:u w:val="single"/>
          </w:rPr>
          <w:t>光电子材料的跨空间相互作用</w:t>
        </w:r>
      </w:hyperlink>
    </w:p>
    <w:p>
      <w:pPr>
        <w:spacing w:before="0" w:after="80"/>
      </w:pPr>
      <w:r>
        <w:rPr>
          <w:i/>
          <w:sz w:val="20"/>
        </w:rPr>
        <w:t>EN: Through-space interactions of optoelectronic materials</w:t>
      </w:r>
    </w:p>
    <w:p>
      <w:pPr>
        <w:spacing w:before="0" w:after="120"/>
      </w:pPr>
      <w:r>
        <w:rPr>
          <w:b/>
        </w:rPr>
        <w:t xml:space="preserve">Source: </w:t>
      </w:r>
      <w:r>
        <w:t>RSC - Chem. Soc. Rev. latest articles</w:t>
      </w:r>
      <w:r>
        <w:t xml:space="preserve">    </w:t>
      </w:r>
      <w:r>
        <w:rPr>
          <w:b/>
        </w:rPr>
        <w:t xml:space="preserve">Pub date: </w:t>
      </w:r>
      <w:r>
        <w:t>2026-01-05 00:00:00+00:00</w:t>
      </w:r>
    </w:p>
    <w:p>
      <w:pPr>
        <w:spacing w:before="0" w:after="120"/>
      </w:pPr>
      <w:r>
        <w:rPr>
          <w:b/>
        </w:rPr>
        <w:t xml:space="preserve">Notes: </w:t>
      </w:r>
      <w:r>
        <w:t>abstract_source=rsc_html</w:t>
      </w:r>
    </w:p>
    <w:p>
      <w:pPr>
        <w:spacing w:before="0" w:after="80" w:lineRule="auto" w:line="276"/>
      </w:pPr>
      <w:r>
        <w:rPr>
          <w:b/>
        </w:rPr>
        <w:t xml:space="preserve">摘要（ZH）: </w:t>
      </w:r>
      <w:r>
        <w:t>在分子科学中,基于共产物共生结合的理论(TBC)是设计高效有机功能材料的基础框架(OFMS),然而,尽管TBC已经广泛建立,但通过空间互动(TSI)最近已成为管理OFMS特性的同样重要的电子互动,特别是在部分或全部非混合结构体系中。 然而,缺乏定量结构(财产关系)和系统总结继续阻碍制定具有特定光电子特性的非相融合的OFMS一般设计战略。</w:t>
      </w:r>
    </w:p>
    <w:p>
      <w:pPr>
        <w:spacing w:before="0" w:after="200" w:lineRule="auto" w:line="276"/>
      </w:pPr>
      <w:r>
        <w:rPr>
          <w:b/>
        </w:rPr>
        <w:t xml:space="preserve">Abstract (EN): </w:t>
      </w:r>
      <w:r>
        <w:t>In molecular science, theories based on covalent through-bond conjugation (TBC) serve as the foundational framework for designing efficient organic functional materials (OFMs). However, while TBC has been extensively established, through-space interaction (TSI) has recently emerged as an equally crucial electronic interaction governing the properties of OFMs, particularly in systems with partially or fully non-conjugated architectures. Nevertheless, the absence of quantitative structure–property relationships and a systematic summary continues to hinder the development of general design strategies for non-conjugated OFMs with tailored optoelectronic characteristics. Herein, this review presents a comprehensive overview of TSI in optoelectronic materials, beginning with its history, development, and current perspective. From the perspectives of luminescence and electronic properties, the working mechanisms, properties, manipulation strategies, and advanced applications of TSI are comprehensively summarized with typical examples, mainly including clusteroluminescence, thermally activated delayed fluorescence, room-temperature phosphorescence, and charge transport. Based on the current achievements and challenges, perspectives for the future development of TSI and related optoelectronic materials are also discussed. This review will facilitate the rational design of TSI-based optoelectronic materials and advance new photophysical theories as a supplement to the well-established TBC-based theories for next-generation functional materials.</w:t>
      </w:r>
    </w:p>
    <w:p>
      <w:pPr>
        <w:spacing w:before="120" w:after="120"/>
      </w:pPr>
      <w:r>
        <w:rPr>
          <w:sz w:val="18"/>
        </w:rPr>
        <w:t>——————————————————————————————————————————————————————————————————————</w:t>
      </w:r>
    </w:p>
    <w:p>
      <w:pPr>
        <w:spacing w:before="160" w:after="40" w:line="240" w:lineRule="auto"/>
      </w:pPr>
      <w:r>
        <w:rPr>
          <w:b/>
        </w:rPr>
        <w:t xml:space="preserve">[329] </w:t>
      </w:r>
      <w:hyperlink r:id="rId598">
        <w:r>
          <w:rPr>
            <w:color w:val="1155CC"/>
            <w:u w:val="single"/>
          </w:rPr>
          <w:t>这些妇女帮助塑造量子力学——现在是认识她们的时候了。</w:t>
        </w:r>
      </w:hyperlink>
    </w:p>
    <w:p>
      <w:pPr>
        <w:spacing w:before="0" w:after="80"/>
      </w:pPr>
      <w:r>
        <w:rPr>
          <w:i/>
          <w:sz w:val="20"/>
        </w:rPr>
        <w:t>EN: These women helped to shape quantum mechanics — it’s time to recognize them</w:t>
      </w:r>
    </w:p>
    <w:p>
      <w:pPr>
        <w:spacing w:before="0" w:after="120"/>
      </w:pPr>
      <w:r>
        <w:rPr>
          <w:b/>
        </w:rPr>
        <w:t xml:space="preserve">Source: </w:t>
      </w:r>
      <w:r>
        <w:t>Nature</w:t>
      </w:r>
      <w:r>
        <w:t xml:space="preserve">    </w:t>
      </w:r>
      <w:r>
        <w:rPr>
          <w:b/>
        </w:rPr>
        <w:t xml:space="preserve">Pub date: </w:t>
      </w:r>
      <w:r>
        <w:t>2026-01-05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[330] </w:t>
      </w:r>
      <w:hyperlink r:id="rId599">
        <w:r>
          <w:rPr>
            <w:color w:val="1155CC"/>
            <w:u w:val="single"/>
          </w:rPr>
          <w:t>在不同的环境温度和阳光条件下为电动公共汽车充电,在不同的环境温度和阳光条件下提供太阳能</w:t>
        </w:r>
      </w:hyperlink>
    </w:p>
    <w:p>
      <w:pPr>
        <w:spacing w:before="0" w:after="80"/>
      </w:pPr>
      <w:r>
        <w:rPr>
          <w:i/>
          <w:sz w:val="20"/>
        </w:rPr>
        <w:t>EN: Charging electric buses with solar power under varying environmental temperatures and sunlight conditions</w:t>
      </w:r>
    </w:p>
    <w:p>
      <w:pPr>
        <w:spacing w:before="0" w:after="120"/>
      </w:pPr>
      <w:r>
        <w:rPr>
          <w:b/>
        </w:rPr>
        <w:t xml:space="preserve">Source: </w:t>
      </w:r>
      <w:r>
        <w:t>ScienceDirect Publication: Applied Energy</w:t>
      </w:r>
      <w:r>
        <w:t xml:space="preserve">    </w:t>
      </w:r>
      <w:r>
        <w:rPr>
          <w:b/>
        </w:rPr>
        <w:t xml:space="preserve">Pub date: </w:t>
      </w:r>
      <w:r>
        <w:t>2026-01-05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[331] </w:t>
      </w:r>
      <w:hyperlink r:id="rId600">
        <w:r>
          <w:rPr>
            <w:color w:val="1155CC"/>
            <w:u w:val="single"/>
          </w:rPr>
          <w:t>大流行病博士学位:毕业生对未来感到焦虑但乐观</w:t>
        </w:r>
      </w:hyperlink>
    </w:p>
    <w:p>
      <w:pPr>
        <w:spacing w:before="0" w:after="80"/>
      </w:pPr>
      <w:r>
        <w:rPr>
          <w:i/>
          <w:sz w:val="20"/>
        </w:rPr>
        <w:t>EN: Pandemic PhDs: graduates anxious, but optimistic, about the future</w:t>
      </w:r>
    </w:p>
    <w:p>
      <w:pPr>
        <w:spacing w:before="0" w:after="120"/>
      </w:pPr>
      <w:r>
        <w:rPr>
          <w:b/>
        </w:rPr>
        <w:t xml:space="preserve">Source: </w:t>
      </w:r>
      <w:r>
        <w:t>Nature</w:t>
      </w:r>
      <w:r>
        <w:t xml:space="preserve">    </w:t>
      </w:r>
      <w:r>
        <w:rPr>
          <w:b/>
        </w:rPr>
        <w:t xml:space="preserve">Pub date: </w:t>
      </w:r>
      <w:r>
        <w:t>2026-01-05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[332] </w:t>
      </w:r>
      <w:hyperlink r:id="rId601">
        <w:r>
          <w:rPr>
            <w:color w:val="1155CC"/>
            <w:u w:val="single"/>
          </w:rPr>
          <w:t>我认为莫桑比克的是人类进化的窗口</w:t>
        </w:r>
      </w:hyperlink>
    </w:p>
    <w:p>
      <w:pPr>
        <w:spacing w:before="0" w:after="80"/>
      </w:pPr>
      <w:r>
        <w:rPr>
          <w:i/>
          <w:sz w:val="20"/>
        </w:rPr>
        <w:t>EN: I see Mozambique’s baboons as windows into hominid evolution</w:t>
      </w:r>
    </w:p>
    <w:p>
      <w:pPr>
        <w:spacing w:before="0" w:after="120"/>
      </w:pPr>
      <w:r>
        <w:rPr>
          <w:b/>
        </w:rPr>
        <w:t xml:space="preserve">Source: </w:t>
      </w:r>
      <w:r>
        <w:t>Nature</w:t>
      </w:r>
      <w:r>
        <w:t xml:space="preserve">    </w:t>
      </w:r>
      <w:r>
        <w:rPr>
          <w:b/>
        </w:rPr>
        <w:t xml:space="preserve">Pub date: </w:t>
      </w:r>
      <w:r>
        <w:t>2026-01-05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[333] </w:t>
      </w:r>
      <w:hyperlink r:id="rId602">
        <w:r>
          <w:rPr>
            <w:color w:val="1155CC"/>
            <w:u w:val="single"/>
          </w:rPr>
          <w:t>每日简报:我们身体中的人类细胞,</w:t>
        </w:r>
      </w:hyperlink>
    </w:p>
    <w:p>
      <w:pPr>
        <w:spacing w:before="0" w:after="80"/>
      </w:pPr>
      <w:r>
        <w:rPr>
          <w:i/>
          <w:sz w:val="20"/>
        </w:rPr>
        <w:t>EN: Daily briefing: The human cells in our bodies that aren’t genetically ours</w:t>
      </w:r>
    </w:p>
    <w:p>
      <w:pPr>
        <w:spacing w:before="0" w:after="120"/>
      </w:pPr>
      <w:r>
        <w:rPr>
          <w:b/>
        </w:rPr>
        <w:t xml:space="preserve">Source: </w:t>
      </w:r>
      <w:r>
        <w:t>Nature</w:t>
      </w:r>
      <w:r>
        <w:t xml:space="preserve">    </w:t>
      </w:r>
      <w:r>
        <w:rPr>
          <w:b/>
        </w:rPr>
        <w:t xml:space="preserve">Pub date: </w:t>
      </w:r>
      <w:r>
        <w:t>2026-01-05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[334] </w:t>
      </w:r>
      <w:hyperlink r:id="rId603">
        <w:r>
          <w:rPr>
            <w:color w:val="1155CC"/>
            <w:u w:val="single"/>
          </w:rPr>
          <w:t>作者更正: Leishmani RNA 病毒通过TLR3以NLRP3为中介的煽动性抑制性抑制,破坏天生免疫力,从而加剧Leishman病。</w:t>
        </w:r>
      </w:hyperlink>
    </w:p>
    <w:p>
      <w:pPr>
        <w:spacing w:before="0" w:after="80"/>
      </w:pPr>
      <w:r>
        <w:rPr>
          <w:i/>
          <w:sz w:val="20"/>
        </w:rPr>
        <w:t>EN: Author Correction: Leishmania RNA virus exacerbates Leishmaniasis by subverting innate immunity via TLR3-mediated NLRP3 inflammasome inhibition</w:t>
      </w:r>
    </w:p>
    <w:p>
      <w:pPr>
        <w:spacing w:before="0" w:after="120"/>
      </w:pPr>
      <w:r>
        <w:rPr>
          <w:b/>
        </w:rPr>
        <w:t xml:space="preserve">Source: </w:t>
      </w:r>
      <w:r>
        <w:t>Nature Communications</w:t>
      </w:r>
      <w:r>
        <w:t xml:space="preserve">    </w:t>
      </w:r>
      <w:r>
        <w:rPr>
          <w:b/>
        </w:rPr>
        <w:t xml:space="preserve">Pub date: </w:t>
      </w:r>
      <w:r>
        <w:t>2026-01-05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[335] </w:t>
      </w:r>
      <w:hyperlink r:id="rId604">
        <w:r>
          <w:rPr>
            <w:color w:val="1155CC"/>
            <w:u w:val="single"/>
          </w:rPr>
          <w:t>聚乙苯的电荷再组合:非全新接受器太阳能电池,内含IE, 抵消大于1 eV的电荷再组合</w:t>
        </w:r>
      </w:hyperlink>
    </w:p>
    <w:p>
      <w:pPr>
        <w:spacing w:before="0" w:after="80"/>
      </w:pPr>
      <w:r>
        <w:rPr>
          <w:i/>
          <w:sz w:val="20"/>
        </w:rPr>
        <w:t>EN: Charge recombination in polythiophene: non-fullerene acceptor solar cells with IE offsets exceeding 1 eV</w:t>
      </w:r>
    </w:p>
    <w:p>
      <w:pPr>
        <w:spacing w:before="0" w:after="120"/>
      </w:pPr>
      <w:r>
        <w:rPr>
          <w:b/>
        </w:rPr>
        <w:t xml:space="preserve">Source: </w:t>
      </w:r>
      <w:r>
        <w:t>RSC - Energy Environ. Sci. latest articles</w:t>
      </w:r>
      <w:r>
        <w:t xml:space="preserve">    </w:t>
      </w:r>
      <w:r>
        <w:rPr>
          <w:b/>
        </w:rPr>
        <w:t xml:space="preserve">Pub date: </w:t>
      </w:r>
      <w:r>
        <w:t>2026-01-05 00:00:00+00:00</w:t>
      </w:r>
    </w:p>
    <w:p>
      <w:pPr>
        <w:spacing w:before="0" w:after="120"/>
      </w:pPr>
      <w:r>
        <w:rPr>
          <w:b/>
        </w:rPr>
        <w:t xml:space="preserve">Notes: </w:t>
      </w:r>
      <w:r>
        <w:t>abstract_source=rsc_html</w:t>
      </w:r>
    </w:p>
    <w:p>
      <w:pPr>
        <w:spacing w:before="0" w:after="80" w:lineRule="auto" w:line="276"/>
      </w:pPr>
      <w:r>
        <w:rPr>
          <w:b/>
        </w:rPr>
        <w:t xml:space="preserve">摘要（ZH）: </w:t>
      </w:r>
      <w:r>
        <w:t>在有机太阳能电池中,捐赠者 — — 接受者 — — 接受者 — — 热力景观决定了充电生成和充电再组合过程的效率,从而决定了设备性能。 在这里,我们介绍了关于一系列15个捐赠者 — — 接受者 — — 散散散异互接(BHJs)的研究,由捐赠者聚合聚(3-Hexyltherphene) (P3HTT-C14) 或聚[2,5-双(3-3-tradectylphyphen-2-yl)thieno [3,2-b]thiophene] (pBTT-C14) 和选定的非完全接受者(NFAs ) 组成,覆盖了广泛的内部能量。 我们表明,内部量效率(IQE)受到基因化和无基因再组合过程的限制,重要的是,随着捐赠者电离子能量(IE)和接受者电子亲和(EA)之间的能量差异而减少。</w:t>
      </w:r>
    </w:p>
    <w:p>
      <w:pPr>
        <w:spacing w:before="0" w:after="200" w:lineRule="auto" w:line="276"/>
      </w:pPr>
      <w:r>
        <w:rPr>
          <w:b/>
        </w:rPr>
        <w:t xml:space="preserve">Abstract (EN): </w:t>
      </w:r>
      <w:r>
        <w:t>In organic solar cells the energetic landscape of the donor–acceptor heterojunction determines the efficiency of charge generation and charge recombination processes, and thereby the device performance. Here, we present a study on a series of 15 donor–acceptor bulk heterojunctions (BHJs) consisting of either the donor polymer poly(3-hexylthiophene) (P3HT) or poly[2,5-bis(3-tetradecylthiophen-2-yl)thieno[3,2-b]thiophene] (pBTTT-C14) and selected non-fullerene acceptors (NFAs), spanning a wide range of interfacial energetics. We demonstrate that the internal quantum efficiency (IQE) is limited by geminate and non-geminate recombination processes and, importantly, decreases with the energy difference between the donor's ionization energy (IE) and the acceptor's electron affinity (EA), in other words, the diagonal bandgap, specifically if less than 1 eV, regardless of the interfacial IE offset. The dependence of charge recombination on the diagonal bandgap can be explained in the framework of the energy gap law. Our results provide further insight into the importance and impact of interfacial energetics in donor:NFA blends with large IE offsets.</w:t>
      </w:r>
    </w:p>
    <w:p>
      <w:pPr>
        <w:spacing w:before="120" w:after="120"/>
      </w:pPr>
      <w:r>
        <w:rPr>
          <w:sz w:val="18"/>
        </w:rPr>
        <w:t>——————————————————————————————————————————————————————————————————————</w:t>
      </w:r>
    </w:p>
    <w:p>
      <w:pPr>
        <w:spacing w:before="160" w:after="40" w:line="240" w:lineRule="auto"/>
      </w:pPr>
      <w:r>
        <w:rPr>
          <w:b/>
        </w:rPr>
        <w:t xml:space="preserve">[336] </w:t>
      </w:r>
      <w:hyperlink r:id="rId605">
        <w:r>
          <w:rPr>
            <w:color w:val="1155CC"/>
            <w:u w:val="single"/>
          </w:rPr>
          <w:t>探索光明的未来和太阳系的决定性过去:与雅克·拉斯卡尔的访谈</w:t>
        </w:r>
      </w:hyperlink>
    </w:p>
    <w:p>
      <w:pPr>
        <w:spacing w:before="0" w:after="80"/>
      </w:pPr>
      <w:r>
        <w:rPr>
          <w:i/>
          <w:sz w:val="20"/>
        </w:rPr>
        <w:t>EN: Exploring the Chaotic Future and the Deterministic Past of the Solar System: An Interview with Jacques Laskar</w:t>
      </w:r>
    </w:p>
    <w:p>
      <w:pPr>
        <w:spacing w:before="0" w:after="120"/>
      </w:pPr>
      <w:r>
        <w:rPr>
          <w:b/>
        </w:rPr>
        <w:t xml:space="preserve">Source: </w:t>
      </w:r>
      <w:r>
        <w:t>National Science Review Advance Access</w:t>
      </w:r>
      <w:r>
        <w:t xml:space="preserve">    </w:t>
      </w:r>
      <w:r>
        <w:rPr>
          <w:b/>
        </w:rPr>
        <w:t xml:space="preserve">Pub date: </w:t>
      </w:r>
      <w:r>
        <w:t>2026-01-05 00:00:00+00:00</w:t>
      </w:r>
      <w:r>
        <w:t xml:space="preserve">    </w:t>
      </w:r>
      <w:r>
        <w:rPr>
          <w:b/>
        </w:rPr>
        <w:t xml:space="preserve">DOI: </w:t>
      </w:r>
      <w:hyperlink r:id="rId606">
        <w:r>
          <w:rPr>
            <w:color w:val="1155CC"/>
            <w:u w:val="single"/>
          </w:rPr>
          <w:t>10.1093/nsr/nwag002/8414053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[337] </w:t>
      </w:r>
      <w:hyperlink r:id="rId607">
        <w:r>
          <w:rPr>
            <w:color w:val="1155CC"/>
            <w:u w:val="single"/>
          </w:rPr>
          <w:t>深层学习和超振动性小斑点增强多模式纤维探测器的权能,以便进行现场纳米迁移探测和微成像</w:t>
        </w:r>
      </w:hyperlink>
    </w:p>
    <w:p>
      <w:pPr>
        <w:spacing w:before="0" w:after="80"/>
      </w:pPr>
      <w:r>
        <w:rPr>
          <w:i/>
          <w:sz w:val="20"/>
        </w:rPr>
        <w:t>EN: Deep learning and superoscillatory speckles empowered multimode fiber probe for in situ nano-displacement detection and micro-imaging</w:t>
      </w:r>
    </w:p>
    <w:p>
      <w:pPr>
        <w:spacing w:before="0" w:after="120"/>
      </w:pPr>
      <w:r>
        <w:rPr>
          <w:b/>
        </w:rPr>
        <w:t xml:space="preserve">Source: </w:t>
      </w:r>
      <w:r>
        <w:t>Nature Communications</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高精度计量学为半导体制造和生命科学奠定了基础,然而,现有的迁移测量方法无法在复杂的设备内部进行灵活的探测。在这里,我们提出了一个现场的非接触纳米迁移测量方法。利用深层学习所增强的多模式纤维探测器,可以从超层层碎块中有效地提取精细特征信息,达到10纳米分辨率和99.95%精确度的单端探测。建立了物理模型,将迁移与纤维中较高等级模式的比例联系起来。次毫米尺寸探测器能够探测在封闭空间的不同结构中的目标。通过联合学习,可以实现严格的识别。</w:t>
      </w:r>
    </w:p>
    <w:p>
      <w:pPr>
        <w:spacing w:before="0" w:after="200" w:lineRule="auto" w:line="276"/>
      </w:pPr>
      <w:r>
        <w:rPr>
          <w:b/>
        </w:rPr>
        <w:t xml:space="preserve">Abstract (EN): </w:t>
      </w:r>
      <w:r>
        <w:t>High-precision metrology has laid the foundation for semiconductor fabrication and life sciences. However, existing displacement measurement approaches are incapable of performing flexible probing within complex equipment interiors. Here, we present a in situ, non-contact nano-displacement measurement approach. Leveraging a multimode fiber probe empowered by deep learning, fine feature information can be efficiently extracted from superoscillatory speckles, achieving single-ended detection with 10 nm resolution and 99.95% accuracy. A physical model is established to correlate the displacement with higher-order modes proportion in the fiber. Sub-millimeter-sized probe enables detecting targets with different structures in confined spaces. Robust recognition is achieved through joint learning, under varying fiber bending conditions and different metal materials. With extreme compression ratios of less than 0.1%, the system delivers high accuracy, low training costs, and high-speed processing. The imaging capability of the probe is also experimentally validated, proving potential as a powerful tool in applications such as lithography, weak force sensing, and super-resolution micro-endoscopy.</w:t>
      </w:r>
    </w:p>
    <w:p>
      <w:pPr>
        <w:spacing w:before="120" w:after="120"/>
      </w:pPr>
      <w:r>
        <w:rPr>
          <w:sz w:val="18"/>
        </w:rPr>
        <w:t>——————————————————————————————————————————————————————————————————————</w:t>
      </w:r>
    </w:p>
    <w:p>
      <w:pPr>
        <w:spacing w:before="160" w:after="40" w:line="240" w:lineRule="auto"/>
      </w:pPr>
      <w:r>
        <w:rPr>
          <w:b/>
        </w:rPr>
        <w:t xml:space="preserve">[338] </w:t>
      </w:r>
      <w:hyperlink r:id="rId608">
        <w:r>
          <w:rPr>
            <w:color w:val="1155CC"/>
            <w:u w:val="single"/>
          </w:rPr>
          <w:t>通过卤化物隔离使固态电池界面革命化</w:t>
        </w:r>
      </w:hyperlink>
    </w:p>
    <w:p>
      <w:pPr>
        <w:spacing w:before="0" w:after="80"/>
      </w:pPr>
      <w:r>
        <w:rPr>
          <w:i/>
          <w:sz w:val="20"/>
        </w:rPr>
        <w:t>EN: Revolutionizing solid state battery interfaces through halide segregation</w:t>
      </w:r>
    </w:p>
    <w:p>
      <w:pPr>
        <w:spacing w:before="0" w:after="120"/>
      </w:pPr>
      <w:r>
        <w:rPr>
          <w:b/>
        </w:rPr>
        <w:t xml:space="preserve">Source: </w:t>
      </w:r>
      <w:r>
        <w:t>National Science Review Advance Access</w:t>
      </w:r>
      <w:r>
        <w:t xml:space="preserve">    </w:t>
      </w:r>
      <w:r>
        <w:rPr>
          <w:b/>
        </w:rPr>
        <w:t xml:space="preserve">Pub date: </w:t>
      </w:r>
      <w:r>
        <w:t>2026-01-05 00:00:00+00:00</w:t>
      </w:r>
      <w:r>
        <w:t xml:space="preserve">    </w:t>
      </w:r>
      <w:r>
        <w:rPr>
          <w:b/>
        </w:rPr>
        <w:t xml:space="preserve">DOI: </w:t>
      </w:r>
      <w:hyperlink r:id="rId609">
        <w:r>
          <w:rPr>
            <w:color w:val="1155CC"/>
            <w:u w:val="single"/>
          </w:rPr>
          <w:t>10.1093/nsr/nwag003/8414055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[339] </w:t>
      </w:r>
      <w:hyperlink r:id="rId610">
        <w:r>
          <w:rPr>
            <w:color w:val="1155CC"/>
            <w:u w:val="single"/>
          </w:rPr>
          <w:t>用于量子网络的低噪音热机械化单光光磷转换</w:t>
        </w:r>
      </w:hyperlink>
    </w:p>
    <w:p>
      <w:pPr>
        <w:spacing w:before="0" w:after="80"/>
      </w:pPr>
      <w:r>
        <w:rPr>
          <w:i/>
          <w:sz w:val="20"/>
        </w:rPr>
        <w:t>EN: Low-noise optomechanical single phonon-photon conversion for quantum networks</w:t>
      </w:r>
    </w:p>
    <w:p>
      <w:pPr>
        <w:spacing w:before="0" w:after="120"/>
      </w:pPr>
      <w:r>
        <w:rPr>
          <w:b/>
        </w:rPr>
        <w:t xml:space="preserve">Source: </w:t>
      </w:r>
      <w:r>
        <w:t>Nature Communications</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纳米结构式机能晶体(OMC) 形成具有长期一致性时间的机械模式与远程传播量子信息理想的远程信息理想的远程光光谱光学光学光学光学光学光学电子光学光学光学光学光学光学光学光学光学光学光学光学光学光学光学光学光学光学光学光学光学光学光学的界面。 然而,基于 OMC 的可扩缩量量网络的实施受到热机械噪音的抑制。 在这里, 我们用准二维的 OMC 克服了这一限制, 通过单个光学分光学转换生成单一光学光学光学。 在这项工作中, 我们通过 Hanbury Brown-Twys 实验来验证生成的单光子的低热噪音和高纯度光学光能。 我们用Hong-Ou-Mandel 干扰了显示不平面的光学。</w:t>
      </w:r>
    </w:p>
    <w:p>
      <w:pPr>
        <w:spacing w:before="0" w:after="200" w:lineRule="auto" w:line="276"/>
      </w:pPr>
      <w:r>
        <w:rPr>
          <w:b/>
        </w:rPr>
        <w:t xml:space="preserve">Abstract (EN): </w:t>
      </w:r>
      <w:r>
        <w:t>Nano-structured optomechanical crystals (OMC) form an interface between mechanical modes with long coherence times and telecom optical photons, ideal for long-distance distribution of quantum information. However, the implementation of scalable quantum networks based on OMCs has been inhibited by thermal mechanical noise. Here, we overcome this limitation using a quasi-two-dimensional OMC and generate single photons via single phonon-photon conversion. In this work, we verify the low thermal noise and high purity of the generated single photons through a Hanbury Brown-Twiss experiment with g(2)(0)=0.35&amp;#x2212;0.08+0.10" role="presentation"&gt;g(2)(0)=0.35−0.08+0.10{g}^{(2)}(0)=0.3{5}_{-0.08}^{+0.10}. We perform Hong-Ou-Mandel interference of the emitted photons showcasing the indistinguishability and coherence with visibility V = 0.52 ± 0.15 after 1.43 km fiber delay. Lastly, we use two-photon interference to measure the temporal wavepackets of optomechanically generated single photons demonstrating narrow bandwidths as low as 10 MHz. Our results pave the way for multinode quantum networks of mechanical oscillators and hybrid entanglement generation between mechanical oscillators and telecom quantum emitters.</w:t>
      </w:r>
    </w:p>
    <w:p>
      <w:pPr>
        <w:spacing w:before="120" w:after="120"/>
      </w:pPr>
      <w:r>
        <w:rPr>
          <w:sz w:val="18"/>
        </w:rPr>
        <w:t>——————————————————————————————————————————————————————————————————————</w:t>
      </w:r>
    </w:p>
    <w:p>
      <w:pPr>
        <w:spacing w:before="160" w:after="40" w:line="240" w:lineRule="auto"/>
      </w:pPr>
      <w:r>
        <w:rPr>
          <w:b/>
        </w:rPr>
        <w:t xml:space="preserve">[340] </w:t>
      </w:r>
      <w:hyperlink r:id="rId611">
        <w:r>
          <w:rPr>
            <w:color w:val="1155CC"/>
            <w:u w:val="single"/>
          </w:rPr>
          <w:t>催化的不对称非对称移徙日记</w:t>
        </w:r>
      </w:hyperlink>
    </w:p>
    <w:p>
      <w:pPr>
        <w:spacing w:before="0" w:after="80"/>
      </w:pPr>
      <w:r>
        <w:rPr>
          <w:i/>
          <w:sz w:val="20"/>
        </w:rPr>
        <w:t>EN: Palladium-catalyzed asymmetric migratory diarylation of unactivated directing-group-free internal alkenes</w:t>
      </w:r>
    </w:p>
    <w:p>
      <w:pPr>
        <w:spacing w:before="0" w:after="120"/>
      </w:pPr>
      <w:r>
        <w:rPr>
          <w:b/>
        </w:rPr>
        <w:t xml:space="preserve">Source: </w:t>
      </w:r>
      <w:r>
        <w:t>Nature Communications</w:t>
      </w:r>
      <w:r>
        <w:t xml:space="preserve">    </w:t>
      </w:r>
      <w:r>
        <w:rPr>
          <w:b/>
        </w:rPr>
        <w:t xml:space="preserve">Pub date: </w:t>
      </w:r>
      <w:r>
        <w:t>2026-01-05 00:00:00+00:00</w:t>
      </w:r>
    </w:p>
    <w:p>
      <w:pPr>
        <w:spacing w:before="0" w:after="120"/>
      </w:pPr>
      <w:r>
        <w:rPr>
          <w:b/>
        </w:rPr>
        <w:t xml:space="preserve">Notes: </w:t>
      </w:r>
      <w:r>
        <w:t>abstract_source=nature_html</w:t>
      </w:r>
    </w:p>
    <w:p>
      <w:pPr>
        <w:spacing w:before="0" w:after="80" w:lineRule="auto" w:line="276"/>
      </w:pPr>
      <w:r>
        <w:rPr>
          <w:b/>
        </w:rPr>
        <w:t xml:space="preserve">摘要（ZH）: </w:t>
      </w:r>
      <w:r>
        <w:t>肾脏的选择性选择性二carbo功能化是构建功能化螺旋3丰富分子的有力战略,但对于没有定向团体的未激活子基体来说,它仍然具有挑战性。 尽管由d10过渡金属催化的不对称多成分反应对活性阿尔肯斯来说已经有所进步,但对于未激活的阿尔肯斯来说,对应的选择性多成分交叉组合,特别是使远程功能化能够进行定型选择性生成非对称立立体立体立体立体器,仍然发展不足。在此,我们报告,在无定向团体、三类替代的非活性烷基体中,出现了一种-催化不对称的不对称移徙双carbo功能化。这种方法形成了远程立体中心,使得1,3-代和1,4-代相继关系能够产生高度对应性选择性。</w:t>
      </w:r>
    </w:p>
    <w:p>
      <w:pPr>
        <w:spacing w:before="0" w:after="200" w:lineRule="auto" w:line="276"/>
      </w:pPr>
      <w:r>
        <w:rPr>
          <w:b/>
        </w:rPr>
        <w:t xml:space="preserve">Abstract (EN): </w:t>
      </w:r>
      <w:r>
        <w:t>Enantioselective dicarbofunctionalization of alkenes is a powerful strategy for constructing functionalized sp³-rich molecules, yet it remains challenging for unactivated substrates lacking directing groups. While asymmetric multicomponent reactions catalyzed by d¹⁰ transition metals have advanced for activated alkenes, enantioselective multicomponent cross-coupling of unactivated alkenes, particularly enabling remote functionalization to stereoselectively generate the nonadjacent stereocenters, is still underdeveloped. Herein, we report a palladium-catalyzed asymmetric migratory dicarbofunctionalization of directing-group-free, trisubstituted unactivated alkenes. This method forges remote stereogenic centers, enabling both 1,3-diarylation and 1,4-diarylation with high enantioselectivity and diastereoselectivity. Mechanistic studies indicate a chain-walking process involving irreversible Pd-H migration, rationalizing the observed regiocontrol.</w:t>
      </w:r>
    </w:p>
    <w:p>
      <w:pPr>
        <w:spacing w:before="120" w:after="120"/>
      </w:pPr>
      <w:r>
        <w:rPr>
          <w:sz w:val="18"/>
        </w:rPr>
        <w:t>——————————————————————————————————————————————————————————————————————</w:t>
      </w:r>
    </w:p>
    <w:p>
      <w:pPr>
        <w:spacing w:before="160" w:after="40" w:line="240" w:lineRule="auto"/>
      </w:pPr>
      <w:r>
        <w:rPr>
          <w:b/>
        </w:rPr>
        <w:t xml:space="preserve">[341] </w:t>
      </w:r>
      <w:hyperlink r:id="rId612">
        <w:r>
          <w:rPr>
            <w:color w:val="1155CC"/>
            <w:u w:val="single"/>
          </w:rPr>
          <w:t>设计用于高级催化分析的稀土纳米合金:趋势、挑战和前景</w:t>
        </w:r>
      </w:hyperlink>
    </w:p>
    <w:p>
      <w:pPr>
        <w:spacing w:before="0" w:after="80"/>
      </w:pPr>
      <w:r>
        <w:rPr>
          <w:i/>
          <w:sz w:val="20"/>
        </w:rPr>
        <w:t>EN: Designing rare-earth-based nanoalloys for advanced catalysis: trends, challenges, and perspectives</w:t>
      </w:r>
    </w:p>
    <w:p>
      <w:pPr>
        <w:spacing w:before="0" w:after="120"/>
      </w:pPr>
      <w:r>
        <w:rPr>
          <w:b/>
        </w:rPr>
        <w:t xml:space="preserve">Source: </w:t>
      </w:r>
      <w:r>
        <w:t>RSC - Chem. Soc. Rev. latest articles</w:t>
      </w:r>
      <w:r>
        <w:t xml:space="preserve">    </w:t>
      </w:r>
      <w:r>
        <w:rPr>
          <w:b/>
        </w:rPr>
        <w:t xml:space="preserve">Pub date: </w:t>
      </w:r>
      <w:r>
        <w:t>2026-01-05 00:00:00+00:00</w:t>
      </w:r>
    </w:p>
    <w:p>
      <w:pPr>
        <w:spacing w:before="0" w:after="120"/>
      </w:pPr>
      <w:r>
        <w:rPr>
          <w:b/>
        </w:rPr>
        <w:t xml:space="preserve">Notes: </w:t>
      </w:r>
      <w:r>
        <w:t>abstract_source=rsc_html</w:t>
      </w:r>
    </w:p>
    <w:p>
      <w:pPr>
        <w:spacing w:before="0" w:after="80" w:lineRule="auto" w:line="276"/>
      </w:pPr>
      <w:r>
        <w:rPr>
          <w:b/>
        </w:rPr>
        <w:t xml:space="preserve">摘要（ZH）: </w:t>
      </w:r>
      <w:r>
        <w:t>近年来,稀土元素(RE)由于其独特的4f电子配置和低电子密度,在建造高性能催化材料方面显示出巨大的潜力。 将RE元素纳入金属合金系统不仅有效调节合金的电子结构和原子安排,而且还大大加强了其催化活动和结构稳定性。 与过渡性金属合金相比,RE合金的形成呈负性,坚硬的热动力稳定性较高,在提高催化剂材料的耐久性方面有着明显的优势。 随着纳米催化、稀土纳米合金(RENAs)的迅速发展,其特点是结构控制性和多功能性极强。</w:t>
      </w:r>
    </w:p>
    <w:p>
      <w:pPr>
        <w:spacing w:before="0" w:after="200" w:lineRule="auto" w:line="276"/>
      </w:pPr>
      <w:r>
        <w:rPr>
          <w:b/>
        </w:rPr>
        <w:t xml:space="preserve">Abstract (EN): </w:t>
      </w:r>
      <w:r>
        <w:t>In recent years, rare-earth (RE) elements have demonstrated tremendous potential in constructing high-performance catalytic materials, owing to their unique 4f electronic configurations and low electronegativity. Incorporating RE elements into metallic alloy systems not only effectively regulates the electronic structure and atomic arrangement of the alloy but also significantly enhances its catalytic activity and structural stability. Compared with transition metal (M) alloys, RE alloys exhibit more negative formation enthalpies and superior thermodynamic stability, offering distinct advantages in improving the durability of catalytic materials. With the rapid development of nanocatalysis, rare-earth nanoalloys (RE–NAs), characterized by excellent structural controllability and multifunctionality, have emerged as an important research focus in fields such as energy catalysis and environmental remediation. However, the extremely low reduction potential of RE metals poses significant thermodynamic and kinetic challenges in the controllable synthesis of RE–NAs. To address this, researchers have proposed various strategies, including sodium vapor reduction, support-assisted synthesis, and metal–organic precursor approaches, achieving efficient reduction and alloying of RE ions and successfully preparing a series of RE–NA catalysts with high activity and stability. Despite remarkable progress in recent years, systematic reviews that integrate the key scientific mechanisms, structure–property relationships, and future research directions of RE–NAs remain lacking. This review comprehensively summarizes the thermodynamic basis of the formation of RE–NAs, structural regulation strategies, and their applications in typical electrocatalytic reactions and elucidates the mechanisms of structure–property regulation and performance enhancement. This review will provide theoretical guidance and inspiration for the in-depth study and rational design of RE nanoalloy catalytic systems.</w:t>
      </w:r>
    </w:p>
    <w:p>
      <w:pPr>
        <w:spacing w:before="120" w:after="120"/>
      </w:pPr>
      <w:r>
        <w:rPr>
          <w:sz w:val="18"/>
        </w:rPr>
        <w:t>——————————————————————————————————————————————————————————————————————</w:t>
      </w:r>
    </w:p>
    <w:p>
      <w:pPr>
        <w:spacing w:before="160" w:after="40" w:line="240" w:lineRule="auto"/>
      </w:pPr>
      <w:r>
        <w:rPr>
          <w:b/>
        </w:rPr>
        <w:t xml:space="preserve">[342] </w:t>
      </w:r>
      <w:hyperlink r:id="rId613">
        <w:r>
          <w:rPr>
            <w:color w:val="1155CC"/>
            <w:u w:val="single"/>
          </w:rPr>
          <w:t>了解含有SF5的化合物的五氟磺基化合物组和由财产驱动的SF5化合物设计</w:t>
        </w:r>
      </w:hyperlink>
    </w:p>
    <w:p>
      <w:pPr>
        <w:spacing w:before="0" w:after="80"/>
      </w:pPr>
      <w:r>
        <w:rPr>
          <w:i/>
          <w:sz w:val="20"/>
        </w:rPr>
        <w:t>EN: Understanding the pentafluorosulfanyl group and property-driven design of SF5-containing compounds</w:t>
      </w:r>
    </w:p>
    <w:p>
      <w:pPr>
        <w:spacing w:before="0" w:after="120"/>
      </w:pPr>
      <w:r>
        <w:rPr>
          <w:b/>
        </w:rPr>
        <w:t xml:space="preserve">Source: </w:t>
      </w:r>
      <w:r>
        <w:t>RSC - Chem. Soc. Rev. latest articles</w:t>
      </w:r>
      <w:r>
        <w:t xml:space="preserve">    </w:t>
      </w:r>
      <w:r>
        <w:rPr>
          <w:b/>
        </w:rPr>
        <w:t xml:space="preserve">Pub date: </w:t>
      </w:r>
      <w:r>
        <w:t>2026-01-05 00:00:00+00:00</w:t>
      </w:r>
    </w:p>
    <w:p>
      <w:pPr>
        <w:spacing w:before="0" w:after="120"/>
      </w:pPr>
      <w:r>
        <w:rPr>
          <w:b/>
        </w:rPr>
        <w:t xml:space="preserve">Notes: </w:t>
      </w:r>
      <w:r>
        <w:t>abstract_source=rsc_html</w:t>
      </w:r>
    </w:p>
    <w:p>
      <w:pPr>
        <w:spacing w:before="0" w:after="80" w:lineRule="auto" w:line="276"/>
      </w:pPr>
      <w:r>
        <w:rPr>
          <w:b/>
        </w:rPr>
        <w:t xml:space="preserve">摘要（ZH）: </w:t>
      </w:r>
      <w:r>
        <w:t>SF5组最近作为合成有机化学的多用途和有希望的结构模型,作为创新研究的重要框架,受到有机卢伊纳化学家的极大关注,最近作为合成有机化学的多用途和有希望的结构模型,SF5组得到突出的突出地位,它独特的电子和不动特征深刻地影响含有SF5的分子的回动,为精确的、受控制的变异提供了机会。值得注意的是,SF5组具有化学特性,但也可以作为一个有效的离子组或进行脱氟。最近的进展表明SF5衍生物在各种化学领域广泛适用。这一指导性审查概述了SF5模型的基本方面,并突出了其独特的特性如何塑造了SF5-conta的设计和应用。</w:t>
      </w:r>
    </w:p>
    <w:p>
      <w:pPr>
        <w:spacing w:before="0" w:after="200" w:lineRule="auto" w:line="276"/>
      </w:pPr>
      <w:r>
        <w:rPr>
          <w:b/>
        </w:rPr>
        <w:t xml:space="preserve">Abstract (EN): </w:t>
      </w:r>
      <w:r>
        <w:t>The SF5 group has recently gained prominence as a versatile and promising structural motif in synthetic organic chemistry, attracting considerable attention from organofluorine chemists as a significant framework for innovative research. Its distinctive electronic and steric features profoundly influence the reactivity of SF5-containing molecules, offering opportunities for precise, controlled transformations. Notably, the SF5 group is chemically robust yet can also serve as an effective leaving group or undergo defluorination. Recent advances have demonstrated the broad applicability of SF5 derivatives across various chemical fields. This tutorial review outlines the fundamental aspects of the SF5 motif and highlights how its unique properties shape the design and application of SF5-containing compounds.</w:t>
      </w:r>
    </w:p>
    <w:p>
      <w:pPr>
        <w:spacing w:before="120" w:after="120"/>
      </w:pPr>
      <w:r>
        <w:rPr>
          <w:sz w:val="18"/>
        </w:rPr>
        <w:t>——————————————————————————————————————————————————————————————————————</w:t>
      </w:r>
    </w:p>
    <w:p>
      <w:pPr>
        <w:spacing w:before="160" w:after="40" w:line="240" w:lineRule="auto"/>
      </w:pPr>
      <w:r>
        <w:rPr>
          <w:b/>
        </w:rPr>
        <w:t xml:space="preserve">[343] </w:t>
      </w:r>
      <w:hyperlink r:id="rId614">
        <w:r>
          <w:rPr>
            <w:color w:val="1155CC"/>
            <w:u w:val="single"/>
          </w:rPr>
          <w:t>如何应用热电联结催化法促进生物量转化为增值产品和氢?</w:t>
        </w:r>
      </w:hyperlink>
    </w:p>
    <w:p>
      <w:pPr>
        <w:spacing w:before="0" w:after="80"/>
      </w:pPr>
      <w:r>
        <w:rPr>
          <w:i/>
          <w:sz w:val="20"/>
        </w:rPr>
        <w:t>EN: How can thermoelectric coupling catalysis be applied to facilitate biomass conversion into value-added products and hydrogen?</w:t>
      </w:r>
    </w:p>
    <w:p>
      <w:pPr>
        <w:spacing w:before="0" w:after="120"/>
      </w:pPr>
      <w:r>
        <w:rPr>
          <w:b/>
        </w:rPr>
        <w:t xml:space="preserve">Source: </w:t>
      </w:r>
      <w:r>
        <w:t>RSC - Chem. Soc. Rev. latest articles</w:t>
      </w:r>
      <w:r>
        <w:t xml:space="preserve">    </w:t>
      </w:r>
      <w:r>
        <w:rPr>
          <w:b/>
        </w:rPr>
        <w:t xml:space="preserve">Pub date: </w:t>
      </w:r>
      <w:r>
        <w:t>2026-01-05 00:00:00+00:00</w:t>
      </w:r>
    </w:p>
    <w:p>
      <w:pPr>
        <w:spacing w:before="0" w:after="120"/>
      </w:pPr>
      <w:r>
        <w:rPr>
          <w:b/>
        </w:rPr>
        <w:t xml:space="preserve">Notes: </w:t>
      </w:r>
      <w:r>
        <w:t>abstract_source=rsc_html</w:t>
      </w:r>
    </w:p>
    <w:p>
      <w:pPr>
        <w:spacing w:before="0" w:after="80" w:lineRule="auto" w:line="276"/>
      </w:pPr>
      <w:r>
        <w:rPr>
          <w:b/>
        </w:rPr>
        <w:t xml:space="preserve">摘要（ZH）: </w:t>
      </w:r>
      <w:r>
        <w:t>生物物质转换成燃料和化学品对可持续发展有着巨大的希望,然而,其有效可变性仍然受到聚合结构和含氧功能内在复杂性的阻碍。虽然热催化法在脱聚合和电催化方面具有很强的特质,因此能够精确地控制红氧化物,但两者单独使用时都面临根本限制。热电催化最近成为通过协同整合热能和电能解决这一权衡的变革战略。这一战略不仅仅是简单的技术整合,而是催化剂设计方面的范式转变:从制造静态的耐热材料到设计适应性强的实地反应系统。在这个框架内,温度被重新想象成一个框架。</w:t>
      </w:r>
    </w:p>
    <w:p>
      <w:pPr>
        <w:spacing w:before="0" w:after="200" w:lineRule="auto" w:line="276"/>
      </w:pPr>
      <w:r>
        <w:rPr>
          <w:b/>
        </w:rPr>
        <w:t xml:space="preserve">Abstract (EN): </w:t>
      </w:r>
      <w:r>
        <w:t>Biomass conversion into fuels and chemicals holds great promise for sustainable development, yet its efficient valorization remains hindered by the intrinsic complexity of polymeric structures and oxygen-rich functionalities. While thermocatalysis specializes in depolymerization and electrocatalysis enables precise redox control, both face fundamental limitations when used alone. Thermoelectric catalysis has recently emerged as a transformative strategy to resolve this trade-off by synergistically integrating thermal and electrical energy. More than a simple integration of techniques, this strategy represents a paradigm shift in catalyst design: from creating static, heat-tolerant materials to engineering adaptive, field-responsive systems. In this framework, temperature is reimagined as a precision tool for modulating electronic structure and driving in situ catalyst evolution. This tutorial review systematically builds on this concept, starting from mechanistic fundamentals and a comparison of cascade and coupled architectures to highlight different design logics. We then present a multi-scale electrode design roadmap: from atomic-scale active sites to mesoscale transport control and intrinsically responsive materials, showcasing how these strategies can unlock energy-efficient pathways for the concurrent production of value-added chemicals and hydrogen. The review concludes by outlining critical challenges for industrial relevance, including control of fluid flow and heat/mass transfer in non-Newtonian electrolyte suspensions, the operational stability and durability of thermoelectrocatalytic reactors, and process integration and evaluation.</w:t>
      </w:r>
    </w:p>
    <w:p>
      <w:pPr>
        <w:spacing w:before="120" w:after="120"/>
      </w:pPr>
      <w:r>
        <w:rPr>
          <w:sz w:val="18"/>
        </w:rPr>
        <w:t>——————————————————————————————————————————————————————————————————————</w:t>
      </w:r>
    </w:p>
    <w:p>
      <w:pPr>
        <w:spacing w:before="160" w:after="40" w:line="240" w:lineRule="auto"/>
      </w:pPr>
      <w:r>
        <w:rPr>
          <w:b/>
        </w:rPr>
        <w:t xml:space="preserve">[344] </w:t>
      </w:r>
      <w:hyperlink r:id="rId615">
        <w:r>
          <w:rPr>
            <w:color w:val="1155CC"/>
            <w:u w:val="single"/>
          </w:rPr>
          <w:t>RAFT 直接喷墨书写对热塞的等级结构结构的聚合化</w:t>
        </w:r>
      </w:hyperlink>
    </w:p>
    <w:p>
      <w:pPr>
        <w:spacing w:before="0" w:after="80"/>
      </w:pPr>
      <w:r>
        <w:rPr>
          <w:i/>
          <w:sz w:val="20"/>
        </w:rPr>
        <w:t>EN: Harnessing RAFT Polymerization for Hierarchical Structuring of Thermosets by Direct Ink Writing</w:t>
      </w:r>
    </w:p>
    <w:p>
      <w:pPr>
        <w:spacing w:before="0" w:after="120"/>
      </w:pPr>
      <w:r>
        <w:rPr>
          <w:b/>
        </w:rPr>
        <w:t xml:space="preserve">Source: </w:t>
      </w:r>
      <w:r>
        <w:t>Wiley: Angewandte Chemie International Edition: Table of Contents</w:t>
      </w:r>
      <w:r>
        <w:t xml:space="preserve">    </w:t>
      </w:r>
      <w:r>
        <w:rPr>
          <w:b/>
        </w:rPr>
        <w:t xml:space="preserve">Pub date: </w:t>
      </w:r>
      <w:r>
        <w:t>2026-01-05 05:51:25+00:00</w:t>
      </w:r>
      <w:r>
        <w:t xml:space="preserve">    </w:t>
      </w:r>
      <w:r>
        <w:rPr>
          <w:b/>
        </w:rPr>
        <w:t xml:space="preserve">DOI: </w:t>
      </w:r>
      <w:hyperlink r:id="rId616">
        <w:r>
          <w:rPr>
            <w:color w:val="1155CC"/>
            <w:u w:val="single"/>
          </w:rPr>
          <w:t>10.1002/anie.202524271</w:t>
        </w:r>
      </w:hyperlink>
    </w:p>
    <w:p>
      <w:pPr>
        <w:spacing w:before="0" w:after="120"/>
      </w:pPr>
      <w:r>
        <w:rPr>
          <w:b/>
        </w:rPr>
        <w:t xml:space="preserve">Notes: </w:t>
      </w:r>
      <w:r>
        <w:t>abstract_source=crossref</w:t>
      </w:r>
    </w:p>
    <w:p>
      <w:pPr>
        <w:spacing w:before="0" w:after="80" w:lineRule="auto" w:line="276"/>
      </w:pPr>
      <w:r>
        <w:rPr>
          <w:b/>
        </w:rPr>
        <w:t xml:space="preserve">摘要（ZH）: </w:t>
      </w:r>
      <w:r>
        <w:t>将分子自我集成与添加剂制造结合的抽象分子集成与添加剂制造为直接生产具有复杂地形和定制微结构的热调聚合聚合物开辟了新途径。 广泛的现有化学成分使得材料能够应用多种多样,包括纳米结构多孔材料、固体聚合聚合电解液和无机合成材料。 在这里,我们引入了一个新概念,开发了光固聚合液,配有适合直接墨写(DIW)的精确控制的纳米结构。 特别是,通过可变添加的分解链转移聚合物合成的混合体(BCPs ), 与一个同时作为选择性溶剂的交叉链接器相结合, 产生混合体。</w:t>
      </w:r>
    </w:p>
    <w:p>
      <w:pPr>
        <w:spacing w:before="0" w:after="200" w:lineRule="auto" w:line="276"/>
      </w:pPr>
      <w:r>
        <w:rPr>
          <w:b/>
        </w:rPr>
        <w:t xml:space="preserve">Abstract (EN): </w:t>
      </w:r>
      <w:r>
        <w:t>Integrating molecular self‐assembly with additive manufacturing has opened new avenues for the direct production of thermosetting polymers with intricate geometries and tailored microstructures. The wide range of available chemical compositions enables diverse applications for the materials, including nanostructured porous materials, solid polymer electrolytes, and inorganic composites. Here, we introduce a novel concept by developing photocurable polymeric inks with precisely controlled nanostructures suitable for direct ink writing (DIW). In particular, amphiphilic block copolymers (BCPs) synthesized via reversible addition–fragmentation chain‐transfer (RAFT) polymerization is combined with a crosslinker that also acts as a selective solvent, yielding inks with stable and well‐ordered nanostructures. Upon photocuring of these inks, the nanostructures were largely preserved, and reinitiation of the RAFT end‐groups during network formation covalently anchored the nanodomains to the matrix, thereby improving nanoscale morphology retention and enhancing mechanical performance. These inks exhibit shear‐thinning behavior with rapid structural recovery after extrusion, enabling high‐fidelity DIW. Our strategy offers a powerful route to precisely fabricating hierarchical thermosetting materials under ambient conditions, requiring no complex processing steps and specialized equipment. This work significantly broadens possibilities for designing advanced thermosetting materials with customizable architecture and enhanced functionalities.</w:t>
      </w:r>
    </w:p>
    <w:p>
      <w:pPr>
        <w:spacing w:before="120" w:after="120"/>
      </w:pPr>
      <w:r>
        <w:rPr>
          <w:sz w:val="18"/>
        </w:rPr>
        <w:t>——————————————————————————————————————————————————————————————————————</w:t>
      </w:r>
    </w:p>
    <w:p>
      <w:pPr>
        <w:spacing w:before="160" w:after="40" w:line="240" w:lineRule="auto"/>
      </w:pPr>
      <w:r>
        <w:rPr>
          <w:b/>
        </w:rPr>
        <w:t xml:space="preserve">[345] </w:t>
      </w:r>
      <w:hyperlink r:id="rId617">
        <w:r>
          <w:rPr>
            <w:color w:val="1155CC"/>
            <w:u w:val="single"/>
          </w:rPr>
          <w:t>用于肿瘤特定麻醉学的 基软蛋白蛋白</w:t>
        </w:r>
      </w:hyperlink>
    </w:p>
    <w:p>
      <w:pPr>
        <w:spacing w:before="0" w:after="80"/>
      </w:pPr>
      <w:r>
        <w:rPr>
          <w:i/>
          <w:sz w:val="20"/>
        </w:rPr>
        <w:t>EN: Ruthenium‐Based Sonoafterglow Probes for Tumor‐Specific Theranostics</w:t>
      </w:r>
    </w:p>
    <w:p>
      <w:pPr>
        <w:spacing w:before="0" w:after="120"/>
      </w:pPr>
      <w:r>
        <w:rPr>
          <w:b/>
        </w:rPr>
        <w:t xml:space="preserve">Source: </w:t>
      </w:r>
      <w:r>
        <w:t>Wiley: Angewandte Chemie International Edition: Table of Contents</w:t>
      </w:r>
      <w:r>
        <w:t xml:space="preserve">    </w:t>
      </w:r>
      <w:r>
        <w:rPr>
          <w:b/>
        </w:rPr>
        <w:t xml:space="preserve">Pub date: </w:t>
      </w:r>
      <w:r>
        <w:t>2026-01-05 05:54:10+00:00</w:t>
      </w:r>
      <w:r>
        <w:t xml:space="preserve">    </w:t>
      </w:r>
      <w:r>
        <w:rPr>
          <w:b/>
        </w:rPr>
        <w:t xml:space="preserve">DOI: </w:t>
      </w:r>
      <w:hyperlink r:id="rId618">
        <w:r>
          <w:rPr>
            <w:color w:val="1155CC"/>
            <w:u w:val="single"/>
          </w:rPr>
          <w:t>10.1002/anie.202521145</w:t>
        </w:r>
      </w:hyperlink>
    </w:p>
    <w:p>
      <w:pPr>
        <w:spacing w:before="0" w:after="120"/>
      </w:pPr>
      <w:r>
        <w:rPr>
          <w:b/>
        </w:rPr>
        <w:t xml:space="preserve">Notes: </w:t>
      </w:r>
      <w:r>
        <w:t>abstract_source=crossref</w:t>
      </w:r>
    </w:p>
    <w:p>
      <w:pPr>
        <w:spacing w:before="0" w:after="80" w:lineRule="auto" w:line="276"/>
      </w:pPr>
      <w:r>
        <w:rPr>
          <w:b/>
        </w:rPr>
        <w:t xml:space="preserve">摘要（ZH）: </w:t>
      </w:r>
      <w:r>
        <w:t>后光成像摘要使用延迟发光来抑制组织体外炎,改善活体诊断和治疗中的信号-地表比。然而,由于后光感应通常需要外光,常规光活方法仍然不理想。这里,我们报告两种混合分子软光素光素,对立三(2,2-------(II)(Ru(bpy)3),作为配有苯氧丁二烯-后基质的索敏剂:CRuPA和 ncRuPA,它们分别通过同源烷和不相交的氨化链路连接。超声波处理后,只有NcRuPA产生强烈的索afglow。在CruPA中,通过同源电传输迅速。</w:t>
      </w:r>
    </w:p>
    <w:p>
      <w:pPr>
        <w:spacing w:before="0" w:after="200" w:lineRule="auto" w:line="276"/>
      </w:pPr>
      <w:r>
        <w:rPr>
          <w:b/>
        </w:rPr>
        <w:t xml:space="preserve">Abstract (EN): </w:t>
      </w:r>
      <w:r>
        <w:t>Afterglow imaging uses delayed luminescence to suppress tissue autofluorescence and improve signal‐to‐background ratios for in vivo diagnostics and therapy. However, because afterglow induction typically requires external light, conventional photoactivated approaches remain suboptimal. Here, we report two hybrid molecular sonoafterglow luminophores that pair tris(2,2′‐bipyridine)ruthenium(II) (Ru(bpy)</w:t>
      </w:r>
      <w:r>
        <w:rPr>
          <w:vertAlign w:val="subscript"/>
        </w:rPr>
        <w:t>3</w:t>
      </w:r>
      <w:r>
        <w:t>) as a sonosensitizer with a phenoxy‐adamantylidene afterglow substrate: cRuPA and ncRuPA, which are connected via a conjugated alkyne and a nonconjugated amide linker, respectively. After ultrasound treatment, only ncRuPA produces a strong sonoafterglow. In cRuPA, rapid electron transfer across the conjugated alkyne cleaves the dioxetane intermediate before emission can occur, whereas the nonconjugated amide in ncRuPA blocks this transfer, stabilizing the dioxetane and enabling sustained luminescence. ncRuPA is further developed into an activatable probe (ncRuPA</w:t>
      </w:r>
      <w:r>
        <w:t xml:space="preserve"> </w:t>
      </w:r>
      <w:r>
        <w:t>APN</w:t>
      </w:r>
      <w:r>
        <w:t xml:space="preserve"> </w:t>
      </w:r>
      <w:r>
        <w:t>) that selectively turns on its sonoafterglow in response to the cancer biomarker aminopeptidase N. ncRuPA</w:t>
      </w:r>
      <w:r>
        <w:t xml:space="preserve"> </w:t>
      </w:r>
      <w:r>
        <w:t>APN</w:t>
      </w:r>
      <w:r>
        <w:t xml:space="preserve"> </w:t>
      </w:r>
      <w:r>
        <w:t>enables sensitive tumor imaging and mediates efficient sonodynamic therapy via ultrasound‐triggered singlet oxygen production. These Ru‐based sonoafterglow probes represent the first hybrid sonoafterglow molecules and open new molecular‐design routes toward cancer theranostics.</w:t>
      </w:r>
    </w:p>
    <w:p>
      <w:pPr>
        <w:spacing w:before="120" w:after="120"/>
      </w:pPr>
      <w:r>
        <w:rPr>
          <w:sz w:val="18"/>
        </w:rPr>
        <w:t>——————————————————————————————————————————————————————————————————————</w:t>
      </w:r>
    </w:p>
    <w:p>
      <w:pPr>
        <w:spacing w:before="160" w:after="40" w:line="240" w:lineRule="auto"/>
      </w:pPr>
      <w:r>
        <w:rPr>
          <w:b/>
        </w:rPr>
        <w:t xml:space="preserve">[346] </w:t>
      </w:r>
      <w:hyperlink r:id="rId619">
        <w:r>
          <w:rPr>
            <w:color w:val="1155CC"/>
            <w:u w:val="single"/>
          </w:rPr>
          <w:t>合作激进组织利用Peptide作为光化催化剂对Urea进行光合作合成。</w:t>
        </w:r>
      </w:hyperlink>
    </w:p>
    <w:p>
      <w:pPr>
        <w:spacing w:before="0" w:after="80"/>
      </w:pPr>
      <w:r>
        <w:rPr>
          <w:i/>
          <w:sz w:val="20"/>
        </w:rPr>
        <w:t>EN: Photosynthesis of Urea by Cooperative Radicals Addition Using a Peptide as a Photocatalyst</w:t>
      </w:r>
    </w:p>
    <w:p>
      <w:pPr>
        <w:spacing w:before="0" w:after="120"/>
      </w:pPr>
      <w:r>
        <w:rPr>
          <w:b/>
        </w:rPr>
        <w:t xml:space="preserve">Source: </w:t>
      </w:r>
      <w:r>
        <w:t>Wiley: Angewandte Chemie International Edition: Table of Contents</w:t>
      </w:r>
      <w:r>
        <w:t xml:space="preserve">    </w:t>
      </w:r>
      <w:r>
        <w:rPr>
          <w:b/>
        </w:rPr>
        <w:t xml:space="preserve">Pub date: </w:t>
      </w:r>
      <w:r>
        <w:t>2026-01-05 05:54:47+00:00</w:t>
      </w:r>
      <w:r>
        <w:t xml:space="preserve">    </w:t>
      </w:r>
      <w:r>
        <w:rPr>
          <w:b/>
        </w:rPr>
        <w:t xml:space="preserve">DOI: </w:t>
      </w:r>
      <w:hyperlink r:id="rId620">
        <w:r>
          <w:rPr>
            <w:color w:val="1155CC"/>
            <w:u w:val="single"/>
          </w:rPr>
          <w:t>10.1002/anie.202523565</w:t>
        </w:r>
      </w:hyperlink>
    </w:p>
    <w:p>
      <w:pPr>
        <w:spacing w:before="0" w:after="120"/>
      </w:pPr>
      <w:r>
        <w:rPr>
          <w:b/>
        </w:rPr>
        <w:t xml:space="preserve">Notes: </w:t>
      </w:r>
      <w:r>
        <w:t>abstract_source=crossref</w:t>
      </w:r>
    </w:p>
    <w:p>
      <w:pPr>
        <w:spacing w:before="0" w:after="80" w:lineRule="auto" w:line="276"/>
      </w:pPr>
      <w:r>
        <w:rPr>
          <w:b/>
        </w:rPr>
        <w:t xml:space="preserve">摘要（ZH）: </w:t>
      </w:r>
      <w:r>
        <w:t>高效光催化尿素生产的创新战略摘要是可取的,因为尿素和衍生物在农业和制药业的广泛应用仍然极具挑战性。 在这里,我们引入了一种简单但高效的激进补充方法,通过光催化NH3氧化和O2削减的结合,充分利用现场同步生成的氨基和氢过氧基(HO 2)和氢过氧基(HO 2 )。</w:t>
      </w:r>
    </w:p>
    <w:p>
      <w:pPr>
        <w:spacing w:before="0" w:after="200" w:lineRule="auto" w:line="276"/>
      </w:pPr>
      <w:r>
        <w:rPr>
          <w:b/>
        </w:rPr>
        <w:t xml:space="preserve">Abstract (EN): </w:t>
      </w:r>
      <w:r>
        <w:t>Innovative strategies for efficient photocatalytic urea production are desirable due to the wide applications of urea and derivatives in agriculture and pharmaceuticals, which remain highly challenging. Here, we introduce a simple but efficient radical addition approach to address this challenge by fully utilizing the in situ, synchronously generated aminyl radical (·NH</w:t>
      </w:r>
      <w:r>
        <w:rPr>
          <w:vertAlign w:val="subscript"/>
        </w:rPr>
        <w:t>2</w:t>
      </w:r>
      <w:r>
        <w:t>) and hydroperoxyl radical (HO</w:t>
      </w:r>
      <w:r>
        <w:rPr>
          <w:vertAlign w:val="subscript"/>
        </w:rPr>
        <w:t>2</w:t>
      </w:r>
      <w:r>
        <w:t>·) via the coupling of photocatalytic NH</w:t>
      </w:r>
      <w:r>
        <w:rPr>
          <w:vertAlign w:val="subscript"/>
        </w:rPr>
        <w:t>3</w:t>
      </w:r>
      <w:r>
        <w:t>oxidation and O</w:t>
      </w:r>
      <w:r>
        <w:rPr>
          <w:vertAlign w:val="subscript"/>
        </w:rPr>
        <w:t>2</w:t>
      </w:r>
      <w:r>
        <w:t>reduction. The two radicals reassembled and cooperatively reacted with NH</w:t>
      </w:r>
      <w:r>
        <w:rPr>
          <w:vertAlign w:val="subscript"/>
        </w:rPr>
        <w:t>2</w:t>
      </w:r>
      <w:r>
        <w:t>COOH to form urea with markedly lower kinetic barrier than the industrial process. This approach not only achieved record‐high urea production and conversion rates (42.6 mmol g</w:t>
      </w:r>
      <w:r>
        <w:t xml:space="preserve"> </w:t>
      </w:r>
      <w:r>
        <w:t>cat</w:t>
      </w:r>
      <w:r>
        <w:t xml:space="preserve"> </w:t>
      </w:r>
      <w:r>
        <w:t>−1</w:t>
      </w:r>
      <w:r>
        <w:t xml:space="preserve"> </w:t>
      </w:r>
      <w:r>
        <w:t>h</w:t>
      </w:r>
      <w:r>
        <w:t xml:space="preserve"> </w:t>
      </w:r>
      <w:r>
        <w:t>−1</w:t>
      </w:r>
      <w:r>
        <w:t xml:space="preserve"> </w:t>
      </w:r>
      <w:r>
        <w:t>and 70%, respectively) but also enabled the direct, single‐step synthesis of unsymmetrical urea derivatives with good yields.</w:t>
      </w:r>
    </w:p>
    <w:p>
      <w:pPr>
        <w:spacing w:before="120" w:after="120"/>
      </w:pPr>
      <w:r>
        <w:rPr>
          <w:sz w:val="18"/>
        </w:rPr>
        <w:t>——————————————————————————————————————————————————————————————————————</w:t>
      </w:r>
    </w:p>
    <w:p>
      <w:pPr>
        <w:spacing w:before="160" w:after="40" w:line="240" w:lineRule="auto"/>
      </w:pPr>
      <w:r>
        <w:rPr>
          <w:b/>
        </w:rPr>
        <w:t xml:space="preserve">[347] </w:t>
      </w:r>
      <w:hyperlink r:id="rId621">
        <w:r>
          <w:rPr>
            <w:color w:val="1155CC"/>
            <w:u w:val="single"/>
          </w:rPr>
          <w:t>用于太阳能Blind UV功能晶体的 4 Hydroxy pyridridin Hilides 的四Hydroxy pyridridridin Hilides</w:t>
        </w:r>
      </w:hyperlink>
    </w:p>
    <w:p>
      <w:pPr>
        <w:spacing w:before="0" w:after="80"/>
      </w:pPr>
      <w:r>
        <w:rPr>
          <w:i/>
          <w:sz w:val="20"/>
        </w:rPr>
        <w:t>EN: Protonation‐Triggered Structural Transformations in 4‐Hydroxypyridinium Halides for Solar‐Blind UV Functional Crystals</w:t>
      </w:r>
    </w:p>
    <w:p>
      <w:pPr>
        <w:spacing w:before="0" w:after="120"/>
      </w:pPr>
      <w:r>
        <w:rPr>
          <w:b/>
        </w:rPr>
        <w:t xml:space="preserve">Source: </w:t>
      </w:r>
      <w:r>
        <w:t>Wiley: Angewandte Chemie International Edition: Table of Contents</w:t>
      </w:r>
      <w:r>
        <w:t xml:space="preserve">    </w:t>
      </w:r>
      <w:r>
        <w:rPr>
          <w:b/>
        </w:rPr>
        <w:t xml:space="preserve">Pub date: </w:t>
      </w:r>
      <w:r>
        <w:t>2026-01-05 05:55:24+00:00</w:t>
      </w:r>
      <w:r>
        <w:t xml:space="preserve">    </w:t>
      </w:r>
      <w:r>
        <w:rPr>
          <w:b/>
        </w:rPr>
        <w:t xml:space="preserve">DOI: </w:t>
      </w:r>
      <w:hyperlink r:id="rId622">
        <w:r>
          <w:rPr>
            <w:color w:val="1155CC"/>
            <w:u w:val="single"/>
          </w:rPr>
          <w:t>10.1002/anie.202524953</w:t>
        </w:r>
      </w:hyperlink>
    </w:p>
    <w:p>
      <w:pPr>
        <w:spacing w:before="0" w:after="120"/>
      </w:pPr>
      <w:r>
        <w:rPr>
          <w:b/>
        </w:rPr>
        <w:t xml:space="preserve">Notes: </w:t>
      </w:r>
      <w:r>
        <w:t>abstract_source=crossref</w:t>
      </w:r>
    </w:p>
    <w:p>
      <w:pPr>
        <w:spacing w:before="0" w:after="80" w:lineRule="auto" w:line="276"/>
      </w:pPr>
      <w:r>
        <w:rPr>
          <w:b/>
        </w:rPr>
        <w:t xml:space="preserve">摘要（ZH）: </w:t>
      </w:r>
      <w:r>
        <w:t>本摘要Birefringent和非线性光学晶体对先进的光学应用至关重要,然而,实现大型双折(n)项、非中度测量(NCS)结构以及太阳盲紫外线(SUV)至近红外(NIR)区域的广泛透明度仍然具有挑战性。</w:t>
      </w:r>
    </w:p>
    <w:p>
      <w:pPr>
        <w:spacing w:before="0" w:after="200" w:lineRule="auto" w:line="276"/>
      </w:pPr>
      <w:r>
        <w:rPr>
          <w:b/>
        </w:rPr>
        <w:t xml:space="preserve">Abstract (EN): </w:t>
      </w:r>
      <w:r>
        <w:t>Birefringent and nonlinear optical (NLO) crystals are crucial for advanced optical applications, yet achieving large birefringence (Δ</w:t>
      </w:r>
      <w:r>
        <w:t xml:space="preserve"> </w:t>
      </w:r>
      <w:r>
        <w:t>n</w:t>
      </w:r>
      <w:r>
        <w:t xml:space="preserve"> </w:t>
      </w:r>
      <w:r>
        <w:t>), noncentrosymmetric (NCS) structures, and broad transparency from solar‐blind ultraviolet (SUV) to near‐infrared (NIR) regions remains challenging. Here, we report a 4HPX family of twelve 4‐hydroxypyridinium halides, constructed from 4‐hydroxypyridinium cations [4HPH]</w:t>
      </w:r>
      <w:r>
        <w:t xml:space="preserve"> </w:t>
      </w:r>
      <w:r>
        <w:t>+</w:t>
      </w:r>
      <w:r>
        <w:t xml:space="preserve"> </w:t>
      </w:r>
      <w:r>
        <w:t>and halide anions [X]</w:t>
      </w:r>
      <w:r>
        <w:t xml:space="preserve"> </w:t>
      </w:r>
      <w:r>
        <w:t>−</w:t>
      </w:r>
      <w:r>
        <w:t>(X = F (</w:t>
      </w:r>
      <w:r>
        <w:t xml:space="preserve"> </w:t>
      </w:r>
      <w:r>
        <w:t>I</w:t>
      </w:r>
      <w:r>
        <w:t xml:space="preserve"> </w:t>
      </w:r>
      <w:r>
        <w:t>,</w:t>
      </w:r>
      <w:r>
        <w:t xml:space="preserve"> </w:t>
      </w:r>
      <w:r>
        <w:t>II</w:t>
      </w:r>
      <w:r>
        <w:t xml:space="preserve"> </w:t>
      </w:r>
      <w:r>
        <w:t>), Cl (</w:t>
      </w:r>
      <w:r>
        <w:t xml:space="preserve"> </w:t>
      </w:r>
      <w:r>
        <w:t>III</w:t>
      </w:r>
      <w:r>
        <w:t xml:space="preserve"> </w:t>
      </w:r>
      <w:r>
        <w:t>,</w:t>
      </w:r>
      <w:r>
        <w:t xml:space="preserve"> </w:t>
      </w:r>
      <w:r>
        <w:t>VII</w:t>
      </w:r>
      <w:r>
        <w:t xml:space="preserve"> </w:t>
      </w:r>
      <w:r>
        <w:t>,</w:t>
      </w:r>
      <w:r>
        <w:t xml:space="preserve"> </w:t>
      </w:r>
      <w:r>
        <w:t>X</w:t>
      </w:r>
      <w:r>
        <w:t xml:space="preserve"> </w:t>
      </w:r>
      <w:r>
        <w:t>), Br (</w:t>
      </w:r>
      <w:r>
        <w:t xml:space="preserve"> </w:t>
      </w:r>
      <w:r>
        <w:t>IV</w:t>
      </w:r>
      <w:r>
        <w:t xml:space="preserve"> </w:t>
      </w:r>
      <w:r>
        <w:t>,</w:t>
      </w:r>
      <w:r>
        <w:t xml:space="preserve"> </w:t>
      </w:r>
      <w:r>
        <w:t>VIII</w:t>
      </w:r>
      <w:r>
        <w:t xml:space="preserve"> </w:t>
      </w:r>
      <w:r>
        <w:t>,</w:t>
      </w:r>
      <w:r>
        <w:t xml:space="preserve"> </w:t>
      </w:r>
      <w:r>
        <w:t>XI</w:t>
      </w:r>
      <w:r>
        <w:t xml:space="preserve"> </w:t>
      </w:r>
      <w:r>
        <w:t>), I (</w:t>
      </w:r>
      <w:r>
        <w:t xml:space="preserve"> </w:t>
      </w:r>
      <w:r>
        <w:t>V</w:t>
      </w:r>
      <w:r>
        <w:t xml:space="preserve"> </w:t>
      </w:r>
      <w:r>
        <w:t>,</w:t>
      </w:r>
      <w:r>
        <w:t xml:space="preserve"> </w:t>
      </w:r>
      <w:r>
        <w:t>VI</w:t>
      </w:r>
      <w:r>
        <w:t xml:space="preserve"> </w:t>
      </w:r>
      <w:r>
        <w:t>,</w:t>
      </w:r>
      <w:r>
        <w:t xml:space="preserve"> </w:t>
      </w:r>
      <w:r>
        <w:t>IX</w:t>
      </w:r>
      <w:r>
        <w:t xml:space="preserve"> </w:t>
      </w:r>
      <w:r>
        <w:t>,</w:t>
      </w:r>
      <w:r>
        <w:t xml:space="preserve"> </w:t>
      </w:r>
      <w:r>
        <w:t>XII</w:t>
      </w:r>
      <w:r>
        <w:t xml:space="preserve"> </w:t>
      </w:r>
      <w:r>
        <w:t>)). Solution acidity dictates the structural transformations of this family, from centrosymmetric (</w:t>
      </w:r>
      <w:r>
        <w:t xml:space="preserve"> </w:t>
      </w:r>
      <w:r>
        <w:t>I</w:t>
      </w:r>
      <w:r>
        <w:t xml:space="preserve"> </w:t>
      </w:r>
      <w:r>
        <w:t>–</w:t>
      </w:r>
      <w:r>
        <w:t xml:space="preserve"> </w:t>
      </w:r>
      <w:r>
        <w:t>IX</w:t>
      </w:r>
      <w:r>
        <w:t xml:space="preserve"> </w:t>
      </w:r>
      <w:r>
        <w:t>) to NCS (</w:t>
      </w:r>
      <w:r>
        <w:t xml:space="preserve"> </w:t>
      </w:r>
      <w:r>
        <w:t>X</w:t>
      </w:r>
      <w:r>
        <w:t xml:space="preserve"> </w:t>
      </w:r>
      <w:r>
        <w:t>–</w:t>
      </w:r>
      <w:r>
        <w:t xml:space="preserve"> </w:t>
      </w:r>
      <w:r>
        <w:t>XII</w:t>
      </w:r>
      <w:r>
        <w:t xml:space="preserve"> </w:t>
      </w:r>
      <w:r>
        <w:t>) phases, where C─O bond lengths act as definitive structural fingerprints. Their optical bandgaps exceed those of all known halogen polyanion‐based crystals due to the large HOMO–LUMO gaps of both [4HPH]</w:t>
      </w:r>
      <w:r>
        <w:t xml:space="preserve"> </w:t>
      </w:r>
      <w:r>
        <w:t>+</w:t>
      </w:r>
      <w:r>
        <w:t xml:space="preserve"> </w:t>
      </w:r>
      <w:r>
        <w:t>and [X]</w:t>
      </w:r>
      <w:r>
        <w:t xml:space="preserve"> </w:t>
      </w:r>
      <w:r>
        <w:t>−</w:t>
      </w:r>
      <w:r>
        <w:t>and can be systematically tuned via hydrogen‐bond strength. The large hyperpolarizability and polarizability anisotropy of [4HPH]</w:t>
      </w:r>
      <w:r>
        <w:t xml:space="preserve"> </w:t>
      </w:r>
      <w:r>
        <w:t>+</w:t>
      </w:r>
      <w:r>
        <w:t xml:space="preserve"> </w:t>
      </w:r>
      <w:r>
        <w:t>endow this family with exceptional Δ</w:t>
      </w:r>
      <w:r>
        <w:t xml:space="preserve"> </w:t>
      </w:r>
      <w:r>
        <w:t>n</w:t>
      </w:r>
      <w:r>
        <w:t xml:space="preserve"> </w:t>
      </w:r>
      <w:r>
        <w:t>and suitable second–harmonic generation (SHG) responses. Notably,</w:t>
      </w:r>
      <w:r>
        <w:t xml:space="preserve"> </w:t>
      </w:r>
      <w:r>
        <w:t>II</w:t>
      </w:r>
      <w:r>
        <w:t xml:space="preserve"> </w:t>
      </w:r>
      <w:r>
        <w:t>[C</w:t>
      </w:r>
      <w:r>
        <w:rPr>
          <w:vertAlign w:val="subscript"/>
        </w:rPr>
        <w:t>5</w:t>
      </w:r>
      <w:r>
        <w:t>H</w:t>
      </w:r>
      <w:r>
        <w:rPr>
          <w:vertAlign w:val="subscript"/>
        </w:rPr>
        <w:t>6</w:t>
      </w:r>
      <w:r>
        <w:t>NO]</w:t>
      </w:r>
      <w:r>
        <w:t xml:space="preserve"> </w:t>
      </w:r>
      <w:r>
        <w:t>+</w:t>
      </w:r>
      <w:r>
        <w:t xml:space="preserve"> </w:t>
      </w:r>
      <w:r>
        <w:t>(HF</w:t>
      </w:r>
      <w:r>
        <w:rPr>
          <w:vertAlign w:val="subscript"/>
        </w:rPr>
        <w:t>2</w:t>
      </w:r>
      <w:r>
        <w:t>)</w:t>
      </w:r>
      <w:r>
        <w:t xml:space="preserve"> </w:t>
      </w:r>
      <w:r>
        <w:t>−</w:t>
      </w:r>
      <w:r>
        <w:t>exhibits the largest Δ</w:t>
      </w:r>
      <w:r>
        <w:t xml:space="preserve"> </w:t>
      </w:r>
      <w:r>
        <w:t>n</w:t>
      </w:r>
      <w:r>
        <w:t xml:space="preserve"> </w:t>
      </w:r>
      <w:r>
        <w:t>(0.293) within the 4HPX family and among reported water–free SUV crystals. Meanwhile,</w:t>
      </w:r>
      <w:r>
        <w:t xml:space="preserve"> </w:t>
      </w:r>
      <w:r>
        <w:t>I</w:t>
      </w:r>
      <w:r>
        <w:t xml:space="preserve"> </w:t>
      </w:r>
      <w:r>
        <w:t>–</w:t>
      </w:r>
      <w:r>
        <w:t xml:space="preserve"> </w:t>
      </w:r>
      <w:r>
        <w:t>V</w:t>
      </w:r>
      <w:r>
        <w:t xml:space="preserve"> </w:t>
      </w:r>
      <w:r>
        <w:t>(0.222–0.293) also outperform commercial birefringent materials. NLO crystals</w:t>
      </w:r>
      <w:r>
        <w:t xml:space="preserve"> </w:t>
      </w:r>
      <w:r>
        <w:t>X</w:t>
      </w:r>
      <w:r>
        <w:t xml:space="preserve"> </w:t>
      </w:r>
      <w:r>
        <w:t>–</w:t>
      </w:r>
      <w:r>
        <w:t xml:space="preserve"> </w:t>
      </w:r>
      <w:r>
        <w:t>XII</w:t>
      </w:r>
      <w:r>
        <w:t xml:space="preserve"> </w:t>
      </w:r>
      <w:r>
        <w:t>show SHG responses. This work provides valuable insights into the rational design of next‐generation birefringent and NLO crystals.</w:t>
      </w:r>
    </w:p>
    <w:p>
      <w:pPr>
        <w:spacing w:before="120" w:after="120"/>
      </w:pPr>
      <w:r>
        <w:rPr>
          <w:sz w:val="18"/>
        </w:rPr>
        <w:t>——————————————————————————————————————————————————————————————————————</w:t>
      </w:r>
    </w:p>
    <w:p>
      <w:pPr>
        <w:spacing w:before="160" w:after="40" w:line="240" w:lineRule="auto"/>
      </w:pPr>
      <w:r>
        <w:rPr>
          <w:b/>
        </w:rPr>
        <w:t xml:space="preserve">[348] </w:t>
      </w:r>
      <w:hyperlink r:id="rId623">
        <w:r>
          <w:rPr>
            <w:color w:val="1155CC"/>
            <w:u w:val="single"/>
          </w:rPr>
          <w:t>加速进行 O-O 邦性骨质脱氧和稳定化铁矿点,通过协同合作减少氧气,实现加速进行 O-O 邦性骨质脱氧和稳定化铁矿点</w:t>
        </w:r>
      </w:hyperlink>
    </w:p>
    <w:p>
      <w:pPr>
        <w:spacing w:before="0" w:after="80"/>
      </w:pPr>
      <w:r>
        <w:rPr>
          <w:i/>
          <w:sz w:val="20"/>
        </w:rPr>
        <w:t>EN: Accelerated O─O Bond Cleavage and Stabilized Fe Sites by Synergistic d─p Fe─Sn Dual‐Atom Pair for Enhanced Oxygen Reduction</w:t>
      </w:r>
    </w:p>
    <w:p>
      <w:pPr>
        <w:spacing w:before="0" w:after="120"/>
      </w:pPr>
      <w:r>
        <w:rPr>
          <w:b/>
        </w:rPr>
        <w:t xml:space="preserve">Source: </w:t>
      </w:r>
      <w:r>
        <w:t>Wiley: Angewandte Chemie International Edition: Table of Contents</w:t>
      </w:r>
      <w:r>
        <w:t xml:space="preserve">    </w:t>
      </w:r>
      <w:r>
        <w:rPr>
          <w:b/>
        </w:rPr>
        <w:t xml:space="preserve">Pub date: </w:t>
      </w:r>
      <w:r>
        <w:t>2026-01-05 05:56:32+00:00</w:t>
      </w:r>
      <w:r>
        <w:t xml:space="preserve">    </w:t>
      </w:r>
      <w:r>
        <w:rPr>
          <w:b/>
        </w:rPr>
        <w:t xml:space="preserve">DOI: </w:t>
      </w:r>
      <w:hyperlink r:id="rId624">
        <w:r>
          <w:rPr>
            <w:color w:val="1155CC"/>
            <w:u w:val="single"/>
          </w:rPr>
          <w:t>10.1002/anie.202524265</w:t>
        </w:r>
      </w:hyperlink>
    </w:p>
    <w:p>
      <w:pPr>
        <w:spacing w:before="0" w:after="120"/>
      </w:pPr>
      <w:r>
        <w:rPr>
          <w:b/>
        </w:rPr>
        <w:t xml:space="preserve">Notes: </w:t>
      </w:r>
      <w:r>
        <w:t>abstract_source=crossref</w:t>
      </w:r>
    </w:p>
    <w:p>
      <w:pPr>
        <w:spacing w:before="0" w:after="80" w:lineRule="auto" w:line="276"/>
      </w:pPr>
      <w:r>
        <w:rPr>
          <w:b/>
        </w:rPr>
        <w:t xml:space="preserve">摘要（ZH）: </w:t>
      </w:r>
      <w:r>
        <w:t>抽象散散散的FENC材料已成为在减少氧气反应(ORR)中替代珍贵的Pt基催化剂的有希望的催化剂,然而,其广泛应用仍然受到发育迟缓和孤立的Fe单原子点长期稳定性的限制。我们在此报告,有一种非常活跃和耐久的催化剂(FeSnNC),其特点是铁块和铁块铁块铁块和双亚原子对矿点;现场红外光谱和X-射线吸收光光谱,加上初始分子动力学和密度功能理论计算,表明Fe-Sn双亚原子点使O2桥得以吸收,并便利O-O的直线断层。</w:t>
      </w:r>
    </w:p>
    <w:p>
      <w:pPr>
        <w:spacing w:before="0" w:after="200" w:lineRule="auto" w:line="276"/>
      </w:pPr>
      <w:r>
        <w:rPr>
          <w:b/>
        </w:rPr>
        <w:t xml:space="preserve">Abstract (EN): </w:t>
      </w:r>
      <w:r>
        <w:t>Atomically dispersed FeNC materials have emerged as the promising catalysts for replacing precious Pt‐based catalysts in the oxygen reduction reaction (ORR). However, their widespread application remains limited by sluggish kinetics and the long‐term stability of the isolated Fe single‐atom sites. Herein, we report a highly active and durable catalyst (FeSnNC) featuring d‐block iron and p‐block‐metal tin dual‐atom pair sites. In situ infrared spectroscopy and X‐ray absorption spectroscopy, together with ab initio molecular dynamics and density functional theory calculations reveal that the Fe─Sn dual‐atom pair sites enable the bridge absorption of O</w:t>
      </w:r>
      <w:r>
        <w:rPr>
          <w:vertAlign w:val="subscript"/>
        </w:rPr>
        <w:t>2</w:t>
      </w:r>
      <w:r>
        <w:t>and facilitate direct O─O bond cleavage. The redirection of *OH desorption to the Sn site alleviates Fe‐site degradation, while Sn incorporation can also reinforce the Fe─N bond, jointly enhancing ORR activity and durability. Under alkaline conditions, the catalyst delivers a half‐wave potential of 0.91 V and a kinetic current density of 69 mA cm</w:t>
      </w:r>
      <w:r>
        <w:t xml:space="preserve"> </w:t>
      </w:r>
      <w:r>
        <w:t>−2</w:t>
      </w:r>
      <w:r>
        <w:t xml:space="preserve"> </w:t>
      </w:r>
      <w:r>
        <w:t>at 0.85 V, with negligible performance loss after 10,000 cycles. When applied in a zinc–air battery, FeSnNC exhibits a peak power density of 262 mW cm</w:t>
      </w:r>
      <w:r>
        <w:t xml:space="preserve"> </w:t>
      </w:r>
      <w:r>
        <w:t>−2</w:t>
      </w:r>
      <w:r>
        <w:t xml:space="preserve"> </w:t>
      </w:r>
      <w:r>
        <w:t>and a cycling lifetime exceeding 1,100 hours at 10 mA cm</w:t>
      </w:r>
      <w:r>
        <w:t xml:space="preserve"> </w:t>
      </w:r>
      <w:r>
        <w:t>−2</w:t>
      </w:r>
      <w:r>
        <w:t xml:space="preserve"> </w:t>
      </w:r>
      <w:r>
        <w:t>. This work demonstrates the great potential of d–p metal atomic pair sites in ORR catalysis and provides new insights into the rational design of atomically precise metal catalysts.</w:t>
      </w:r>
    </w:p>
    <w:p>
      <w:pPr>
        <w:spacing w:before="120" w:after="120"/>
      </w:pPr>
      <w:r>
        <w:rPr>
          <w:sz w:val="18"/>
        </w:rPr>
        <w:t>——————————————————————————————————————————————————————————————————————</w:t>
      </w:r>
    </w:p>
    <w:p>
      <w:pPr>
        <w:spacing w:before="160" w:after="40" w:line="240" w:lineRule="auto"/>
      </w:pPr>
      <w:r>
        <w:rPr>
          <w:b/>
        </w:rPr>
        <w:t xml:space="preserve">[349] </w:t>
      </w:r>
      <w:hyperlink r:id="rId625">
        <w:r>
          <w:rPr>
            <w:color w:val="1155CC"/>
            <w:u w:val="single"/>
          </w:rPr>
          <w:t>All carbon 由范德华相互作用所启用的四代替代烷的镍化碳代代代烷体的亚对称体氢化</w:t>
        </w:r>
      </w:hyperlink>
    </w:p>
    <w:p>
      <w:pPr>
        <w:spacing w:before="0" w:after="80"/>
      </w:pPr>
      <w:r>
        <w:rPr>
          <w:i/>
          <w:sz w:val="20"/>
        </w:rPr>
        <w:t>EN: Nickel‐Catalyzed Asymmetric Hydrogenation of All‐Carbon Tetrasubstituted Alkenes Enabled by van der Waals Interactions</w:t>
      </w:r>
    </w:p>
    <w:p>
      <w:pPr>
        <w:spacing w:before="0" w:after="120"/>
      </w:pPr>
      <w:r>
        <w:rPr>
          <w:b/>
        </w:rPr>
        <w:t xml:space="preserve">Source: </w:t>
      </w:r>
      <w:r>
        <w:t>Wiley: Angewandte Chemie International Edition: Table of Contents</w:t>
      </w:r>
      <w:r>
        <w:t xml:space="preserve">    </w:t>
      </w:r>
      <w:r>
        <w:rPr>
          <w:b/>
        </w:rPr>
        <w:t xml:space="preserve">Pub date: </w:t>
      </w:r>
      <w:r>
        <w:t>2026-01-05 06:02:15+00:00</w:t>
      </w:r>
      <w:r>
        <w:t xml:space="preserve">    </w:t>
      </w:r>
      <w:r>
        <w:rPr>
          <w:b/>
        </w:rPr>
        <w:t xml:space="preserve">DOI: </w:t>
      </w:r>
      <w:hyperlink r:id="rId626">
        <w:r>
          <w:rPr>
            <w:color w:val="1155CC"/>
            <w:u w:val="single"/>
          </w:rPr>
          <w:t>10.1002/anie.202523659</w:t>
        </w:r>
      </w:hyperlink>
    </w:p>
    <w:p>
      <w:pPr>
        <w:spacing w:before="0" w:after="120"/>
      </w:pPr>
      <w:r>
        <w:rPr>
          <w:b/>
        </w:rPr>
        <w:t xml:space="preserve">Notes: </w:t>
      </w:r>
      <w:r>
        <w:t>abstract_source=crossref</w:t>
      </w:r>
    </w:p>
    <w:p>
      <w:pPr>
        <w:spacing w:before="0" w:after="80" w:lineRule="auto" w:line="276"/>
      </w:pPr>
      <w:r>
        <w:rPr>
          <w:b/>
        </w:rPr>
        <w:t xml:space="preserve">摘要（ZH）: </w:t>
      </w:r>
      <w:r>
        <w:t>碳四氟代代代谢藻类的不对称氢化长期以来因其明显的不育障碍而构成重大挑战。常规方法通常依赖贵金属催化剂。在这里,我们报告所有碳四氟代代代谢电子的首次镍催化不对称氢化。发达的催化系统具有广泛的基底范围,在37个例子(高达99%的产量、 &amp; gt;99%的含量和高达500吨的含量)中提供了极好的再活性和对等选择性。 综合实验和计算研究显示,范德华类的相互作用在治理对等选择性方面发挥着关键作用。 这一战略还使得与制药相关的化合物的简洁不对称合成得以实现。</w:t>
      </w:r>
    </w:p>
    <w:p>
      <w:pPr>
        <w:spacing w:before="0" w:after="200" w:lineRule="auto" w:line="276"/>
      </w:pPr>
      <w:r>
        <w:rPr>
          <w:b/>
        </w:rPr>
        <w:t xml:space="preserve">Abstract (EN): </w:t>
      </w:r>
      <w:r>
        <w:t>The asymmetric hydrogenation of all‐carbon tetrasubstituted alkenes has long posed a significant challenge due to their pronounced steric hindrance. Conventional approaches typically rely on precious metal catalysts. Herein, we report the first nickel‐catalyzed asymmetric hydrogenation of all‐carbon tetrasubstituted electron‐deficient alkenes. The developed catalytic system exhibits a broad substrate scope, delivering excellent reactivity and enantioselectivity across 37 examples (up to 99% yield, &amp;gt;99% ee, and TON up to 500). Combined experimental and computational studies reveal that van der Waals interactions play a pivotal role in governing enantioselectivity. This strategy further enables concise asymmetric syntheses of pharmaceutically relevant compounds, including Valerate and Esfenvalerate.</w:t>
      </w:r>
    </w:p>
    <w:p>
      <w:pPr>
        <w:spacing w:before="120" w:after="120"/>
      </w:pPr>
      <w:r>
        <w:rPr>
          <w:sz w:val="18"/>
        </w:rPr>
        <w:t>——————————————————————————————————————————————————————————————————————</w:t>
      </w:r>
    </w:p>
    <w:p>
      <w:pPr>
        <w:spacing w:before="160" w:after="40" w:line="240" w:lineRule="auto"/>
      </w:pPr>
      <w:r>
        <w:rPr>
          <w:b/>
        </w:rPr>
        <w:t xml:space="preserve">[350] </w:t>
      </w:r>
      <w:hyperlink r:id="rId627">
        <w:r>
          <w:rPr>
            <w:color w:val="1155CC"/>
            <w:u w:val="single"/>
          </w:rPr>
          <w:t>审查《揭示过渡性金属在多环锥体碳化物Na4M3(PO4)2P2O7中的影响:动能、机制和优化战略》</w:t>
        </w:r>
      </w:hyperlink>
    </w:p>
    <w:p>
      <w:pPr>
        <w:spacing w:before="0" w:after="80"/>
      </w:pPr>
      <w:r>
        <w:rPr>
          <w:i/>
          <w:sz w:val="20"/>
        </w:rPr>
        <w:t>EN: A Review of Revealing the Impact of Transition Metals in Polyanionic Cathode Material Na4M3(PO4)2P2O7: Kinetic, Mechanisms and Optimization Strategies</w:t>
      </w:r>
    </w:p>
    <w:p>
      <w:pPr>
        <w:spacing w:before="0" w:after="120"/>
      </w:pPr>
      <w:r>
        <w:rPr>
          <w:b/>
        </w:rPr>
        <w:t xml:space="preserve">Source: </w:t>
      </w:r>
      <w:r>
        <w:t>Wiley: Advanced Energy Materials: Table of Contents</w:t>
      </w:r>
      <w:r>
        <w:t xml:space="preserve">    </w:t>
      </w:r>
      <w:r>
        <w:rPr>
          <w:b/>
        </w:rPr>
        <w:t xml:space="preserve">Pub date: </w:t>
      </w:r>
      <w:r>
        <w:t>2026-01-05 06:40:20+00:00</w:t>
      </w:r>
      <w:r>
        <w:t xml:space="preserve">    </w:t>
      </w:r>
      <w:r>
        <w:rPr>
          <w:b/>
        </w:rPr>
        <w:t xml:space="preserve">DOI: </w:t>
      </w:r>
      <w:hyperlink r:id="rId628">
        <w:r>
          <w:rPr>
            <w:color w:val="1155CC"/>
            <w:u w:val="single"/>
          </w:rPr>
          <w:t>10.1002/aenm.202505808</w:t>
        </w:r>
      </w:hyperlink>
    </w:p>
    <w:p>
      <w:pPr>
        <w:spacing w:before="0" w:after="120"/>
      </w:pPr>
      <w:r>
        <w:rPr>
          <w:b/>
        </w:rPr>
        <w:t xml:space="preserve">Notes: </w:t>
      </w:r>
      <w:r>
        <w:t>abstract_source=crossref</w:t>
      </w:r>
    </w:p>
    <w:p>
      <w:pPr>
        <w:spacing w:before="0" w:after="80" w:lineRule="auto" w:line="276"/>
      </w:pPr>
      <w:r>
        <w:rPr>
          <w:b/>
        </w:rPr>
        <w:t xml:space="preserve">摘要（ZH）: </w:t>
      </w:r>
      <w:r>
        <w:t>对环境保护和可再生能源日益增长的需求将促使对电化学能源储存系统的需求不断增加,由于拥有丰富的资源优势,钠电池已成为大规模能源储存技术的理想候选条件,在竞争者中,N4 M 3 (PO 4) 2 P 2 P 2 O 7 (M = Fe, Co, Mn, Ni)系统材料因其健全的三维开放框架和钠而引起广泛的注意。</w:t>
      </w:r>
    </w:p>
    <w:p>
      <w:pPr>
        <w:spacing w:before="0" w:after="200" w:lineRule="auto" w:line="276"/>
      </w:pPr>
      <w:r>
        <w:rPr>
          <w:b/>
        </w:rPr>
        <w:t xml:space="preserve">Abstract (EN): </w:t>
      </w:r>
      <w:r>
        <w:t>The growing demand for environmental protection and renewable energy will drive a continuous increase in the need for electrochemical energy storage systems. Sodium‐ion batteries (SIBs) have emerged as an ideal candidate for large‐scale energy storage technologies as a result of their advantages of abundant resources. Among the contenders, Na</w:t>
      </w:r>
      <w:r>
        <w:rPr>
          <w:vertAlign w:val="subscript"/>
        </w:rPr>
        <w:t>4</w:t>
      </w:r>
      <w:r>
        <w:t>M</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(M = Fe, Co, Mn, Ni) system materials have attracted extensive attention because of their robust three‐dimensional open framework and sodium storage performance. However, the performance differences among materials caused by variations in transition metals still need further summarization. Therefore, this review article provides a systematic overview of the research progress in mixed polyanion cathode materials Na</w:t>
      </w:r>
      <w:r>
        <w:rPr>
          <w:vertAlign w:val="subscript"/>
        </w:rPr>
        <w:t>4</w:t>
      </w:r>
      <w:r>
        <w:t>M</w:t>
      </w:r>
      <w:r>
        <w:rPr>
          <w:vertAlign w:val="subscript"/>
        </w:rPr>
        <w:t>3</w:t>
      </w:r>
      <w:r>
        <w:t>(PO</w:t>
      </w:r>
      <w:r>
        <w:rPr>
          <w:vertAlign w:val="subscript"/>
        </w:rPr>
        <w:t>4</w:t>
      </w:r>
      <w:r>
        <w:t>)</w:t>
      </w:r>
      <w:r>
        <w:rPr>
          <w:vertAlign w:val="subscript"/>
        </w:rPr>
        <w:t>2</w:t>
      </w:r>
      <w:r>
        <w:t>P</w:t>
      </w:r>
      <w:r>
        <w:rPr>
          <w:vertAlign w:val="subscript"/>
        </w:rPr>
        <w:t>2</w:t>
      </w:r>
      <w:r>
        <w:t>O</w:t>
      </w:r>
      <w:r>
        <w:rPr>
          <w:vertAlign w:val="subscript"/>
        </w:rPr>
        <w:t>7</w:t>
      </w:r>
      <w:r>
        <w:t>(N(M)PP) for SIBs, focusing on their crystal structures, sodium ion migration mechanisms, and electrochemical performance optimization strategies. Notably, optimization strategies for iron‐based cathodes are emphasized, covering non‐stoichiometric design, metal/anion doping, defect engineering, and high‐entropy material approaches. Additionally, the review discusses the optimization directions for electrolytes suitable for high‐voltage cathode materials, including solvent selection, additive effects, and interface stability regulation. Finally, it summarizes the current research challenges and future development directions, providing theoretical guidance and technical references for the targeted design and optimization of N(M)PP materials.</w:t>
      </w:r>
    </w:p>
    <w:p>
      <w:pPr>
        <w:spacing w:before="120" w:after="120"/>
      </w:pPr>
      <w:r>
        <w:rPr>
          <w:sz w:val="18"/>
        </w:rPr>
        <w:t>——————————————————————————————————————————————————————————————————————</w:t>
      </w:r>
    </w:p>
    <w:p>
      <w:pPr>
        <w:spacing w:before="160" w:after="40" w:line="240" w:lineRule="auto"/>
      </w:pPr>
      <w:r>
        <w:rPr>
          <w:b/>
        </w:rPr>
        <w:t xml:space="preserve">[351] </w:t>
      </w:r>
      <w:hyperlink r:id="rId629">
        <w:r>
          <w:rPr>
            <w:color w:val="1155CC"/>
            <w:u w:val="single"/>
          </w:rPr>
          <w:t>在水流里燕电池中,通过对层层过渡氧化碳阴道的软离声道,启用了超快充电</w:t>
        </w:r>
      </w:hyperlink>
    </w:p>
    <w:p>
      <w:pPr>
        <w:spacing w:before="0" w:after="80"/>
      </w:pPr>
      <w:r>
        <w:rPr>
          <w:i/>
          <w:sz w:val="20"/>
        </w:rPr>
        <w:t>EN: Ultrafast Charging Enabled by Soft Ion Channels on Layered Transition Oxide Cathodes in Aqueous Li‐Ion Batteries</w:t>
      </w:r>
    </w:p>
    <w:p>
      <w:pPr>
        <w:spacing w:before="0" w:after="120"/>
      </w:pPr>
      <w:r>
        <w:rPr>
          <w:b/>
        </w:rPr>
        <w:t xml:space="preserve">Source: </w:t>
      </w:r>
      <w:r>
        <w:t>Wiley: Advanced Energy Materials: Table of Contents</w:t>
      </w:r>
      <w:r>
        <w:t xml:space="preserve">    </w:t>
      </w:r>
      <w:r>
        <w:rPr>
          <w:b/>
        </w:rPr>
        <w:t xml:space="preserve">Pub date: </w:t>
      </w:r>
      <w:r>
        <w:t>2026-01-05 06:41:31+00:00</w:t>
      </w:r>
      <w:r>
        <w:t xml:space="preserve">    </w:t>
      </w:r>
      <w:r>
        <w:rPr>
          <w:b/>
        </w:rPr>
        <w:t xml:space="preserve">DOI: </w:t>
      </w:r>
      <w:hyperlink r:id="rId630">
        <w:r>
          <w:rPr>
            <w:color w:val="1155CC"/>
            <w:u w:val="single"/>
          </w:rPr>
          <w:t>10.1002/aenm.202505594</w:t>
        </w:r>
      </w:hyperlink>
    </w:p>
    <w:p>
      <w:pPr>
        <w:spacing w:before="0" w:after="120"/>
      </w:pPr>
      <w:r>
        <w:rPr>
          <w:b/>
        </w:rPr>
        <w:t xml:space="preserve">Notes: </w:t>
      </w:r>
      <w:r>
        <w:t>abstract_source=crossref</w:t>
      </w:r>
    </w:p>
    <w:p>
      <w:pPr>
        <w:spacing w:before="0" w:after="80" w:lineRule="auto" w:line="276"/>
      </w:pPr>
      <w:r>
        <w:rPr>
          <w:b/>
        </w:rPr>
        <w:t xml:space="preserve">摘要（ZH）: </w:t>
      </w:r>
      <w:r>
        <w:t>高功率电池系统对于电动车辆和电网稳定至关重要,但其发展取决于电极-电极界面优化离子传输,以尽量减少李+迁移障碍并抑制寄生反应。 在这里,我们展示了利科O 2 (LCO) 的分子工程干涉离子频道,该频道使用闪光锂多德基硫酸盐(DS),使水介质的超快和耐久性能得以实现。 DS分子组装成动态的跨面结构,为高效的李+迁移提供了便利,产生了82的惊人速率能力。</w:t>
      </w:r>
    </w:p>
    <w:p>
      <w:pPr>
        <w:spacing w:before="0" w:after="200" w:lineRule="auto" w:line="276"/>
      </w:pPr>
      <w:r>
        <w:rPr>
          <w:b/>
        </w:rPr>
        <w:t xml:space="preserve">Abstract (EN): </w:t>
      </w:r>
      <w:r>
        <w:t>High‐power battery systems are essential for electric vehicles and grid stability, yet their development hinges on optimizing ion transport at the electrode–electrolyte interface to minimize Li</w:t>
      </w:r>
      <w:r>
        <w:t xml:space="preserve"> </w:t>
      </w:r>
      <w:r>
        <w:t>+</w:t>
      </w:r>
      <w:r>
        <w:t xml:space="preserve"> </w:t>
      </w:r>
      <w:r>
        <w:t>migration barriers and suppress parasitic reactions. Here, we demonstrated a molecularly engineered interfacial ion channel on LiCoO</w:t>
      </w:r>
      <w:r>
        <w:rPr>
          <w:vertAlign w:val="subscript"/>
        </w:rPr>
        <w:t>2</w:t>
      </w:r>
      <w:r>
        <w:t>(LCO) using amphiphilic lithium dodecyl sulfate (DS), which enabled ultrafast and durable performance in aqueous media. The DS molecules assembled into dynamic interfacial architectures that facilitated efficient Li</w:t>
      </w:r>
      <w:r>
        <w:t xml:space="preserve"> </w:t>
      </w:r>
      <w:r>
        <w:t>+</w:t>
      </w:r>
      <w:r>
        <w:t xml:space="preserve"> </w:t>
      </w:r>
      <w:r>
        <w:t>transport, delivering remarkable rate capability of ∼82</w:t>
      </w:r>
      <w:r>
        <w:t xml:space="preserve"> </w:t>
      </w:r>
      <w:r>
        <w:t>mAh g</w:t>
      </w:r>
      <w:r>
        <w:t xml:space="preserve"> </w:t>
      </w:r>
      <w:r>
        <w:t>−1</w:t>
      </w:r>
      <w:r>
        <w:t xml:space="preserve"> </w:t>
      </w:r>
      <w:r>
        <w:t>at a 10C rate for 1000 cycles and ∼80 mAh g</w:t>
      </w:r>
      <w:r>
        <w:t xml:space="preserve"> </w:t>
      </w:r>
      <w:r>
        <w:t>−1</w:t>
      </w:r>
      <w:r>
        <w:t xml:space="preserve"> </w:t>
      </w:r>
      <w:r>
        <w:t>at 15C for 500 cycles with Coulombic efficiencies of 99.49% and 99.51%, respectively. In situ electrochemical infrared spectroscopy revealed that DS adopted a sulfate‐headgroup‐downward orientation predominantly, while voltage polarization drove incorporation of upward‐oriented molecules from the bulk electrolyte solution. Density functional theory (DFT) calculations showed that the downward configuration lowers Li</w:t>
      </w:r>
      <w:r>
        <w:t xml:space="preserve"> </w:t>
      </w:r>
      <w:r>
        <w:t>+</w:t>
      </w:r>
      <w:r>
        <w:t xml:space="preserve"> </w:t>
      </w:r>
      <w:r>
        <w:t>extraction barriers during charging, while the mixed orientation facilitates Li</w:t>
      </w:r>
      <w:r>
        <w:t xml:space="preserve"> </w:t>
      </w:r>
      <w:r>
        <w:t>+</w:t>
      </w:r>
      <w:r>
        <w:t xml:space="preserve"> </w:t>
      </w:r>
      <w:r>
        <w:t>insertion during discharging. Experimentally, the well‐designed DS layer increased Li</w:t>
      </w:r>
      <w:r>
        <w:t xml:space="preserve"> </w:t>
      </w:r>
      <w:r>
        <w:t>+</w:t>
      </w:r>
      <w:r>
        <w:t xml:space="preserve"> </w:t>
      </w:r>
      <w:r>
        <w:t>mobility by nearly an order of magnitude compared to the DS‐free system. These synergistic effects underpin the exceptional rate performance and highlight the effectiveness of molecularly engineered ion channels in enabling high‐power Li‐ion batteries.</w:t>
      </w:r>
    </w:p>
    <w:p>
      <w:pPr>
        <w:spacing w:before="120" w:after="120"/>
      </w:pPr>
      <w:r>
        <w:rPr>
          <w:sz w:val="18"/>
        </w:rPr>
        <w:t>——————————————————————————————————————————————————————————————————————</w:t>
      </w:r>
    </w:p>
    <w:p>
      <w:pPr>
        <w:spacing w:before="160" w:after="40" w:line="240" w:lineRule="auto"/>
      </w:pPr>
      <w:r>
        <w:rPr>
          <w:b/>
        </w:rPr>
        <w:t xml:space="preserve">[352] </w:t>
      </w:r>
      <w:hyperlink r:id="rId631">
        <w:r>
          <w:rPr>
            <w:color w:val="1155CC"/>
            <w:u w:val="single"/>
          </w:rPr>
          <w:t>高性能和持久性高质陶瓷电化电池定量界面工程框架</w:t>
        </w:r>
      </w:hyperlink>
    </w:p>
    <w:p>
      <w:pPr>
        <w:spacing w:before="0" w:after="80"/>
      </w:pPr>
      <w:r>
        <w:rPr>
          <w:i/>
          <w:sz w:val="20"/>
        </w:rPr>
        <w:t>EN: Quantitative Interface Engineering Framework for High‐Performance and Durable Protonic Ceramic Electrochemical Cells</w:t>
      </w:r>
    </w:p>
    <w:p>
      <w:pPr>
        <w:spacing w:before="0" w:after="120"/>
      </w:pPr>
      <w:r>
        <w:rPr>
          <w:b/>
        </w:rPr>
        <w:t xml:space="preserve">Source: </w:t>
      </w:r>
      <w:r>
        <w:t>Wiley: Advanced Energy Materials: Table of Contents</w:t>
      </w:r>
      <w:r>
        <w:t xml:space="preserve">    </w:t>
      </w:r>
      <w:r>
        <w:rPr>
          <w:b/>
        </w:rPr>
        <w:t xml:space="preserve">Pub date: </w:t>
      </w:r>
      <w:r>
        <w:t>2026-01-05 06:42:44+00:00</w:t>
      </w:r>
      <w:r>
        <w:t xml:space="preserve">    </w:t>
      </w:r>
      <w:r>
        <w:rPr>
          <w:b/>
        </w:rPr>
        <w:t xml:space="preserve">DOI: </w:t>
      </w:r>
      <w:hyperlink r:id="rId632">
        <w:r>
          <w:rPr>
            <w:color w:val="1155CC"/>
            <w:u w:val="single"/>
          </w:rPr>
          <w:t>10.1002/aenm.202505277</w:t>
        </w:r>
      </w:hyperlink>
    </w:p>
    <w:p>
      <w:pPr>
        <w:spacing w:before="0" w:after="120"/>
      </w:pPr>
      <w:r>
        <w:rPr>
          <w:b/>
        </w:rPr>
        <w:t xml:space="preserve">Notes: </w:t>
      </w:r>
      <w:r>
        <w:t>abstract_source=crossref</w:t>
      </w:r>
    </w:p>
    <w:p>
      <w:pPr>
        <w:spacing w:before="0" w:after="80" w:lineRule="auto" w:line="276"/>
      </w:pPr>
      <w:r>
        <w:rPr>
          <w:b/>
        </w:rPr>
        <w:t xml:space="preserve">摘要（ZH）: </w:t>
      </w:r>
      <w:r>
        <w:t>丙烷陶瓷电电化学电池(PCEC)是高效发电和绿色氢生产有希望的能源转换装置,在较低的操作温度(400°C-600°C)比传统的固态氧化电化学电池(400°C-600°C)提高热力效率、材料兼容性和长期稳定性,但是,由于电极/电解接口的结构不连续导致大量干扰,PCEC的进一步改进受到阻碍。在本研究中,我们提出了一个多层电极结构,其中粒子大小和分布可独立针对散装和接口电极。</w:t>
      </w:r>
    </w:p>
    <w:p>
      <w:pPr>
        <w:spacing w:before="0" w:after="200" w:lineRule="auto" w:line="276"/>
      </w:pPr>
      <w:r>
        <w:rPr>
          <w:b/>
        </w:rPr>
        <w:t xml:space="preserve">Abstract (EN): </w:t>
      </w:r>
      <w:r>
        <w:t>Protonic ceramic electrochemical cells (PCECs) are promising energy conversion devices for efficient power generation and green hydrogen production, offering improved thermodynamic efficiency, material compatibility, and long‐term stability at lower operating temperatures (400°C–600°C) compared to conventional solid oxide electrochemical cells. However, further improvements of PCECs are hindered by the substantial interfacial resistance originating from structural discontinuities at the electrode/electrolyte interface. In this study, we present a multilayered electrode architecture in which the particle size and distribution are independently tailored for bulk and interface electrodes. The interface electrode with smaller and more uniformly dispersed particles significantly enhances the contact coverage and specific surface area, resulting in a simultaneous reduction in both ohmic and polarization resistances. The optimized cell exhibits a remarkable peak power density of 1.04 W/cm</w:t>
      </w:r>
      <w:r>
        <w:rPr>
          <w:vertAlign w:val="subscript"/>
        </w:rPr>
        <w:t>2</w:t>
      </w:r>
      <w:r>
        <w:t>in the fuel cell mode and a current density of 0.69 A/cm</w:t>
      </w:r>
      <w:r>
        <w:rPr>
          <w:vertAlign w:val="subscript"/>
        </w:rPr>
        <w:t>2</w:t>
      </w:r>
      <w:r>
        <w:t>at 1.3 V in the electrolysis cell mode at 500°C along with excellent thermal and electrochemical durability. This study demonstrates a simple and scalable interface engineering strategy that does not require the use of a complicated fabrication process, providing a practical pathway for the development of high‐performance and durable PCECs suitable for operation under demanding conditions.</w:t>
      </w:r>
    </w:p>
    <w:p>
      <w:pPr>
        <w:spacing w:before="120" w:after="120"/>
      </w:pPr>
      <w:r>
        <w:rPr>
          <w:sz w:val="18"/>
        </w:rPr>
        <w:t>——————————————————————————————————————————————————————————————————————</w:t>
      </w:r>
    </w:p>
    <w:p>
      <w:pPr>
        <w:spacing w:before="160" w:after="40" w:line="240" w:lineRule="auto"/>
      </w:pPr>
      <w:r>
        <w:rPr>
          <w:b/>
        </w:rPr>
        <w:t xml:space="preserve">[353] </w:t>
      </w:r>
      <w:hyperlink r:id="rId633">
        <w:r>
          <w:rPr>
            <w:color w:val="1155CC"/>
            <w:u w:val="single"/>
          </w:rPr>
          <w:t>RhCatalyzed 氟化物对含四氟碳立立体器的四氟环丁烷的对称合成</w:t>
        </w:r>
      </w:hyperlink>
    </w:p>
    <w:p>
      <w:pPr>
        <w:spacing w:before="0" w:after="80"/>
      </w:pPr>
      <w:r>
        <w:rPr>
          <w:i/>
          <w:sz w:val="20"/>
        </w:rPr>
        <w:t>EN: Asymmetric Synthesis of Fluorinated Cyclobutenes Containing Quaternary Carbon Stereocenters by Rh‐Catalyzed Defluoroarylation</w:t>
      </w:r>
    </w:p>
    <w:p>
      <w:pPr>
        <w:spacing w:before="0" w:after="120"/>
      </w:pPr>
      <w:r>
        <w:rPr>
          <w:b/>
        </w:rPr>
        <w:t xml:space="preserve">Source: </w:t>
      </w:r>
      <w:r>
        <w:t>Wiley: Angewandte Chemie International Edition: Table of Contents</w:t>
      </w:r>
      <w:r>
        <w:t xml:space="preserve">    </w:t>
      </w:r>
      <w:r>
        <w:rPr>
          <w:b/>
        </w:rPr>
        <w:t xml:space="preserve">Pub date: </w:t>
      </w:r>
      <w:r>
        <w:t>2026-01-05 07:33:03+00:00</w:t>
      </w:r>
      <w:r>
        <w:t xml:space="preserve">    </w:t>
      </w:r>
      <w:r>
        <w:rPr>
          <w:b/>
        </w:rPr>
        <w:t xml:space="preserve">DOI: </w:t>
      </w:r>
      <w:hyperlink r:id="rId634">
        <w:r>
          <w:rPr>
            <w:color w:val="1155CC"/>
            <w:u w:val="single"/>
          </w:rPr>
          <w:t>10.1002/anie.202525455</w:t>
        </w:r>
      </w:hyperlink>
    </w:p>
    <w:p>
      <w:pPr>
        <w:spacing w:before="0" w:after="120"/>
      </w:pPr>
      <w:r>
        <w:rPr>
          <w:b/>
        </w:rPr>
        <w:t xml:space="preserve">Notes: </w:t>
      </w:r>
      <w:r>
        <w:t>abstract_source=crossref</w:t>
      </w:r>
    </w:p>
    <w:p>
      <w:pPr>
        <w:spacing w:before="0" w:after="80" w:lineRule="auto" w:line="276"/>
      </w:pPr>
      <w:r>
        <w:rPr>
          <w:b/>
        </w:rPr>
        <w:t xml:space="preserve">摘要（ZH）: </w:t>
      </w:r>
      <w:r>
        <w:t>抽象的四氟环是生物活性分子和药物中宝贵的结构元素;然而,这种含手性四氟碳中心的氟化框架的不对称合成尚未实现。在这里,我们报告了一个含有丙烯酸亚烯酸酯的宝石二氟环球的对等选择性脱氟变异,通过添加/氟化碳消除过程,可以对含甲状腺四氟碳的含甲状腺的氟化环球中心进行非对称建设,通过添加/氟化物消除过程,具有高度的对等选择性。</w:t>
      </w:r>
    </w:p>
    <w:p>
      <w:pPr>
        <w:spacing w:before="0" w:after="200" w:lineRule="auto" w:line="276"/>
      </w:pPr>
      <w:r>
        <w:rPr>
          <w:b/>
        </w:rPr>
        <w:t xml:space="preserve">Abstract (EN): </w:t>
      </w:r>
      <w:r>
        <w:t>Fluorinated four‐membered rings represent valuable structural motifs in bioactive molecules and pharmaceuticals; however, the asymmetric synthesis of such fluorinated frameworks bearing chiral quaternary carbon centers has not yet been achieved. Herein, we report a Rh‐catalyzed enantioselective defluoroarylation of</w:t>
      </w:r>
      <w:r>
        <w:t xml:space="preserve"> </w:t>
      </w:r>
      <w:r>
        <w:t>gem</w:t>
      </w:r>
      <w:r>
        <w:t xml:space="preserve"> </w:t>
      </w:r>
      <w:r>
        <w:t>‐difluorinated cyclobutenes with aryl boronates, enabling the asymmetric construction of fluorinated cyclobutenes bearing chiral quaternary carbon centers with high enantioselectivity via an addition/β‐fluoride elimination process. In situ treatment with an additional distinct aryl boronate enables</w:t>
      </w:r>
      <w:r>
        <w:t xml:space="preserve"> </w:t>
      </w:r>
      <w:r>
        <w:t>one‐pot</w:t>
      </w:r>
      <w:r>
        <w:t xml:space="preserve"> </w:t>
      </w:r>
      <w:r>
        <w:t>bis‐defluoroarylation to give unsymmetrical diarylated cyclobutenes.</w:t>
      </w:r>
    </w:p>
    <w:p>
      <w:pPr>
        <w:spacing w:before="120" w:after="120"/>
      </w:pPr>
      <w:r>
        <w:rPr>
          <w:sz w:val="18"/>
        </w:rPr>
        <w:t>——————————————————————————————————————————————————————————————————————</w:t>
      </w:r>
    </w:p>
    <w:p>
      <w:pPr>
        <w:spacing w:before="160" w:after="40" w:line="240" w:lineRule="auto"/>
      </w:pPr>
      <w:r>
        <w:rPr>
          <w:b/>
        </w:rPr>
        <w:t xml:space="preserve">[354] </w:t>
      </w:r>
      <w:hyperlink r:id="rId635">
        <w:r>
          <w:rPr>
            <w:color w:val="1155CC"/>
            <w:u w:val="single"/>
          </w:rPr>
          <w:t>活性半导体界面,用于天然海水氯分离物的可缩放光电化学合成</w:t>
        </w:r>
      </w:hyperlink>
    </w:p>
    <w:p>
      <w:pPr>
        <w:spacing w:before="0" w:after="80"/>
      </w:pPr>
      <w:r>
        <w:rPr>
          <w:i/>
          <w:sz w:val="20"/>
        </w:rPr>
        <w:t>EN: Dynamic Semiconductor Interface for Scalable Photoelectrochemical Synthesis of Chlorine Disinfectants from Natural Seawater</w:t>
      </w:r>
    </w:p>
    <w:p>
      <w:pPr>
        <w:spacing w:before="0" w:after="120"/>
      </w:pPr>
      <w:r>
        <w:rPr>
          <w:b/>
        </w:rPr>
        <w:t xml:space="preserve">Source: </w:t>
      </w:r>
      <w:r>
        <w:t>Wiley: Angewandte Chemie International Edition: Table of Contents</w:t>
      </w:r>
      <w:r>
        <w:t xml:space="preserve">    </w:t>
      </w:r>
      <w:r>
        <w:rPr>
          <w:b/>
        </w:rPr>
        <w:t xml:space="preserve">Pub date: </w:t>
      </w:r>
      <w:r>
        <w:t>2026-01-05 07:33:24+00:00</w:t>
      </w:r>
      <w:r>
        <w:t xml:space="preserve">    </w:t>
      </w:r>
      <w:r>
        <w:rPr>
          <w:b/>
        </w:rPr>
        <w:t xml:space="preserve">DOI: </w:t>
      </w:r>
      <w:hyperlink r:id="rId636">
        <w:r>
          <w:rPr>
            <w:color w:val="1155CC"/>
            <w:u w:val="single"/>
          </w:rPr>
          <w:t>10.1002/anie.202518395</w:t>
        </w:r>
      </w:hyperlink>
    </w:p>
    <w:p>
      <w:pPr>
        <w:spacing w:before="0" w:after="120"/>
      </w:pPr>
      <w:r>
        <w:rPr>
          <w:b/>
        </w:rPr>
        <w:t xml:space="preserve">Notes: </w:t>
      </w:r>
      <w:r>
        <w:t>abstract_source=crossref</w:t>
      </w:r>
    </w:p>
    <w:p>
      <w:pPr>
        <w:spacing w:before="0" w:after="80" w:lineRule="auto" w:line="276"/>
      </w:pPr>
      <w:r>
        <w:rPr>
          <w:b/>
        </w:rPr>
        <w:t xml:space="preserve">摘要（ZH）: </w:t>
      </w:r>
      <w:r>
        <w:t>氯化氧化反应(ClOR)光电化学海水电解法摘要 氯化氧化反应(ClOR) 的光电海水电解解法低选择性,对相互竞争的反应和高发潜力的选择性较低,严重限制了其消毒生产和基于海洋的化学合成效率,因此,我们在BiVO 4光电测德上设计了一个不固定的COWOx层,使得能够直接从自然海水中进行高选择性活性氯(AC)生产。COWO x/BiVo 4光电解法显示显著的光流密度为4.78立方米-2厘米,时间为1.2伏。</w:t>
      </w:r>
    </w:p>
    <w:p>
      <w:pPr>
        <w:spacing w:before="0" w:after="200" w:lineRule="auto" w:line="276"/>
      </w:pPr>
      <w:r>
        <w:rPr>
          <w:b/>
        </w:rPr>
        <w:t xml:space="preserve">Abstract (EN): </w:t>
      </w:r>
      <w:r>
        <w:t>Photoelectrochemical seawater electrolysis for the chloride oxidation reaction (ClOR) suffers from low selectivity against competing reactions and high onset potentials, which severely limits its efficiency for disinfectant production and marine‐based chemical synthesis. Herein, we engineer an amorphous CoWO</w:t>
      </w:r>
      <w:r>
        <w:t xml:space="preserve"> </w:t>
      </w:r>
      <w:r>
        <w:t>x</w:t>
      </w:r>
      <w:r>
        <w:t xml:space="preserve"> </w:t>
      </w:r>
      <w:r>
        <w:t>layer on BiVO</w:t>
      </w:r>
      <w:r>
        <w:rPr>
          <w:vertAlign w:val="subscript"/>
        </w:rPr>
        <w:t>4</w:t>
      </w:r>
      <w:r>
        <w:t>photoanodes that enables highly selective active chlorine (AC) production directly from natural seawater. The CoWO</w:t>
      </w:r>
      <w:r>
        <w:t xml:space="preserve"> </w:t>
      </w:r>
      <w:r>
        <w:t>x</w:t>
      </w:r>
      <w:r>
        <w:t xml:space="preserve"> </w:t>
      </w:r>
      <w:r>
        <w:t>/BiVO</w:t>
      </w:r>
      <w:r>
        <w:rPr>
          <w:vertAlign w:val="subscript"/>
        </w:rPr>
        <w:t>4</w:t>
      </w:r>
      <w:r>
        <w:t>photoanode delivers a remarkable photocurrent density of 4.78 mA cm</w:t>
      </w:r>
      <w:r>
        <w:t xml:space="preserve"> </w:t>
      </w:r>
      <w:r>
        <w:t>−2</w:t>
      </w:r>
      <w:r>
        <w:t xml:space="preserve"> </w:t>
      </w:r>
      <w:r>
        <w:t>at 1.2 V</w:t>
      </w:r>
      <w:r>
        <w:t xml:space="preserve"> </w:t>
      </w:r>
      <w:r>
        <w:t>RHE</w:t>
      </w:r>
      <w:r>
        <w:t xml:space="preserve"> </w:t>
      </w:r>
      <w:r>
        <w:t>under AM 1.5G illumination, with a record‐low onset potential of 0.38 V</w:t>
      </w:r>
      <w:r>
        <w:t xml:space="preserve"> </w:t>
      </w:r>
      <w:r>
        <w:t>RHE</w:t>
      </w:r>
      <w:r>
        <w:t xml:space="preserve"> </w:t>
      </w:r>
      <w:r>
        <w:t>. Notably, it maintains &amp;gt; 95% Faradaic efficiency and selectivity for AC production across a wide potential range of 0.9–1.8 V</w:t>
      </w:r>
      <w:r>
        <w:t xml:space="preserve"> </w:t>
      </w:r>
      <w:r>
        <w:t>RHE</w:t>
      </w:r>
      <w:r>
        <w:t xml:space="preserve"> </w:t>
      </w:r>
      <w:r>
        <w:t>, and retains 86.9% selectivity at 0.6 V</w:t>
      </w:r>
      <w:r>
        <w:t xml:space="preserve"> </w:t>
      </w:r>
      <w:r>
        <w:t>RHE</w:t>
      </w:r>
      <w:r>
        <w:t xml:space="preserve"> </w:t>
      </w:r>
      <w:r>
        <w:t>, overcoming the challenge of achieving efficient ClOR at low potentials. The incorporation of W suppresses the dissolution of Bi and V, while a dynamic Co</w:t>
      </w:r>
      <w:r>
        <w:t xml:space="preserve"> </w:t>
      </w:r>
      <w:r>
        <w:t>2+</w:t>
      </w:r>
      <w:r>
        <w:t xml:space="preserve"> </w:t>
      </w:r>
      <w:r>
        <w:t>/Co</w:t>
      </w:r>
      <w:r>
        <w:t xml:space="preserve"> </w:t>
      </w:r>
      <w:r>
        <w:t>3+</w:t>
      </w:r>
      <w:r>
        <w:t xml:space="preserve"> </w:t>
      </w:r>
      <w:r>
        <w:t>equilibrium ensures operational stability over 150 h. In situ characterization and density functional theory (DFT) calculations reveal that CoWO</w:t>
      </w:r>
      <w:r>
        <w:t xml:space="preserve"> </w:t>
      </w:r>
      <w:r>
        <w:t>x</w:t>
      </w:r>
      <w:r>
        <w:t xml:space="preserve"> </w:t>
      </w:r>
      <w:r>
        <w:t>accelerates Cl</w:t>
      </w:r>
      <w:r>
        <w:t xml:space="preserve"> </w:t>
      </w:r>
      <w:r>
        <w:t>−</w:t>
      </w:r>
      <w:r>
        <w:t>oxidation to •Cl intermediates and steers the reaction pathways toward selective AC formation by thermodynamically favoring key chlorine adsorption configurations. Scaled‐up 25 cm</w:t>
      </w:r>
      <w:r>
        <w:rPr>
          <w:vertAlign w:val="subscript"/>
        </w:rPr>
        <w:t>2</w:t>
      </w:r>
      <w:r>
        <w:t>photoanodes achieves an AC production rate of 838 µmol h</w:t>
      </w:r>
      <w:r>
        <w:t xml:space="preserve"> </w:t>
      </w:r>
      <w:r>
        <w:t>−1</w:t>
      </w:r>
      <w:r>
        <w:t xml:space="preserve"> </w:t>
      </w:r>
      <w:r>
        <w:t>. The resulting disinfectant exhibits broad‐spectrum bactericidal efficacy, including 99.99% inactivation of</w:t>
      </w:r>
      <w:r>
        <w:t xml:space="preserve"> </w:t>
      </w:r>
      <w:r>
        <w:t>E. coli</w:t>
      </w:r>
      <w:r>
        <w:t xml:space="preserve"> </w:t>
      </w:r>
      <w:r>
        <w:t>and</w:t>
      </w:r>
      <w:r>
        <w:t xml:space="preserve"> </w:t>
      </w:r>
      <w:r>
        <w:t>S. aureus</w:t>
      </w:r>
      <w:r>
        <w:t xml:space="preserve"> </w:t>
      </w:r>
      <w:r>
        <w:t>within 24 h. This work establishes a scalable photoelectrode design for the direct, energy‐efficient and selective production of valuable active chlorine from seawater.</w:t>
      </w:r>
    </w:p>
    <w:p>
      <w:pPr>
        <w:spacing w:before="120" w:after="120"/>
      </w:pPr>
      <w:r>
        <w:rPr>
          <w:sz w:val="18"/>
        </w:rPr>
        <w:t>——————————————————————————————————————————————————————————————————————</w:t>
      </w:r>
    </w:p>
    <w:p>
      <w:pPr>
        <w:spacing w:before="160" w:after="40" w:line="240" w:lineRule="auto"/>
      </w:pPr>
      <w:r>
        <w:rPr>
          <w:b/>
        </w:rPr>
        <w:t xml:space="preserve">[355] </w:t>
      </w:r>
      <w:hyperlink r:id="rId637">
        <w:r>
          <w:rPr>
            <w:color w:val="1155CC"/>
            <w:u w:val="single"/>
          </w:rPr>
          <w:t>超越不完美匹配:高能-高能-高能-高密度锂电池的硅/玻璃混合导线</w:t>
        </w:r>
      </w:hyperlink>
    </w:p>
    <w:p>
      <w:pPr>
        <w:spacing w:before="0" w:after="80"/>
      </w:pPr>
      <w:r>
        <w:rPr>
          <w:i/>
          <w:sz w:val="20"/>
        </w:rPr>
        <w:t>EN: Beyond Imperfect Match: Silicon/Graphite Hybrid Anodes for High‐Energy–Density Lithium‐Ion Batteries</w:t>
      </w:r>
    </w:p>
    <w:p>
      <w:pPr>
        <w:spacing w:before="0" w:after="120"/>
      </w:pPr>
      <w:r>
        <w:rPr>
          <w:b/>
        </w:rPr>
        <w:t xml:space="preserve">Source: </w:t>
      </w:r>
      <w:r>
        <w:t>Wiley: Advanced Energy Materials: Table of Contents</w:t>
      </w:r>
      <w:r>
        <w:t xml:space="preserve">    </w:t>
      </w:r>
      <w:r>
        <w:rPr>
          <w:b/>
        </w:rPr>
        <w:t xml:space="preserve">Pub date: </w:t>
      </w:r>
      <w:r>
        <w:t>2026-01-05 07:33:34+00:00</w:t>
      </w:r>
      <w:r>
        <w:t xml:space="preserve">    </w:t>
      </w:r>
      <w:r>
        <w:rPr>
          <w:b/>
        </w:rPr>
        <w:t xml:space="preserve">DOI: </w:t>
      </w:r>
      <w:hyperlink r:id="rId638">
        <w:r>
          <w:rPr>
            <w:color w:val="1155CC"/>
            <w:u w:val="single"/>
          </w:rPr>
          <w:t>10.1002/aenm.202505674</w:t>
        </w:r>
      </w:hyperlink>
    </w:p>
    <w:p>
      <w:pPr>
        <w:spacing w:before="0" w:after="120"/>
      </w:pPr>
      <w:r>
        <w:rPr>
          <w:b/>
        </w:rPr>
        <w:t xml:space="preserve">Notes: </w:t>
      </w:r>
      <w:r>
        <w:t>abstract_source=crossref</w:t>
      </w:r>
    </w:p>
    <w:p>
      <w:pPr>
        <w:spacing w:before="0" w:after="80" w:lineRule="auto" w:line="276"/>
      </w:pPr>
      <w:r>
        <w:rPr>
          <w:b/>
        </w:rPr>
        <w:t xml:space="preserve">摘要（ZH）: </w:t>
      </w:r>
      <w:r>
        <w:t>将Si的超高特定容量与Gr的结构稳定性和导电率相结合的ABSTACT 硅/成像(Si/Gr)阳极结合Si的超高特定容量与Gr的结构稳定性和导电率,已成为下一代锂电池(LIBs)最有希望的高容量系统。Si和Gr之间的协同作用使得能源密度、循环稳定性和可制造性之间的平衡得以在商业电池中表现出来。然而,Si在点火/拆解期间经历了高达300%的大规模扩张,造成粒子骨折、脉冲化、电极崩溃和不稳定的固体-电解密界面形成,加速了能力消退。尽管Gr可以缓解压力并保持导性,但电化学动力和机械特性不匹配。</w:t>
      </w:r>
    </w:p>
    <w:p>
      <w:pPr>
        <w:spacing w:before="0" w:after="200" w:lineRule="auto" w:line="276"/>
      </w:pPr>
      <w:r>
        <w:rPr>
          <w:b/>
        </w:rPr>
        <w:t xml:space="preserve">Abstract (EN): </w:t>
      </w:r>
      <w:r>
        <w:t>Silicon/graphite (Si/Gr) anodes, integrating Si's ultrahigh specific capacity with Gr's structural stability and electrical conductivity, have emerged as the most promising high‐capacity systems for next‐generation lithium‐ion batteries (LIBs). The synergy between Si and Gr enables a balance between energy density, cycling stability, and manufacturability, already demonstrated in commercial cells. However, Si undergoes a large volume expansion of up to 300% during lithiation/delithiation, causing particle fracture, pulverization, electrode collapse, and unstable solid–electrolyte interface formation, which accelerates capacity fading. Although Gr can alleviate stress and maintain conductivity, mismatched electrochemical kinetics and mechanical properties between Si and Gr lead to heterogeneous lithiation and complex interfacial evolution, posing major engineering challenges. This review highlights recent advances in the mechanistic understanding and engineering optimization of Si/Gr anodes, emphasizing failure modes originating from both individual component degradation and interfacial coupling. The roles of advanced characterization and multiscale modeling in revealing volume effects and interfacial dynamics are discussed. Building on these insights, optimization strategies such as nanoscale structuring, interfacial engineering, buffered conductive frameworks, gradient architectures, electrode design, and pre‐lithiation are summarized. A comprehensive understanding of expansion, fracture, and pulverization mechanisms is crucial for designing durable, high‐energy–density Si/Gr anodes for long‐life LIBs.</w:t>
      </w:r>
    </w:p>
    <w:p>
      <w:pPr>
        <w:spacing w:before="120" w:after="120"/>
      </w:pPr>
      <w:r>
        <w:rPr>
          <w:sz w:val="18"/>
        </w:rPr>
        <w:t>——————————————————————————————————————————————————————————————————————</w:t>
      </w:r>
    </w:p>
    <w:p>
      <w:pPr>
        <w:spacing w:before="160" w:after="40" w:line="240" w:lineRule="auto"/>
      </w:pPr>
      <w:r>
        <w:rPr>
          <w:b/>
        </w:rPr>
        <w:t xml:space="preserve">[356] </w:t>
      </w:r>
      <w:hyperlink r:id="rId639">
        <w:r>
          <w:rPr>
            <w:color w:val="1155CC"/>
            <w:u w:val="single"/>
          </w:rPr>
          <w:t>从动态地表重建中为2.0A厘米-2时稳定水氧化而启动的高-Valent Ni国家脱氧化物氧化物氧化物氧化物</w:t>
        </w:r>
      </w:hyperlink>
    </w:p>
    <w:p>
      <w:pPr>
        <w:spacing w:before="0" w:after="80"/>
      </w:pPr>
      <w:r>
        <w:rPr>
          <w:i/>
          <w:sz w:val="20"/>
        </w:rPr>
        <w:t>EN: Preconfiguring a High−Valent Ni State Decouples Lattice−Oxygen Activation From Dynamic Surface Reconstruction for Stable Water Oxidation at 2.0 A cm−2</w:t>
      </w:r>
    </w:p>
    <w:p>
      <w:pPr>
        <w:spacing w:before="0" w:after="120"/>
      </w:pPr>
      <w:r>
        <w:rPr>
          <w:b/>
        </w:rPr>
        <w:t xml:space="preserve">Source: </w:t>
      </w:r>
      <w:r>
        <w:t>Wiley: Advanced Energy Materials: Table of Contents</w:t>
      </w:r>
      <w:r>
        <w:t xml:space="preserve">    </w:t>
      </w:r>
      <w:r>
        <w:rPr>
          <w:b/>
        </w:rPr>
        <w:t xml:space="preserve">Pub date: </w:t>
      </w:r>
      <w:r>
        <w:t>2026-01-05 07:34:26+00:00</w:t>
      </w:r>
      <w:r>
        <w:t xml:space="preserve">    </w:t>
      </w:r>
      <w:r>
        <w:rPr>
          <w:b/>
        </w:rPr>
        <w:t xml:space="preserve">DOI: </w:t>
      </w:r>
      <w:hyperlink r:id="rId640">
        <w:r>
          <w:rPr>
            <w:color w:val="1155CC"/>
            <w:u w:val="single"/>
          </w:rPr>
          <w:t>10.1002/aenm.202505253</w:t>
        </w:r>
      </w:hyperlink>
    </w:p>
    <w:p>
      <w:pPr>
        <w:spacing w:before="0" w:after="120"/>
      </w:pPr>
      <w:r>
        <w:rPr>
          <w:b/>
        </w:rPr>
        <w:t xml:space="preserve">Notes: </w:t>
      </w:r>
      <w:r>
        <w:t>abstract_source=crossref</w:t>
      </w:r>
    </w:p>
    <w:p>
      <w:pPr>
        <w:spacing w:before="0" w:after="80" w:lineRule="auto" w:line="276"/>
      </w:pPr>
      <w:r>
        <w:rPr>
          <w:b/>
        </w:rPr>
        <w:t xml:space="preserve">摘要（ZH）: </w:t>
      </w:r>
      <w:r>
        <w:t>ABSTACT 高价过渡-金属(氧)氢氧化物(Hyx)氧化物(OER)通常通过电化学自体重建,显示氧进化反应(OER)的内在活动量很高,然而,这种演变不可避免地会损害工业当前密度( &amp; gt;1 A cm-2)的结构性完整性和长期耐久性。</w:t>
      </w:r>
    </w:p>
    <w:p>
      <w:pPr>
        <w:spacing w:before="0" w:after="200" w:lineRule="auto" w:line="276"/>
      </w:pPr>
      <w:r>
        <w:rPr>
          <w:b/>
        </w:rPr>
        <w:t xml:space="preserve">Abstract (EN): </w:t>
      </w:r>
      <w:r>
        <w:t>High−valent transition−metal (oxy)hydroxides commonly demonstrated high intrinsic activity for the oxygen evolution reaction (OER) via electrochemical self−reconstruction. However, this evolution inevitably compromises structural integrity and long−term durability at industrial current densities (&amp;gt;1 A cm</w:t>
      </w:r>
      <w:r>
        <w:t xml:space="preserve"> </w:t>
      </w:r>
      <w:r>
        <w:t>−2</w:t>
      </w:r>
      <w:r>
        <w:t xml:space="preserve"> </w:t>
      </w:r>
      <w:r>
        <w:t>). Here, we propose a sequential−engineering strategy that separates catalytic−site activation from surface reconstruction through the preconfiguring of a ligand−hole−rich (oxy)hydroxide. Combined structural and electrochemical analyses confirm that Fe</w:t>
      </w:r>
      <w:r>
        <w:t xml:space="preserve"> </w:t>
      </w:r>
      <w:r>
        <w:t>3+</w:t>
      </w:r>
      <w:r>
        <w:t xml:space="preserve"> </w:t>
      </w:r>
      <w:r>
        <w:t>oxidizes L−cysteine into a moderated sulfur donor, enabling precise S incorporation (avoiding sulfides, e.g., Ni</w:t>
      </w:r>
      <w:r>
        <w:rPr>
          <w:vertAlign w:val="subscript"/>
        </w:rPr>
        <w:t>3</w:t>
      </w:r>
      <w:r>
        <w:t>S</w:t>
      </w:r>
      <w:r>
        <w:rPr>
          <w:vertAlign w:val="subscript"/>
        </w:rPr>
        <w:t>2</w:t>
      </w:r>
      <w:r>
        <w:t>), along with Fe−O−Ni inductive polarization, biasing Ni</w:t>
      </w:r>
      <w:r>
        <w:t xml:space="preserve"> </w:t>
      </w:r>
      <w:r>
        <w:t>2+</w:t>
      </w:r>
      <w:r>
        <w:t xml:space="preserve"> </w:t>
      </w:r>
      <w:r>
        <w:t>toward Ni</w:t>
      </w:r>
      <w:r>
        <w:t xml:space="preserve"> </w:t>
      </w:r>
      <w:r>
        <w:t>III</w:t>
      </w:r>
      <w:r>
        <w:t xml:space="preserve"> </w:t>
      </w:r>
      <w:r>
        <w:t>. In parallel, the preconfigured high Ni</w:t>
      </w:r>
      <w:r>
        <w:t xml:space="preserve"> </w:t>
      </w:r>
      <w:r>
        <w:t>III</w:t>
      </w:r>
      <w:r>
        <w:t xml:space="preserve"> </w:t>
      </w:r>
      <w:r>
        <w:t>strengthens Ni─O covalency, while sulfur incorporation introduces ligand holes to O−2p band, thereby rendering lattice oxygen electrophilic. This pre−establishing framework allows lattice−oxygen to precede oxidation at Ni sites, affecting a kinetic decoupling that underpins durability. Consequently, the S−NiFeOOH delivers overpotentials of 182 mV and 214 mV at 10 mA cm</w:t>
      </w:r>
      <w:r>
        <w:t xml:space="preserve"> </w:t>
      </w:r>
      <w:r>
        <w:t>−2</w:t>
      </w:r>
      <w:r>
        <w:t xml:space="preserve"> </w:t>
      </w:r>
      <w:r>
        <w:t>in alkaline freshwater and seawater, respectively, while sustaining over 4000 hours of continuous operation at 2.0 A cm</w:t>
      </w:r>
      <w:r>
        <w:t xml:space="preserve"> </w:t>
      </w:r>
      <w:r>
        <w:t>−2</w:t>
      </w:r>
      <w:r>
        <w:t xml:space="preserve"> </w:t>
      </w:r>
      <w:r>
        <w:t>. In an anion−exchange membrane water electrolyzer, it achieves 1 A cm</w:t>
      </w:r>
      <w:r>
        <w:t xml:space="preserve"> </w:t>
      </w:r>
      <w:r>
        <w:t>−2</w:t>
      </w:r>
      <w:r>
        <w:t xml:space="preserve"> </w:t>
      </w:r>
      <w:r>
        <w:t>at 1.67 V (freshwater) and 1.74 V (seawater) and maintains stable performance beyond 3,500 hours at 1.0 A cm</w:t>
      </w:r>
      <w:r>
        <w:t xml:space="preserve"> </w:t>
      </w:r>
      <w:r>
        <w:t>−2</w:t>
      </w:r>
      <w:r>
        <w:t xml:space="preserve"> </w:t>
      </w:r>
      <w:r>
        <w:t>, underscoring its promise for large−scale green hydrogen production.</w:t>
      </w:r>
    </w:p>
    <w:p>
      <w:pPr>
        <w:spacing w:before="120" w:after="120"/>
      </w:pPr>
      <w:r>
        <w:rPr>
          <w:sz w:val="18"/>
        </w:rPr>
        <w:t>——————————————————————————————————————————————————————————————————————</w:t>
      </w:r>
    </w:p>
    <w:p>
      <w:pPr>
        <w:spacing w:before="160" w:after="40" w:line="240" w:lineRule="auto"/>
      </w:pPr>
      <w:r>
        <w:rPr>
          <w:b/>
        </w:rPr>
        <w:t xml:space="preserve">[357] </w:t>
      </w:r>
      <w:hyperlink r:id="rId641">
        <w:r>
          <w:rPr>
            <w:color w:val="1155CC"/>
            <w:u w:val="single"/>
          </w:rPr>
          <w:t>内晶装置和应用的有机电化学晶体管</w:t>
        </w:r>
      </w:hyperlink>
    </w:p>
    <w:p>
      <w:pPr>
        <w:spacing w:before="0" w:after="80"/>
      </w:pPr>
      <w:r>
        <w:rPr>
          <w:i/>
          <w:sz w:val="20"/>
        </w:rPr>
        <w:t>EN: Organic Electrochemical Transistors for Neuromorphic Devices and Applications</w:t>
      </w:r>
    </w:p>
    <w:p>
      <w:pPr>
        <w:spacing w:before="0" w:after="120"/>
      </w:pPr>
      <w:r>
        <w:rPr>
          <w:b/>
        </w:rPr>
        <w:t xml:space="preserve">Source: </w:t>
      </w:r>
      <w:r>
        <w:t>Wiley: Advanced Materials: Table of Contents</w:t>
      </w:r>
      <w:r>
        <w:t xml:space="preserve">    </w:t>
      </w:r>
      <w:r>
        <w:rPr>
          <w:b/>
        </w:rPr>
        <w:t xml:space="preserve">Pub date: </w:t>
      </w:r>
      <w:r>
        <w:t>2026-01-05 07:35:19+00:00</w:t>
      </w:r>
      <w:r>
        <w:t xml:space="preserve">    </w:t>
      </w:r>
      <w:r>
        <w:rPr>
          <w:b/>
        </w:rPr>
        <w:t xml:space="preserve">DOI: </w:t>
      </w:r>
      <w:hyperlink r:id="rId642">
        <w:r>
          <w:rPr>
            <w:color w:val="1155CC"/>
            <w:u w:val="single"/>
          </w:rPr>
          <w:t>10.1002/adma.202515532</w:t>
        </w:r>
      </w:hyperlink>
    </w:p>
    <w:p>
      <w:pPr>
        <w:spacing w:before="0" w:after="120"/>
      </w:pPr>
      <w:r>
        <w:rPr>
          <w:b/>
        </w:rPr>
        <w:t xml:space="preserve">Notes: </w:t>
      </w:r>
      <w:r>
        <w:t>abstract_source=crossref</w:t>
      </w:r>
    </w:p>
    <w:p>
      <w:pPr>
        <w:spacing w:before="0" w:after="80" w:lineRule="auto" w:line="276"/>
      </w:pPr>
      <w:r>
        <w:rPr>
          <w:b/>
        </w:rPr>
        <w:t xml:space="preserve">摘要（ZH）: </w:t>
      </w:r>
      <w:r>
        <w:t>电子神经地貌工程是一个跨学科领域,连接生物电子和神经科学,它是一个跨学科领域,它是一个跨学科领域,它连接生物电子和神经科学,它努力解决冯纽曼结构的瓶颈问题,建造硬件级人工神经神经网络(ANNs),复制复杂的人类大脑结构和功能,预示智能感测、加工和计算系统的新时代。 有机电化学晶体管(OECTs)通过有机混合电离电电子导体的大规模喷洒操作,正在成为神经形态装置的有希望的平台,这些装置可以模仿神经和合成活动,同时与生物系统无缝结合。 有机电化学晶体管(OECTs)提供多种优势,包括与灵活和可伸展的子的兼容性, t。</w:t>
      </w:r>
    </w:p>
    <w:p>
      <w:pPr>
        <w:spacing w:before="0" w:after="200" w:lineRule="auto" w:line="276"/>
      </w:pPr>
      <w:r>
        <w:rPr>
          <w:b/>
        </w:rPr>
        <w:t xml:space="preserve">Abstract (EN): </w:t>
      </w:r>
      <w:r>
        <w:t>Neuromorphic engineering, an interdisciplinary field bridging bioelectronics and neuroscience, endeavors to address the bottleneck of the von Neumann architecture by constructing hardware‐level artificial neural networks (ANNs) and replicate the complicated architecture and functionality of the human brain, heralding a new era of intelligent sensing, processing, and computing systems. Organic electrochemical transistors (OECTs), which operate via the bulk doping of organic mixed ionic–electronic conductors, are emerging as promising platforms for neuromorphic devices that emulate neuronal and synaptic activities while seamlessly integrating with biological systems. OECTs offer several advantages, including compatibility with flexible and stretchable substrates, tunable ionic and electronic conductivity, multimodal sensing capability, and operation at low voltages. This review aims to provide a comprehensive and state‐of‐the‐art vista of the rapidly advancing field of OECT‐based neuromorphic devices, including organic electrochemical neurons, organic electrochemical synapses, and their integrated devices. Particular emphasis is placed on their ability to perform neuromorphic functions and diverse applications in neuromorphic computing and flexible biointerfaces. Conclusions, remaining challenges, and future prospects for the development of OECT‐based neuromorphic devices are finally outlined.</w:t>
      </w:r>
    </w:p>
    <w:p>
      <w:pPr>
        <w:spacing w:before="120" w:after="120"/>
      </w:pPr>
      <w:r>
        <w:rPr>
          <w:sz w:val="18"/>
        </w:rPr>
        <w:t>——————————————————————————————————————————————————————————————————————</w:t>
      </w:r>
    </w:p>
    <w:p>
      <w:pPr>
        <w:spacing w:before="160" w:after="40" w:line="240" w:lineRule="auto"/>
      </w:pPr>
      <w:r>
        <w:rPr>
          <w:b/>
        </w:rPr>
        <w:t xml:space="preserve">[358] </w:t>
      </w:r>
      <w:hyperlink r:id="rId643">
        <w:r>
          <w:rPr>
            <w:color w:val="1155CC"/>
            <w:u w:val="single"/>
          </w:rPr>
          <w:t>双 TSHR/IGF1R 目标 CRISPRCas9 甲状腺结合眼细胞病地方化治疗系统</w:t>
        </w:r>
      </w:hyperlink>
    </w:p>
    <w:p>
      <w:pPr>
        <w:spacing w:before="0" w:after="80"/>
      </w:pPr>
      <w:r>
        <w:rPr>
          <w:i/>
          <w:sz w:val="20"/>
        </w:rPr>
        <w:t>EN: Fluoropolymer‐Mediated Delivery of a Dual TSHR/IGF1R‐Targeting CRISPR‐Cas9 System for Localized Therapy in Thyroid‐Associated Ophthalmopathy</w:t>
      </w:r>
    </w:p>
    <w:p>
      <w:pPr>
        <w:spacing w:before="0" w:after="120"/>
      </w:pPr>
      <w:r>
        <w:rPr>
          <w:b/>
        </w:rPr>
        <w:t xml:space="preserve">Source: </w:t>
      </w:r>
      <w:r>
        <w:t>Wiley: Advanced Materials: Table of Contents</w:t>
      </w:r>
      <w:r>
        <w:t xml:space="preserve">    </w:t>
      </w:r>
      <w:r>
        <w:rPr>
          <w:b/>
        </w:rPr>
        <w:t xml:space="preserve">Pub date: </w:t>
      </w:r>
      <w:r>
        <w:t>2026-01-05 07:37:01+00:00</w:t>
      </w:r>
      <w:r>
        <w:t xml:space="preserve">    </w:t>
      </w:r>
      <w:r>
        <w:rPr>
          <w:b/>
        </w:rPr>
        <w:t xml:space="preserve">DOI: </w:t>
      </w:r>
      <w:hyperlink r:id="rId644">
        <w:r>
          <w:rPr>
            <w:color w:val="1155CC"/>
            <w:u w:val="single"/>
          </w:rPr>
          <w:t>10.1002/adma.202511078</w:t>
        </w:r>
      </w:hyperlink>
    </w:p>
    <w:p>
      <w:pPr>
        <w:spacing w:before="0" w:after="120"/>
      </w:pPr>
      <w:r>
        <w:rPr>
          <w:b/>
        </w:rPr>
        <w:t xml:space="preserve">Notes: </w:t>
      </w:r>
      <w:r>
        <w:t>abstract_source=crossref</w:t>
      </w:r>
    </w:p>
    <w:p>
      <w:pPr>
        <w:spacing w:before="0" w:after="80" w:lineRule="auto" w:line="276"/>
      </w:pPr>
      <w:r>
        <w:rPr>
          <w:b/>
        </w:rPr>
        <w:t xml:space="preserve">摘要（ZH）: </w:t>
      </w:r>
      <w:r>
        <w:t>甲状腺相关眼球病(ATAO) 是一种具有视觉威胁和防畸形的自动免疫轨道障碍,由于缺乏具有轨道特性、持续效能和最小副作用的疗法,这仍然是一个治疗挑战。在这里,我们介绍了G4F7CRISP,一个基于氟聚合物的CRISPRQCA9输送平台,为局部和有效干扰甲状腺刺激激素受体(TSHR)和类似胰岛素生长系数1受体(IGF1R),这是TAO病原发的两个主要调解者。G4F7TRISPR在主要轨道纤维中实现了高插入/加速频率(Tshr:37.2%);</w:t>
      </w:r>
    </w:p>
    <w:p>
      <w:pPr>
        <w:spacing w:before="0" w:after="200" w:lineRule="auto" w:line="276"/>
      </w:pPr>
      <w:r>
        <w:rPr>
          <w:b/>
        </w:rPr>
        <w:t xml:space="preserve">Abstract (EN): </w:t>
      </w:r>
      <w:r>
        <w:t>Thyroid‐associated ophthalmopathy (TAO), a vision‐threatening and disfiguring autoimmune orbital disorder, remains a therapeutic challenge due to the lack of therapies with orbital specificity, sustained efficacy, and minimal side effects. Herein, we present G4F7‐CRISPR, a fluoropolymer‐based CRISPR‐Cas9 delivery platform engineered for localized and efficient disruption of thyroid‐stimulating hormone receptor (</w:t>
      </w:r>
      <w:r>
        <w:t xml:space="preserve"> </w:t>
      </w:r>
      <w:r>
        <w:t>TSHR</w:t>
      </w:r>
      <w:r>
        <w:t xml:space="preserve"> </w:t>
      </w:r>
      <w:r>
        <w:t>) and insulin‐like growth factor 1 receptor (</w:t>
      </w:r>
      <w:r>
        <w:t xml:space="preserve"> </w:t>
      </w:r>
      <w:r>
        <w:t>IGF1R</w:t>
      </w:r>
      <w:r>
        <w:t xml:space="preserve"> </w:t>
      </w:r>
      <w:r>
        <w:t>), two key mediators of TAO pathogenesis. G4F7‐CRISPR achieved high insertion/deletion frequencies in primary orbital fibroblasts (</w:t>
      </w:r>
      <w:r>
        <w:t xml:space="preserve"> </w:t>
      </w:r>
      <w:r>
        <w:t>Tshr</w:t>
      </w:r>
      <w:r>
        <w:t xml:space="preserve"> </w:t>
      </w:r>
      <w:r>
        <w:t>: 37.2%;</w:t>
      </w:r>
      <w:r>
        <w:t xml:space="preserve"> </w:t>
      </w:r>
      <w:r>
        <w:t>Igf1r</w:t>
      </w:r>
      <w:r>
        <w:t xml:space="preserve"> </w:t>
      </w:r>
      <w:r>
        <w:t>: 42.8%) and mature adipocytes (</w:t>
      </w:r>
      <w:r>
        <w:t xml:space="preserve"> </w:t>
      </w:r>
      <w:r>
        <w:t>Tshr</w:t>
      </w:r>
      <w:r>
        <w:t xml:space="preserve"> </w:t>
      </w:r>
      <w:r>
        <w:t>: 22.4%;</w:t>
      </w:r>
      <w:r>
        <w:t xml:space="preserve"> </w:t>
      </w:r>
      <w:r>
        <w:t>Igf1r</w:t>
      </w:r>
      <w:r>
        <w:t xml:space="preserve"> </w:t>
      </w:r>
      <w:r>
        <w:t>: 24.3%), and maintained robust editing efficiency in orbital adipose tissue of TAO mouse models (</w:t>
      </w:r>
      <w:r>
        <w:t xml:space="preserve"> </w:t>
      </w:r>
      <w:r>
        <w:t>Tshr</w:t>
      </w:r>
      <w:r>
        <w:t xml:space="preserve"> </w:t>
      </w:r>
      <w:r>
        <w:t>: 30.7%;</w:t>
      </w:r>
      <w:r>
        <w:t xml:space="preserve"> </w:t>
      </w:r>
      <w:r>
        <w:t>Igf1r</w:t>
      </w:r>
      <w:r>
        <w:t xml:space="preserve"> </w:t>
      </w:r>
      <w:r>
        <w:t>: 32.4%). In both TAO mouse models and 3D human orbital organoids, dual‐gene editing of</w:t>
      </w:r>
      <w:r>
        <w:t xml:space="preserve"> </w:t>
      </w:r>
      <w:r>
        <w:t>Tshr</w:t>
      </w:r>
      <w:r>
        <w:t xml:space="preserve"> </w:t>
      </w:r>
      <w:r>
        <w:t>and</w:t>
      </w:r>
      <w:r>
        <w:t xml:space="preserve"> </w:t>
      </w:r>
      <w:r>
        <w:t>Igf1r</w:t>
      </w:r>
      <w:r>
        <w:t xml:space="preserve"> </w:t>
      </w:r>
      <w:r>
        <w:t>via G4F7‐CRISPR significantly suppressed orbital adipogenesis, inflammation, and fibrosis, demonstrating superior therapeutic efficacy over either single‐gene approaches. Comprehensive off‐target analyses in both TAO mouse models and orbital organoids revealed minimal off‐target activity. Furthermore, G4F7‐CRISPR exhibited excellent short‐ and long‐term ocular and systemic safety in TAO mouse models. Notably, it outperformed teprotumumab—the FDA‐approved therapy for TAO—in both therapeutic efficacy and safety, highlighting its potential clinical advantages. Collectively, these findings highlight the translational promise of G4F7‐CRISPR as a safe, precise, and clinically viable gene therapy for TAO.</w:t>
      </w:r>
    </w:p>
    <w:p>
      <w:pPr>
        <w:spacing w:before="120" w:after="120"/>
      </w:pPr>
      <w:r>
        <w:rPr>
          <w:sz w:val="18"/>
        </w:rPr>
        <w:t>——————————————————————————————————————————————————————————————————————</w:t>
      </w:r>
    </w:p>
    <w:p>
      <w:pPr>
        <w:spacing w:before="160" w:after="40" w:line="240" w:lineRule="auto"/>
      </w:pPr>
      <w:r>
        <w:rPr>
          <w:b/>
        </w:rPr>
        <w:t xml:space="preserve">[359] </w:t>
      </w:r>
      <w:hyperlink r:id="rId645">
        <w:r>
          <w:rPr>
            <w:color w:val="1155CC"/>
            <w:u w:val="single"/>
          </w:rPr>
          <w:t>通过Engineering PdPt1单Atom合金皮肤,最大限度地增加Pt电动催化活动,以达到乙醇氧化化</w:t>
        </w:r>
      </w:hyperlink>
    </w:p>
    <w:p>
      <w:pPr>
        <w:spacing w:before="0" w:after="80"/>
      </w:pPr>
      <w:r>
        <w:rPr>
          <w:i/>
          <w:sz w:val="20"/>
        </w:rPr>
        <w:t>EN: Maximize the Electrocatalytic Activity of Pt Toward Ethanol Oxidation via Engineering PdPt1 Single‐Atom Alloy Skin</w:t>
      </w:r>
    </w:p>
    <w:p>
      <w:pPr>
        <w:spacing w:before="0" w:after="120"/>
      </w:pPr>
      <w:r>
        <w:rPr>
          <w:b/>
        </w:rPr>
        <w:t xml:space="preserve">Source: </w:t>
      </w:r>
      <w:r>
        <w:t>Wiley: Advanced Materials: Table of Contents</w:t>
      </w:r>
      <w:r>
        <w:t xml:space="preserve">    </w:t>
      </w:r>
      <w:r>
        <w:rPr>
          <w:b/>
        </w:rPr>
        <w:t xml:space="preserve">Pub date: </w:t>
      </w:r>
      <w:r>
        <w:t>2026-01-05 07:37:51+00:00</w:t>
      </w:r>
      <w:r>
        <w:t xml:space="preserve">    </w:t>
      </w:r>
      <w:r>
        <w:rPr>
          <w:b/>
        </w:rPr>
        <w:t xml:space="preserve">DOI: </w:t>
      </w:r>
      <w:hyperlink r:id="rId646">
        <w:r>
          <w:rPr>
            <w:color w:val="1155CC"/>
            <w:u w:val="single"/>
          </w:rPr>
          <w:t>10.1002/adma.202519429</w:t>
        </w:r>
      </w:hyperlink>
    </w:p>
    <w:p>
      <w:pPr>
        <w:spacing w:before="0" w:after="120"/>
      </w:pPr>
      <w:r>
        <w:rPr>
          <w:b/>
        </w:rPr>
        <w:t xml:space="preserve">Notes: </w:t>
      </w:r>
      <w:r>
        <w:t>abstract_source=crossref</w:t>
      </w:r>
    </w:p>
    <w:p>
      <w:pPr>
        <w:spacing w:before="0" w:after="80" w:lineRule="auto" w:line="276"/>
      </w:pPr>
      <w:r>
        <w:rPr>
          <w:b/>
        </w:rPr>
        <w:t xml:space="preserve">摘要（ZH）: </w:t>
      </w:r>
      <w:r>
        <w:t>ABSTACT 单原子合金(SAAs)通过结合单原子催化剂和纳米合金的优势而成为电解的诱人模型系统,它面临着在原子一级对其表面结构进行工程设计的挑战。在这里,充分利用活跃的Pt站点来刺激乙醇氧化电解,单子-Ptatoms被固定在半金属Pd 5 B B 3 Central-ultrathin Pd shell Pd shellhedrons的表面上,即SAAA 1 皮肤,是经过合理设计和制造的。这一独特的PdPt 1 SAA 皮肤实现了创纪录的质量活动(553.58 A米)。</w:t>
      </w:r>
    </w:p>
    <w:p>
      <w:pPr>
        <w:spacing w:before="0" w:after="200" w:lineRule="auto" w:line="276"/>
      </w:pPr>
      <w:r>
        <w:rPr>
          <w:b/>
        </w:rPr>
        <w:t xml:space="preserve">Abstract (EN): </w:t>
      </w:r>
      <w:r>
        <w:t>Single‐atom alloys (SAAs) emerge as an intriguing model system for electrocatalysis by combining the advantages of single‐atom catalysts and nanoalloys, yet it faces the challenge in engineering their surface structure at the atomic level. Herein, to fully utilize active Pt sites to boost ethanol oxidation electrocatalysis, single‐Pt‐atoms anchored onto the surface of intermetallic Pd</w:t>
      </w:r>
      <w:r>
        <w:rPr>
          <w:vertAlign w:val="subscript"/>
        </w:rPr>
        <w:t>5</w:t>
      </w:r>
      <w:r>
        <w:t>Bi</w:t>
      </w:r>
      <w:r>
        <w:rPr>
          <w:vertAlign w:val="subscript"/>
        </w:rPr>
        <w:t>3</w:t>
      </w:r>
      <w:r>
        <w:t>core‐ultrathin Pd shell octahedrons, namely a tensile‐strained PdPt</w:t>
      </w:r>
      <w:r>
        <w:rPr>
          <w:vertAlign w:val="subscript"/>
        </w:rPr>
        <w:t>1</w:t>
      </w:r>
      <w:r>
        <w:t>SAA skin, were rationally designed and engineered. This unique PdPt</w:t>
      </w:r>
      <w:r>
        <w:rPr>
          <w:vertAlign w:val="subscript"/>
        </w:rPr>
        <w:t>1</w:t>
      </w:r>
      <w:r>
        <w:t>SAA skin achieves a record‐high mass activity (553.58 A mg</w:t>
      </w:r>
      <w:r>
        <w:t xml:space="preserve"> </w:t>
      </w:r>
      <w:r>
        <w:t>Pt</w:t>
      </w:r>
      <w:r>
        <w:t xml:space="preserve"> </w:t>
      </w:r>
      <w:r>
        <w:t>−1</w:t>
      </w:r>
      <w:r>
        <w:t xml:space="preserve"> </w:t>
      </w:r>
      <w:r>
        <w:t>or 34.73 A mg</w:t>
      </w:r>
      <w:r>
        <w:t xml:space="preserve"> </w:t>
      </w:r>
      <w:r>
        <w:t>Pt+Pd</w:t>
      </w:r>
      <w:r>
        <w:t xml:space="preserve"> </w:t>
      </w:r>
      <w:r>
        <w:t>−1</w:t>
      </w:r>
      <w:r>
        <w:t xml:space="preserve"> </w:t>
      </w:r>
      <w:r>
        <w:t>) and outstanding durability toward ethanol oxidation in alkaline electrolyte, outperforming the current high‐performance electrocatalysts. Density functional theory (DFT) calculations reveal that the isolated‐Pt‐atoms effectively enhance the adsorption of ethanol, accelerate the C2 pathway, and enhance the C‐C bond cleavage of the *CH</w:t>
      </w:r>
      <w:r>
        <w:rPr>
          <w:vertAlign w:val="subscript"/>
        </w:rPr>
        <w:t>2</w:t>
      </w:r>
      <w:r>
        <w:t>CO intermediate. The wet‐chemical fabrication of SAA skin opens up a general strategy to construct model surface that completely exposes and stabilizes active atoms, facilitating the development of highly efficient electrocatalysts.</w:t>
      </w:r>
    </w:p>
    <w:p>
      <w:pPr>
        <w:spacing w:before="120" w:after="120"/>
      </w:pPr>
      <w:r>
        <w:rPr>
          <w:sz w:val="18"/>
        </w:rPr>
        <w:t>——————————————————————————————————————————————————————————————————————</w:t>
      </w:r>
    </w:p>
    <w:p>
      <w:pPr>
        <w:spacing w:before="160" w:after="40" w:line="240" w:lineRule="auto"/>
      </w:pPr>
      <w:r>
        <w:rPr>
          <w:b/>
        </w:rPr>
        <w:t xml:space="preserve">[360] </w:t>
      </w:r>
      <w:hyperlink r:id="rId647">
        <w:r>
          <w:rPr>
            <w:color w:val="1155CC"/>
            <w:u w:val="single"/>
          </w:rPr>
          <w:t>以液态金属为基础,以零静电为基础,可编程的超表层,无静电</w:t>
        </w:r>
      </w:hyperlink>
    </w:p>
    <w:p>
      <w:pPr>
        <w:spacing w:before="0" w:after="80"/>
      </w:pPr>
      <w:r>
        <w:rPr>
          <w:i/>
          <w:sz w:val="20"/>
        </w:rPr>
        <w:t>EN: Dual‐Functional Programmable Metasurface With Zero Static Power Based on Liquid Metal</w:t>
      </w:r>
    </w:p>
    <w:p>
      <w:pPr>
        <w:spacing w:before="0" w:after="120"/>
      </w:pPr>
      <w:r>
        <w:rPr>
          <w:b/>
        </w:rPr>
        <w:t xml:space="preserve">Source: </w:t>
      </w:r>
      <w:r>
        <w:t>Wiley: Advanced Materials: Table of Contents</w:t>
      </w:r>
      <w:r>
        <w:t xml:space="preserve">    </w:t>
      </w:r>
      <w:r>
        <w:rPr>
          <w:b/>
        </w:rPr>
        <w:t xml:space="preserve">Pub date: </w:t>
      </w:r>
      <w:r>
        <w:t>2026-01-05 07:38:13+00:00</w:t>
      </w:r>
      <w:r>
        <w:t xml:space="preserve">    </w:t>
      </w:r>
      <w:r>
        <w:rPr>
          <w:b/>
        </w:rPr>
        <w:t xml:space="preserve">DOI: </w:t>
      </w:r>
      <w:hyperlink r:id="rId648">
        <w:r>
          <w:rPr>
            <w:color w:val="1155CC"/>
            <w:u w:val="single"/>
          </w:rPr>
          <w:t>10.1002/adma.202514705</w:t>
        </w:r>
      </w:hyperlink>
    </w:p>
    <w:p>
      <w:pPr>
        <w:spacing w:before="0" w:after="120"/>
      </w:pPr>
      <w:r>
        <w:rPr>
          <w:b/>
        </w:rPr>
        <w:t xml:space="preserve">Notes: </w:t>
      </w:r>
      <w:r>
        <w:t>abstract_source=crossref</w:t>
      </w:r>
    </w:p>
    <w:p>
      <w:pPr>
        <w:spacing w:before="0" w:after="80" w:lineRule="auto" w:line="276"/>
      </w:pPr>
      <w:r>
        <w:rPr>
          <w:b/>
        </w:rPr>
        <w:t xml:space="preserve">摘要（ZH）: </w:t>
      </w:r>
      <w:r>
        <w:t>基于元表层的转换装置受到高电能消耗、金属疲劳和无法预见的交叉交谈的影响。为了应对这些挑战,已探索液态金属,作为以零静电进行零静电重组的新型方法,将液态金属、结构化微氟化物芯片和被动元表层结合起来,能够实现可编程的反射和传输特性,从而形成一种双功能可编程的元表(DFPM ) 。具体地说,DFPM可以通过用液态金属对被动表层进行调试,实现可编程的反射阶段。此外,在与被动表层脱钩后,微氟化物芯片转化为一个独立的液态金属元表层。</w:t>
      </w:r>
    </w:p>
    <w:p>
      <w:pPr>
        <w:spacing w:before="0" w:after="200" w:lineRule="auto" w:line="276"/>
      </w:pPr>
      <w:r>
        <w:rPr>
          <w:b/>
        </w:rPr>
        <w:t xml:space="preserve">Abstract (EN): </w:t>
      </w:r>
      <w:r>
        <w:t>The switching devices based on metasurfaces suffer from high power consumption, metal fatigue, and unforeseen crosstalk. To address these challenges, liquid metal has been explored as a novel approach to reconfigure passive metasurfaces with zero static power. The integration of liquid metal, a grating‐structured microfluidic chip, and a passive metasurface enables to achieve programmable reflection and transmission characteristics, rendering a dual‐functional programmable metasurface (DFPM). Specifically, DFPM can realize the programmable reflection phases by tuning the passive metasurface with liquid metal. In addition, upon being decoupled from the passive metasurface, the microfluidic chip transforms into an independent liquid metal metasurface that exhibits programmable transmission resonant frequencies, a feature that holds promising applications in magnetic resonance imaging (MRI). The microfluidic chip employs a grating structure to achieve individual control over each unit, significantly reducing the complexity and cost of fabrication and control. Moreover, when applied in MRI, this grating structured microfluidic metasurface offers exceptionally uniform magnetic field enhancement capability and a broad frequency tuning range. Significantly, the flexible microfluidic substrate and liquid metal enhance the conformal adaptability of the metasurface, positioning it as a promising candidate for wearable devices and flexible electronics.</w:t>
      </w:r>
    </w:p>
    <w:p>
      <w:pPr>
        <w:spacing w:before="120" w:after="120"/>
      </w:pPr>
      <w:r>
        <w:rPr>
          <w:sz w:val="18"/>
        </w:rPr>
        <w:t>——————————————————————————————————————————————————————————————————————</w:t>
      </w:r>
    </w:p>
    <w:p>
      <w:pPr>
        <w:spacing w:before="160" w:after="40" w:line="240" w:lineRule="auto"/>
      </w:pPr>
      <w:r>
        <w:rPr>
          <w:b/>
        </w:rPr>
        <w:t xml:space="preserve">[361] </w:t>
      </w:r>
      <w:hyperlink r:id="rId649">
        <w:r>
          <w:rPr>
            <w:color w:val="1155CC"/>
            <w:u w:val="single"/>
          </w:rPr>
          <w:t>通过易于获得的甘立基基捐款方所实现的液态特定转基因协同化,高效制备同性抗体共聚体</w:t>
        </w:r>
      </w:hyperlink>
    </w:p>
    <w:p>
      <w:pPr>
        <w:spacing w:before="0" w:after="80"/>
      </w:pPr>
      <w:r>
        <w:rPr>
          <w:i/>
          <w:sz w:val="20"/>
        </w:rPr>
        <w:t>EN: Efficient Preparation of Homogenous Antibody Conjugates via Glycosite‐Specific Transglycosylation Enabled by Readily Available Glycosyl Donors</w:t>
      </w:r>
    </w:p>
    <w:p>
      <w:pPr>
        <w:spacing w:before="0" w:after="120"/>
      </w:pPr>
      <w:r>
        <w:rPr>
          <w:b/>
        </w:rPr>
        <w:t xml:space="preserve">Source: </w:t>
      </w:r>
      <w:r>
        <w:t>Wiley: Angewandte Chemie International Edition: Table of Contents</w:t>
      </w:r>
      <w:r>
        <w:t xml:space="preserve">    </w:t>
      </w:r>
      <w:r>
        <w:rPr>
          <w:b/>
        </w:rPr>
        <w:t xml:space="preserve">Pub date: </w:t>
      </w:r>
      <w:r>
        <w:t>2026-01-05 07:39:32+00:00</w:t>
      </w:r>
      <w:r>
        <w:t xml:space="preserve">    </w:t>
      </w:r>
      <w:r>
        <w:rPr>
          <w:b/>
        </w:rPr>
        <w:t xml:space="preserve">DOI: </w:t>
      </w:r>
      <w:hyperlink r:id="rId650">
        <w:r>
          <w:rPr>
            <w:color w:val="1155CC"/>
            <w:u w:val="single"/>
          </w:rPr>
          <w:t>10.1002/anie.202518579</w:t>
        </w:r>
      </w:hyperlink>
    </w:p>
    <w:p>
      <w:pPr>
        <w:spacing w:before="0" w:after="120"/>
      </w:pPr>
      <w:r>
        <w:rPr>
          <w:b/>
        </w:rPr>
        <w:t xml:space="preserve">Notes: </w:t>
      </w:r>
      <w:r>
        <w:t>abstract_source=crossref</w:t>
      </w:r>
    </w:p>
    <w:p>
      <w:pPr>
        <w:spacing w:before="0" w:after="80" w:lineRule="auto" w:line="276"/>
      </w:pPr>
      <w:r>
        <w:rPr>
          <w:b/>
        </w:rPr>
        <w:t xml:space="preserve">摘要（ZH）: </w:t>
      </w:r>
      <w:r>
        <w:t>精选现场特有抗体凝聚,通过玻璃工程,为生成具有改良治疗指数的同质胶合(gsADCs)和治疗指数得到改善的同质胶合(gsADCs)提供了一条有希望的渠道,许多gsADCs正在从临床前期研究向临床试验推进,然而,目前的方法要么涉及多种酶,要么涉及长时间准备基质。在此,我们报告了一个新颖和合成精简的平台,利用4,6-六氯基甘基糖基捐赠者,为以单一酶为介质的同质凝胶合(gsADCs)特定抗体药物合质(gsADCs)。这些晶体捐赠者可以合成为两个步骤,与以前报告的甘基捐赠者相比,在合成可获取性方面有重大进步,后者通常需要分子。</w:t>
      </w:r>
    </w:p>
    <w:p>
      <w:pPr>
        <w:spacing w:before="0" w:after="200" w:lineRule="auto" w:line="276"/>
      </w:pPr>
      <w:r>
        <w:rPr>
          <w:b/>
        </w:rPr>
        <w:t xml:space="preserve">Abstract (EN): </w:t>
      </w:r>
      <w:r>
        <w:t>Site‐specific antibody conjugation through glycoengineering offers a promising route to generate homogeneous glycosite‐specific antibody‒drug conjugates (gsADCs) with improved therapeutic indices. Dozens of gsADCs are advancing from preclinical studies to clinical trials. However, current methods involve either multiple enzymes or lengthy preparation of substrates. Herein, we report a novel and synthetically streamlined platform utilizing LacNAc‐derived 4,6‐acetal glycosyl donors for glycosite‐specific transglycosylation mediated by a single enzyme. These glycosyl donors can be synthesized in as few as two steps, representing a major advancement in synthetic accessibility compared to previously reported glycosyl donors, which often require more than 15 steps. Computational analysis showed that the acetal ring restricts conformation, directing donor</w:t>
      </w:r>
      <w:r>
        <w:rPr>
          <w:vertAlign w:val="subscript"/>
        </w:rPr>
        <w:t>7</w:t>
      </w:r>
      <w:r>
        <w:t>to a π–π‐stabilized groove of the enzyme. Donor</w:t>
      </w:r>
      <w:r>
        <w:rPr>
          <w:vertAlign w:val="subscript"/>
        </w:rPr>
        <w:t>7</w:t>
      </w:r>
      <w:r>
        <w:t>, along with a positive control, was evaluated in the context of gsADCs, consistently demonstrating potent and selective cytotoxicity toward HER2‐positive cancer cells, while sparing HER2‐negative cells. Furthermore, donor</w:t>
      </w:r>
      <w:r>
        <w:rPr>
          <w:vertAlign w:val="subscript"/>
        </w:rPr>
        <w:t>7</w:t>
      </w:r>
      <w:r>
        <w:t>was successfully adapted to generate glycosite‐specific degrader‐antibody conjugates (gsDACs), highlighting its broad utility. Additional studies revealed that donor</w:t>
      </w:r>
      <w:r>
        <w:rPr>
          <w:vertAlign w:val="subscript"/>
        </w:rPr>
        <w:t>7</w:t>
      </w:r>
      <w:r>
        <w:t>produces antibodies with markedly enhanced resistance to Endo S2 mediated hydrolysis. Together, these findings establish a practical and broadly applicable platform for glycosite‐specific antibody conjugation, paving the way for next‐generation antibody‐based therapeutics.</w:t>
      </w:r>
    </w:p>
    <w:p>
      <w:pPr>
        <w:spacing w:before="120" w:after="120"/>
      </w:pPr>
      <w:r>
        <w:rPr>
          <w:sz w:val="18"/>
        </w:rPr>
        <w:t>——————————————————————————————————————————————————————————————————————</w:t>
      </w:r>
    </w:p>
    <w:p>
      <w:pPr>
        <w:spacing w:before="160" w:after="40" w:line="240" w:lineRule="auto"/>
      </w:pPr>
      <w:r>
        <w:rPr>
          <w:b/>
        </w:rPr>
        <w:t xml:space="preserve">[362] </w:t>
      </w:r>
      <w:hyperlink r:id="rId651">
        <w:r>
          <w:rPr>
            <w:color w:val="1155CC"/>
            <w:u w:val="single"/>
          </w:rPr>
          <w:t>到2050年实现气候中和:铝对短期和长期能源和氢能储存的作用</w:t>
        </w:r>
      </w:hyperlink>
    </w:p>
    <w:p>
      <w:pPr>
        <w:spacing w:before="0" w:after="80"/>
      </w:pPr>
      <w:r>
        <w:rPr>
          <w:i/>
          <w:sz w:val="20"/>
        </w:rPr>
        <w:t>EN: Towards Climate Neutrality by 2050: Role of Aluminum for Short‐ and Long‐Term Energy and Hydrogen Storage</w:t>
      </w:r>
    </w:p>
    <w:p>
      <w:pPr>
        <w:spacing w:before="0" w:after="120"/>
      </w:pPr>
      <w:r>
        <w:rPr>
          <w:b/>
        </w:rPr>
        <w:t xml:space="preserve">Source: </w:t>
      </w:r>
      <w:r>
        <w:t>Wiley: Advanced Energy Materials: Table of Contents</w:t>
      </w:r>
      <w:r>
        <w:t xml:space="preserve">    </w:t>
      </w:r>
      <w:r>
        <w:rPr>
          <w:b/>
        </w:rPr>
        <w:t xml:space="preserve">Pub date: </w:t>
      </w:r>
      <w:r>
        <w:t>2026-01-05 07:41:16+00:00</w:t>
      </w:r>
      <w:r>
        <w:t xml:space="preserve">    </w:t>
      </w:r>
      <w:r>
        <w:rPr>
          <w:b/>
        </w:rPr>
        <w:t xml:space="preserve">DOI: </w:t>
      </w:r>
      <w:hyperlink r:id="rId652">
        <w:r>
          <w:rPr>
            <w:color w:val="1155CC"/>
            <w:u w:val="single"/>
          </w:rPr>
          <w:t>10.1002/aenm.202505514</w:t>
        </w:r>
      </w:hyperlink>
    </w:p>
    <w:p>
      <w:pPr>
        <w:spacing w:before="0" w:after="120"/>
      </w:pPr>
      <w:r>
        <w:rPr>
          <w:b/>
        </w:rPr>
        <w:t xml:space="preserve">Notes: </w:t>
      </w:r>
      <w:r>
        <w:t>abstract_source=crossref</w:t>
      </w:r>
    </w:p>
    <w:p>
      <w:pPr>
        <w:spacing w:before="0" w:after="80" w:lineRule="auto" w:line="276"/>
      </w:pPr>
      <w:r>
        <w:rPr>
          <w:b/>
        </w:rPr>
        <w:t xml:space="preserve">摘要（ZH）: </w:t>
      </w:r>
      <w:r>
        <w:t>在2050年前实现气候中和的ABSTACT ABSTACT 到2050年前实现气候中和,除了目前使用化石燃料之外,还需要创新的长期能源储存(LTES)解决方案。 虽然氢被广泛推广,但氢的体积能源密度低、储存要求复杂、基础设施准备程度有限等都提出了可缩放性问题。 本观点文件认为,铝作为战略能源载体值得关注。 铝的体积能源密度、全球供应量和完全可回收性极高,因此,铝为季节性储存和部门组合提供了独特的优势。 我们突出强调了充满希望的高度铝-硫氧化途径,它既能产生热力,也能产生氢,同时产生2°A的热能和氢。</w:t>
      </w:r>
    </w:p>
    <w:p>
      <w:pPr>
        <w:spacing w:before="0" w:after="200" w:lineRule="auto" w:line="276"/>
      </w:pPr>
      <w:r>
        <w:rPr>
          <w:b/>
        </w:rPr>
        <w:t xml:space="preserve">Abstract (EN): </w:t>
      </w:r>
      <w:r>
        <w:t>Reaching climate neutrality by 2050 requires innovative long‐term energy storage (LTES) solutions beyond the current use of fossil fuels. While hydrogen is widely promoted, its low volumetric energy density, complex storage requirements, and limited infrastructure readiness raise questions about scalability. This Perspective paper argues that aluminum deserves attention as a strategic energy carrier. With an exceptionally high volumetric energy density, global availability, and full recyclability, aluminum offers unique advantages for seasonal storage and sector coupling. We highlight the promising high‐temperature aluminum–steam oxidation pathway, which produces both heat and hydrogen alongside γ‐Al</w:t>
      </w:r>
      <w:r>
        <w:rPr>
          <w:vertAlign w:val="subscript"/>
        </w:rPr>
        <w:t>2</w:t>
      </w:r>
      <w:r>
        <w:t>O</w:t>
      </w:r>
      <w:r>
        <w:rPr>
          <w:vertAlign w:val="subscript"/>
        </w:rPr>
        <w:t>3</w:t>
      </w:r>
      <w:r>
        <w:t>, directly recyclable in decarbonized smelting processes. Beyond technical feasibility, we discuss system‐level opportunities, from coupling aluminum‐based storage with renewable‐powered smelting plants to enabling multi‐service energy hubs for electricity and mobility. Preliminary techno‐economic assessments show that aluminum‐based hybrid cycles can achieve round‐trip efficiencies of 30–36% in power‐to‐power applications and competitive levelized costs for electricity and hydrogen production in the power‐to‐X framework. Moreover, key performance indexes show aluminum‐based hydrogen aboveground storage can reach densities exceeding Clean Hydrogen targets by a factor of seven, with competitive CAPEX and OPEX values. These results highlight aluminum's potential to complement or outperform hydrogen in enabling reliable, high‐density, and fully recyclable energy storage within decarbonized energy systems.</w:t>
      </w:r>
    </w:p>
    <w:p>
      <w:pPr>
        <w:spacing w:before="120" w:after="120"/>
      </w:pPr>
      <w:r>
        <w:rPr>
          <w:sz w:val="18"/>
        </w:rPr>
        <w:t>——————————————————————————————————————————————————————————————————————</w:t>
      </w:r>
    </w:p>
    <w:p>
      <w:pPr>
        <w:spacing w:before="160" w:after="40" w:line="240" w:lineRule="auto"/>
      </w:pPr>
      <w:r>
        <w:rPr>
          <w:b/>
        </w:rPr>
        <w:t xml:space="preserve">[363] </w:t>
      </w:r>
      <w:hyperlink r:id="rId653">
        <w:r>
          <w:rPr>
            <w:color w:val="1155CC"/>
            <w:u w:val="single"/>
          </w:rPr>
          <w:t>高效半透明半透明 Perovovskite太阳能电池和有记录室内绩效模块的多模式战略</w:t>
        </w:r>
      </w:hyperlink>
    </w:p>
    <w:p>
      <w:pPr>
        <w:spacing w:before="0" w:after="80"/>
      </w:pPr>
      <w:r>
        <w:rPr>
          <w:i/>
          <w:sz w:val="20"/>
        </w:rPr>
        <w:t>EN: Multimodal Strategy for Efficient Semi‐Transparent Perovskite Solar Cells and Modules with Record Indoor Performance</w:t>
      </w:r>
    </w:p>
    <w:p>
      <w:pPr>
        <w:spacing w:before="0" w:after="120"/>
      </w:pPr>
      <w:r>
        <w:rPr>
          <w:b/>
        </w:rPr>
        <w:t xml:space="preserve">Source: </w:t>
      </w:r>
      <w:r>
        <w:t>Wiley: Advanced Energy Materials: Table of Contents</w:t>
      </w:r>
      <w:r>
        <w:t xml:space="preserve">    </w:t>
      </w:r>
      <w:r>
        <w:rPr>
          <w:b/>
        </w:rPr>
        <w:t xml:space="preserve">Pub date: </w:t>
      </w:r>
      <w:r>
        <w:t>2026-01-05 07:42:47+00:00</w:t>
      </w:r>
      <w:r>
        <w:t xml:space="preserve">    </w:t>
      </w:r>
      <w:r>
        <w:rPr>
          <w:b/>
        </w:rPr>
        <w:t xml:space="preserve">DOI: </w:t>
      </w:r>
      <w:hyperlink r:id="rId654">
        <w:r>
          <w:rPr>
            <w:color w:val="1155CC"/>
            <w:u w:val="single"/>
          </w:rPr>
          <w:t>10.1002/aenm.202505931</w:t>
        </w:r>
      </w:hyperlink>
    </w:p>
    <w:p>
      <w:pPr>
        <w:spacing w:before="0" w:after="120"/>
      </w:pPr>
      <w:r>
        <w:rPr>
          <w:b/>
        </w:rPr>
        <w:t xml:space="preserve">Notes: </w:t>
      </w:r>
      <w:r>
        <w:t>abstract_source=crossref</w:t>
      </w:r>
    </w:p>
    <w:p>
      <w:pPr>
        <w:spacing w:before="0" w:after="80" w:lineRule="auto" w:line="276"/>
      </w:pPr>
      <w:r>
        <w:rPr>
          <w:b/>
        </w:rPr>
        <w:t xml:space="preserve">摘要（ZH）: </w:t>
      </w:r>
      <w:r>
        <w:t>ABSTACT 平衡透明度和效率仍然是半透明渗透性渗透性渗透性太阳能电池(STPSCs)面临的一个关键挑战,它限制了在建设集成光伏光伏和室内电子设备方面的应用。在这里,我们介绍了一项将光学建模、透明电极工程和分子消能相结合的多式联运战略,以克服这种透明度效率的权衡。在转移矩阵模拟的引导下,一个厚度为185纳米的1.7 eV FAMA基渗透性层与一个优化的MOO 3/Au/MOO 3顶级电极(59.9 % 传输)。</w:t>
      </w:r>
    </w:p>
    <w:p>
      <w:pPr>
        <w:spacing w:before="0" w:after="200" w:lineRule="auto" w:line="276"/>
      </w:pPr>
      <w:r>
        <w:rPr>
          <w:b/>
        </w:rPr>
        <w:t xml:space="preserve">Abstract (EN): </w:t>
      </w:r>
      <w:r>
        <w:t>Balancing transparency and efficiency remains a key challenge for semi‐transparent perovskite solar cells (ST‐PSCs), restricting their application in building‐integrated photovoltaics and indoor electronics. Here, we present a multimodal strategy combining optical modelling, transparent electrode engineering, and molecular passivation to overcome this transparency‐efficiency trade‐off. Guided by transfer matrix simulations, a 1.7 eV FAMA‐based perovskite layer with a thickness of ∼185 nm was integrated with an optimized MoO</w:t>
      </w:r>
      <w:r>
        <w:rPr>
          <w:vertAlign w:val="subscript"/>
        </w:rPr>
        <w:t>3</w:t>
      </w:r>
      <w:r>
        <w:t>/Au/MoO</w:t>
      </w:r>
      <w:r>
        <w:rPr>
          <w:vertAlign w:val="subscript"/>
        </w:rPr>
        <w:t>3</w:t>
      </w:r>
      <w:r>
        <w:t>top electrode (59.9% transmittance). Incorporation of the bifunctional molecule 3‐trifluoromethyl‐1H‐1,2,4‐triazole, which coordinates with undercoordinated Pb</w:t>
      </w:r>
      <w:r>
        <w:t xml:space="preserve"> </w:t>
      </w:r>
      <w:r>
        <w:t>2+</w:t>
      </w:r>
      <w:r>
        <w:t xml:space="preserve"> </w:t>
      </w:r>
      <w:r>
        <w:t>via ─CF</w:t>
      </w:r>
      <w:r>
        <w:rPr>
          <w:vertAlign w:val="subscript"/>
        </w:rPr>
        <w:t>3</w:t>
      </w:r>
      <w:r>
        <w:t>group and forms N…H interactions with FA</w:t>
      </w:r>
      <w:r>
        <w:t xml:space="preserve"> </w:t>
      </w:r>
      <w:r>
        <w:t>+</w:t>
      </w:r>
      <w:r>
        <w:t xml:space="preserve"> </w:t>
      </w:r>
      <w:r>
        <w:t>/halide species, effectively suppresses trap‐assisted recombination and stabilizes the lattice. Consequently, the champion ST‐PSC delivers 13.78% power conversion efficiency (PCE), 31.1% average visible transmittance (AVT), and a high light utilization efficiency (LUE) of 4.29%. Notably, this study demonstrates for the first time efficient indoor operation of ST‐PSCs, achieving 22.41% indoor PCE (iPCE) under 1000 lux LED illumination, and further realizes the first scalable 30 × 30 cm</w:t>
      </w:r>
      <w:r>
        <w:rPr>
          <w:vertAlign w:val="subscript"/>
        </w:rPr>
        <w:t>2</w:t>
      </w:r>
      <w:r>
        <w:t>semi‐transparent module retaining 8.2% (7.4%) PCE under 1 sun (0.2 sun). The unencapsulated ST‐PSCs retain 79.6% of initial PCE after 268 h of continuous standard light soaking. This integrated framework provides a universal route toward efficient, scalable, transparent photovoltaics for next‐generation indoor and building‐integrated energy harvesting.</w:t>
      </w:r>
    </w:p>
    <w:p>
      <w:pPr>
        <w:spacing w:before="120" w:after="120"/>
      </w:pPr>
      <w:r>
        <w:rPr>
          <w:sz w:val="18"/>
        </w:rPr>
        <w:t>——————————————————————————————————————————————————————————————————————</w:t>
      </w:r>
    </w:p>
    <w:p>
      <w:pPr>
        <w:spacing w:before="160" w:after="40" w:line="240" w:lineRule="auto"/>
      </w:pPr>
      <w:r>
        <w:rPr>
          <w:b/>
        </w:rPr>
        <w:t xml:space="preserve">[364] </w:t>
      </w:r>
      <w:hyperlink r:id="rId655">
        <w:r>
          <w:rPr>
            <w:color w:val="1155CC"/>
            <w:u w:val="single"/>
          </w:rPr>
          <w:t>多功能和极端环境可调适软软设备环境多空间多级制造多功能和极端环境可调适设备的可聚合的深电极溶解剂</w:t>
        </w:r>
      </w:hyperlink>
    </w:p>
    <w:p>
      <w:pPr>
        <w:spacing w:before="0" w:after="80"/>
      </w:pPr>
      <w:r>
        <w:rPr>
          <w:i/>
          <w:sz w:val="20"/>
        </w:rPr>
        <w:t>EN: Polymerizable Deep Eutectic Solvents‐Enabled High‐Lignin‐Density Networks for Ambient Multi‐Scale Fabrication of Multifunctional and Extreme Environment Adaptable Soft Devices</w:t>
      </w:r>
    </w:p>
    <w:p>
      <w:pPr>
        <w:spacing w:before="0" w:after="120"/>
      </w:pPr>
      <w:r>
        <w:rPr>
          <w:b/>
        </w:rPr>
        <w:t xml:space="preserve">Source: </w:t>
      </w:r>
      <w:r>
        <w:t>Wiley: Advanced Materials: Table of Contents</w:t>
      </w:r>
      <w:r>
        <w:t xml:space="preserve">    </w:t>
      </w:r>
      <w:r>
        <w:rPr>
          <w:b/>
        </w:rPr>
        <w:t xml:space="preserve">Pub date: </w:t>
      </w:r>
      <w:r>
        <w:t>2026-01-05 07:46:16+00:00</w:t>
      </w:r>
      <w:r>
        <w:t xml:space="preserve">    </w:t>
      </w:r>
      <w:r>
        <w:rPr>
          <w:b/>
        </w:rPr>
        <w:t xml:space="preserve">DOI: </w:t>
      </w:r>
      <w:hyperlink r:id="rId656">
        <w:r>
          <w:rPr>
            <w:color w:val="1155CC"/>
            <w:u w:val="single"/>
          </w:rPr>
          <w:t>10.1002/adma.202519633</w:t>
        </w:r>
      </w:hyperlink>
    </w:p>
    <w:p>
      <w:pPr>
        <w:spacing w:before="0" w:after="120"/>
      </w:pPr>
      <w:r>
        <w:rPr>
          <w:b/>
        </w:rPr>
        <w:t xml:space="preserve">Notes: </w:t>
      </w:r>
      <w:r>
        <w:t>abstract_source=crossref</w:t>
      </w:r>
    </w:p>
    <w:p>
      <w:pPr>
        <w:spacing w:before="0" w:after="80" w:lineRule="auto" w:line="276"/>
      </w:pPr>
      <w:r>
        <w:rPr>
          <w:b/>
        </w:rPr>
        <w:t xml:space="preserve">摘要（ZH）: </w:t>
      </w:r>
      <w:r>
        <w:t>利用含有生物量源成分的凝胶的软电子产品,如ABSTRACT Skin 等软电子产品,引起了越来越多的研究关注,其中对多功能离子素进行了广泛探讨。然而,提高离心材料的装载通常牺牲性能,限制其应用潜力。在此,我们开发了一种独特的可聚合的深水化溶剂(PDES),其中包括一种由四聚氨单氨基和微喷酸组成的可溶液,以与 &amp; gt; 20 wt.%的高密度离子素(LS)结合,并处理性能平衡问题。与静电组装有关的离心引起的自催化聚合使得在 &amp;lt内部能够进行室温凝化; 5个微量和周围空气微调。值得注意的是,电离子LS和多孔。</w:t>
      </w:r>
    </w:p>
    <w:p>
      <w:pPr>
        <w:spacing w:before="0" w:after="200" w:lineRule="auto" w:line="276"/>
      </w:pPr>
      <w:r>
        <w:rPr>
          <w:b/>
        </w:rPr>
        <w:t xml:space="preserve">Abstract (EN): </w:t>
      </w:r>
      <w:r>
        <w:t>Skin‐like soft electronics exploiting gels containing biomass‐derived components raise increasing research attention, in which multifunctional lignin has been extensively explored. Nevertheless, elevating the lignin loading usually sacrifices the performance, limiting their application potentials. Herein, we develop a unique polymerizable deep eutectic solvent (PDES) consisting of a quaternary ammonium monomer and lactic acid to incorporate with high‐density lignosulfonate (LS) of &amp;gt; 20 wt.% and address the performance trade‐offs. The lignin‐induced self‐catalytic polymerization associated with electrostatic assembly enables room temperature gelation within &amp;lt; 5 min and ambient‐air micropatterning. Remarkably, the anionic LS and polycationic matrix affording multiple non‐covalent interactions drastically enhance the mechanical strength to &amp;gt; 1 MPa and versatile adhesion up to &amp;gt; 500 kPa, meanwhile allowing self‐healing, photothermal, and antibacterial capabilities. Such LS‐PDES eutectogels also permit ion conduction (&amp;gt; 3 mS cm</w:t>
      </w:r>
      <w:r>
        <w:t xml:space="preserve"> </w:t>
      </w:r>
      <w:r>
        <w:t>−1</w:t>
      </w:r>
      <w:r>
        <w:t xml:space="preserve"> </w:t>
      </w:r>
      <w:r>
        <w:t>) and superior environmental adaptivity over −80°C to 100°C. Thus, employing the in situ polymerization between electrodes, rapid prototyping of bend‐/impact‐resistant flexible supercapacitors is demonstrated to power wearable sensors. More importantly, it facilitates the production of miniaturized soft organic electrochemical transistor (OECT) arrays, whose performance can be well maintained under deformed and extreme temperature conditions. This high‐lignin‐density eutectogel platform paves a straightforward route towards printed soft ionotronics, bioelectronic interfaces, and brain‐inspired computing.</w:t>
      </w:r>
    </w:p>
    <w:p>
      <w:pPr>
        <w:spacing w:before="120" w:after="120"/>
      </w:pPr>
      <w:r>
        <w:rPr>
          <w:sz w:val="18"/>
        </w:rPr>
        <w:t>——————————————————————————————————————————————————————————————————————</w:t>
      </w:r>
    </w:p>
    <w:p>
      <w:pPr>
        <w:spacing w:before="160" w:after="40" w:line="240" w:lineRule="auto"/>
      </w:pPr>
      <w:r>
        <w:rPr>
          <w:b/>
        </w:rPr>
        <w:t xml:space="preserve">[365] </w:t>
      </w:r>
      <w:hyperlink r:id="rId657">
        <w:r>
          <w:rPr>
            <w:color w:val="1155CC"/>
            <w:u w:val="single"/>
          </w:rPr>
          <w:t>通过电子结构条例实现高效氧氧气进化反应</w:t>
        </w:r>
      </w:hyperlink>
    </w:p>
    <w:p>
      <w:pPr>
        <w:spacing w:before="0" w:after="80"/>
      </w:pPr>
      <w:r>
        <w:rPr>
          <w:i/>
          <w:sz w:val="20"/>
        </w:rPr>
        <w:t>EN: Magnetic Free‐Standing Electrodes Achieving Efficient Oxygen Evolution Reaction via Electronic Structure Regulation</w:t>
      </w:r>
    </w:p>
    <w:p>
      <w:pPr>
        <w:spacing w:before="0" w:after="120"/>
      </w:pPr>
      <w:r>
        <w:rPr>
          <w:b/>
        </w:rPr>
        <w:t xml:space="preserve">Source: </w:t>
      </w:r>
      <w:r>
        <w:t>Wiley: Advanced Energy Materials: Table of Contents</w:t>
      </w:r>
      <w:r>
        <w:t xml:space="preserve">    </w:t>
      </w:r>
      <w:r>
        <w:rPr>
          <w:b/>
        </w:rPr>
        <w:t xml:space="preserve">Pub date: </w:t>
      </w:r>
      <w:r>
        <w:t>2026-01-05 07:47:23+00:00</w:t>
      </w:r>
      <w:r>
        <w:t xml:space="preserve">    </w:t>
      </w:r>
      <w:r>
        <w:rPr>
          <w:b/>
        </w:rPr>
        <w:t xml:space="preserve">DOI: </w:t>
      </w:r>
      <w:hyperlink r:id="rId658">
        <w:r>
          <w:rPr>
            <w:color w:val="1155CC"/>
            <w:u w:val="single"/>
          </w:rPr>
          <w:t>10.1002/aenm.202505577</w:t>
        </w:r>
      </w:hyperlink>
    </w:p>
    <w:p>
      <w:pPr>
        <w:spacing w:before="0" w:after="120"/>
      </w:pPr>
      <w:r>
        <w:rPr>
          <w:b/>
        </w:rPr>
        <w:t xml:space="preserve">Notes: </w:t>
      </w:r>
      <w:r>
        <w:t>abstract_source=crossref</w:t>
      </w:r>
    </w:p>
    <w:p>
      <w:pPr>
        <w:spacing w:before="0" w:after="80" w:lineRule="auto" w:line="276"/>
      </w:pPr>
      <w:r>
        <w:rPr>
          <w:b/>
        </w:rPr>
        <w:t xml:space="preserve">摘要（ZH）: </w:t>
      </w:r>
      <w:r>
        <w:t>多电子/质子氧进化反应(OER)的慢动动动能反应仍然是碱性水电解的一个主要瓶颈,因此,改变催化剂的电子结构对于以更高的活动活动和耐久性开发OER电极至关重要。在这里,我们报告了一个简单的两步战略,以构建一个磁独立FeNiCOSe 2/Ni 3 3 Se 4电极,其中Fe doping有效调整金属活性场地的电子旋转结构,导致显著的OER活动。具体来说,FeNiCose 2/Ni 3</w:t>
      </w:r>
    </w:p>
    <w:p>
      <w:pPr>
        <w:spacing w:before="0" w:after="200" w:lineRule="auto" w:line="276"/>
      </w:pPr>
      <w:r>
        <w:rPr>
          <w:b/>
        </w:rPr>
        <w:t xml:space="preserve">Abstract (EN): </w:t>
      </w:r>
      <w:r>
        <w:t>The sluggish kinetics of the multiple‐electron/proton oxygen evolution reaction (OER) remain a major bottleneck for alkaline water electrolysis. Modulating the electronic structure of catalysts is thus crucial for developing OER electrodes with superior activity and durability. Herein, we report a simple two‐step strategy to construct a magnetic free‐standing FeNiCoSe</w:t>
      </w:r>
      <w:r>
        <w:rPr>
          <w:vertAlign w:val="subscript"/>
        </w:rPr>
        <w:t>2</w:t>
      </w:r>
      <w:r>
        <w:t>/Ni</w:t>
      </w:r>
      <w:r>
        <w:rPr>
          <w:vertAlign w:val="subscript"/>
        </w:rPr>
        <w:t>3</w:t>
      </w:r>
      <w:r>
        <w:t>Se</w:t>
      </w:r>
      <w:r>
        <w:rPr>
          <w:vertAlign w:val="subscript"/>
        </w:rPr>
        <w:t>4</w:t>
      </w:r>
      <w:r>
        <w:t>electrode, in which Fe doping effectively tailors the electronic spin structure of metal active sites, leading to remarkable OER activity. Specifically, the FeNiCoSe</w:t>
      </w:r>
      <w:r>
        <w:rPr>
          <w:vertAlign w:val="subscript"/>
        </w:rPr>
        <w:t>2</w:t>
      </w:r>
      <w:r>
        <w:t>/Ni</w:t>
      </w:r>
      <w:r>
        <w:rPr>
          <w:vertAlign w:val="subscript"/>
        </w:rPr>
        <w:t>3</w:t>
      </w:r>
      <w:r>
        <w:t>Se</w:t>
      </w:r>
      <w:r>
        <w:rPr>
          <w:vertAlign w:val="subscript"/>
        </w:rPr>
        <w:t>4</w:t>
      </w:r>
      <w:r>
        <w:t>electrode delivers a low overpotential of 278 mV at 100 mA cm</w:t>
      </w:r>
      <w:r>
        <w:t xml:space="preserve"> </w:t>
      </w:r>
      <w:r>
        <w:t>−2</w:t>
      </w:r>
      <w:r>
        <w:t xml:space="preserve"> </w:t>
      </w:r>
      <w:r>
        <w:t>and a small Tafel slope of 47.0 mV dec</w:t>
      </w:r>
      <w:r>
        <w:t xml:space="preserve"> </w:t>
      </w:r>
      <w:r>
        <w:t>−1</w:t>
      </w:r>
      <w:r>
        <w:t xml:space="preserve"> </w:t>
      </w:r>
      <w:r>
        <w:t>in 1.0</w:t>
      </w:r>
      <w:r>
        <w:t xml:space="preserve"> </w:t>
      </w:r>
      <w:r>
        <w:t>m</w:t>
      </w:r>
      <w:r>
        <w:t xml:space="preserve"> </w:t>
      </w:r>
      <w:r>
        <w:t>KOH. Remarkably, it maintains stable operation for over 900 h at 5000 A m</w:t>
      </w:r>
      <w:r>
        <w:t xml:space="preserve"> </w:t>
      </w:r>
      <w:r>
        <w:t>−2</w:t>
      </w:r>
      <w:r>
        <w:t xml:space="preserve"> </w:t>
      </w:r>
      <w:r>
        <w:t>under high‐temperature and concentrated alkaline conditions, demonstrating exceptional durability and practical feasibility for industrial water electrolysis. Such superior performance originates from the high‐spin state of in situ formed metal (oxy)hydroxide active phase, which synergistically optimizes the adsorption‐desorption balance and electron transfer processes. This work offers a mechanistic investigation for regulating electronic spin structures via a doping strategy, paving the way for electronic‐engineered free‐standing electrodes toward industrial water electrolysis.</w:t>
      </w:r>
    </w:p>
    <w:p>
      <w:pPr>
        <w:spacing w:before="120" w:after="120"/>
      </w:pPr>
      <w:r>
        <w:rPr>
          <w:sz w:val="18"/>
        </w:rPr>
        <w:t>——————————————————————————————————————————————————————————————————————</w:t>
      </w:r>
    </w:p>
    <w:p>
      <w:pPr>
        <w:spacing w:before="160" w:after="40" w:line="240" w:lineRule="auto"/>
      </w:pPr>
      <w:r>
        <w:rPr>
          <w:b/>
        </w:rPr>
        <w:t xml:space="preserve">[366] </w:t>
      </w:r>
      <w:hyperlink r:id="rId659">
        <w:r>
          <w:rPr>
            <w:color w:val="1155CC"/>
            <w:u w:val="single"/>
          </w:rPr>
          <w:t>氧化物中的机械行为行为:超越裂纹</w:t>
        </w:r>
      </w:hyperlink>
    </w:p>
    <w:p>
      <w:pPr>
        <w:spacing w:before="0" w:after="80"/>
      </w:pPr>
      <w:r>
        <w:rPr>
          <w:i/>
          <w:sz w:val="20"/>
        </w:rPr>
        <w:t>EN: The Mechanical Behaviors in Oxides: Beyond Brittleness</w:t>
      </w:r>
    </w:p>
    <w:p>
      <w:pPr>
        <w:spacing w:before="0" w:after="120"/>
      </w:pPr>
      <w:r>
        <w:rPr>
          <w:b/>
        </w:rPr>
        <w:t xml:space="preserve">Source: </w:t>
      </w:r>
      <w:r>
        <w:t>Wiley: Advanced Materials: Table of Contents</w:t>
      </w:r>
      <w:r>
        <w:t xml:space="preserve">    </w:t>
      </w:r>
      <w:r>
        <w:rPr>
          <w:b/>
        </w:rPr>
        <w:t xml:space="preserve">Pub date: </w:t>
      </w:r>
      <w:r>
        <w:t>2026-01-05 07:47:23+00:00</w:t>
      </w:r>
      <w:r>
        <w:t xml:space="preserve">    </w:t>
      </w:r>
      <w:r>
        <w:rPr>
          <w:b/>
        </w:rPr>
        <w:t xml:space="preserve">DOI: </w:t>
      </w:r>
      <w:hyperlink r:id="rId660">
        <w:r>
          <w:rPr>
            <w:color w:val="1155CC"/>
            <w:u w:val="single"/>
          </w:rPr>
          <w:t>10.1002/adma.202515834</w:t>
        </w:r>
      </w:hyperlink>
    </w:p>
    <w:p>
      <w:pPr>
        <w:spacing w:before="0" w:after="120"/>
      </w:pPr>
      <w:r>
        <w:rPr>
          <w:b/>
        </w:rPr>
        <w:t xml:space="preserve">Notes: </w:t>
      </w:r>
      <w:r>
        <w:t>abstract_source=crossref</w:t>
      </w:r>
    </w:p>
    <w:p>
      <w:pPr>
        <w:spacing w:before="0" w:after="80" w:lineRule="auto" w:line="276"/>
      </w:pPr>
      <w:r>
        <w:rPr>
          <w:b/>
        </w:rPr>
        <w:t xml:space="preserve">摘要（ZH）: </w:t>
      </w:r>
      <w:r>
        <w:t>过去20年来,各种战略打破了这一范式,向氧化晶体注入了非常规机械特性,如超灵活性、超弹性和增强的导电性。这些突破揭示了各种不同的变形机制,包括大小效应、移动点缺陷、失调活动、域转换、阶段转换和人工结构设计的作用。</w:t>
      </w:r>
    </w:p>
    <w:p>
      <w:pPr>
        <w:spacing w:before="0" w:after="200" w:lineRule="auto" w:line="276"/>
      </w:pPr>
      <w:r>
        <w:rPr>
          <w:b/>
        </w:rPr>
        <w:t xml:space="preserve">Abstract (EN): </w:t>
      </w:r>
      <w:r>
        <w:t>Oxide materials are traditionally perceived as intrinsically brittle due to their strong covalent and ionic bonds, which hinder plastic deformation and limit their applicability in emerging technologies such as flexible and wearable electronics. Over the past two decades, various strategies have broken through this paradigm, endowing crystalline oxides with unconventional mechanical properties, such as ultra‐flexibility, super‐elasticity, and enhanced ductility. These breakthroughs have uncovered a diverse range of distinct deformation mechanisms, encompassing size effects, mobile point defects, dislocation activities, domain switching, phase transitions, and the role of engineered artificial structures. In this review, we provide a comprehensive synthesis of the fundamental principles governing these behaviors across different dimensions of oxide nanostructures (0D, 1D, 2D, and 3D). At the same time, the most commonly used mechanical characterization techniques for each dimension are combined to explore how the dynamical process of each mechanism is influenced by mechanical loading modes, such as in situ tensile, compressive, or bending tests. Finally, we outline the future directions and challenges in this field, with an emphasis on the design of oxide materials for next‐generation flexible electronics and other advanced applications.</w:t>
      </w:r>
    </w:p>
    <w:p>
      <w:pPr>
        <w:spacing w:before="120" w:after="120"/>
      </w:pPr>
      <w:r>
        <w:rPr>
          <w:sz w:val="18"/>
        </w:rPr>
        <w:t>——————————————————————————————————————————————————————————————————————</w:t>
      </w:r>
    </w:p>
    <w:p>
      <w:pPr>
        <w:spacing w:before="160" w:after="40" w:line="240" w:lineRule="auto"/>
      </w:pPr>
      <w:r>
        <w:rPr>
          <w:b/>
        </w:rPr>
        <w:t xml:space="preserve">[367] </w:t>
      </w:r>
      <w:hyperlink r:id="rId661">
        <w:r>
          <w:rPr>
            <w:color w:val="1155CC"/>
            <w:u w:val="single"/>
          </w:rPr>
          <w:t>硬碳碳化电极解锁动力限制,以启用实用快速捕捉 Sodium-Ion 电池</w:t>
        </w:r>
      </w:hyperlink>
    </w:p>
    <w:p>
      <w:pPr>
        <w:spacing w:before="0" w:after="80"/>
      </w:pPr>
      <w:r>
        <w:rPr>
          <w:i/>
          <w:sz w:val="20"/>
        </w:rPr>
        <w:t>EN: Unlocking Kinetic Limitations in Hard‐Carbon Anodes to Enable Practical Fast‐Charging Sodium‐Ion Batteries</w:t>
      </w:r>
    </w:p>
    <w:p>
      <w:pPr>
        <w:spacing w:before="0" w:after="120"/>
      </w:pPr>
      <w:r>
        <w:rPr>
          <w:b/>
        </w:rPr>
        <w:t xml:space="preserve">Source: </w:t>
      </w:r>
      <w:r>
        <w:t>Wiley: Advanced Energy Materials: Table of Contents</w:t>
      </w:r>
      <w:r>
        <w:t xml:space="preserve">    </w:t>
      </w:r>
      <w:r>
        <w:rPr>
          <w:b/>
        </w:rPr>
        <w:t xml:space="preserve">Pub date: </w:t>
      </w:r>
      <w:r>
        <w:t>2026-01-05 07:50:53+00:00</w:t>
      </w:r>
      <w:r>
        <w:t xml:space="preserve">    </w:t>
      </w:r>
      <w:r>
        <w:rPr>
          <w:b/>
        </w:rPr>
        <w:t xml:space="preserve">DOI: </w:t>
      </w:r>
      <w:hyperlink r:id="rId662">
        <w:r>
          <w:rPr>
            <w:color w:val="1155CC"/>
            <w:u w:val="single"/>
          </w:rPr>
          <w:t>10.1002/aenm.202505568</w:t>
        </w:r>
      </w:hyperlink>
    </w:p>
    <w:p>
      <w:pPr>
        <w:spacing w:before="0" w:after="120"/>
      </w:pPr>
      <w:r>
        <w:rPr>
          <w:b/>
        </w:rPr>
        <w:t xml:space="preserve">Notes: </w:t>
      </w:r>
      <w:r>
        <w:t>abstract_source=crossref</w:t>
      </w:r>
    </w:p>
    <w:p>
      <w:pPr>
        <w:spacing w:before="0" w:after="80" w:lineRule="auto" w:line="276"/>
      </w:pPr>
      <w:r>
        <w:rPr>
          <w:b/>
        </w:rPr>
        <w:t xml:space="preserve">摘要（ZH）: </w:t>
      </w:r>
      <w:r>
        <w:t>硬碳被认为是钠电池最有前途的阳极材料,因为这些电池成本低,而且钠储存性能高,因此被认为是最有希望的阳极材料;然而,硬碳的不充足性能仍然是妨碍使用高功率的关键性瓶颈,阻碍了使用硬碳。在此,我们通过精确地规范前体成分,用量身定制的微结构,用量身定制的微结构来构建性能失能机制,以此阐明主要的结构描述器。值得指出的是,根据上述有差别的结构设计设计而成的硬碳在钠储存方面表现出相似的热力行为,但明显不同的动能特性。目前密度为2A。</w:t>
      </w:r>
    </w:p>
    <w:p>
      <w:pPr>
        <w:spacing w:before="0" w:after="200" w:lineRule="auto" w:line="276"/>
      </w:pPr>
      <w:r>
        <w:rPr>
          <w:b/>
        </w:rPr>
        <w:t xml:space="preserve">Abstract (EN): </w:t>
      </w:r>
      <w:r>
        <w:t>Hard carbons are considered to be the most promising anode materials for sodium‐ion batteries (SIBs) because of their low cost and high sodium storage performance. However, the inadequate rate performance of hard carbon remains a critical bottleneck hindering high‐power applications of SIBs. Herein, we elucidate the key structural descriptors underlying the rate‐performance failure mechanism by constructing hard carbon with tailored microstructures, achieved via precise regulation of precursor composition. It is worth noting that the hard carbons engineered with the aforementioned differentiated structural design exhibit similar thermodynamic behaviors for sodium storage, but markedly different kinetic properties. At a current density of 2 A g</w:t>
      </w:r>
      <w:r>
        <w:t xml:space="preserve"> </w:t>
      </w:r>
      <w:r>
        <w:t>−1</w:t>
      </w:r>
      <w:r>
        <w:t xml:space="preserve"> </w:t>
      </w:r>
      <w:r>
        <w:t>, the reversible capacity of ABP‐L‐1400 is 304.6 mAh g</w:t>
      </w:r>
      <w:r>
        <w:t xml:space="preserve"> </w:t>
      </w:r>
      <w:r>
        <w:t>−1</w:t>
      </w:r>
      <w:r>
        <w:t xml:space="preserve"> </w:t>
      </w:r>
      <w:r>
        <w:t>, which is 1.24 times of ABP‐H‐1400. Systematic characterization reveals that the kinetic difference is primarily attributable to variations in low‐plateau capacity, with key influencing factors identified through in‐depth analysis as the uniform organic/inorganic hybrid solid electrolyte interphase and the micro‐open pore structure. Additionally, practical applications can be extended to high‐power Prussian blue//hard carbon cylindrical cells, demonstrating a capacity of 702.2 mAh at 5 C. This work provides guidance for the design of advanced fast‐charging SIBs.</w:t>
      </w:r>
    </w:p>
    <w:p>
      <w:pPr>
        <w:spacing w:before="120" w:after="120"/>
      </w:pPr>
      <w:r>
        <w:rPr>
          <w:sz w:val="18"/>
        </w:rPr>
        <w:t>——————————————————————————————————————————————————————————————————————</w:t>
      </w:r>
    </w:p>
    <w:p>
      <w:pPr>
        <w:spacing w:before="160" w:after="40" w:line="240" w:lineRule="auto"/>
      </w:pPr>
      <w:r>
        <w:rPr>
          <w:b/>
        </w:rPr>
        <w:t xml:space="preserve">[368] </w:t>
      </w:r>
      <w:hyperlink r:id="rId663">
        <w:r>
          <w:rPr>
            <w:color w:val="1155CC"/>
            <w:u w:val="single"/>
          </w:rPr>
          <w:t>抗癌疫苗治疗的免疫细胞死亡</w:t>
        </w:r>
      </w:hyperlink>
    </w:p>
    <w:p>
      <w:pPr>
        <w:spacing w:before="0" w:after="80"/>
      </w:pPr>
      <w:r>
        <w:rPr>
          <w:i/>
          <w:sz w:val="20"/>
        </w:rPr>
        <w:t>EN: Liquid Metal Nanoparticles‐Mediated Mitochondrial Damage Enhances Immunogenic Cell Death for Cancer Vaccine Therapy</w:t>
      </w:r>
    </w:p>
    <w:p>
      <w:pPr>
        <w:spacing w:before="0" w:after="120"/>
      </w:pPr>
      <w:r>
        <w:rPr>
          <w:b/>
        </w:rPr>
        <w:t xml:space="preserve">Source: </w:t>
      </w:r>
      <w:r>
        <w:t>Wiley: Advanced Materials: Table of Contents</w:t>
      </w:r>
      <w:r>
        <w:t xml:space="preserve">    </w:t>
      </w:r>
      <w:r>
        <w:rPr>
          <w:b/>
        </w:rPr>
        <w:t xml:space="preserve">Pub date: </w:t>
      </w:r>
      <w:r>
        <w:t>2026-01-05 07:51:37+00:00</w:t>
      </w:r>
      <w:r>
        <w:t xml:space="preserve">    </w:t>
      </w:r>
      <w:r>
        <w:rPr>
          <w:b/>
        </w:rPr>
        <w:t xml:space="preserve">DOI: </w:t>
      </w:r>
      <w:hyperlink r:id="rId664">
        <w:r>
          <w:rPr>
            <w:color w:val="1155CC"/>
            <w:u w:val="single"/>
          </w:rPr>
          <w:t>10.1002/adma.202520580</w:t>
        </w:r>
      </w:hyperlink>
    </w:p>
    <w:p>
      <w:pPr>
        <w:spacing w:before="0" w:after="120"/>
      </w:pPr>
      <w:r>
        <w:rPr>
          <w:b/>
        </w:rPr>
        <w:t xml:space="preserve">Notes: </w:t>
      </w:r>
      <w:r>
        <w:t>abstract_source=crossref</w:t>
      </w:r>
    </w:p>
    <w:p>
      <w:pPr>
        <w:spacing w:before="0" w:after="80" w:lineRule="auto" w:line="276"/>
      </w:pPr>
      <w:r>
        <w:rPr>
          <w:b/>
        </w:rPr>
        <w:t xml:space="preserve">摘要（ZH）: </w:t>
      </w:r>
      <w:r>
        <w:t>ABSTACT 癌症疫苗由于免疫抑制性肿瘤微环境(TME)和肿瘤抗原的低免疫性而面临限制。由线粒体机能功能障碍引发的免疫诱导细胞死亡(ICD)为增强肿瘤抗原释放和免疫活性提供了很有希望的战略。然而,积极扩大线粒体损害(Mitochondrial) 诱发的ICD仍然具有挑战性。在这个研究中,我们开发了一种疫苗,其中液态金属纳米粒子(LMPs)针对肿瘤细胞细胞,进行自我集合和集聚在细胞表面,以实现有效吸收,在细胞内结合以延长保留,并通过铁替代路径释放Ga 3+离子,以诱发线粒子体损伤,从而产生三联。</w:t>
      </w:r>
    </w:p>
    <w:p>
      <w:pPr>
        <w:spacing w:before="0" w:after="200" w:lineRule="auto" w:line="276"/>
      </w:pPr>
      <w:r>
        <w:rPr>
          <w:b/>
        </w:rPr>
        <w:t xml:space="preserve">Abstract (EN): </w:t>
      </w:r>
      <w:r>
        <w:t>Cancer vaccines face limitations due to the immunosuppressive tumor microenvironment (TME) and the low immunogenicity of tumor antigens. Immunogenic cell death (ICD), triggered by mitochondrial dysfunction, provides a promising strategy to enhance tumor antigen release and immune activation. However, actively amplifying mitochondrial damage‐induced ICD remains challenging. In this study, we developed a vaccine in which liquid metal nanoparticles (LMPs) target tumor cells, undergo self‐assembly and aggregation on the cell surface to achieve efficient uptake, fuse intracellularly to prolong retention, and release Ga</w:t>
      </w:r>
      <w:r>
        <w:t xml:space="preserve"> </w:t>
      </w:r>
      <w:r>
        <w:t>3+</w:t>
      </w:r>
      <w:r>
        <w:t xml:space="preserve"> </w:t>
      </w:r>
      <w:r>
        <w:t>ions through an iron‐substitution pathway to induce mitochondrial damage, thereby triggering ICD. In combination with irreversible electroporation (IRE), this approach mediates durable tumor‐specific immunotherapy. Specifically, LMPs target tumor cell integrin αvβ6 to initiate self‐assembly and aggregation, leading to efficient cellular internalization. Within the acidic lysosomal environment, LMPs undergo fusion and partially escape into the cytosol, enabling prolonged intracellular retention and sustained release of Ga</w:t>
      </w:r>
      <w:r>
        <w:t xml:space="preserve"> </w:t>
      </w:r>
      <w:r>
        <w:t>3+</w:t>
      </w:r>
      <w:r>
        <w:t xml:space="preserve"> </w:t>
      </w:r>
      <w:r>
        <w:t>ions. The released Ga</w:t>
      </w:r>
      <w:r>
        <w:t xml:space="preserve"> </w:t>
      </w:r>
      <w:r>
        <w:t>3+</w:t>
      </w:r>
      <w:r>
        <w:t xml:space="preserve"> </w:t>
      </w:r>
      <w:r>
        <w:t>disrupts mitochondrial structure and inhibits electron transport via iron substitution, resulting in pronounced mitochondrial damage. Synergistic IRE and LMPs increase the liberation of mitochondrial damage‐associated DAMPs and tumor antigens, driving robust ICD and long‐term systemic antitumor immunity. This dual‐modality strategy provides a blueprint for nanomaterial‐enabled amplification of ICD in cancer immunotherapy.</w:t>
      </w:r>
    </w:p>
    <w:p>
      <w:pPr>
        <w:spacing w:before="120" w:after="120"/>
      </w:pPr>
      <w:r>
        <w:rPr>
          <w:sz w:val="18"/>
        </w:rPr>
        <w:t>——————————————————————————————————————————————————————————————————————</w:t>
      </w:r>
    </w:p>
    <w:p>
      <w:pPr>
        <w:spacing w:before="160" w:after="40" w:line="240" w:lineRule="auto"/>
      </w:pPr>
      <w:r>
        <w:rPr>
          <w:b/>
        </w:rPr>
        <w:t xml:space="preserve">[369] </w:t>
      </w:r>
      <w:hyperlink r:id="rId665">
        <w:r>
          <w:rPr>
            <w:color w:val="1155CC"/>
            <w:u w:val="single"/>
          </w:rPr>
          <w:t>Cs2AgBiBBr6 Nanocionic memristor 高效移动信息处理基于Cs2AgBBBR6的人工耐火性中枢</w:t>
        </w:r>
      </w:hyperlink>
    </w:p>
    <w:p>
      <w:pPr>
        <w:spacing w:before="0" w:after="80"/>
      </w:pPr>
      <w:r>
        <w:rPr>
          <w:i/>
          <w:sz w:val="20"/>
        </w:rPr>
        <w:t>EN: Artificial Refractory Neuron Based on Cs2AgBiBr6 Nanoionic Memristor for Efficient Motion Information Processing</w:t>
      </w:r>
    </w:p>
    <w:p>
      <w:pPr>
        <w:spacing w:before="0" w:after="120"/>
      </w:pPr>
      <w:r>
        <w:rPr>
          <w:b/>
        </w:rPr>
        <w:t xml:space="preserve">Source: </w:t>
      </w:r>
      <w:r>
        <w:t>Wiley: Advanced Materials: Table of Contents</w:t>
      </w:r>
      <w:r>
        <w:t xml:space="preserve">    </w:t>
      </w:r>
      <w:r>
        <w:rPr>
          <w:b/>
        </w:rPr>
        <w:t xml:space="preserve">Pub date: </w:t>
      </w:r>
      <w:r>
        <w:t>2026-01-05 07:52:35+00:00</w:t>
      </w:r>
      <w:r>
        <w:t xml:space="preserve">    </w:t>
      </w:r>
      <w:r>
        <w:rPr>
          <w:b/>
        </w:rPr>
        <w:t xml:space="preserve">DOI: </w:t>
      </w:r>
      <w:hyperlink r:id="rId666">
        <w:r>
          <w:rPr>
            <w:color w:val="1155CC"/>
            <w:u w:val="single"/>
          </w:rPr>
          <w:t>10.1002/adma.202519352</w:t>
        </w:r>
      </w:hyperlink>
    </w:p>
    <w:p>
      <w:pPr>
        <w:spacing w:before="0" w:after="120"/>
      </w:pPr>
      <w:r>
        <w:rPr>
          <w:b/>
        </w:rPr>
        <w:t xml:space="preserve">Notes: </w:t>
      </w:r>
      <w:r>
        <w:t>abstract_source=crossref</w:t>
      </w:r>
    </w:p>
    <w:p>
      <w:pPr>
        <w:spacing w:before="0" w:after="80" w:lineRule="auto" w:line="276"/>
      </w:pPr>
      <w:r>
        <w:rPr>
          <w:b/>
        </w:rPr>
        <w:t xml:space="preserve">摘要（ZH）: </w:t>
      </w:r>
      <w:r>
        <w:t>ABSTACT 生物神经元在编码运动信息方面效率很高,其实际实现可以激励新兴生物机器视觉技术的开发,用于自动驾驶和视频监测应用。然而,由于在模拟神经元内部复杂的离子运动动态方面遇到的困难,使用硬件全面模仿神经神经发射动态以复制编码功能仍然具有挑战性。在这里,我们报告了以Cs 2 AgBBR 6 memristor为基础的生物激发型人工神经元,该Cs 2 AgBR 6 memristor可以复制神经燃烧和运动信息处理的耐火期行为。</w:t>
      </w:r>
    </w:p>
    <w:p>
      <w:pPr>
        <w:spacing w:before="0" w:after="200" w:lineRule="auto" w:line="276"/>
      </w:pPr>
      <w:r>
        <w:rPr>
          <w:b/>
        </w:rPr>
        <w:t xml:space="preserve">Abstract (EN): </w:t>
      </w:r>
      <w:r>
        <w:t>Biological neurons are highly efficient in encoding motion information, and their physical realization can inspire the development of emerging bionic machine vision technologies for autonomous driving and video monitoring applications. However, due to the difficulty in emulating the complex ion movement dynamics within neurons, the use of hardware to comprehensively emulate neuronal firing dynamics for encoding function replication remains challenging. Herein, we report a bio‐inspired artificial neuron based on a Cs</w:t>
      </w:r>
      <w:r>
        <w:rPr>
          <w:vertAlign w:val="subscript"/>
        </w:rPr>
        <w:t>2</w:t>
      </w:r>
      <w:r>
        <w:t>AgBiBr</w:t>
      </w:r>
      <w:r>
        <w:rPr>
          <w:vertAlign w:val="subscript"/>
        </w:rPr>
        <w:t>6</w:t>
      </w:r>
      <w:r>
        <w:t>memristor, which can replicate both neuronal firing and refractory period behaviors for motion information processing. We demonstrate that the bidirectional migration of Ag</w:t>
      </w:r>
      <w:r>
        <w:t xml:space="preserve"> </w:t>
      </w:r>
      <w:r>
        <w:t>+</w:t>
      </w:r>
      <w:r>
        <w:t xml:space="preserve"> </w:t>
      </w:r>
      <w:r>
        <w:t>and Br</w:t>
      </w:r>
      <w:r>
        <w:t xml:space="preserve"> </w:t>
      </w:r>
      <w:r>
        <w:t>−</w:t>
      </w:r>
      <w:r>
        <w:t>ions within Cs</w:t>
      </w:r>
      <w:r>
        <w:rPr>
          <w:vertAlign w:val="subscript"/>
        </w:rPr>
        <w:t>2</w:t>
      </w:r>
      <w:r>
        <w:t>AgBiBr</w:t>
      </w:r>
      <w:r>
        <w:rPr>
          <w:vertAlign w:val="subscript"/>
        </w:rPr>
        <w:t>6</w:t>
      </w:r>
      <w:r>
        <w:t>can induce threshold conductance switching along with a strong built‐in internal electric potential, mimicking neuronal excitation–resting responses to voltage pulse stimuli. The artificial neurons can dynamically respond to continuous inputs from moving objects, encoding motion features (such as velocity, direction, and acceleration), into compressed feature maps for accurate classification and trajectory prediction. Our biomimetic encoding and prediction framework offers a promising strategy for developing neuromorphic systems with biologically realistic behaviors that may rival the capabilities of the human brain in processing complex dynamic information.</w:t>
      </w:r>
    </w:p>
    <w:p>
      <w:pPr>
        <w:spacing w:before="120" w:after="120"/>
      </w:pPr>
      <w:r>
        <w:rPr>
          <w:sz w:val="18"/>
        </w:rPr>
        <w:t>——————————————————————————————————————————————————————————————————————</w:t>
      </w:r>
    </w:p>
    <w:p>
      <w:pPr>
        <w:spacing w:before="160" w:after="40" w:line="240" w:lineRule="auto"/>
      </w:pPr>
      <w:r>
        <w:rPr>
          <w:b/>
        </w:rPr>
        <w:t xml:space="preserve">[370] </w:t>
      </w:r>
      <w:hyperlink r:id="rId667">
        <w:r>
          <w:rPr>
            <w:color w:val="1155CC"/>
            <w:u w:val="single"/>
          </w:rPr>
          <w:t>Crystal-Glass Nano-Dual-Dual-Squal Aloys 达到超高强度和大同质塑料变异</w:t>
        </w:r>
      </w:hyperlink>
    </w:p>
    <w:p>
      <w:pPr>
        <w:spacing w:before="0" w:after="80"/>
      </w:pPr>
      <w:r>
        <w:rPr>
          <w:i/>
          <w:sz w:val="20"/>
        </w:rPr>
        <w:t>EN: Crystal‐Glass Nano‐Dual‐Phase Alloys Achieve Ultrahigh Strength and Large Homogeneous Plastic Deformation</w:t>
      </w:r>
    </w:p>
    <w:p>
      <w:pPr>
        <w:spacing w:before="0" w:after="120"/>
      </w:pPr>
      <w:r>
        <w:rPr>
          <w:b/>
        </w:rPr>
        <w:t xml:space="preserve">Source: </w:t>
      </w:r>
      <w:r>
        <w:t>Wiley: Advanced Materials: Table of Contents</w:t>
      </w:r>
      <w:r>
        <w:t xml:space="preserve">    </w:t>
      </w:r>
      <w:r>
        <w:rPr>
          <w:b/>
        </w:rPr>
        <w:t xml:space="preserve">Pub date: </w:t>
      </w:r>
      <w:r>
        <w:t>2026-01-05 07:58:35+00:00</w:t>
      </w:r>
      <w:r>
        <w:t xml:space="preserve">    </w:t>
      </w:r>
      <w:r>
        <w:rPr>
          <w:b/>
        </w:rPr>
        <w:t xml:space="preserve">DOI: </w:t>
      </w:r>
      <w:hyperlink r:id="rId668">
        <w:r>
          <w:rPr>
            <w:color w:val="1155CC"/>
            <w:u w:val="single"/>
          </w:rPr>
          <w:t>10.1002/adma.202517926</w:t>
        </w:r>
      </w:hyperlink>
    </w:p>
    <w:p>
      <w:pPr>
        <w:spacing w:before="0" w:after="120"/>
      </w:pPr>
      <w:r>
        <w:rPr>
          <w:b/>
        </w:rPr>
        <w:t xml:space="preserve">Notes: </w:t>
      </w:r>
      <w:r>
        <w:t>abstract_source=crossref</w:t>
      </w:r>
    </w:p>
    <w:p>
      <w:pPr>
        <w:spacing w:before="0" w:after="80" w:lineRule="auto" w:line="276"/>
      </w:pPr>
      <w:r>
        <w:rPr>
          <w:b/>
        </w:rPr>
        <w:t xml:space="preserve">摘要（ZH）: </w:t>
      </w:r>
      <w:r>
        <w:t>抽象地说,更高的强度和更大的管道性总是在结构材料研究中追求的目标。 粒子改进和形态化可以增强合金的强度, 但也有其自身的局限性。 纳米晶体合金的管道性通常较低( &amp; lt; 5% ), 原因是纳米谷物边界的机械性不稳定。 产出后制剪裁带(SB), 金属眼镜的塑料性几乎为零 。 在文章中, 晶玻璃纳米双相合金(CGNDP) 的最近发展, 大大提高了强度和可塑性。 谷地边界(GB) 被一个纳米的不固定阶段所取代。 这种结构配置极大地增加了对移动运动的压力屏障, 增强了yi。</w:t>
      </w:r>
    </w:p>
    <w:p>
      <w:pPr>
        <w:spacing w:before="0" w:after="200" w:lineRule="auto" w:line="276"/>
      </w:pPr>
      <w:r>
        <w:rPr>
          <w:b/>
        </w:rPr>
        <w:t xml:space="preserve">Abstract (EN): </w:t>
      </w:r>
      <w:r>
        <w:t>Higher strength and larger ductility are always the pursuit of goal in the research of structural materials. Grain refinement and amorphization can enhance the strength of alloys, yet have their own limitations. The ductility of nanocrystalline alloys is usually low (&amp;lt;5%), due to mechanical instability of the nanograin boundary. Shear band (SB) forms after yielding, inducing almost zero plasticity of metallic glasses (MGs). In this article, the recent development of the crystal‐glass nano‐dual‐phase (CG‐NDP) alloys, dramatically enhancing the strength and plasticity is reviewed. The grain boundary (GB) is replaced by a nanoscale amorphous phase. This structure configuration substantially increases the stress barrier against dislocation motion, enhancing the yield strength up to a near‐theoretical value. Furthermore, global plastic flow behavior of the nano‐sized amorphous phase can be activated, promoting emission of dislocations at the crystal‐glass interface. Some of these dislocations pass through the crystalline phase and are absorbed by the amorphous phase on the opposite interface, depicting a continuous emission‐motion‐annihilation process. These deformation mechanisms promote the large homogeneous plastic deformation under both compression and tension. A new mechanism of crystalline‐to‐amorphous phase transformation is further reviewed. Finally, their functional applications as electrolytic catalysis and wear‐resistant coatings is discussed.</w:t>
      </w:r>
    </w:p>
    <w:p>
      <w:pPr>
        <w:spacing w:before="120" w:after="120"/>
      </w:pPr>
      <w:r>
        <w:rPr>
          <w:sz w:val="18"/>
        </w:rPr>
        <w:t>——————————————————————————————————————————————————————————————————————</w:t>
      </w:r>
    </w:p>
    <w:p>
      <w:pPr>
        <w:spacing w:before="160" w:after="40" w:line="240" w:lineRule="auto"/>
      </w:pPr>
      <w:r>
        <w:rPr>
          <w:b/>
        </w:rPr>
        <w:t xml:space="preserve">[371] </w:t>
      </w:r>
      <w:hyperlink r:id="rId669">
        <w:r>
          <w:rPr>
            <w:color w:val="1155CC"/>
            <w:u w:val="single"/>
          </w:rPr>
          <w:t>没有序列同质的性别确定地的深入进化保护</w:t>
        </w:r>
      </w:hyperlink>
    </w:p>
    <w:p>
      <w:pPr>
        <w:spacing w:before="0" w:after="80"/>
      </w:pPr>
      <w:r>
        <w:rPr>
          <w:i/>
          <w:sz w:val="20"/>
        </w:rPr>
        <w:t>EN: Deep evolutionary conservation of a sex-determining locus without sequence homology</w:t>
      </w:r>
    </w:p>
    <w:p>
      <w:pPr>
        <w:spacing w:before="0" w:after="120"/>
      </w:pPr>
      <w:r>
        <w:rPr>
          <w:b/>
        </w:rPr>
        <w:t xml:space="preserve">Source: </w:t>
      </w:r>
      <w:r>
        <w:t>Proceedings of the National Academy of Sciences: Keyword search for query</w:t>
      </w:r>
      <w:r>
        <w:t xml:space="preserve">    </w:t>
      </w:r>
      <w:r>
        <w:rPr>
          <w:b/>
        </w:rPr>
        <w:t xml:space="preserve">Pub date: </w:t>
      </w:r>
      <w:r>
        <w:t>2026-01-05 08:00:00+00:00</w:t>
      </w:r>
      <w:r>
        <w:t xml:space="preserve">    </w:t>
      </w:r>
      <w:r>
        <w:rPr>
          <w:b/>
        </w:rPr>
        <w:t xml:space="preserve">DOI: </w:t>
      </w:r>
      <w:hyperlink r:id="rId670">
        <w:r>
          <w:rPr>
            <w:color w:val="1155CC"/>
            <w:u w:val="single"/>
          </w:rPr>
          <w:t>10.1073/pnas.2522417123</w:t>
        </w:r>
      </w:hyperlink>
    </w:p>
    <w:p>
      <w:pPr>
        <w:spacing w:before="0" w:after="120"/>
      </w:pPr>
      <w:r>
        <w:rPr>
          <w:b/>
        </w:rPr>
        <w:t xml:space="preserve">Notes: </w:t>
      </w:r>
      <w:r>
        <w:t>abstract_source=crossref</w:t>
      </w:r>
    </w:p>
    <w:p>
      <w:pPr>
        <w:spacing w:before="0" w:after="80" w:lineRule="auto" w:line="276"/>
      </w:pPr>
      <w:r>
        <w:rPr>
          <w:b/>
        </w:rPr>
        <w:t xml:space="preserve">摘要（ZH）: </w:t>
      </w:r>
      <w:r>
        <w:t>确定性别是人类生命的基础,但是其分子基础在生命树上各有差异。在大多数动物圈中,确定性别的机制非常多样化,而且变化迅速。在这里,我们确定了一个例外,在包括蚂蚁、蜜蜂和叮当黄蜂在内的悠久而多样的辣椒性昆虫的古老和品种繁多的摇篮中。通过将整个Hymenoptera的比较基因组与大黄蜂和黄蜂的基因图绘制结合起来,我们发现,作为女性发展的主要指导信号,ANTSR中心(多allic非coding 地)已经维持了150个以上我作为女性发展的主要指示信号。这个中心位于一个保存的同步区,它起源于Aculeata底部,功能是高度多变的、以zygsity为基础的性别确定器,只有肝脏。</w:t>
      </w:r>
    </w:p>
    <w:p>
      <w:pPr>
        <w:spacing w:before="0" w:after="200" w:lineRule="auto" w:line="276"/>
      </w:pPr>
      <w:r>
        <w:rPr>
          <w:b/>
        </w:rPr>
        <w:t xml:space="preserve">Abstract (EN): </w:t>
      </w:r>
      <w:r>
        <w:t>Sex determination is fundamental to eukaryotic life, yet its molecular basis varies widely across the tree of life. In most animal clades, sex-determining mechanisms are highly diverse and evolve rapidly. Here, we identify an exception in aculeate Hymenoptera, an ancient and diverse clade of haplodiploid insects that includes ants, bees, and stinging wasps. By integrating comparative genomics across Hymenoptera with genetic mapping in bumblebees and hornets, we reveal that the ANTSR locus, a multiallelic noncoding locus, has been maintained for over 150 My as the primary instructive signal for female development. This locus is located in a conserved synteny block that originated at the base of Aculeata and functions as a highly polymorphic, zygosity-based sex determiner, with only heterozygous individuals developing as females across lineages. Despite its deep evolutionary conservation, this sex locus shows no detectable sequence homology among lineages. These findings demonstrate that an essential noncoding locus can retain its function over deep evolutionary time without sequence conservation. More broadly, our results highlight haplodiploid insects as a powerful model for studying the evolution of sex determination mechanisms beyond those linked to sex chromosomes.</w:t>
      </w:r>
    </w:p>
    <w:p>
      <w:pPr>
        <w:spacing w:before="120" w:after="120"/>
      </w:pPr>
      <w:r>
        <w:rPr>
          <w:sz w:val="18"/>
        </w:rPr>
        <w:t>——————————————————————————————————————————————————————————————————————</w:t>
      </w:r>
    </w:p>
    <w:p>
      <w:pPr>
        <w:spacing w:before="160" w:after="40" w:line="240" w:lineRule="auto"/>
      </w:pPr>
      <w:r>
        <w:rPr>
          <w:b/>
        </w:rPr>
        <w:t xml:space="preserve">[372] </w:t>
      </w:r>
      <w:hyperlink r:id="rId671">
        <w:r>
          <w:rPr>
            <w:color w:val="1155CC"/>
            <w:u w:val="single"/>
          </w:rPr>
          <w:t>CatSper高级组装的分子基</w:t>
        </w:r>
      </w:hyperlink>
    </w:p>
    <w:p>
      <w:pPr>
        <w:spacing w:before="0" w:after="80"/>
      </w:pPr>
      <w:r>
        <w:rPr>
          <w:i/>
          <w:sz w:val="20"/>
        </w:rPr>
        <w:t>EN: Molecular basis of the higher-order assembly of CatSper</w:t>
      </w:r>
    </w:p>
    <w:p>
      <w:pPr>
        <w:spacing w:before="0" w:after="120"/>
      </w:pPr>
      <w:r>
        <w:rPr>
          <w:b/>
        </w:rPr>
        <w:t xml:space="preserve">Source: </w:t>
      </w:r>
      <w:r>
        <w:t>Proceedings of the National Academy of Sciences: Keyword search for query</w:t>
      </w:r>
      <w:r>
        <w:t xml:space="preserve">    </w:t>
      </w:r>
      <w:r>
        <w:rPr>
          <w:b/>
        </w:rPr>
        <w:t xml:space="preserve">Pub date: </w:t>
      </w:r>
      <w:r>
        <w:t>2026-01-05 08:00:00+00:00</w:t>
      </w:r>
      <w:r>
        <w:t xml:space="preserve">    </w:t>
      </w:r>
      <w:r>
        <w:rPr>
          <w:b/>
        </w:rPr>
        <w:t xml:space="preserve">DOI: </w:t>
      </w:r>
      <w:hyperlink r:id="rId672">
        <w:r>
          <w:rPr>
            <w:color w:val="1155CC"/>
            <w:u w:val="single"/>
          </w:rPr>
          <w:t>10.1073/pnas.2510754123</w:t>
        </w:r>
      </w:hyperlink>
    </w:p>
    <w:p>
      <w:pPr>
        <w:spacing w:before="0" w:after="120"/>
      </w:pPr>
      <w:r>
        <w:rPr>
          <w:b/>
        </w:rPr>
        <w:t xml:space="preserve">Notes: </w:t>
      </w:r>
      <w:r>
        <w:t>abstract_source=crossref</w:t>
      </w:r>
    </w:p>
    <w:p>
      <w:pPr>
        <w:spacing w:before="0" w:after="80" w:lineRule="auto" w:line="276"/>
      </w:pPr>
      <w:r>
        <w:rPr>
          <w:b/>
        </w:rPr>
        <w:t xml:space="preserve">摘要（ZH）: </w:t>
      </w:r>
      <w:r>
        <w:t>CatSper CatSper 是一个主要精子流晶片的主要 Ca 2+ 入口通道,对于精子运动和生育能力至关重要。 缺乏功能性 CatSper 频道在受精过程中无法发生超活化,导致完全男性不孕。 在精子流的长轴上, 交错的 CatSper 综合体以手持式安排对齐, 形成一种被称为CatSper 纳米体的独特的四边线齐格扎格阵列。 然而, CatSper 如何形成这种更高级组装的分子细节仍然不清楚。 在本研究中, 我们展示了本地 CatSper dimer (~1.5MDa) 和三马(~2.3MDa) 巨型复合体的冷冻电子显微镜(cryo-EM) 结构, 它们是基本组合体。</w:t>
      </w:r>
    </w:p>
    <w:p>
      <w:pPr>
        <w:spacing w:before="0" w:after="200" w:lineRule="auto" w:line="276"/>
      </w:pPr>
      <w:r>
        <w:rPr>
          <w:b/>
        </w:rPr>
        <w:t xml:space="preserve">Abstract (EN): </w:t>
      </w:r>
      <w:r>
        <w:t>CatSper serves as the primary Ca</w:t>
      </w:r>
      <w:r>
        <w:t xml:space="preserve"> </w:t>
      </w:r>
      <w:r>
        <w:t>2+</w:t>
      </w:r>
      <w:r>
        <w:t xml:space="preserve"> </w:t>
      </w:r>
      <w:r>
        <w:t>entry pathway in the principal piece of sperm flagellum and is crucial for sperm motility and fertility. Sperm lacking functional CatSper channels fail to undergo hyperactivation during fertilization, leading to complete male infertility. Along the longitudinal axis of the sperm flagellum, staggered CatSper complexes align in a hand-in-hand arrangement, forming a distinctive quadrilinear zigzag arrays known as CatSper nanodomains. However, the molecular details of how CatSper oligomerizes to form such higher-order assembly remain unclear. In this study, we present the cryoelectron microscopy (cryo-EM) structures of native CatSper dimer (~1.5 MDa) and trimer (~2.3 MDa) megacomplexes, which represent the fundamental units of the zigzag array. We reveal the overall configuration of the zigzag assembly by characterizing the two distinct dimer interfaces that mediate CatSper oligomerization. Specifically, we elucidate the interaction details of two extracellular interfaces formed by CATSPERβ and CATSPERγ at the two dimer interfaces, respectively, and find that CATSPERη, a recently identified component of CatSper, constitutes the transmembrane interface within one of these dimer interfaces. Functional studies in mice demonstrate that CATSPERη is essential for the formation of functional CatSper on the sperm flagellum, and CATSPERη-deficient sperm fail to hyperactivate during fertilization, resulting in male infertility both in vivo and in vitro. Our data provide insights into the higher-order assembly of CatSper at the molecular level, offering clues for the development of male contraceptives.</w:t>
      </w:r>
    </w:p>
    <w:p>
      <w:pPr>
        <w:spacing w:before="120" w:after="120"/>
      </w:pPr>
      <w:r>
        <w:rPr>
          <w:sz w:val="18"/>
        </w:rPr>
        <w:t>——————————————————————————————————————————————————————————————————————</w:t>
      </w:r>
    </w:p>
    <w:p>
      <w:pPr>
        <w:spacing w:before="160" w:after="40" w:line="240" w:lineRule="auto"/>
      </w:pPr>
      <w:r>
        <w:rPr>
          <w:b/>
        </w:rPr>
        <w:t xml:space="preserve">[373] </w:t>
      </w:r>
      <w:hyperlink r:id="rId673">
        <w:r>
          <w:rPr>
            <w:color w:val="1155CC"/>
            <w:u w:val="single"/>
          </w:rPr>
          <w:t>内生可溶性ST2高水平的内生可溶性ST2抑制小鼠对食物过敏反应</w:t>
        </w:r>
      </w:hyperlink>
    </w:p>
    <w:p>
      <w:pPr>
        <w:spacing w:before="0" w:after="80"/>
      </w:pPr>
      <w:r>
        <w:rPr>
          <w:i/>
          <w:sz w:val="20"/>
        </w:rPr>
        <w:t>EN: Constitutively high levels of endogenous soluble ST2 inhibit food allergic responses in mice</w:t>
      </w:r>
    </w:p>
    <w:p>
      <w:pPr>
        <w:spacing w:before="0" w:after="120"/>
      </w:pPr>
      <w:r>
        <w:rPr>
          <w:b/>
        </w:rPr>
        <w:t xml:space="preserve">Source: </w:t>
      </w:r>
      <w:r>
        <w:t>Proceedings of the National Academy of Sciences: Keyword search for query</w:t>
      </w:r>
      <w:r>
        <w:t xml:space="preserve">    </w:t>
      </w:r>
      <w:r>
        <w:rPr>
          <w:b/>
        </w:rPr>
        <w:t xml:space="preserve">Pub date: </w:t>
      </w:r>
      <w:r>
        <w:t>2026-01-05 08:00:00+00:00</w:t>
      </w:r>
      <w:r>
        <w:t xml:space="preserve">    </w:t>
      </w:r>
      <w:r>
        <w:rPr>
          <w:b/>
        </w:rPr>
        <w:t xml:space="preserve">DOI: </w:t>
      </w:r>
      <w:hyperlink r:id="rId674">
        <w:r>
          <w:rPr>
            <w:color w:val="1155CC"/>
            <w:u w:val="single"/>
          </w:rPr>
          <w:t>10.1073/pnas.2506485123</w:t>
        </w:r>
      </w:hyperlink>
    </w:p>
    <w:p>
      <w:pPr>
        <w:spacing w:before="0" w:after="120"/>
      </w:pPr>
      <w:r>
        <w:rPr>
          <w:b/>
        </w:rPr>
        <w:t xml:space="preserve">Notes: </w:t>
      </w:r>
      <w:r>
        <w:t>abstract_source=crossref</w:t>
      </w:r>
    </w:p>
    <w:p>
      <w:pPr>
        <w:spacing w:before="0" w:after="80" w:lineRule="auto" w:line="276"/>
      </w:pPr>
      <w:r>
        <w:rPr>
          <w:b/>
        </w:rPr>
        <w:t xml:space="preserve">摘要（ZH）: </w:t>
      </w:r>
      <w:r>
        <w:t>然而,内生可溶溶性ST2(ST2)的生理作用仍然难以捉摸。在这里,我们利用CRISPPR/Cas9系统生成了完全ST2的ST2脱底鼠,其ST2L完整ST2L,使用CRISPR/Cas9系统。皮肤纤维质爆组成SST2蛋白的释放量极高,与乳房细胞相比,它并不反映SST2 mRNA的表达水平。这一差异部分可以归因于以母细胞蛋白介质为介质的SST2蛋白降解。因此,SST2缺陷并不影响IL-33和/或IgE加上抗原刺激母细胞在vitro活性。我们提供了证据,表明SST2的有机高水平抑制了小鼠的食物过敏,抑制了IL33依赖性基细胞和Enh。我们提供了证据,抑制了Jejunum mast细胞的膨胀和Eah。</w:t>
      </w:r>
    </w:p>
    <w:p>
      <w:pPr>
        <w:spacing w:before="0" w:after="200" w:lineRule="auto" w:line="276"/>
      </w:pPr>
      <w:r>
        <w:rPr>
          <w:b/>
        </w:rPr>
        <w:t xml:space="preserve">Abstract (EN): </w:t>
      </w:r>
      <w:r>
        <w:t>IL-33-induced signals via membrane-bound ST2 (ST2L) are critical for allergies. However, the physiological role of endogenous soluble ST2 (sST2) remains elusive. Here, we generated sST2-deficient mice with intact ST2L using the CRISPR/Cas9 system. Skin fibroblasts constitutively released sST2 protein at extremely high levels compared to mast cells, which did not reflect the expression levels of sST2 mRNA. This discrepancy can be partly explained by the sST2 protein degradation mediated by mast cell proteases. Accordingly, sST2 deficiency did not affect IL-33- and/or IgE plus antigen-stimulated mast cell activation in vitro. We provided evidence that constitutively high levels of sST2 suppress food allergies in mice by inhibiting IL-33-dependent, both expansion of jejunum mast cells and enhancement of their degranulation. Analysis of bone marrow chimeric mice under steady-state conditions showed that circulating sST2 was derived almost equally from hematopoietic and nonhematopoietic cells. Increased circulating sST2 in food-allergic mice was possibly and partly derived from fibroblasts stimulated by locally released IL-4 and IL-13. In conclusion, endogenous sST2 contributes to the suppression of food allergies.</w:t>
      </w:r>
    </w:p>
    <w:p>
      <w:pPr>
        <w:spacing w:before="120" w:after="120"/>
      </w:pPr>
      <w:r>
        <w:rPr>
          <w:sz w:val="18"/>
        </w:rPr>
        <w:t>——————————————————————————————————————————————————————————————————————</w:t>
      </w:r>
    </w:p>
    <w:p>
      <w:pPr>
        <w:spacing w:before="160" w:after="40" w:line="240" w:lineRule="auto"/>
      </w:pPr>
      <w:r>
        <w:rPr>
          <w:b/>
        </w:rPr>
        <w:t xml:space="preserve">[374] </w:t>
      </w:r>
      <w:hyperlink r:id="rId675">
        <w:r>
          <w:rPr>
            <w:color w:val="1155CC"/>
            <w:u w:val="single"/>
          </w:rPr>
          <w:t>一种钠相对的二色箱式电压运输器中的电梯装置动态</w:t>
        </w:r>
      </w:hyperlink>
    </w:p>
    <w:p>
      <w:pPr>
        <w:spacing w:before="0" w:after="80"/>
      </w:pPr>
      <w:r>
        <w:rPr>
          <w:i/>
          <w:sz w:val="20"/>
        </w:rPr>
        <w:t>EN: Elevator mechanism dynamics in a sodium-coupled dicarboxylate transporter</w:t>
      </w:r>
    </w:p>
    <w:p>
      <w:pPr>
        <w:spacing w:before="0" w:after="120"/>
      </w:pPr>
      <w:r>
        <w:rPr>
          <w:b/>
        </w:rPr>
        <w:t xml:space="preserve">Source: </w:t>
      </w:r>
      <w:r>
        <w:t>Proceedings of the National Academy of Sciences: Keyword search for query</w:t>
      </w:r>
      <w:r>
        <w:t xml:space="preserve">    </w:t>
      </w:r>
      <w:r>
        <w:rPr>
          <w:b/>
        </w:rPr>
        <w:t xml:space="preserve">Pub date: </w:t>
      </w:r>
      <w:r>
        <w:t>2026-01-05 08:00:00+00:00</w:t>
      </w:r>
      <w:r>
        <w:t xml:space="preserve">    </w:t>
      </w:r>
      <w:r>
        <w:rPr>
          <w:b/>
        </w:rPr>
        <w:t xml:space="preserve">DOI: </w:t>
      </w:r>
      <w:hyperlink r:id="rId676">
        <w:r>
          <w:rPr>
            <w:color w:val="1155CC"/>
            <w:u w:val="single"/>
          </w:rPr>
          <w:t>10.1073/pnas.2500723123</w:t>
        </w:r>
      </w:hyperlink>
    </w:p>
    <w:p>
      <w:pPr>
        <w:spacing w:before="0" w:after="120"/>
      </w:pPr>
      <w:r>
        <w:rPr>
          <w:b/>
        </w:rPr>
        <w:t xml:space="preserve">Notes: </w:t>
      </w:r>
      <w:r>
        <w:t>abstract_source=crossref</w:t>
      </w:r>
    </w:p>
    <w:p>
      <w:pPr>
        <w:spacing w:before="0" w:after="80" w:lineRule="auto" w:line="276"/>
      </w:pPr>
      <w:r>
        <w:rPr>
          <w:b/>
        </w:rPr>
        <w:t xml:space="preserve">摘要（ZH）: </w:t>
      </w:r>
      <w:r>
        <w:t>VcINDY是来自霍乱活性生物体的依赖钠的二氯苯甲酸酯运输器,它负责C 4 - carboxylate被吸收进入细胞。VcINDY如何在膜膜上移动基质的分子机制尚不清楚。我们用单分子分子荧光共振感应能量传输实验直接观察VcINDY将基质转换到脂肪双层的个体机械步骤,然后测试对运输周期机械模型的关键预测。我们的数据提供了第一个直接、动态的证据,证明VcINDY将进行蒸汽式、电梯型相容动作。 t</w:t>
      </w:r>
    </w:p>
    <w:p>
      <w:pPr>
        <w:spacing w:before="0" w:after="200" w:lineRule="auto" w:line="276"/>
      </w:pPr>
      <w:r>
        <w:rPr>
          <w:b/>
        </w:rPr>
        <w:t xml:space="preserve">Abstract (EN): </w:t>
      </w:r>
      <w:r>
        <w:t>VcINDY, the sodium-dependent dicarboxylate transporter from</w:t>
      </w:r>
      <w:r>
        <w:t xml:space="preserve"> </w:t>
      </w:r>
      <w:r>
        <w:t>Vibrio cholerae</w:t>
      </w:r>
      <w:r>
        <w:t xml:space="preserve"> </w:t>
      </w:r>
      <w:r>
        <w:t>, is responsible for C</w:t>
      </w:r>
      <w:r>
        <w:rPr>
          <w:vertAlign w:val="subscript"/>
        </w:rPr>
        <w:t>4</w:t>
      </w:r>
      <w:r>
        <w:t>-carboxylate uptake into cells. The molecular mechanism of how VcINDY physically moves substrates across the membrane, and does so in an energetically efficient manner, is unclear. Here, we use single-molecule fluorescence resonance energy transfer experiments to directly observe the individual mechanistic steps that VcINDY takes to translocate substrates across a lipid bilayer, and then test key predictions of transport cycle mechanistic models. Our data provide the first direct, dynamic evidence that VcINDY undergoes stochastic, elevator-type conformational motions that enable substrate translocation. The dynamics of these elevator motions are approximately an order of magnitude faster than the turnover rate for substrate transport, demonstrating that VcINDY undergoes multiple rounds of substrate translocation before a productive transport cycle is completed. Furthermore, the two protomers of the VcINDY homodimer undergo the substrate translocation motions in a noncooperative manner, and thus likely engage in independent transport reactions. The relative substrate independence of those motions supports the notion that the VcINDY transport cycle maintains strict cosubstrate coupling by a mechanism other than translocation inhibition. Thermodynamic modeling provides insight into how a cooperative binding mechanism is one such generalized approach to optimizing transport for many secondary active transporters.</w:t>
      </w:r>
    </w:p>
    <w:p>
      <w:pPr>
        <w:spacing w:before="120" w:after="120"/>
      </w:pPr>
      <w:r>
        <w:rPr>
          <w:sz w:val="18"/>
        </w:rPr>
        <w:t>——————————————————————————————————————————————————————————————————————</w:t>
      </w:r>
    </w:p>
    <w:p>
      <w:pPr>
        <w:spacing w:before="160" w:after="40" w:line="240" w:lineRule="auto"/>
      </w:pPr>
      <w:r>
        <w:rPr>
          <w:b/>
        </w:rPr>
        <w:t xml:space="preserve">[375] </w:t>
      </w:r>
      <w:hyperlink r:id="rId677">
        <w:r>
          <w:rPr>
            <w:color w:val="1155CC"/>
            <w:u w:val="single"/>
          </w:rPr>
          <w:t>古老的新鲜新发明 激发未来的溶性成像目标探测</w:t>
        </w:r>
      </w:hyperlink>
    </w:p>
    <w:p>
      <w:pPr>
        <w:spacing w:before="0" w:after="80"/>
      </w:pPr>
      <w:r>
        <w:rPr>
          <w:i/>
          <w:sz w:val="20"/>
        </w:rPr>
        <w:t>EN: Prior novelty invigorates future mesolimbic target detection</w:t>
      </w:r>
    </w:p>
    <w:p>
      <w:pPr>
        <w:spacing w:before="0" w:after="120"/>
      </w:pPr>
      <w:r>
        <w:rPr>
          <w:b/>
        </w:rPr>
        <w:t xml:space="preserve">Source: </w:t>
      </w:r>
      <w:r>
        <w:t>Proceedings of the National Academy of Sciences: Keyword search for query</w:t>
      </w:r>
      <w:r>
        <w:t xml:space="preserve">    </w:t>
      </w:r>
      <w:r>
        <w:rPr>
          <w:b/>
        </w:rPr>
        <w:t xml:space="preserve">Pub date: </w:t>
      </w:r>
      <w:r>
        <w:t>2026-01-05 08:00:00+00:00</w:t>
      </w:r>
      <w:r>
        <w:t xml:space="preserve">    </w:t>
      </w:r>
      <w:r>
        <w:rPr>
          <w:b/>
        </w:rPr>
        <w:t xml:space="preserve">DOI: </w:t>
      </w:r>
      <w:hyperlink r:id="rId678">
        <w:r>
          <w:rPr>
            <w:color w:val="1155CC"/>
            <w:u w:val="single"/>
          </w:rPr>
          <w:t>10.1073/pnas.2500436123</w:t>
        </w:r>
      </w:hyperlink>
    </w:p>
    <w:p>
      <w:pPr>
        <w:spacing w:before="0" w:after="120"/>
      </w:pPr>
      <w:r>
        <w:rPr>
          <w:b/>
        </w:rPr>
        <w:t xml:space="preserve">Notes: </w:t>
      </w:r>
      <w:r>
        <w:t>abstract_source=crossref</w:t>
      </w:r>
    </w:p>
    <w:p>
      <w:pPr>
        <w:spacing w:before="0" w:after="80" w:lineRule="auto" w:line="276"/>
      </w:pPr>
      <w:r>
        <w:rPr>
          <w:b/>
        </w:rPr>
        <w:t xml:space="preserve">摘要（ZH）: </w:t>
      </w:r>
      <w:r>
        <w:t>适应动态世界的能力取决于对环境变化的检测、学习和反应。发现新事物是这类变化的关键指标,是检测和应对目标相关信息的前沿机制。然而,支持新发现(Hippocampus)和定向行为的神经区域[Dopamiric 中脑和前前前皮层(PFC]]尚未被描述为一个随时间推移的相继进程。我们利用前方功能性磁共振模型,探索了河马坎普斯、VTA和PFC在开展新颖刺激目标检测任务的人类中的互动。Hippocampaty启动新手预测了随后的VTA目标启动,提高了发现目标相关信息的准备程度。同时,我们探索了Hippocampus、VTA和PFC之间的相互作用。</w:t>
      </w:r>
    </w:p>
    <w:p>
      <w:pPr>
        <w:spacing w:before="0" w:after="200" w:lineRule="auto" w:line="276"/>
      </w:pPr>
      <w:r>
        <w:rPr>
          <w:b/>
        </w:rPr>
        <w:t xml:space="preserve">Abstract (EN): </w:t>
      </w:r>
      <w:r>
        <w:t>The ability to adapt to a dynamic world relies on detecting, learning, and responding to environmental changes. The detection of novelty serves as a critical indicator of such changes, priming mechanisms to detect and respond to goal-relevant information. However, neural regions that support novelty detection (hippocampus) and goal-directed behavior [dopaminergic midbrain (VTA) and prefrontal cortex (PFC)] have yet to be described as a sequential process that unfolds over time. Using a forward-prediction functional MRI model, we explored interactions between the hippocampus, VTA, and PFC in humans performing a novelty-imbued target-detection task. Hippocampal novelty activation predicted subsequent VTA target activation, enhancing readiness to detect goal-relevant information. Concurrently, goal-directed PFC activation modulated VTA target activation, refining focus on behaviorally significant cues. These circuits function both synergistically and independently, promoting subsequent hippocampal activity during target trials. This work provides insights into how distributed circuits coordinate to optimize adaptive behavior.</w:t>
      </w:r>
    </w:p>
    <w:p>
      <w:pPr>
        <w:spacing w:before="120" w:after="120"/>
      </w:pPr>
      <w:r>
        <w:rPr>
          <w:sz w:val="18"/>
        </w:rPr>
        <w:t>——————————————————————————————————————————————————————————————————————</w:t>
      </w:r>
    </w:p>
    <w:p>
      <w:pPr>
        <w:spacing w:before="160" w:after="40" w:line="240" w:lineRule="auto"/>
      </w:pPr>
      <w:r>
        <w:rPr>
          <w:b/>
        </w:rPr>
        <w:t xml:space="preserve">[376] </w:t>
      </w:r>
      <w:hyperlink r:id="rId679">
        <w:r>
          <w:rPr>
            <w:color w:val="1155CC"/>
            <w:u w:val="single"/>
          </w:rPr>
          <w:t>实验演变所揭示的性别分配取舍及其遗传结构</w:t>
        </w:r>
      </w:hyperlink>
    </w:p>
    <w:p>
      <w:pPr>
        <w:spacing w:before="0" w:after="80"/>
      </w:pPr>
      <w:r>
        <w:rPr>
          <w:i/>
          <w:sz w:val="20"/>
        </w:rPr>
        <w:t>EN: Sex-allocation trade-offs and their genetic architecture revealed by experimental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2026-01-05 08:00:00+00:00</w:t>
      </w:r>
      <w:r>
        <w:t xml:space="preserve">    </w:t>
      </w:r>
      <w:r>
        <w:rPr>
          <w:b/>
        </w:rPr>
        <w:t xml:space="preserve">DOI: </w:t>
      </w:r>
      <w:hyperlink r:id="rId680">
        <w:r>
          <w:rPr>
            <w:color w:val="1155CC"/>
            <w:u w:val="single"/>
          </w:rPr>
          <w:t>10.1073/pnas.2427240123</w:t>
        </w:r>
      </w:hyperlink>
    </w:p>
    <w:p>
      <w:pPr>
        <w:spacing w:before="0" w:after="120"/>
      </w:pPr>
      <w:r>
        <w:rPr>
          <w:b/>
        </w:rPr>
        <w:t xml:space="preserve">Notes: </w:t>
      </w:r>
      <w:r>
        <w:t>abstract_source=crossref</w:t>
      </w:r>
    </w:p>
    <w:p>
      <w:pPr>
        <w:spacing w:before="0" w:after="80" w:lineRule="auto" w:line="276"/>
      </w:pPr>
      <w:r>
        <w:rPr>
          <w:b/>
        </w:rPr>
        <w:t xml:space="preserve">摘要（ZH）: </w:t>
      </w:r>
      <w:r>
        <w:t>性别分配理论被誉为进化生物学的巨大成功之一。 但是,尽管它成功地预测了在不同性别的物种的广泛条件下对男女后代资源分配的战略,但很难核实男女两性在同一个人中共同表达时,对男女分配的直接基因权衡这一基本假设。 这一权衡假设认为,增加个人男性分配的突变会减少女性分配,反之亦然。 在这里,我们利用实验性演变在风化年度植物中产生广泛的性分配差异。 我们展示了两种性功能在一段时间内与人口之间的明显平衡。</w:t>
      </w:r>
    </w:p>
    <w:p>
      <w:pPr>
        <w:spacing w:before="0" w:after="200" w:lineRule="auto" w:line="276"/>
      </w:pPr>
      <w:r>
        <w:rPr>
          <w:b/>
        </w:rPr>
        <w:t xml:space="preserve">Abstract (EN): </w:t>
      </w:r>
      <w:r>
        <w:t>The theory of sex allocation is hailed as one of evolutionary biology’s great successes. But while it has successfully predicted strategies of resource allocation to male versus female offspring under a wide range of conditions in species with separate sexes, it has been difficult to verify the fundamental assumption of a direct genetic trade-off between male and female allocations when both sexes are expressed together in the same individuals. This trade-off assumption supposes that mutations that increase an individual’s male allocation reduce its female allocation, and vice versa. Here, we use experimental evolution to generate wide variation in sex allocation in a wind-pollinated annual plant. We demonstrate a clear trade-off between the two sexual functions over time, with populations repeatedly evolving increased male and correspondingly reduced female allocation. Quantitative trait locus (QTL) analysis performed on multiple crosses further reveals the segregation of allelic variation at “trade-off loci.” Taken together, our results demonstrate a genetic trade-off in sex allocation in hermaphrodites and provide compelling evidence for sex-allocation trade-off loci. Our study thus verifies the fundamental assumption of sex-allocation theory and secures its general applicability to both dioecious and hermaphroditic species.</w:t>
      </w:r>
    </w:p>
    <w:p>
      <w:pPr>
        <w:spacing w:before="120" w:after="120"/>
      </w:pPr>
      <w:r>
        <w:rPr>
          <w:sz w:val="18"/>
        </w:rPr>
        <w:t>——————————————————————————————————————————————————————————————————————</w:t>
      </w:r>
    </w:p>
    <w:p>
      <w:pPr>
        <w:spacing w:before="160" w:after="40" w:line="240" w:lineRule="auto"/>
      </w:pPr>
      <w:r>
        <w:rPr>
          <w:b/>
        </w:rPr>
        <w:t xml:space="preserve">[377] </w:t>
      </w:r>
      <w:hyperlink r:id="rId681">
        <w:r>
          <w:rPr>
            <w:color w:val="1155CC"/>
            <w:u w:val="single"/>
          </w:rPr>
          <w:t>原始肠内微生物体诱发老鼠神经发育的进化显著变化</w:t>
        </w:r>
      </w:hyperlink>
    </w:p>
    <w:p>
      <w:pPr>
        <w:spacing w:before="0" w:after="80"/>
      </w:pPr>
      <w:r>
        <w:rPr>
          <w:i/>
          <w:sz w:val="20"/>
        </w:rPr>
        <w:t>EN: Primate gut microbiota induce evolutionarily salient changes in mouse neurodevelopment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2026-01-05 08:00:00+00:00</w:t>
      </w:r>
      <w:r>
        <w:t xml:space="preserve">    </w:t>
      </w:r>
      <w:r>
        <w:rPr>
          <w:b/>
        </w:rPr>
        <w:t xml:space="preserve">DOI: </w:t>
      </w:r>
      <w:hyperlink r:id="rId682">
        <w:r>
          <w:rPr>
            <w:color w:val="1155CC"/>
            <w:u w:val="single"/>
          </w:rPr>
          <w:t>10.1073/pnas.2426232122</w:t>
        </w:r>
      </w:hyperlink>
    </w:p>
    <w:p>
      <w:pPr>
        <w:spacing w:before="0" w:after="120"/>
      </w:pPr>
      <w:r>
        <w:rPr>
          <w:b/>
        </w:rPr>
        <w:t xml:space="preserve">Notes: </w:t>
      </w:r>
      <w:r>
        <w:t>abstract_source=crossref</w:t>
      </w:r>
    </w:p>
    <w:p>
      <w:pPr>
        <w:spacing w:before="0" w:after="80" w:lineRule="auto" w:line="276"/>
      </w:pPr>
      <w:r>
        <w:rPr>
          <w:b/>
        </w:rPr>
        <w:t xml:space="preserve">摘要（ZH）: </w:t>
      </w:r>
      <w:r>
        <w:t>包括人类在内的多种灵长类物种,其进化大脑与其身体大小相比特别大。这些大型大脑与新陈代谢适应相结合,增加了脑能量供应,包括循环葡萄糖水平的提高。虽然人们知道肠内微生物(GM)会影响新陈代谢,但其在灵长类大脑进化中的潜在作用仍然不清楚。为了调查这一点,我们通过原始物种的基因基因基对无细菌小鼠进行接种,这些原始物种的基因基点选择了将大脑大小(血清化)与血代相关的影响分开:人类(大脑、卡塔里希尼)、马卡卡卡(小脑、卡塔里希尼)和松鼠猴子(大脑、普拉蒂里希尼)。我们首先显示,与人类隔热的鼠与大孔鼠之间在脑基因表达方面的差异。</w:t>
      </w:r>
    </w:p>
    <w:p>
      <w:pPr>
        <w:spacing w:before="0" w:after="200" w:lineRule="auto" w:line="276"/>
      </w:pPr>
      <w:r>
        <w:rPr>
          <w:b/>
        </w:rPr>
        <w:t xml:space="preserve">Abstract (EN): </w:t>
      </w:r>
      <w:r>
        <w:t>Multiple primate species, including humans, evolved brains that are exceptionally large relative to their body sizes. These large brains coevolved with metabolic adaptations that enhance cerebral energy supply, including increased circulating glucose levels. While the gut microbiota (GM) is known to influence host metabolism, its potential role in primate brain evolution remains unclear. To investigate this, we inoculated germ-free mice with the GMs of primate species selected to separate the effects of brain size (encephalization) from phylogenetic relatedness: humans (large-brained, Catarrhini), macaques (smaller-brained, Catarrhini), and squirrel monkeys (large-brained, Platyrrhini). We first show that differences in brain gene expression between mice inoculated with human versus macaque GMs resemble those observed between actual human and macaque brains. Comparing the effects of the different primate GMs on mouse brain gene expression further revealed that despite greater evolutionary distance, the GMs from the two larger-brained species (humans and squirrel monkeys) similarly upregulated genes associated with energy production. Notably, human GMs specifically increased the expression of genes involved in oxidative phosphorylation, and these gene expression changes correlated with increased abundances of GM metabolic pathways related to glucose metabolism and gluconeogenesis. Human GMs also downregulated evolutionarily conserved genes implicated in neurodevelopmental disorders such as autism. Although these are findings based on a small sample of primate species and must be interpreted as preliminary, they suggest that species differences in GM composition can influence brain metabolism and raise the possibility that the GM could have played a supporting role in primate encephalization.</w:t>
      </w:r>
    </w:p>
    <w:p>
      <w:pPr>
        <w:spacing w:before="120" w:after="120"/>
      </w:pPr>
      <w:r>
        <w:rPr>
          <w:sz w:val="18"/>
        </w:rPr>
        <w:t>——————————————————————————————————————————————————————————————————————</w:t>
      </w:r>
    </w:p>
    <w:p>
      <w:pPr>
        <w:spacing w:before="160" w:after="40" w:line="240" w:lineRule="auto"/>
      </w:pPr>
      <w:r>
        <w:rPr>
          <w:b/>
        </w:rPr>
        <w:t xml:space="preserve">[378] </w:t>
      </w:r>
      <w:hyperlink r:id="rId683">
        <w:r>
          <w:rPr>
            <w:color w:val="1155CC"/>
            <w:u w:val="single"/>
          </w:rPr>
          <w:t>治疗阿尔茨海默氏病的四十赫兹听力刺激作为治疗阿尔茨海默氏病的长期影响:一项老年猴子示范研究的深入观察</w:t>
        </w:r>
      </w:hyperlink>
    </w:p>
    <w:p>
      <w:pPr>
        <w:spacing w:before="0" w:after="80"/>
      </w:pPr>
      <w:r>
        <w:rPr>
          <w:i/>
          <w:sz w:val="20"/>
        </w:rPr>
        <w:t>EN: Long-term effects of forty-hertz auditory stimulation as a treatment of Alzheimer’s disease: Insights from an aged monkey model study</w:t>
      </w:r>
    </w:p>
    <w:p>
      <w:pPr>
        <w:spacing w:before="0" w:after="120"/>
      </w:pPr>
      <w:r>
        <w:rPr>
          <w:b/>
        </w:rPr>
        <w:t xml:space="preserve">Source: </w:t>
      </w:r>
      <w:r>
        <w:t>Proceedings of the National Academy of Sciences: Keyword search for query</w:t>
      </w:r>
      <w:r>
        <w:t xml:space="preserve">    </w:t>
      </w:r>
      <w:r>
        <w:rPr>
          <w:b/>
        </w:rPr>
        <w:t xml:space="preserve">Pub date: </w:t>
      </w:r>
      <w:r>
        <w:t>2026-01-05 08:00:00+00:00</w:t>
      </w:r>
      <w:r>
        <w:t xml:space="preserve">    </w:t>
      </w:r>
      <w:r>
        <w:rPr>
          <w:b/>
        </w:rPr>
        <w:t xml:space="preserve">DOI: </w:t>
      </w:r>
      <w:hyperlink r:id="rId684">
        <w:r>
          <w:rPr>
            <w:color w:val="1155CC"/>
            <w:u w:val="single"/>
          </w:rPr>
          <w:t>10.1073/pnas.2529565123</w:t>
        </w:r>
      </w:hyperlink>
    </w:p>
    <w:p>
      <w:pPr>
        <w:spacing w:before="0" w:after="120"/>
      </w:pPr>
      <w:r>
        <w:rPr>
          <w:b/>
        </w:rPr>
        <w:t xml:space="preserve">Notes: </w:t>
      </w:r>
      <w:r>
        <w:t>abstract_source=crossref</w:t>
      </w:r>
    </w:p>
    <w:p>
      <w:pPr>
        <w:spacing w:before="0" w:after="80" w:lineRule="auto" w:line="276"/>
      </w:pPr>
      <w:r>
        <w:rPr>
          <w:b/>
        </w:rPr>
        <w:t xml:space="preserve">摘要（ZH）: </w:t>
      </w:r>
      <w:r>
        <w:t>根据主要根据鼠类研究,四十赫兹(40赫兹-赫兹)物理刺激被认为是阿尔茨海默氏病(AD)的潜在非侵入治疗。 考虑到鼠类和人类之间的大脑差异,40赫兹物理刺激的影响需要在临床应用前使用非人类灵长类动物进一步验证。 在这里,我们利用难得的机会将九只雷须猴(26至31岁)暴露为40-赫兹听觉刺激。 鉴于脑脊髓脊髓灰质素(CSF)Aβ和Tau的浓度以及临床实践中脑膜炎中相应的AD病理的紧密关联性,我们通过监测CSF AET和Taux浓度的变化,调查了40赫兹刺激对AD病理学的影响。</w:t>
      </w:r>
    </w:p>
    <w:p>
      <w:pPr>
        <w:spacing w:before="0" w:after="200" w:lineRule="auto" w:line="276"/>
      </w:pPr>
      <w:r>
        <w:rPr>
          <w:b/>
        </w:rPr>
        <w:t xml:space="preserve">Abstract (EN): </w:t>
      </w:r>
      <w:r>
        <w:t>Based mainly on rodents studies, forty-hertz (40-Hz) physical stimulation has been regarded as a potential noninvasive treatment for Alzheimer’s disease (AD). Considering the brain differences between rodents and humans, the effects of 40-Hz physical stimulation need to be further validated using nonhuman primates before its clinical application. Here, we took advantage of a rare opportunity to expose nine aged rhesus monkeys (26 to 31 y old) to 40-Hz auditory stimulation. Given the strong correlation between cerebrospinal fluid (CSF) Aβ and Tau concentrations and corresponding AD pathology in brain parenchyma in clinical practice, we investigated the effects of 40-Hz stimulation on AD pathology by monitoring changes in CSF Aβ and Tau concentrations. Our results revealed that 7 consecutive days of 40-Hz auditory stimulation triggered a rapid and significant increase of Aβ levels by more than 200%, but no effect on Tau levels in the CSF. Additionally, we observed that the elevation of CSF Aβ levels persisted for more than 5 wk after cessation, which had not been reported in any previous studies. After this, a pathological examination of the temporal cortices of 4 of the experimental monkeys was carried out and the data demonstrated that all of them had prevalent extracellular Aβ senile plaque pathology, whereas Tau pathology was negative or very weak. These results provide a good explanation for the differences between the CSF Aβ and Tau protein levels. Together, these first-time results from monkeys suggest that 40-Hz auditory stimulation has strong potential of a noninvasive AD treatment method.</w:t>
      </w:r>
    </w:p>
    <w:p>
      <w:pPr>
        <w:spacing w:before="120" w:after="120"/>
      </w:pPr>
      <w:r>
        <w:rPr>
          <w:sz w:val="18"/>
        </w:rPr>
        <w:t>——————————————————————————————————————————————————————————————————————</w:t>
      </w:r>
    </w:p>
    <w:p>
      <w:pPr>
        <w:spacing w:before="160" w:after="40" w:line="240" w:lineRule="auto"/>
      </w:pPr>
      <w:r>
        <w:rPr>
          <w:b/>
        </w:rPr>
        <w:t xml:space="preserve">[379] </w:t>
      </w:r>
      <w:hyperlink r:id="rId685">
        <w:r>
          <w:rPr>
            <w:color w:val="1155CC"/>
            <w:u w:val="single"/>
          </w:rPr>
          <w:t>估计美国从国际参考定价中节省的门诊处方药</w:t>
        </w:r>
      </w:hyperlink>
    </w:p>
    <w:p>
      <w:pPr>
        <w:spacing w:before="0" w:after="80"/>
      </w:pPr>
      <w:r>
        <w:rPr>
          <w:i/>
          <w:sz w:val="20"/>
        </w:rPr>
        <w:t>EN: Estimating US savings on outpatient prescription pharmaceuticals from international reference pricing</w:t>
      </w:r>
    </w:p>
    <w:p>
      <w:pPr>
        <w:spacing w:before="0" w:after="120"/>
      </w:pPr>
      <w:r>
        <w:rPr>
          <w:b/>
        </w:rPr>
        <w:t xml:space="preserve">Source: </w:t>
      </w:r>
      <w:r>
        <w:t>Proceedings of the National Academy of Sciences: Keyword search for query</w:t>
      </w:r>
      <w:r>
        <w:t xml:space="preserve">    </w:t>
      </w:r>
      <w:r>
        <w:rPr>
          <w:b/>
        </w:rPr>
        <w:t xml:space="preserve">Pub date: </w:t>
      </w:r>
      <w:r>
        <w:t>2026-01-05 08:00:00+00:00</w:t>
      </w:r>
      <w:r>
        <w:t xml:space="preserve">    </w:t>
      </w:r>
      <w:r>
        <w:rPr>
          <w:b/>
        </w:rPr>
        <w:t xml:space="preserve">DOI: </w:t>
      </w:r>
      <w:hyperlink r:id="rId686">
        <w:r>
          <w:rPr>
            <w:color w:val="1155CC"/>
            <w:u w:val="single"/>
          </w:rPr>
          <w:t>10.1073/pnas.2520871122</w:t>
        </w:r>
      </w:hyperlink>
    </w:p>
    <w:p>
      <w:pPr>
        <w:spacing w:before="0" w:after="120"/>
      </w:pPr>
      <w:r>
        <w:rPr>
          <w:b/>
        </w:rPr>
        <w:t xml:space="preserve">Notes: </w:t>
      </w:r>
      <w:r>
        <w:t>abstract_source=crossref</w:t>
      </w:r>
    </w:p>
    <w:p>
      <w:pPr>
        <w:spacing w:before="0" w:after="80" w:lineRule="auto" w:line="276"/>
      </w:pPr>
      <w:r>
        <w:rPr>
          <w:b/>
        </w:rPr>
        <w:t xml:space="preserve">摘要（ZH）: </w:t>
      </w:r>
      <w:r>
        <w:t>处方药品的高昂成本是美国面临的一个关键和长期关注的问题。 为了遏制药物成本的上升,国际参考定价、使药物价格与其他高收入国家的价格保持一致已成为一项突出的政策选择。 我们通过全面分析8 000多种药物的利用模式和全球价格差异,评估了美国这一战略可能带来的国家储蓄。 我们预测,如果门诊处方药品的价格与加拿大、法国、德国、日本和联合王国的价格相当,每年将实现1840亿美元的国民储蓄。 私人保险公司、医疗保险公司和医疗补助公司将分别实现51%、62%和35%的储蓄。</w:t>
      </w:r>
    </w:p>
    <w:p>
      <w:pPr>
        <w:spacing w:before="0" w:after="200" w:lineRule="auto" w:line="276"/>
      </w:pPr>
      <w:r>
        <w:rPr>
          <w:b/>
        </w:rPr>
        <w:t xml:space="preserve">Abstract (EN): </w:t>
      </w:r>
      <w:r>
        <w:t>The exorbitant cost of prescription pharmaceuticals is a critical and long-standing concern facing the United States (US). To curb rising drug costs, international reference pricing, aligning drug prices with those in other high-income countries, has emerged as a prominent policy option. We evaluated the potential national savings from such a strategy in the United States through a comprehensive analysis of utilization patterns and global price differentials for over 8,000 drugs. We project an annual national saving of $184 billion if outpatient prescription pharmaceuticals were priced comparably to those in Canada, France, Germany, Japan, and the United Kingdom. Private insurers, Medicare, and Medicaid would realize savings of 51%, 62%, and 35%, respectively. Pharmaceutical expenditures for common chronic illnesses would be substantially reduced, with costs declining by over 75% for diabetes, atrial fibrillation, and heart failure. Our findings emphasize the substantial fiscal and equity gains achievable through international reference pricing, demonstrating its potential to mitigate financial burdens borne by both healthcare systems and individual patients.</w:t>
      </w:r>
    </w:p>
    <w:p>
      <w:pPr>
        <w:spacing w:before="120" w:after="120"/>
      </w:pPr>
      <w:r>
        <w:rPr>
          <w:sz w:val="18"/>
        </w:rPr>
        <w:t>——————————————————————————————————————————————————————————————————————</w:t>
      </w:r>
    </w:p>
    <w:p>
      <w:pPr>
        <w:spacing w:before="160" w:after="40" w:line="240" w:lineRule="auto"/>
      </w:pPr>
      <w:r>
        <w:rPr>
          <w:b/>
        </w:rPr>
        <w:t xml:space="preserve">[380] </w:t>
      </w:r>
      <w:hyperlink r:id="rId687">
        <w:r>
          <w:rPr>
            <w:color w:val="1155CC"/>
            <w:u w:val="single"/>
          </w:rPr>
          <w:t>由于单体扩散,对最初物种密度的降解具有超常敏感度</w:t>
        </w:r>
      </w:hyperlink>
    </w:p>
    <w:p>
      <w:pPr>
        <w:spacing w:before="0" w:after="80"/>
      </w:pPr>
      <w:r>
        <w:rPr>
          <w:i/>
          <w:sz w:val="20"/>
        </w:rPr>
        <w:t>EN: Hypersensitivity of chitin degradation to initial species densities due to monomer diffusion</w:t>
      </w:r>
    </w:p>
    <w:p>
      <w:pPr>
        <w:spacing w:before="0" w:after="120"/>
      </w:pPr>
      <w:r>
        <w:rPr>
          <w:b/>
        </w:rPr>
        <w:t xml:space="preserve">Source: </w:t>
      </w:r>
      <w:r>
        <w:t>Proceedings of the National Academy of Sciences: Keyword search for query</w:t>
      </w:r>
      <w:r>
        <w:t xml:space="preserve">    </w:t>
      </w:r>
      <w:r>
        <w:rPr>
          <w:b/>
        </w:rPr>
        <w:t xml:space="preserve">Pub date: </w:t>
      </w:r>
      <w:r>
        <w:t>2026-01-05 08:00:00+00:00</w:t>
      </w:r>
      <w:r>
        <w:t xml:space="preserve">    </w:t>
      </w:r>
      <w:r>
        <w:rPr>
          <w:b/>
        </w:rPr>
        <w:t xml:space="preserve">DOI: </w:t>
      </w:r>
      <w:hyperlink r:id="rId688">
        <w:r>
          <w:rPr>
            <w:color w:val="1155CC"/>
            <w:u w:val="single"/>
          </w:rPr>
          <w:t>10.1073/pnas.2512676123</w:t>
        </w:r>
      </w:hyperlink>
    </w:p>
    <w:p>
      <w:pPr>
        <w:spacing w:before="0" w:after="120"/>
      </w:pPr>
      <w:r>
        <w:rPr>
          <w:b/>
        </w:rPr>
        <w:t xml:space="preserve">Notes: </w:t>
      </w:r>
      <w:r>
        <w:t>abstract_source=crossref</w:t>
      </w:r>
    </w:p>
    <w:p>
      <w:pPr>
        <w:spacing w:before="0" w:after="80" w:lineRule="auto" w:line="276"/>
      </w:pPr>
      <w:r>
        <w:rPr>
          <w:b/>
        </w:rPr>
        <w:t xml:space="preserve">摘要（ZH）: </w:t>
      </w:r>
      <w:r>
        <w:t>资源竞争有力地影响着微生物群落的动态和功能。在聚沙酸分解社区,初级降解器释放了水解酶,而开发者则在不生产酶的情况下消费释放的产品。我们调查了海洋降解器和N-乙基甘基甲胺(GlcNAc)开发者所采用的竞争策略,揭示了影响社区生存和增长动态的各种机制。除了直接竞争策略,如抗生素分解或对粒子细胞聚积(有助于垄断酶接触),剥削者还通过在粒子降解的早期阶段转移限制GlcNAc通量来抑制降解器。这一关键阶段要求降解器克服挥发性损失。</w:t>
      </w:r>
    </w:p>
    <w:p>
      <w:pPr>
        <w:spacing w:before="0" w:after="200" w:lineRule="auto" w:line="276"/>
      </w:pPr>
      <w:r>
        <w:rPr>
          <w:b/>
        </w:rPr>
        <w:t xml:space="preserve">Abstract (EN): </w:t>
      </w:r>
      <w:r>
        <w:t>Resource competition strongly shapes microbial community dynamics and functionality. In polysaccharide-degrading communities, primary degraders release hydrolytic enzymes, whereas exploiters consume released products without producing enzyme themselves. We investigate the competitive strategies employed by marine chitin degraders and N-acetylglucosamine (GlcNAc) exploiters, revealing various mechanisms that impact community viability and growth dynamics. In addition to direct competition strategies such as antibiotic secretion or cell aggregation on chitin particles (which helps monopolize enzyme access), exploiters also inhibit degraders by diverting limiting GlcNAc flux during the early stages of particle degradation. This critical phase requires degraders to overcome the diffusive loss of GlcNAc to sustain their chitinase production. Through quantitative measurements and modeling, we demonstrate that nutrient competition among species and nutrient loss through diffusion during the initial stages of community dynamics strongly influence the long-term success of the community. The initial community composition dictates the former mechanisms, while the latter is closely related to particle size, both of which have profound implications for environmental carbon cycling. The resulting hypersensitivity of the community is analogous to the Allee effect observed in population biology, where the outcomes—in our case polymer degradation—are heavily dependent on starting conditions. This study sheds light on how metabolic competition in the early phases of particle degradation governs species interactions, resource partitioning, and overall community viability, even under identical environmental and genetic conditions.</w:t>
      </w:r>
    </w:p>
    <w:p>
      <w:pPr>
        <w:spacing w:before="120" w:after="120"/>
      </w:pPr>
      <w:r>
        <w:rPr>
          <w:sz w:val="18"/>
        </w:rPr>
        <w:t>——————————————————————————————————————————————————————————————————————</w:t>
      </w:r>
    </w:p>
    <w:p>
      <w:pPr>
        <w:spacing w:before="160" w:after="40" w:line="240" w:lineRule="auto"/>
      </w:pPr>
      <w:r>
        <w:rPr>
          <w:b/>
        </w:rPr>
        <w:t xml:space="preserve">[381] </w:t>
      </w:r>
      <w:hyperlink r:id="rId689">
        <w:r>
          <w:rPr>
            <w:color w:val="1155CC"/>
            <w:u w:val="single"/>
          </w:rPr>
          <w:t>洛马贡迪-贾图利碳同位素探索的时间和规模</w:t>
        </w:r>
      </w:hyperlink>
    </w:p>
    <w:p>
      <w:pPr>
        <w:spacing w:before="0" w:after="80"/>
      </w:pPr>
      <w:r>
        <w:rPr>
          <w:i/>
          <w:sz w:val="20"/>
        </w:rPr>
        <w:t>EN: Timing and magnitude of the Lomagundi–Jatuli carbon isotope excursion</w:t>
      </w:r>
    </w:p>
    <w:p>
      <w:pPr>
        <w:spacing w:before="0" w:after="120"/>
      </w:pPr>
      <w:r>
        <w:rPr>
          <w:b/>
        </w:rPr>
        <w:t xml:space="preserve">Source: </w:t>
      </w:r>
      <w:r>
        <w:t>Proceedings of the National Academy of Sciences: Keyword search for query</w:t>
      </w:r>
      <w:r>
        <w:t xml:space="preserve">    </w:t>
      </w:r>
      <w:r>
        <w:rPr>
          <w:b/>
        </w:rPr>
        <w:t xml:space="preserve">Pub date: </w:t>
      </w:r>
      <w:r>
        <w:t>2026-01-05 08:00:00+00:00</w:t>
      </w:r>
      <w:r>
        <w:t xml:space="preserve">    </w:t>
      </w:r>
      <w:r>
        <w:rPr>
          <w:b/>
        </w:rPr>
        <w:t xml:space="preserve">DOI: </w:t>
      </w:r>
      <w:hyperlink r:id="rId690">
        <w:r>
          <w:rPr>
            <w:color w:val="1155CC"/>
            <w:u w:val="single"/>
          </w:rPr>
          <w:t>10.1073/pnas.2512767123</w:t>
        </w:r>
      </w:hyperlink>
    </w:p>
    <w:p>
      <w:pPr>
        <w:spacing w:before="0" w:after="120"/>
      </w:pPr>
      <w:r>
        <w:rPr>
          <w:b/>
        </w:rPr>
        <w:t xml:space="preserve">Notes: </w:t>
      </w:r>
      <w:r>
        <w:t>abstract_source=crossref</w:t>
      </w:r>
    </w:p>
    <w:p>
      <w:pPr>
        <w:spacing w:before="0" w:after="80" w:lineRule="auto" w:line="276"/>
      </w:pPr>
      <w:r>
        <w:rPr>
          <w:b/>
        </w:rPr>
        <w:t xml:space="preserve">摘要（ZH）: </w:t>
      </w:r>
      <w:r>
        <w:t>大氧化物事件(GOE)(约2.5亿至21亿年前)永久改变地球生物地球化学循环期间大气氧气的上升(约2.5亿至21亿年前 ) 。 同时期海洋碳酸盐的化学化为这一转变过程中碳循环的运行提供了一个窗口。 具体地说,碳酸盐岩与GOE共同形成一个长寿命的大型正碳同位素( + 13 C ), Lomagundi-Jatuli 解密(LJE ), 直觉地被解释为与地球表面氧化相关的有机物掩埋的增加。 然而,原因却在于地球表面的氧化。</w:t>
      </w:r>
    </w:p>
    <w:p>
      <w:pPr>
        <w:spacing w:before="0" w:after="200" w:lineRule="auto" w:line="276"/>
      </w:pPr>
      <w:r>
        <w:rPr>
          <w:b/>
        </w:rPr>
        <w:t xml:space="preserve">Abstract (EN): </w:t>
      </w:r>
      <w:r>
        <w:t>The rise of atmospheric oxygen during the Great Oxidation Event (GOE) (ca. 2.5 to 2.1 billion years ago) permanently transformed Earth’s biogeochemical cycles. The chemistry of contemporaneous marine carbonates provides a window into operation of the carbon cycle across this transition. Specifically, carbonate rocks co-eval with the GOE preserve a large and long-lived positive carbon isotope (</w:t>
      </w:r>
      <w:r>
        <w:t xml:space="preserve"> </w:t>
      </w:r>
      <w:r>
        <w:t>δ</w:t>
      </w:r>
      <w:r>
        <w:rPr>
          <w:vertAlign w:val="subscript"/>
        </w:rPr>
        <w:t>13</w:t>
      </w:r>
      <w:r>
        <w:t xml:space="preserve"> </w:t>
      </w:r>
      <w:r>
        <w:t>C) excursion, the Lomagundi–Jatuli excursion (LJE), that canonically is interpreted as an increase in organic matter burial linked to the oxygenation of Earth’s surface. However, the cause, synchroneity, and global nature of the LJE remain contentious due to significant uncertainties in the excursion’s timing and magnitude. These uncertainties stem from the incomplete, time-uncertain, and spatially variable nature of the shallow-water sedimentary record. Here, we use Bayesian inference to reconstruct Paleoproterozoic</w:t>
      </w:r>
      <w:r>
        <w:t xml:space="preserve"> </w:t>
      </w:r>
      <w:r>
        <w:t>δ</w:t>
      </w:r>
      <w:r>
        <w:rPr>
          <w:vertAlign w:val="subscript"/>
        </w:rPr>
        <w:t>13</w:t>
      </w:r>
      <w:r>
        <w:t xml:space="preserve"> </w:t>
      </w:r>
      <w:r>
        <w:t>C from globally distributed stratigraphic observations. Our inference reaffirms that the LJE is a global excursion, although its expression varies locally, and provides revised estimates for its timing and magnitude. We find that</w:t>
      </w:r>
      <w:r>
        <w:t xml:space="preserve"> </w:t>
      </w:r>
      <w:r>
        <w:t>δ</w:t>
      </w:r>
      <w:r>
        <w:rPr>
          <w:vertAlign w:val="subscript"/>
        </w:rPr>
        <w:t>13</w:t>
      </w:r>
      <w:r>
        <w:t xml:space="preserve"> </w:t>
      </w:r>
      <w:r>
        <w:t>C most likely began to increase at 2,445 Ma, subsequently returning to baseline values at 2,018 Ma. The most likely excursion peak occurs at 2,130 Ma, and it is very unlikely (5% probability) that peak</w:t>
      </w:r>
      <w:r>
        <w:t xml:space="preserve"> </w:t>
      </w:r>
      <w:r>
        <w:t>δ</w:t>
      </w:r>
      <w:r>
        <w:rPr>
          <w:vertAlign w:val="subscript"/>
        </w:rPr>
        <w:t>13</w:t>
      </w:r>
      <w:r>
        <w:t xml:space="preserve"> </w:t>
      </w:r>
      <w:r>
        <w:t>C values exceeded 9.1</w:t>
      </w:r>
      <w:r>
        <w:t xml:space="preserve"> </w:t>
      </w:r>
      <w:r>
        <w:t>‰</w:t>
      </w:r>
      <w:r>
        <w:t xml:space="preserve"> </w:t>
      </w:r>
      <w:r>
        <w:t>. Altogether, our results indicate the LJE has an earlier onset, longer duration, and lower magnitude than previously thought. The initial</w:t>
      </w:r>
      <w:r>
        <w:t xml:space="preserve"> </w:t>
      </w:r>
      <w:r>
        <w:t>δ</w:t>
      </w:r>
      <w:r>
        <w:rPr>
          <w:vertAlign w:val="subscript"/>
        </w:rPr>
        <w:t>13</w:t>
      </w:r>
      <w:r>
        <w:t xml:space="preserve"> </w:t>
      </w:r>
      <w:r>
        <w:t>C increase occurs before or contemporaneously with both the earliest rise of atmospheric O</w:t>
      </w:r>
      <w:r>
        <w:rPr>
          <w:vertAlign w:val="subscript"/>
        </w:rPr>
        <w:t>2</w:t>
      </w:r>
      <w:r>
        <w:t>and Paleoproterozoic “snowball” glaciations, hinting at a mechanistic link among the LJE, the GOE, and climate.</w:t>
      </w:r>
    </w:p>
    <w:p>
      <w:pPr>
        <w:spacing w:before="120" w:after="120"/>
      </w:pPr>
      <w:r>
        <w:rPr>
          <w:sz w:val="18"/>
        </w:rPr>
        <w:t>——————————————————————————————————————————————————————————————————————</w:t>
      </w:r>
    </w:p>
    <w:p>
      <w:pPr>
        <w:spacing w:before="160" w:after="40" w:line="240" w:lineRule="auto"/>
      </w:pPr>
      <w:r>
        <w:rPr>
          <w:b/>
        </w:rPr>
        <w:t xml:space="preserve">[382] </w:t>
      </w:r>
      <w:hyperlink r:id="rId691">
        <w:r>
          <w:rPr>
            <w:color w:val="1155CC"/>
            <w:u w:val="single"/>
          </w:rPr>
          <w:t>收入不足对面临社会心理逆境加剧的婴儿早期大脑发育产生影响:基于网络的办法</w:t>
        </w:r>
      </w:hyperlink>
    </w:p>
    <w:p>
      <w:pPr>
        <w:spacing w:before="0" w:after="80"/>
      </w:pPr>
      <w:r>
        <w:rPr>
          <w:i/>
          <w:sz w:val="20"/>
        </w:rPr>
        <w:t>EN: Income insufficiency impacts early brain development in infants facing increased psychosocial adversity: A network-based approach</w:t>
      </w:r>
    </w:p>
    <w:p>
      <w:pPr>
        <w:spacing w:before="0" w:after="120"/>
      </w:pPr>
      <w:r>
        <w:rPr>
          <w:b/>
        </w:rPr>
        <w:t xml:space="preserve">Source: </w:t>
      </w:r>
      <w:r>
        <w:t>Proceedings of the National Academy of Sciences: Keyword search for query</w:t>
      </w:r>
      <w:r>
        <w:t xml:space="preserve">    </w:t>
      </w:r>
      <w:r>
        <w:rPr>
          <w:b/>
        </w:rPr>
        <w:t xml:space="preserve">Pub date: </w:t>
      </w:r>
      <w:r>
        <w:t>2026-01-05 08:00:00+00:00</w:t>
      </w:r>
      <w:r>
        <w:t xml:space="preserve">    </w:t>
      </w:r>
      <w:r>
        <w:rPr>
          <w:b/>
        </w:rPr>
        <w:t xml:space="preserve">DOI: </w:t>
      </w:r>
      <w:hyperlink r:id="rId692">
        <w:r>
          <w:rPr>
            <w:color w:val="1155CC"/>
            <w:u w:val="single"/>
          </w:rPr>
          <w:t>10.1073/pnas.2513598123</w:t>
        </w:r>
      </w:hyperlink>
    </w:p>
    <w:p>
      <w:pPr>
        <w:spacing w:before="0" w:after="120"/>
      </w:pPr>
      <w:r>
        <w:rPr>
          <w:b/>
        </w:rPr>
        <w:t xml:space="preserve">Notes: </w:t>
      </w:r>
      <w:r>
        <w:t>abstract_source=crossref</w:t>
      </w:r>
    </w:p>
    <w:p>
      <w:pPr>
        <w:spacing w:before="0" w:after="80" w:lineRule="auto" w:line="276"/>
      </w:pPr>
      <w:r>
        <w:rPr>
          <w:b/>
        </w:rPr>
        <w:t xml:space="preserve">摘要（ZH）: </w:t>
      </w:r>
      <w:r>
        <w:t>早期的逆境与大脑变化有关,这些变化对发展、社会-情感功能和学术成就产生消极影响。逆境的多方面性质使孤立影响大脑发育和发展结果的具体因素的努力复杂化。在本研究中,我们利用家长调查数据以及从4-、9-和12-mo婴儿中收集的纵向脑电图(EEEG)数据,在一家大型的以医院为基础的城市初级保健诊所为主要低收入家庭服务(293名婴儿,667名EEGs)。我们的目标是利用一个网络框架,确定与婴儿大脑发育差异有关的具体社会经济和心理因素。我们发现,报告收入不足的母亲更像一个家庭(293名婴儿,667名EGs)。我们的目标是通过一个网络框架,查明与婴儿大脑发育差异有关的具体社会经济和心理因素。我们发现,报告收入不足的母亲更像一个家庭。</w:t>
      </w:r>
    </w:p>
    <w:p>
      <w:pPr>
        <w:spacing w:before="0" w:after="200" w:lineRule="auto" w:line="276"/>
      </w:pPr>
      <w:r>
        <w:rPr>
          <w:b/>
        </w:rPr>
        <w:t xml:space="preserve">Abstract (EN): </w:t>
      </w:r>
      <w:r>
        <w:t>Early adversity is associated with brain changes that negatively impact development, social-emotional functioning, and academic achievement. The multifaceted nature of adversity complicates efforts to isolate specific factors that affect brain development and developmental outcomes. In the present study, we leverage parent survey data and longitudinal electroencephalography (EEG) data collected from infants during 4-, 9-, and 12-mo well-child visits at a large hospital-based urban primary care clinic serving predominantly low-income families (293 infants, 667 EEGs). Using a network framework, we aimed to identify specific socioeconomic and psychological factors associated with differences in infant brain development. We find that mothers who report to be income insufficient were more likely to have lower educational attainment, report low-income, experience higher levels of stress, and encounter more adverse life events. Controlling for these variables, income insufficiency was specifically associated with delayed brain development in the first year of life; infants developing in a household where parents felt their income was inadequate to support the family’s needs exhibited slower rates of change in alpha peak frequency, alpha power, and beta power. Together, these findings provide a framework of understanding and visualizing how early adversity impacts neurodevelopment and provides evidence for the potential utility of maternal income sufficiency as an additional screening tool to accelerate identification of populations most vulnerable and in need for early intervention.</w:t>
      </w:r>
    </w:p>
    <w:p>
      <w:pPr>
        <w:spacing w:before="120" w:after="120"/>
      </w:pPr>
      <w:r>
        <w:rPr>
          <w:sz w:val="18"/>
        </w:rPr>
        <w:t>——————————————————————————————————————————————————————————————————————</w:t>
      </w:r>
    </w:p>
    <w:p>
      <w:pPr>
        <w:spacing w:before="160" w:after="40" w:line="240" w:lineRule="auto"/>
      </w:pPr>
      <w:r>
        <w:rPr>
          <w:b/>
        </w:rPr>
        <w:t xml:space="preserve">[383] </w:t>
      </w:r>
      <w:hyperlink r:id="rId693">
        <w:r>
          <w:rPr>
            <w:color w:val="1155CC"/>
            <w:u w:val="single"/>
          </w:rPr>
          <w:t>用于时间延迟成像性癫痫的</w:t>
        </w:r>
      </w:hyperlink>
    </w:p>
    <w:p>
      <w:pPr>
        <w:spacing w:before="0" w:after="80"/>
      </w:pPr>
      <w:r>
        <w:rPr>
          <w:i/>
          <w:sz w:val="20"/>
        </w:rPr>
        <w:t>EN: Cascade‐Amplified Ratiometric Fluorescent Probe for Time‐Locked Imaging Epilepsy</w:t>
      </w:r>
    </w:p>
    <w:p>
      <w:pPr>
        <w:spacing w:before="0" w:after="120"/>
      </w:pPr>
      <w:r>
        <w:rPr>
          <w:b/>
        </w:rPr>
        <w:t xml:space="preserve">Source: </w:t>
      </w:r>
      <w:r>
        <w:t>Wiley: Advanced Materials: Table of Contents</w:t>
      </w:r>
      <w:r>
        <w:t xml:space="preserve">    </w:t>
      </w:r>
      <w:r>
        <w:rPr>
          <w:b/>
        </w:rPr>
        <w:t xml:space="preserve">Pub date: </w:t>
      </w:r>
      <w:r>
        <w:t>2026-01-05 08:02:41+00:00</w:t>
      </w:r>
      <w:r>
        <w:t xml:space="preserve">    </w:t>
      </w:r>
      <w:r>
        <w:rPr>
          <w:b/>
        </w:rPr>
        <w:t xml:space="preserve">DOI: </w:t>
      </w:r>
      <w:hyperlink r:id="rId694">
        <w:r>
          <w:rPr>
            <w:color w:val="1155CC"/>
            <w:u w:val="single"/>
          </w:rPr>
          <w:t>10.1002/adma.202514336</w:t>
        </w:r>
      </w:hyperlink>
    </w:p>
    <w:p>
      <w:pPr>
        <w:spacing w:before="0" w:after="120"/>
      </w:pPr>
      <w:r>
        <w:rPr>
          <w:b/>
        </w:rPr>
        <w:t xml:space="preserve">Notes: </w:t>
      </w:r>
      <w:r>
        <w:t>abstract_source=crossref</w:t>
      </w:r>
    </w:p>
    <w:p>
      <w:pPr>
        <w:spacing w:before="0" w:after="80" w:lineRule="auto" w:line="276"/>
      </w:pPr>
      <w:r>
        <w:rPr>
          <w:b/>
        </w:rPr>
        <w:t xml:space="preserve">摘要（ZH）: </w:t>
      </w:r>
      <w:r>
        <w:t>ABSTACT 准确定位癫痫诱发网络(EN)对于抗药性癫痫手术干预至关重要,它影响到全球1,500多万人。然而,目前的方法有限,因为其特性低、敏感度不足、在捕捉瞬时性癫痫排出物方面存在挑战,导致外科成功率达到30%至70%。在这里,我们提出了一个使用一个工程成型荧光聚合探测器(CAR-FM)的级联强化比重测量成像战略,该战略同时针对癫痫网络内两个时间上独特的病理特征:因排出物和持续神经发炎引发的瞬时性酸性中毒波动。</w:t>
      </w:r>
    </w:p>
    <w:p>
      <w:pPr>
        <w:spacing w:before="0" w:after="200" w:lineRule="auto" w:line="276"/>
      </w:pPr>
      <w:r>
        <w:rPr>
          <w:b/>
        </w:rPr>
        <w:t xml:space="preserve">Abstract (EN): </w:t>
      </w:r>
      <w:r>
        <w:t>Accurate localization of the epileptogenic network (EN) is essential for surgical intervention in drug‐resistant epilepsy, which affects over 15 million people globally. However, current approaches are limited by their low specificity, insufficient sensitivity, and challenges in capturing transient epileptiform discharges, which results in surgical success rates ranging from 30% to 70%. Here, we present a cascade‐amplified ratiometric imaging strategy employing an engineered fluorescent polymeric probe (CAR‐FM) that tandemly targets two temporally distinct pathological features within the epileptogenic network: transient acidosis fluctuations triggered by discharges and sustained neuroinflammation. This dual‐cascade amplification enables CAR‐FM to achieve more than a &amp;gt;150‐fold enhancement in fluorescence ratio with markedly improved specificity and sensitivity. In addition, CAR‐FM demonstrates robust applicability across four epilepsy models, which enables time‐locked EN delineation for up to 100 h. In epileptic mouse models, CAR‐FM‐guided resection yields a 67% greater reduction in seizure burden compared to that of conventional electrocorticography. Given its ultrahigh imaging sensitivity and biocompatibility, CAR‐FM offers a clinically translatable strategy for intraoperatively refining EN visualization, which potentially expands the population eligible for epilepsy surgery.</w:t>
      </w:r>
    </w:p>
    <w:p>
      <w:pPr>
        <w:spacing w:before="120" w:after="120"/>
      </w:pPr>
      <w:r>
        <w:rPr>
          <w:sz w:val="18"/>
        </w:rPr>
        <w:t>——————————————————————————————————————————————————————————————————————</w:t>
      </w:r>
    </w:p>
    <w:p>
      <w:pPr>
        <w:spacing w:before="160" w:after="40" w:line="240" w:lineRule="auto"/>
      </w:pPr>
      <w:r>
        <w:rPr>
          <w:b/>
        </w:rPr>
        <w:t xml:space="preserve">[384] </w:t>
      </w:r>
      <w:hyperlink r:id="rId695">
        <w:r>
          <w:rPr>
            <w:color w:val="1155CC"/>
            <w:u w:val="single"/>
          </w:rPr>
          <w:t>智能触觉感知革命:人类- 海洋界面的灵活 FET- 基础触觉感应器的创新</w:t>
        </w:r>
      </w:hyperlink>
    </w:p>
    <w:p>
      <w:pPr>
        <w:spacing w:before="0" w:after="80"/>
      </w:pPr>
      <w:r>
        <w:rPr>
          <w:i/>
          <w:sz w:val="20"/>
        </w:rPr>
        <w:t>EN: Intelligent Tactile Perception Revolution: Innovations in Flexible FET‐Based Tactile Sensors for Next‐Gen Human–Machine Interfaces</w:t>
      </w:r>
    </w:p>
    <w:p>
      <w:pPr>
        <w:spacing w:before="0" w:after="120"/>
      </w:pPr>
      <w:r>
        <w:rPr>
          <w:b/>
        </w:rPr>
        <w:t xml:space="preserve">Source: </w:t>
      </w:r>
      <w:r>
        <w:t>Wiley: Advanced Materials: Table of Contents</w:t>
      </w:r>
      <w:r>
        <w:t xml:space="preserve">    </w:t>
      </w:r>
      <w:r>
        <w:rPr>
          <w:b/>
        </w:rPr>
        <w:t xml:space="preserve">Pub date: </w:t>
      </w:r>
      <w:r>
        <w:t>2026-01-05 08:03:26+00:00</w:t>
      </w:r>
      <w:r>
        <w:t xml:space="preserve">    </w:t>
      </w:r>
      <w:r>
        <w:rPr>
          <w:b/>
        </w:rPr>
        <w:t xml:space="preserve">DOI: </w:t>
      </w:r>
      <w:hyperlink r:id="rId696">
        <w:r>
          <w:rPr>
            <w:color w:val="1155CC"/>
            <w:u w:val="single"/>
          </w:rPr>
          <w:t>10.1002/adma.202510646</w:t>
        </w:r>
      </w:hyperlink>
    </w:p>
    <w:p>
      <w:pPr>
        <w:spacing w:before="0" w:after="120"/>
      </w:pPr>
      <w:r>
        <w:rPr>
          <w:b/>
        </w:rPr>
        <w:t xml:space="preserve">Notes: </w:t>
      </w:r>
      <w:r>
        <w:t>abstract_source=crossref</w:t>
      </w:r>
    </w:p>
    <w:p>
      <w:pPr>
        <w:spacing w:before="0" w:after="80" w:lineRule="auto" w:line="276"/>
      </w:pPr>
      <w:r>
        <w:rPr>
          <w:b/>
        </w:rPr>
        <w:t xml:space="preserve">摘要（ZH）: </w:t>
      </w:r>
      <w:r>
        <w:t>具有可控制的地面依赖承运人运输特点和独特信号放大信号的ABSTACT FeelET 效果晶晶体(FETs), 具有可控的地面依赖承运人运输特点和独特的信号放大功能,为开发高性性能人造传感器和智能遥感互动技术提供了一个极好的平台。 作为人形机器人的关键组成部分,对具有不同工作机制的FETQ基触动感应器进行了深入研究,并展示了智能人-机器互动的巨大潜力。 鉴于FET的有效承载调节能力极大地决定了触觉遥感系统的关键指标,本次审查系统地探索了各种设备、材料和处理创新如何产生不同感官特征,包括触动器。</w:t>
      </w:r>
    </w:p>
    <w:p>
      <w:pPr>
        <w:spacing w:before="0" w:after="200" w:lineRule="auto" w:line="276"/>
      </w:pPr>
      <w:r>
        <w:rPr>
          <w:b/>
        </w:rPr>
        <w:t xml:space="preserve">Abstract (EN): </w:t>
      </w:r>
      <w:r>
        <w:t>Field‐effect transistors (FETs) with controllable field‐dependent carrier transport characteristics and unique signal amplification have provided an excellent platform for developing high‐performance artificial sensors and intelligent‐sensing interaction technologies. As the critical component of humanoid robotics, FET‐based tactile sensors with diverse working mechanisms have been studied intensively and have demonstrated remarkable potential in intelligent human–machine interactions. Given that effective carrier‐modulation capabilities of FETs significantly determine critical metrics of tactile sensing systems, this review systematically explores how diverse device, material, and processing innovations create different sensing characteristics, including tactile sensitivity, stretchability, and resolution, that thus underlie diverse strategies to engineer sensing behaviors toward specific applications of FET tactile sensors. We also examine the various strategies, including material–structure co‐design, stretchability engineering, and high‐resolution fabrication technologies, to engineer sensing behaviors in FET tactile sensors toward specific applications spanning wearable electronic skins, tactile‐perceptive neuromorphic systems, and intelligent displays. Finally, we discuss the challenges regarding signal stability under dynamic deformation, response linearity, and saturation in high‐pressure regimes, and scalable high‐resolution integration, and outline promising solutions through the co‐optimization of intrinsically stretchable materials, innovative device architectures, and advanced multi‐scale fabrication processes.</w:t>
      </w:r>
    </w:p>
    <w:p>
      <w:pPr>
        <w:spacing w:before="120" w:after="120"/>
      </w:pPr>
      <w:r>
        <w:rPr>
          <w:sz w:val="18"/>
        </w:rPr>
        <w:t>——————————————————————————————————————————————————————————————————————</w:t>
      </w:r>
    </w:p>
    <w:p>
      <w:pPr>
        <w:spacing w:before="160" w:after="40" w:line="240" w:lineRule="auto"/>
      </w:pPr>
      <w:r>
        <w:rPr>
          <w:b/>
        </w:rPr>
        <w:t xml:space="preserve">[385] </w:t>
      </w:r>
      <w:hyperlink r:id="rId697">
        <w:r>
          <w:rPr>
            <w:color w:val="1155CC"/>
            <w:u w:val="single"/>
          </w:rPr>
          <w:t>Gluutathaione活性光感应器新建设促进顺序光声波和荧光成像和精密光动光力治疗</w:t>
        </w:r>
      </w:hyperlink>
    </w:p>
    <w:p>
      <w:pPr>
        <w:spacing w:before="0" w:after="80"/>
      </w:pPr>
      <w:r>
        <w:rPr>
          <w:i/>
          <w:sz w:val="20"/>
        </w:rPr>
        <w:t>EN: De Novo Construction of Glutathione Activatable Photosensitizers Boosts Sequential Photoacoustic and Fluorescence Imaging and Precise Photodynamic Therapy</w:t>
      </w:r>
    </w:p>
    <w:p>
      <w:pPr>
        <w:spacing w:before="0" w:after="120"/>
      </w:pPr>
      <w:r>
        <w:rPr>
          <w:b/>
        </w:rPr>
        <w:t xml:space="preserve">Source: </w:t>
      </w:r>
      <w:r>
        <w:t>Wiley: Advanced Materials: Table of Contents</w:t>
      </w:r>
      <w:r>
        <w:t xml:space="preserve">    </w:t>
      </w:r>
      <w:r>
        <w:rPr>
          <w:b/>
        </w:rPr>
        <w:t xml:space="preserve">Pub date: </w:t>
      </w:r>
      <w:r>
        <w:t>2026-01-05 08:09:14+00:00</w:t>
      </w:r>
      <w:r>
        <w:t xml:space="preserve">    </w:t>
      </w:r>
      <w:r>
        <w:rPr>
          <w:b/>
        </w:rPr>
        <w:t xml:space="preserve">DOI: </w:t>
      </w:r>
      <w:hyperlink r:id="rId698">
        <w:r>
          <w:rPr>
            <w:color w:val="1155CC"/>
            <w:u w:val="single"/>
          </w:rPr>
          <w:t>10.1002/adma.202509641</w:t>
        </w:r>
      </w:hyperlink>
    </w:p>
    <w:p>
      <w:pPr>
        <w:spacing w:before="0" w:after="120"/>
      </w:pPr>
      <w:r>
        <w:rPr>
          <w:b/>
        </w:rPr>
        <w:t xml:space="preserve">Notes: </w:t>
      </w:r>
      <w:r>
        <w:t>abstract_source=crossref</w:t>
      </w:r>
    </w:p>
    <w:p>
      <w:pPr>
        <w:spacing w:before="0" w:after="80" w:lineRule="auto" w:line="276"/>
      </w:pPr>
      <w:r>
        <w:rPr>
          <w:b/>
        </w:rPr>
        <w:t xml:space="preserve">摘要（ZH）: </w:t>
      </w:r>
      <w:r>
        <w:t>已经发现ABSTRACT活性光敏化器(APS)可提高光动疗法(PDT)的可控性;由2,4二硝基苯基磺酸盐化合物组牵头的核生殖性替代反应化学(S N Ar),通过光子诱发电子转移效应(PET),实现了PS从上向上转换;然而,对谷硫酮(GSH)的超敏感反应大大降低了诊断和PDT的精确度。在此,我们侧重于通过结构活性关系来优化基于phalocyan烷的APS(PcGx)的抑制效率和精确活化。改进的PcGx可以将GH水平从癌症细胞到正常细胞加以区分。此外,癌症细胞Membran 。</w:t>
      </w:r>
    </w:p>
    <w:p>
      <w:pPr>
        <w:spacing w:before="0" w:after="200" w:lineRule="auto" w:line="276"/>
      </w:pPr>
      <w:r>
        <w:rPr>
          <w:b/>
        </w:rPr>
        <w:t xml:space="preserve">Abstract (EN): </w:t>
      </w:r>
      <w:r>
        <w:t>Activatable photosensitizers (aPSs) have been found to ameliorate controllability of photodynamic therapy (PDT). The nucleophilic aromatic substitution reaction (S</w:t>
      </w:r>
      <w:r>
        <w:t xml:space="preserve"> </w:t>
      </w:r>
      <w:r>
        <w:t>N</w:t>
      </w:r>
      <w:r>
        <w:t xml:space="preserve"> </w:t>
      </w:r>
      <w:r>
        <w:t>Ar) chemistry, led by 2,4‐dinitrobenzenesulfonate group, realizes the switching of aPSs from off to on through the photo‐induced electron transfer (PeT) effect. However, the ultra‐sensitive reactivity to glutathione (GSH) greatly reduces the precision of diagnosis and PDT. Herein, we focused on the quenching efficiency and precise activation through structure‐activity relationships to optimize the phthalocyanine‐based aPSs (PcGx). The improved PcGx could distinguish GSH levels from cancer cells to normal cells. Moreover, cancer cell membrane targeting hyaluronic acid carrier is introduced to construct J aggregation‐driven nanoplatform (PcGx@HP). This nanoplatform could not only stabilize and enhance the J aggregation, but also obtain the sequential photoacoustic and fluorescence imaging in vivo. Subsequent studies verifies that PcGx@HP could inhibit tumor growth without off‐target toxicity in breast cancer xenograft model. This study provides a reliable method for the de novo construction and development of precise aPSs for sequential imaging and photodynamic therapy.</w:t>
      </w:r>
    </w:p>
    <w:p>
      <w:pPr>
        <w:spacing w:before="120" w:after="120"/>
      </w:pPr>
      <w:r>
        <w:rPr>
          <w:sz w:val="18"/>
        </w:rPr>
        <w:t>——————————————————————————————————————————————————————————————————————</w:t>
      </w:r>
    </w:p>
    <w:p>
      <w:pPr>
        <w:spacing w:before="160" w:after="40" w:line="240" w:lineRule="auto"/>
      </w:pPr>
      <w:r>
        <w:rPr>
          <w:b/>
        </w:rPr>
        <w:t xml:space="preserve">[386] </w:t>
      </w:r>
      <w:hyperlink r:id="rId699">
        <w:r>
          <w:rPr>
            <w:color w:val="1155CC"/>
            <w:u w:val="single"/>
          </w:rPr>
          <w:t>外来量子材料中散装光伏效应的最新进展:进展与挑战</w:t>
        </w:r>
      </w:hyperlink>
    </w:p>
    <w:p>
      <w:pPr>
        <w:spacing w:before="0" w:after="80"/>
      </w:pPr>
      <w:r>
        <w:rPr>
          <w:i/>
          <w:sz w:val="20"/>
        </w:rPr>
        <w:t>EN: Recent Advances of Bulk Photovoltaic Effect in Exotic Quantum Materials: Progress and Challenges</w:t>
      </w:r>
    </w:p>
    <w:p>
      <w:pPr>
        <w:spacing w:before="0" w:after="120"/>
      </w:pPr>
      <w:r>
        <w:rPr>
          <w:b/>
        </w:rPr>
        <w:t xml:space="preserve">Source: </w:t>
      </w:r>
      <w:r>
        <w:t>Wiley: Advanced Materials: Table of Contents</w:t>
      </w:r>
      <w:r>
        <w:t xml:space="preserve">    </w:t>
      </w:r>
      <w:r>
        <w:rPr>
          <w:b/>
        </w:rPr>
        <w:t xml:space="preserve">Pub date: </w:t>
      </w:r>
      <w:r>
        <w:t>2026-01-05 08:09:15+00:00</w:t>
      </w:r>
      <w:r>
        <w:t xml:space="preserve">    </w:t>
      </w:r>
      <w:r>
        <w:rPr>
          <w:b/>
        </w:rPr>
        <w:t xml:space="preserve">DOI: </w:t>
      </w:r>
      <w:hyperlink r:id="rId700">
        <w:r>
          <w:rPr>
            <w:color w:val="1155CC"/>
            <w:u w:val="single"/>
          </w:rPr>
          <w:t>10.1002/adma.202517783</w:t>
        </w:r>
      </w:hyperlink>
    </w:p>
    <w:p>
      <w:pPr>
        <w:spacing w:before="0" w:after="120"/>
      </w:pPr>
      <w:r>
        <w:rPr>
          <w:b/>
        </w:rPr>
        <w:t xml:space="preserve">Notes: </w:t>
      </w:r>
      <w:r>
        <w:t>abstract_source=crossref</w:t>
      </w:r>
    </w:p>
    <w:p>
      <w:pPr>
        <w:spacing w:before="0" w:after="80" w:lineRule="auto" w:line="276"/>
      </w:pPr>
      <w:r>
        <w:rPr>
          <w:b/>
        </w:rPr>
        <w:t xml:space="preserve">摘要（ZH）: </w:t>
      </w:r>
      <w:r>
        <w:t>散装光伏(BPV)效应是一种二级非线性非光学过程,它将光场转换成直接电流,并吸引了对高效电源转换应用的巨大兴趣。基于单一电源连接点的传统光子代代人通常受Shockleyueisser限制的约束,需要妥善控制的原子结构和波段对齐。BPV效应可以在单一材料中产生,而无需复杂的隔热制造。产生的开路电压甚至高于主机材料的带宽,而能源转换效率可以克服Shockleyueisser的限制。在这里,我们审查BPV ge。</w:t>
      </w:r>
    </w:p>
    <w:p>
      <w:pPr>
        <w:spacing w:before="0" w:after="200" w:lineRule="auto" w:line="276"/>
      </w:pPr>
      <w:r>
        <w:rPr>
          <w:b/>
        </w:rPr>
        <w:t xml:space="preserve">Abstract (EN): </w:t>
      </w:r>
      <w:r>
        <w:t>Bulk photovoltaic (BPV) effect is a second‐order nonlinear optical process that converts a light field into direct electric current and has attracted tremendous interest for efficient power conversion applications. The conventional photocurrent generations based on a single</w:t>
      </w:r>
      <w:r>
        <w:t xml:space="preserve"> </w:t>
      </w:r>
      <w:r>
        <w:t>p‐n</w:t>
      </w:r>
      <w:r>
        <w:t xml:space="preserve"> </w:t>
      </w:r>
      <w:r>
        <w:t>junctions are generally governed by the Shockley–Queisser limit and require well‐controlled atomic structure and band alignment. The BPV effect could occur in a single material without complicated heterojunction fabrication. The generated open‐circuit electric voltage can be even higher than the bandgap of the hosting material, and the energy conversion efficiency could overcome the Shockley–Queisser limit. Here, we review BPV generation mechanisms, including the intrinsic shift current and extrinsic ballistic current, and their coupling with various (electric, magnetic, and topological) order parameters. As for the material platforms, we review recent experimental and theoretical advances on BPV generation in quantum materials, including ferroelectric and piezoelectric materials, magnetic materials, and band topological materials. Then, we summarize how BPV magnitude can be enhanced by reducing the bandgap of semiconductors and introducing band inversion or crossing between valence and conduction band edges in topological systems. Finally, we discuss the challenges for further theoretical and experimental understanding and their practical applications.</w:t>
      </w:r>
    </w:p>
    <w:p>
      <w:pPr>
        <w:spacing w:before="120" w:after="120"/>
      </w:pPr>
      <w:r>
        <w:rPr>
          <w:sz w:val="18"/>
        </w:rPr>
        <w:t>——————————————————————————————————————————————————————————————————————</w:t>
      </w:r>
    </w:p>
    <w:p>
      <w:pPr>
        <w:spacing w:before="160" w:after="40" w:line="240" w:lineRule="auto"/>
      </w:pPr>
      <w:r>
        <w:rPr>
          <w:b/>
        </w:rPr>
        <w:t xml:space="preserve">[387] </w:t>
      </w:r>
      <w:hyperlink r:id="rId701">
        <w:r>
          <w:rPr>
            <w:color w:val="1155CC"/>
            <w:u w:val="single"/>
          </w:rPr>
          <w:t>[ASAP] 用于在Prophyne/propyle分离中选择性抓获Prophyne(Propyne)中选择性捕获Propyne(Propyle 分离)</w:t>
        </w:r>
      </w:hyperlink>
    </w:p>
    <w:p>
      <w:pPr>
        <w:spacing w:before="0" w:after="80"/>
      </w:pPr>
      <w:r>
        <w:rPr>
          <w:i/>
          <w:sz w:val="20"/>
        </w:rPr>
        <w:t>EN: [ASAP] Phosphonium Ionic Imine Cage with an Uncommon Tri24Di6 Topology for Selective Capture of Propyne in Propyne/Propylene Separation</w:t>
      </w:r>
    </w:p>
    <w:p>
      <w:pPr>
        <w:spacing w:before="0" w:after="120"/>
      </w:pPr>
      <w:r>
        <w:rPr>
          <w:b/>
        </w:rPr>
        <w:t xml:space="preserve">Source: </w:t>
      </w:r>
      <w:r>
        <w:t>Journal of the American Chemical Society: Latest Articles (ACS Publications)</w:t>
      </w:r>
      <w:r>
        <w:t xml:space="preserve">    </w:t>
      </w:r>
      <w:r>
        <w:rPr>
          <w:b/>
        </w:rPr>
        <w:t xml:space="preserve">Pub date: </w:t>
      </w:r>
      <w:r>
        <w:t>2026-01-05 10:30:20+00:00</w:t>
      </w:r>
      <w:r>
        <w:t xml:space="preserve">    </w:t>
      </w:r>
      <w:r>
        <w:rPr>
          <w:b/>
        </w:rPr>
        <w:t xml:space="preserve">DOI: </w:t>
      </w:r>
      <w:hyperlink r:id="rId702">
        <w:r>
          <w:rPr>
            <w:color w:val="1155CC"/>
            <w:u w:val="single"/>
          </w:rPr>
          <w:t>10.1021/jacs.5c15864</w:t>
        </w:r>
      </w:hyperlink>
    </w:p>
    <w:p>
      <w:pPr>
        <w:spacing w:before="0" w:after="120"/>
      </w:pPr>
      <w:r>
        <w:rPr>
          <w:b/>
        </w:rPr>
        <w:t xml:space="preserve">Notes: </w:t>
      </w:r>
      <w:r>
        <w:t>abstract_source=pubmed</w:t>
      </w:r>
    </w:p>
    <w:p>
      <w:pPr>
        <w:spacing w:before="0" w:after="80" w:lineRule="auto" w:line="276"/>
      </w:pPr>
      <w:r>
        <w:rPr>
          <w:b/>
        </w:rPr>
        <w:t xml:space="preserve">摘要（ZH）: </w:t>
      </w:r>
      <w:r>
        <w:t>将磷元素纳入多孔有机笼(多孔有机笼(多孔有机笼)中,使磷原子的丰富化学化学化学化成为POC系统,并能够进行一系列相关应用;然而,含磷的POC仍然未得到充分勘探;在这项工作中,通过将磷组结合,成功建造了四硝基磷离子离子离子笼;在进行矿化凝聚反应之前,使用了三苯基磷酸(PPH3)-甲苯乙烯前体的甲基化前和阴离子交换;发现PH3-甲酰胺前体的抗衡在指定由此生成的笼产品表层学方面发挥着关键作用;虽然含碘化(I)氮离子的前体产生了溶解[2+3]笼子P-cage-I、二(三氟乙烷)硫化物(NTf2-)和六氟磷酸盐。</w:t>
      </w:r>
    </w:p>
    <w:p>
      <w:pPr>
        <w:spacing w:before="0" w:after="200" w:lineRule="auto" w:line="276"/>
      </w:pPr>
      <w:r>
        <w:rPr>
          <w:b/>
        </w:rPr>
        <w:t xml:space="preserve">Abstract (EN): </w:t>
      </w:r>
      <w:r>
        <w:t>The incorporation of phosphine units into porous organic cages (POCs) imparts the rich chemistry of phosphorus atoms to the POC system and enables a range of relevant applications. However, phosphine-containing POCs remain underexplored. In this work, quaternary phosphonium ionic cages were successfully constructed via the integration of phosphine groups, where premethylation and anion exchange of the triphenylphosphine (PPh3)-aldehyde precursor were employed before the imine condensation reaction. The counterions of the PPh3-aldehyde precursor were found to play a crucial role in dictating the topology of the resulting cage product. While the precursor bearing an iodide (I-) anion yielded a soluble [2 + 3] cage P-cage-I, the bis(trifluoromethane)sulfonimide (NTf2-) and hexafluorophosphate (PF6-) analogues (P-cage-NTf2 and P-cage-PF6) formed [4 + 6] assemblies with the rare Tri24Di6 (nomenclature for porous organic cage topology classification). Benefiting from the synergistic effects of a favorable topology, flexible windows, and guest-affinitive anions in the Tri24Di6 cage structure, P-cage-PF6 demonstrated excellent propyne/propylene separation performance, as confirmed by breakthrough experiments.</w:t>
      </w:r>
    </w:p>
    <w:p>
      <w:pPr>
        <w:spacing w:before="120" w:after="120"/>
      </w:pPr>
      <w:r>
        <w:rPr>
          <w:sz w:val="18"/>
        </w:rPr>
        <w:t>——————————————————————————————————————————————————————————————————————</w:t>
      </w:r>
    </w:p>
    <w:p>
      <w:pPr>
        <w:spacing w:before="160" w:after="40" w:line="240" w:lineRule="auto"/>
      </w:pPr>
      <w:r>
        <w:rPr>
          <w:b/>
        </w:rPr>
        <w:t xml:space="preserve">[388] </w:t>
      </w:r>
      <w:hyperlink r:id="rId703">
        <w:r>
          <w:rPr>
            <w:color w:val="1155CC"/>
            <w:u w:val="single"/>
          </w:rPr>
          <w:t>[ASAP]在通过推定F(IV)-Oxo中间体的第二协调球氢系结所促进的单一铁矿点减少氮氧化物</w:t>
        </w:r>
      </w:hyperlink>
    </w:p>
    <w:p>
      <w:pPr>
        <w:spacing w:before="0" w:after="80"/>
      </w:pPr>
      <w:r>
        <w:rPr>
          <w:i/>
          <w:sz w:val="20"/>
        </w:rPr>
        <w:t>EN: [ASAP] Nitric Oxide Reduction at a Single Iron Site Facilitated by Second Coordination Sphere Hydrogen Bonding via a Putative Fe(IV)-Oxo Intermediate</w:t>
      </w:r>
    </w:p>
    <w:p>
      <w:pPr>
        <w:spacing w:before="0" w:after="120"/>
      </w:pPr>
      <w:r>
        <w:rPr>
          <w:b/>
        </w:rPr>
        <w:t xml:space="preserve">Source: </w:t>
      </w:r>
      <w:r>
        <w:t>Journal of the American Chemical Society: Latest Articles (ACS Publications)</w:t>
      </w:r>
      <w:r>
        <w:t xml:space="preserve">    </w:t>
      </w:r>
      <w:r>
        <w:rPr>
          <w:b/>
        </w:rPr>
        <w:t xml:space="preserve">Pub date: </w:t>
      </w:r>
      <w:r>
        <w:t>2026-01-05 10:43:31+00:00</w:t>
      </w:r>
      <w:r>
        <w:t xml:space="preserve">    </w:t>
      </w:r>
      <w:r>
        <w:rPr>
          <w:b/>
        </w:rPr>
        <w:t xml:space="preserve">DOI: </w:t>
      </w:r>
      <w:hyperlink r:id="rId704">
        <w:r>
          <w:rPr>
            <w:color w:val="1155CC"/>
            <w:u w:val="single"/>
          </w:rPr>
          <w:t>10.1021/jacs.5c17933</w:t>
        </w:r>
      </w:hyperlink>
    </w:p>
    <w:p>
      <w:pPr>
        <w:spacing w:before="0" w:after="120"/>
      </w:pPr>
      <w:r>
        <w:rPr>
          <w:b/>
        </w:rPr>
        <w:t xml:space="preserve">Notes: </w:t>
      </w:r>
      <w:r>
        <w:t>abstract_source=pubmed</w:t>
      </w:r>
    </w:p>
    <w:p>
      <w:pPr>
        <w:spacing w:before="0" w:after="80" w:lineRule="auto" w:line="276"/>
      </w:pPr>
      <w:r>
        <w:rPr>
          <w:b/>
        </w:rPr>
        <w:t xml:space="preserve">摘要（ZH）: </w:t>
      </w:r>
      <w:r>
        <w:t>金属酶使用第二个协调领域(SCS)氢键(H-bond)捐献者和接受者,通过降低化学转化的活动能量或稳定活性中间体,促进小分子的激活。Borovik和同事研究了SCS组在明确界定的单一核模型复合体中的二氧和卤素活化中的作用。在这里,我们使用同样的复合体K[FeII(H3L)]来研究一氧化氮(NO)活化的H-bonding的作用。在溶解中,K[FeII(H3L)]能够直接减少一氟氧化氮(N2O)在一个单一的Fe中心。最初形成一个hs-{FeNO}7中间体,然后以第二个NO分子快速攻击形成N2O和一个假FeIVO中间体,然后进行多个脱交点。</w:t>
      </w:r>
    </w:p>
    <w:p>
      <w:pPr>
        <w:spacing w:before="0" w:after="200" w:lineRule="auto" w:line="276"/>
      </w:pPr>
      <w:r>
        <w:rPr>
          <w:b/>
        </w:rPr>
        <w:t xml:space="preserve">Abstract (EN): </w:t>
      </w:r>
      <w:r>
        <w:t>Metalloenzymes use second coordination sphere (SCS) hydrogen bond (H-bond) donors and acceptors to facilitate small molecule activation by lowering the activation energies for chemical transformations or by stabilizing reactive intermediates. Borovik and co-workers studied the role of SCS groups in dioxygen and chalcogen activation in well-defined mononuclear model complexes. Here, we use the same complex, K[FeII(H3L)], to study the role of H-bonding for nitric oxide (NO) activation. Remarkably, in solution, K[FeII(H3L)] is capable of direct NO reduction to nitrous oxide (N2O) at a single Fe center. Initial formation of a hs-{FeNO}7 intermediate is followed by fast attack by a second NO molecule to form N2O and a putative FeIV═O intermediate, which then undergoes multiple decomposition pathways, forming an antiferromagnetically coupled St = 1/2 FeIII/FeIV dimer and a diamagnetic diferric species as confirmed by Mössbauer and EPR spectroscopy. Notably, in the absence of the SCS H-bond donors, only the formation of a stable hs-{FeNO}7 species is observed. Intermediates of NO reduction were observed by reacting K[FeII(H3L)] in the solid state with NO, which leads to the formation of hs-{FeNO}7 species, N2O, and the FeIV═O intermediate, as confirmed by IR spectroscopy. To the best of our knowledge, direct reduction of NO at a single Fe center has not been reported. Furthermore, the ability to form a high-valent metal-oxo species directly from NO is unprecedented for nonheme iron chemistry. This novel reactivity has significant implications in biology and for catalytic systems for NOx reduction.</w:t>
      </w:r>
    </w:p>
    <w:p>
      <w:pPr>
        <w:spacing w:before="120" w:after="120"/>
      </w:pPr>
      <w:r>
        <w:rPr>
          <w:sz w:val="18"/>
        </w:rPr>
        <w:t>——————————————————————————————————————————————————————————————————————</w:t>
      </w:r>
    </w:p>
    <w:p>
      <w:pPr>
        <w:spacing w:before="160" w:after="40" w:line="240" w:lineRule="auto"/>
      </w:pPr>
      <w:r>
        <w:rPr>
          <w:b/>
        </w:rPr>
        <w:t xml:space="preserve">[389] </w:t>
      </w:r>
      <w:hyperlink r:id="rId705">
        <w:r>
          <w:rPr>
            <w:color w:val="1155CC"/>
            <w:u w:val="single"/>
          </w:rPr>
          <w:t>[ASAP]建模单晶电池材料:从基本了解到绩效评价</w:t>
        </w:r>
      </w:hyperlink>
    </w:p>
    <w:p>
      <w:pPr>
        <w:spacing w:before="0" w:after="80"/>
      </w:pPr>
      <w:r>
        <w:rPr>
          <w:i/>
          <w:sz w:val="20"/>
        </w:rPr>
        <w:t>EN: [ASAP] Modeling Single-Crystal Battery Materials: From Fundamental Understanding to Performance Evaluation</w:t>
      </w:r>
    </w:p>
    <w:p>
      <w:pPr>
        <w:spacing w:before="0" w:after="120"/>
      </w:pPr>
      <w:r>
        <w:rPr>
          <w:b/>
        </w:rPr>
        <w:t xml:space="preserve">Source: </w:t>
      </w:r>
      <w:r>
        <w:t>Chemical Reviews: Latest Articles (ACS Publications)</w:t>
      </w:r>
      <w:r>
        <w:t xml:space="preserve">    </w:t>
      </w:r>
      <w:r>
        <w:rPr>
          <w:b/>
        </w:rPr>
        <w:t xml:space="preserve">Pub date: </w:t>
      </w:r>
      <w:r>
        <w:t>2026-01-05 10:56:02+00:00</w:t>
      </w:r>
      <w:r>
        <w:t xml:space="preserve">    </w:t>
      </w:r>
      <w:r>
        <w:rPr>
          <w:b/>
        </w:rPr>
        <w:t xml:space="preserve">DOI: </w:t>
      </w:r>
      <w:hyperlink r:id="rId706">
        <w:r>
          <w:rPr>
            <w:color w:val="1155CC"/>
            <w:u w:val="single"/>
          </w:rPr>
          <w:t>10.1021/acs.chemrev.5c00360</w:t>
        </w:r>
      </w:hyperlink>
    </w:p>
    <w:p>
      <w:pPr>
        <w:spacing w:before="0" w:after="120"/>
      </w:pPr>
      <w:r>
        <w:rPr>
          <w:b/>
        </w:rPr>
        <w:t xml:space="preserve">Notes: </w:t>
      </w:r>
      <w:r>
        <w:t>abstract_source=pubmed</w:t>
      </w:r>
    </w:p>
    <w:p>
      <w:pPr>
        <w:spacing w:before="0" w:after="80" w:lineRule="auto" w:line="276"/>
      </w:pPr>
      <w:r>
        <w:rPr>
          <w:b/>
        </w:rPr>
        <w:t xml:space="preserve">摘要（ZH）: </w:t>
      </w:r>
      <w:r>
        <w:t>可再充电电池的性能受到其关键材料组成部分的物理化学特性和微结构特征的根本性影响,最近的实验进展突出了单晶晶体(SC)形态的潜力,以解决多晶晶体(PC)电极和固态电解层的内在局限性,提供金枪鱼分量运输动力学和改善细胞循环性能。本审查审查了如何利用从原子学和中间尺度到连续层次方法(包括机器学习方法)的最先进的计算模型,来调查决定SC电池材料电化学行为的关键因素。我们探讨了预测模型如何解释处理系统。</w:t>
      </w:r>
    </w:p>
    <w:p>
      <w:pPr>
        <w:spacing w:before="0" w:after="200" w:lineRule="auto" w:line="276"/>
      </w:pPr>
      <w:r>
        <w:rPr>
          <w:b/>
        </w:rPr>
        <w:t xml:space="preserve">Abstract (EN): </w:t>
      </w:r>
      <w:r>
        <w:t>The performance of rechargeable batteries is fundamentally influenced by the physicochemical properties and microstructural features of their key material components. Recent experimental advancements have highlighted the potential of single-crystal (SC) morphologies to address inherent limitations of polycrystalline (PC) electrodes and solid-state electrolytes, offering tunable charge transport kinetics and improved cell cycling performance. This review examines how state-of-the-art computational modeling, from atomistic and mesoscale to continuum-level approaches, including machine learning methodologies, has been utilized to investigate the critical factors governing the electrochemical behavior of SC battery materials. We explore how predictive modeling can elucidate the processing-structure-property-performance relationships of SC cathodes, anodes, and solid-state electrolytes, with a focus on unique SC characteristics such as crystallographic anisotropy, size effects, and facet-dependent properties. Additionally, we identify limitations in commonly used modeling techniques and discuss strategies to address these challenges. By integrating high-fidelity simulations with experimental insights, this review aims to outline a clear path for the rational design and optimization of SC battery components, paving the way for accelerated advancements in energy storage technologies.</w:t>
      </w:r>
    </w:p>
    <w:p>
      <w:pPr>
        <w:spacing w:before="120" w:after="120"/>
      </w:pPr>
      <w:r>
        <w:rPr>
          <w:sz w:val="18"/>
        </w:rPr>
        <w:t>——————————————————————————————————————————————————————————————————————</w:t>
      </w:r>
    </w:p>
    <w:p>
      <w:pPr>
        <w:spacing w:before="160" w:after="40" w:line="240" w:lineRule="auto"/>
      </w:pPr>
      <w:r>
        <w:rPr>
          <w:b/>
        </w:rPr>
        <w:t xml:space="preserve">[390] </w:t>
      </w:r>
      <w:hyperlink r:id="rId707">
        <w:r>
          <w:rPr>
            <w:color w:val="1155CC"/>
            <w:u w:val="single"/>
          </w:rPr>
          <w:t>[阿原 朝向三波电子色化:从节能战略到智能系统整合</w:t>
        </w:r>
      </w:hyperlink>
    </w:p>
    <w:p>
      <w:pPr>
        <w:spacing w:before="0" w:after="80"/>
      </w:pPr>
      <w:r>
        <w:rPr>
          <w:i/>
          <w:sz w:val="20"/>
        </w:rPr>
        <w:t>EN: [ASAP] Toward Triband Electrochromism: From Energy-Saving Strategies to Smart System Integration</w:t>
      </w:r>
    </w:p>
    <w:p>
      <w:pPr>
        <w:spacing w:before="0" w:after="120"/>
      </w:pPr>
      <w:r>
        <w:rPr>
          <w:b/>
        </w:rPr>
        <w:t xml:space="preserve">Source: </w:t>
      </w:r>
      <w:r>
        <w:t>ACS Energy Letters: Latest Articles (ACS Publications)</w:t>
      </w:r>
      <w:r>
        <w:t xml:space="preserve">    </w:t>
      </w:r>
      <w:r>
        <w:rPr>
          <w:b/>
        </w:rPr>
        <w:t xml:space="preserve">Pub date: </w:t>
      </w:r>
      <w:r>
        <w:t>2026-01-05 11:13:38+00:00</w:t>
      </w:r>
      <w:r>
        <w:t xml:space="preserve">    </w:t>
      </w:r>
      <w:r>
        <w:rPr>
          <w:b/>
        </w:rPr>
        <w:t xml:space="preserve">DOI: </w:t>
      </w:r>
      <w:hyperlink r:id="rId708">
        <w:r>
          <w:rPr>
            <w:color w:val="1155CC"/>
            <w:u w:val="single"/>
          </w:rPr>
          <w:t>10.1021/acsenergylett.5c03458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[391] </w:t>
      </w:r>
      <w:hyperlink r:id="rId709">
        <w:r>
          <w:rPr>
            <w:color w:val="1155CC"/>
            <w:u w:val="single"/>
          </w:rPr>
          <w:t>[ASAP]二环 [2.1.1]六氧烷及其2-氧化和2-Aza衍生物通过碳中间体的对称C-H二环[2.1.1]的功能化[2.1.1]</w:t>
        </w:r>
      </w:hyperlink>
    </w:p>
    <w:p>
      <w:pPr>
        <w:spacing w:before="0" w:after="80"/>
      </w:pPr>
      <w:r>
        <w:rPr>
          <w:i/>
          <w:sz w:val="20"/>
        </w:rPr>
        <w:t>EN: [ASAP] Asymmetric C–H Functionalization of Bicyclo[2.1.1]hexanes and Their 2-Oxa- and 2-Aza Derivatives via Rhodium Carbene Intermediates</w:t>
      </w:r>
    </w:p>
    <w:p>
      <w:pPr>
        <w:spacing w:before="0" w:after="120"/>
      </w:pPr>
      <w:r>
        <w:rPr>
          <w:b/>
        </w:rPr>
        <w:t xml:space="preserve">Source: </w:t>
      </w:r>
      <w:r>
        <w:t>Journal of the American Chemical Society: Latest Articles (ACS Publications)</w:t>
      </w:r>
      <w:r>
        <w:t xml:space="preserve">    </w:t>
      </w:r>
      <w:r>
        <w:rPr>
          <w:b/>
        </w:rPr>
        <w:t xml:space="preserve">Pub date: </w:t>
      </w:r>
      <w:r>
        <w:t>2026-01-05 12:09:18+00:00</w:t>
      </w:r>
      <w:r>
        <w:t xml:space="preserve">    </w:t>
      </w:r>
      <w:r>
        <w:rPr>
          <w:b/>
        </w:rPr>
        <w:t xml:space="preserve">DOI: </w:t>
      </w:r>
      <w:hyperlink r:id="rId710">
        <w:r>
          <w:rPr>
            <w:color w:val="1155CC"/>
            <w:u w:val="single"/>
          </w:rPr>
          <w:t>10.1021/jacs.5c19070</w:t>
        </w:r>
      </w:hyperlink>
    </w:p>
    <w:p>
      <w:pPr>
        <w:spacing w:before="0" w:after="120"/>
      </w:pPr>
      <w:r>
        <w:rPr>
          <w:b/>
        </w:rPr>
        <w:t xml:space="preserve">Notes: </w:t>
      </w:r>
      <w:r>
        <w:t>abstract_source=pubmed</w:t>
      </w:r>
    </w:p>
    <w:p>
      <w:pPr>
        <w:spacing w:before="0" w:after="80" w:lineRule="auto" w:line="276"/>
      </w:pPr>
      <w:r>
        <w:rPr>
          <w:b/>
        </w:rPr>
        <w:t xml:space="preserve">摘要（ZH）: </w:t>
      </w:r>
      <w:r>
        <w:t>近些年来,Bicylo [2.1.1.1]Hexanes作为苯的生物分子引起了相当大的兴趣。在本篇文章中,C-H功能化方法被描述为一种催化双环[2.1.1.1]Hexanes的C-H功能化方法。该方法依赖于由捐献者/接受者以高度分解选择性和对等选择性的方式插入dirhodium-催化的C-H卡比恩斯。通过适当选择子体,反应也可以是高选址。双环[2.1.1]hexane是一种难以通过碳中间体实现C-H功能化的系统,因为它是一个紧张的分子,使C-H债券比未受过训练的系统更强大。在这一转变中运行良好的唯一催化剂是新开发的D4对称催化剂,Rh2(S-megaBNP)4, 包含这种催化剂。</w:t>
      </w:r>
    </w:p>
    <w:p>
      <w:pPr>
        <w:spacing w:before="0" w:after="200" w:lineRule="auto" w:line="276"/>
      </w:pPr>
      <w:r>
        <w:rPr>
          <w:b/>
        </w:rPr>
        <w:t xml:space="preserve">Abstract (EN): </w:t>
      </w:r>
      <w:r>
        <w:t>Bicyclo[2.1.1]hexanes have generated considerable interest in recent years as bioisosteres of benzene. In this article, a C-H functionalization approach is described to derivatize the bicyclo[2.1.1]hexanes. The approach relies on dirhodium-catalyzed C-H insertion by donor/acceptor carbenes, which proceeds in a highly diastereoselective and enantioselective manner. By the appropriate choice of substrates, the reaction can also be highly site-selective. The bicyclo[2.1.1]hexane is a difficult system for C-H functionalization via carbene intermediates because it is a strained molecule, which causes the C-H bonds to be stronger than in an unstrained system. The only catalyst that performed well in this transformation is the newly developed D4 symmetric catalyst, Rh2(S-megaBNP)4, which contains four (4,4'-dichloro-6,6'-di(3,5-di-tert-butyl)phenyl)binaphthyl phosphate ligands. Computational studies revealed that the donor-acceptor carbene binds in a defined cleft within the bowl-shape of the dirhodium catalyst. Due to the high symmetry of the catalyst, only two orientations of the carbene are possible, and the most stable one has an open face for attack by the substrate. The substrate also needs to approach through a defined cleft causing the reaction to proceed with high levels of diastereoselectivity and enantioselectivity. These studies represent a further example of how the dirhodium catalysts can display many of the characteristics typically associated with enzymes with well-defined secondary interactions between the wall of the catalyst and the approaching substrate controlling the stereochemical outcome.</w:t>
      </w:r>
    </w:p>
    <w:p>
      <w:pPr>
        <w:spacing w:before="120" w:after="120"/>
      </w:pPr>
      <w:r>
        <w:rPr>
          <w:sz w:val="18"/>
        </w:rPr>
        <w:t>——————————————————————————————————————————————————————————————————————</w:t>
      </w:r>
    </w:p>
    <w:p>
      <w:pPr>
        <w:spacing w:before="160" w:after="40" w:line="240" w:lineRule="auto"/>
      </w:pPr>
      <w:r>
        <w:rPr>
          <w:b/>
        </w:rPr>
        <w:t xml:space="preserve">[392] </w:t>
      </w:r>
      <w:hyperlink r:id="rId711">
        <w:r>
          <w:rPr>
            <w:color w:val="1155CC"/>
            <w:u w:val="single"/>
          </w:rPr>
          <w:t>[ASAP] 丙烯酯相互作用促进氮氧化物(NO)通过2-亚甲草胺的NO2Roaming机制释放</w:t>
        </w:r>
      </w:hyperlink>
    </w:p>
    <w:p>
      <w:pPr>
        <w:spacing w:before="0" w:after="80"/>
      </w:pPr>
      <w:r>
        <w:rPr>
          <w:i/>
          <w:sz w:val="20"/>
        </w:rPr>
        <w:t>EN: [ASAP] Pnictogen Interaction Promotes Nitric Oxide (NO) Release via the NO2 Roaming Mechanism in 2-Nitropyridine</w:t>
      </w:r>
    </w:p>
    <w:p>
      <w:pPr>
        <w:spacing w:before="0" w:after="120"/>
      </w:pPr>
      <w:r>
        <w:rPr>
          <w:b/>
        </w:rPr>
        <w:t xml:space="preserve">Source: </w:t>
      </w:r>
      <w:r>
        <w:t>Journal of the American Chemical Society: Latest Articles (ACS Publications)</w:t>
      </w:r>
      <w:r>
        <w:t xml:space="preserve">    </w:t>
      </w:r>
      <w:r>
        <w:rPr>
          <w:b/>
        </w:rPr>
        <w:t xml:space="preserve">Pub date: </w:t>
      </w:r>
      <w:r>
        <w:t>2026-01-05 13:11:42+00:00</w:t>
      </w:r>
      <w:r>
        <w:t xml:space="preserve">    </w:t>
      </w:r>
      <w:r>
        <w:rPr>
          <w:b/>
        </w:rPr>
        <w:t xml:space="preserve">DOI: </w:t>
      </w:r>
      <w:hyperlink r:id="rId712">
        <w:r>
          <w:rPr>
            <w:color w:val="1155CC"/>
            <w:u w:val="single"/>
          </w:rPr>
          <w:t>10.1021/jacs.5c20000</w:t>
        </w:r>
      </w:hyperlink>
    </w:p>
    <w:p>
      <w:pPr>
        <w:spacing w:before="0" w:after="120"/>
      </w:pPr>
      <w:r>
        <w:rPr>
          <w:b/>
        </w:rPr>
        <w:t xml:space="preserve">Notes: </w:t>
      </w:r>
      <w:r>
        <w:t>abstract_source=pubmed</w:t>
      </w:r>
    </w:p>
    <w:p>
      <w:pPr>
        <w:spacing w:before="0" w:after="80" w:lineRule="auto" w:line="276"/>
      </w:pPr>
      <w:r>
        <w:rPr>
          <w:b/>
        </w:rPr>
        <w:t xml:space="preserve">摘要（ZH）: </w:t>
      </w:r>
      <w:r>
        <w:t>分子NNNNpnicatengen 相互作用在NO2漫游中介质氧化亚氮(NO)释放的二硝基丙烯中所起的作用得到了证明。低NONO的翻译能量成分在相应的快速成分中占主导地位,这表明NO2的释放途径偏向于2-硝基苯和3-亚硝基苯。以C-N(破碎)和C-O(成形)结合为内部坐标的二维潜在能源表面地形图显示,在T1多管中,二硝基苯氮原子与二硝基苯的NO2动物之间,分子NNNNn pnictogen相互作用有利于NO2在氧化氮途径上漫游的四氮路径。</w:t>
      </w:r>
    </w:p>
    <w:p>
      <w:pPr>
        <w:spacing w:before="0" w:after="200" w:lineRule="auto" w:line="276"/>
      </w:pPr>
      <w:r>
        <w:rPr>
          <w:b/>
        </w:rPr>
        <w:t xml:space="preserve">Abstract (EN): </w:t>
      </w:r>
      <w:r>
        <w:t>The role of the intramolecular N···N pnictogen interaction in the NO2 roaming mediated nitric oxide (NO) release in 2-nitropyridine is demonstrated. The dominance of the slow NO translational energy component over the corresponding fast component suggests that the NO2 roaming pathway for the NO release is favored in 2-nitropyridine, in contrast to nitrobenzene and 3-nitropyridine. The topography of a two-dimensional potential energy surface constructed using C-N (breaking) and C-O (forming) bonds as internal coordinates, in the T1 manifold, reveals that an intramolecular N···N pnictogen interaction between the nitrogen atom of the pyridine and the NO2 moiety in 2-nitropyridine favors the NO2 roaming pathway over the oxaziridine pathway.</w:t>
      </w:r>
    </w:p>
    <w:p>
      <w:pPr>
        <w:spacing w:before="120" w:after="120"/>
      </w:pPr>
      <w:r>
        <w:rPr>
          <w:sz w:val="18"/>
        </w:rPr>
        <w:t>——————————————————————————————————————————————————————————————————————</w:t>
      </w:r>
    </w:p>
    <w:p>
      <w:pPr>
        <w:spacing w:before="160" w:after="40" w:line="240" w:lineRule="auto"/>
      </w:pPr>
      <w:r>
        <w:rPr>
          <w:b/>
        </w:rPr>
        <w:t xml:space="preserve">[393] </w:t>
      </w:r>
      <w:hyperlink r:id="rId713">
        <w:r>
          <w:rPr>
            <w:color w:val="1155CC"/>
            <w:u w:val="single"/>
          </w:rPr>
          <w:t>[ASAP]开发Rh-Catalyzed Keto-(5+1+2+2) Keto-Vinylcylcylcycopans和CO的反应和机制,并回答为什么Rh-Catalyzed Keto-(5+2) Keto-Vinylcylcylcropanes的反应失败的原因</w:t>
        </w:r>
      </w:hyperlink>
    </w:p>
    <w:p>
      <w:pPr>
        <w:spacing w:before="0" w:after="80"/>
      </w:pPr>
      <w:r>
        <w:rPr>
          <w:i/>
          <w:sz w:val="20"/>
        </w:rPr>
        <w:t>EN: [ASAP] Development and Mechanism of Rh-Catalyzed Keto-(5 + 1 + 2) Reaction of Keto-Vinylcyclopropanes and CO, and Answering Why Rh-Catalyzed Keto-(5 + 2) Reaction of Keto-Vinylcyclopropanes Fails</w:t>
      </w:r>
    </w:p>
    <w:p>
      <w:pPr>
        <w:spacing w:before="0" w:after="120"/>
      </w:pPr>
      <w:r>
        <w:rPr>
          <w:b/>
        </w:rPr>
        <w:t xml:space="preserve">Source: </w:t>
      </w:r>
      <w:r>
        <w:t>Journal of the American Chemical Society: Latest Articles (ACS Publications)</w:t>
      </w:r>
      <w:r>
        <w:t xml:space="preserve">    </w:t>
      </w:r>
      <w:r>
        <w:rPr>
          <w:b/>
        </w:rPr>
        <w:t xml:space="preserve">Pub date: </w:t>
      </w:r>
      <w:r>
        <w:t>2026-01-05 13:12:26+00:00</w:t>
      </w:r>
      <w:r>
        <w:t xml:space="preserve">    </w:t>
      </w:r>
      <w:r>
        <w:rPr>
          <w:b/>
        </w:rPr>
        <w:t xml:space="preserve">DOI: </w:t>
      </w:r>
      <w:hyperlink r:id="rId714">
        <w:r>
          <w:rPr>
            <w:color w:val="1155CC"/>
            <w:u w:val="single"/>
          </w:rPr>
          <w:t>10.1021/jacs.5c15273</w:t>
        </w:r>
      </w:hyperlink>
    </w:p>
    <w:p>
      <w:pPr>
        <w:spacing w:before="0" w:after="120"/>
      </w:pPr>
      <w:r>
        <w:rPr>
          <w:b/>
        </w:rPr>
        <w:t xml:space="preserve">Notes: </w:t>
      </w:r>
      <w:r>
        <w:t>abstract_source=pubmed</w:t>
      </w:r>
    </w:p>
    <w:p>
      <w:pPr>
        <w:spacing w:before="0" w:after="80" w:lineRule="auto" w:line="276"/>
      </w:pPr>
      <w:r>
        <w:rPr>
          <w:b/>
        </w:rPr>
        <w:t xml:space="preserve">摘要（ZH）: </w:t>
      </w:r>
      <w:r>
        <w:t>在Rh 催化下,在有CO的情况下,乙烯环丙烷(e-VCP)可以提供(5+2)产品或(5+2+1)产品,或(5+2+1)产品;如果存在CO,则可以提供(5+2+1)产品或(5+2+1)产品;如果使用碳基组,将乙烯-VCP中的烷烷的C2合成物替换成碳基体,如何?由此产生的亚基质,Keto-乙烯-乙烯-丙烷(Keto-VCP),能否进行Keto-(5+2+2)或Keto-(5+2+1+1)反应在CO存在的情况下进行?实验性地,Keto-(5+1+2)反应失败,而后一种反应成功,但通过Keto-(5+1+2)反应路径,该路径具有广泛范围,可以用于合成8个成员内晶体。 Quantum化学计算表明,Keto-(5+1+2)反应始于VCP的开始(一个上山过程),随后以速确定</w:t>
      </w:r>
    </w:p>
    <w:p>
      <w:pPr>
        <w:spacing w:before="0" w:after="200" w:lineRule="auto" w:line="276"/>
      </w:pPr>
      <w:r>
        <w:rPr>
          <w:b/>
        </w:rPr>
        <w:t xml:space="preserve">Abstract (EN): </w:t>
      </w:r>
      <w:r>
        <w:t>Under Rh catalysis, ene-vinylcyclopropanes (ene-VCPs) can give (5 + 2) products or (5 + 2 + 1) products when CO is present. How about replacing the C2 synthon of the alkene in ene-VCPs with a carbonyl group? Can the resulting substrates, keto-vinylcyclopropanes (keto-VCPs), undergo either a keto-(5 + 2) or keto-(5 + 2 + 1) reaction in the presence of CO? Experimentally, the keto-(5 + 2) reaction failed, while the latter reaction succeeded, but via a keto-(5 + 1 + 2) reaction pathway, which has broad scope and can be applied to synthesize challenging eight-membered lactones. Quantum chemical calculations revealed that the keto-(5 + 1 + 2) reaction begins with VCP opening (an uphill process) followed by a rate-determining CO insertion (a downhill process), generating an allylic Rh species in a nearly thermodynamically neutral process. Then, an unexpected metallo-ene reaction of the allylic Rh species toward the carbonyl group occurs, followed by reductive elimination to furnish the final (5 + 1 + 2) cycloadducts. In contrast, if the keto-(5 + 2) reaction were to occur , it would need to overcome two uphill processes: the VCP opening (producing allylic Rh species) in an endergonic way (by 17 kcal/mol), and the metallo-ene reaction of the η1-allylic Rh species with the carbonyl group (the rate-determining step), with an overall activation free energy of 36.4 kcal/mol. Direct C═O insertion into the Rh-C bond is very difficult and cannot happen due to the strong π bond of the keto group compared to the π bond of the alkene. These kinetic and thermodynamic insights are useful for guiding the future design of transition metal-catalyzed reactions using ketones as two-atom synthons, which have been explored only to a limited extent so far.</w:t>
      </w:r>
    </w:p>
    <w:p>
      <w:pPr>
        <w:spacing w:before="120" w:after="120"/>
      </w:pPr>
      <w:r>
        <w:rPr>
          <w:sz w:val="18"/>
        </w:rPr>
        <w:t>——————————————————————————————————————————————————————————————————————</w:t>
      </w:r>
    </w:p>
    <w:p>
      <w:pPr>
        <w:spacing w:before="160" w:after="40" w:line="240" w:lineRule="auto"/>
      </w:pPr>
      <w:r>
        <w:rPr>
          <w:b/>
        </w:rPr>
        <w:t xml:space="preserve">[394] </w:t>
      </w:r>
      <w:hyperlink r:id="rId715">
        <w:r>
          <w:rPr>
            <w:color w:val="1155CC"/>
            <w:u w:val="single"/>
          </w:rPr>
          <w:t>[ASAP]对1,7-所有苯的环球立构化的机械学研究以及开发[2+1+2]1,7-所有苯与CO存取cis-和Trans-5/5 Skeleton的CO反应的指南</w:t>
        </w:r>
      </w:hyperlink>
    </w:p>
    <w:p>
      <w:pPr>
        <w:spacing w:before="0" w:after="80"/>
      </w:pPr>
      <w:r>
        <w:rPr>
          <w:i/>
          <w:sz w:val="20"/>
        </w:rPr>
        <w:t>EN: [ASAP] Mechanistic Study of Cycloisomerization of 1,7-Allenenes and Guidance to Develop a [2 + 1 + 2] Reaction of 1,7-Allenenes with CO for Accessing cis- and trans-5/5 Skeletons</w:t>
      </w:r>
    </w:p>
    <w:p>
      <w:pPr>
        <w:spacing w:before="0" w:after="120"/>
      </w:pPr>
      <w:r>
        <w:rPr>
          <w:b/>
        </w:rPr>
        <w:t xml:space="preserve">Source: </w:t>
      </w:r>
      <w:r>
        <w:t>Journal of the American Chemical Society: Latest Articles (ACS Publications)</w:t>
      </w:r>
      <w:r>
        <w:t xml:space="preserve">    </w:t>
      </w:r>
      <w:r>
        <w:rPr>
          <w:b/>
        </w:rPr>
        <w:t xml:space="preserve">Pub date: </w:t>
      </w:r>
      <w:r>
        <w:t>2026-01-05 13:37:49+00:00</w:t>
      </w:r>
      <w:r>
        <w:t xml:space="preserve">    </w:t>
      </w:r>
      <w:r>
        <w:rPr>
          <w:b/>
        </w:rPr>
        <w:t xml:space="preserve">DOI: </w:t>
      </w:r>
      <w:hyperlink r:id="rId716">
        <w:r>
          <w:rPr>
            <w:color w:val="1155CC"/>
            <w:u w:val="single"/>
          </w:rPr>
          <w:t>10.1021/jacs.5c17013</w:t>
        </w:r>
      </w:hyperlink>
    </w:p>
    <w:p>
      <w:pPr>
        <w:spacing w:before="0" w:after="120"/>
      </w:pPr>
      <w:r>
        <w:rPr>
          <w:b/>
        </w:rPr>
        <w:t xml:space="preserve">Notes: </w:t>
      </w:r>
      <w:r>
        <w:t>abstract_source=pubmed</w:t>
      </w:r>
    </w:p>
    <w:p>
      <w:pPr>
        <w:spacing w:before="0" w:after="80" w:lineRule="auto" w:line="276"/>
      </w:pPr>
      <w:r>
        <w:rPr>
          <w:b/>
        </w:rPr>
        <w:t xml:space="preserve">摘要（ZH）: </w:t>
      </w:r>
      <w:r>
        <w:t>文献中已经开发出了1,7-二-二-二-二-环状环和烷(金属处于形成环形骨骼的桥梁位置)的循环异构体化,但这一反应的机制尚未阐明,尽管已经提出了一个暂定机制。我们应用DFT计算方法对前一个机制进行了争议,并提出了一个新的辅助计算法:环形异构体化反应实际上始于甲苯和烷(金属处于形成环形骨骼的桥梁位置)的低尺寸内氧化性环形(金属处于形成环形骨架的桥梁位置),随后是β-H消除和再粉碎。这个新机制还可以解释[2+2]环形环状体的被忽视的侧反应,并激励我们开发1,7-二]个苯和二氧化碳的[2+1+2]反应。</w:t>
      </w:r>
    </w:p>
    <w:p>
      <w:pPr>
        <w:spacing w:before="0" w:after="200" w:lineRule="auto" w:line="276"/>
      </w:pPr>
      <w:r>
        <w:rPr>
          <w:b/>
        </w:rPr>
        <w:t xml:space="preserve">Abstract (EN): </w:t>
      </w:r>
      <w:r>
        <w:t>Rh-catalyzed cycloisomerization of 1,7-allenenes has been developed in the literature to synthesize seven-membered rings, but the mechanism of this reaction has not been elucidated, even though a tentative one has been proposed. We applied DFT calculations to dispute the previous mechanism and proposed a novel one supported computationally: the cycloisomerization reaction actually starts with rarely hypothesized endo-oxidative cyclometalation of allene and alkene (metal is in a bridged position of the formed ring skeleton), followed by β-H elimination and reductive elimination. This new mechanism can also explain the overlooked side reaction of [2 + 2] cycloaddition and inspired us to develop a [2 + 1 + 2] reaction of 1,7-allenenes and CO, which starts from oxidative tetraatomic cyclometalation of allene, CO, and Rh, followed by endo-alkene insertion and transannular reductive elimination. This new carbonylation reaction usually generates a cis-5/5 skeleton. But for 1,7-allenenes with substituted alkenes, the [2 + 1 + 2] reaction can deliver a highly strained and challenging trans-5/5 skeleton, which so far can be accessed by only limited reactions. DFT understanding of the stereochemistry and mechanisms showed that oxidative tetraatomic cyclometalation adopted in this carbonylation reaction is key to building the trans-5/5 skeleton, which allows alkene insertion to form a trans-5/6 bicyclic metalacycle and afford the final trans-5/5 structure via reductive elimination. The present reaction synthesizing both cis- and trans-5/5 skeletons represents a significant advance for Pauson-Khand-type reactions. The proposed endo-oxidative cyclometalation pathway and the reason for choosing this in the present reaction will enrich the textbook of organometallics.</w:t>
      </w:r>
    </w:p>
    <w:p>
      <w:pPr>
        <w:spacing w:before="120" w:after="120"/>
      </w:pPr>
      <w:r>
        <w:rPr>
          <w:sz w:val="18"/>
        </w:rPr>
        <w:t>——————————————————————————————————————————————————————————————————————</w:t>
      </w:r>
    </w:p>
    <w:p>
      <w:pPr>
        <w:spacing w:before="160" w:after="40" w:line="240" w:lineRule="auto"/>
      </w:pPr>
      <w:r>
        <w:rPr>
          <w:b/>
        </w:rPr>
        <w:t xml:space="preserve">[395] </w:t>
      </w:r>
      <w:hyperlink r:id="rId717">
        <w:r>
          <w:rPr>
            <w:color w:val="1155CC"/>
            <w:u w:val="single"/>
          </w:rPr>
          <w:t>闪光液体水晶 Elastomer 材料:微型和宏观弹性的平衡和固有机制</w:t>
        </w:r>
      </w:hyperlink>
    </w:p>
    <w:p>
      <w:pPr>
        <w:spacing w:before="0" w:after="80"/>
      </w:pPr>
      <w:r>
        <w:rPr>
          <w:i/>
          <w:sz w:val="20"/>
        </w:rPr>
        <w:t>EN: Shining Liquid Crystal Elastomer Material: The Balance of Micro‐Rigidity and Macro‐Elasticity and the Inherent Mechanism</w:t>
      </w:r>
    </w:p>
    <w:p>
      <w:pPr>
        <w:spacing w:before="0" w:after="120"/>
      </w:pPr>
      <w:r>
        <w:rPr>
          <w:b/>
        </w:rPr>
        <w:t xml:space="preserve">Source: </w:t>
      </w:r>
      <w:r>
        <w:t>Wiley: Advanced Materials: Table of Contents</w:t>
      </w:r>
      <w:r>
        <w:t xml:space="preserve">    </w:t>
      </w:r>
      <w:r>
        <w:rPr>
          <w:b/>
        </w:rPr>
        <w:t xml:space="preserve">Pub date: </w:t>
      </w:r>
      <w:r>
        <w:t>2026-01-05 13:40:47+00:00</w:t>
      </w:r>
      <w:r>
        <w:t xml:space="preserve">    </w:t>
      </w:r>
      <w:r>
        <w:rPr>
          <w:b/>
        </w:rPr>
        <w:t xml:space="preserve">DOI: </w:t>
      </w:r>
      <w:hyperlink r:id="rId718">
        <w:r>
          <w:rPr>
            <w:color w:val="1155CC"/>
            <w:u w:val="single"/>
          </w:rPr>
          <w:t>10.1002/adma.202518840</w:t>
        </w:r>
      </w:hyperlink>
    </w:p>
    <w:p>
      <w:pPr>
        <w:spacing w:before="0" w:after="120"/>
      </w:pPr>
      <w:r>
        <w:rPr>
          <w:b/>
        </w:rPr>
        <w:t xml:space="preserve">Notes: </w:t>
      </w:r>
      <w:r>
        <w:t>abstract_source=crossref</w:t>
      </w:r>
    </w:p>
    <w:p>
      <w:pPr>
        <w:spacing w:before="0" w:after="80" w:lineRule="auto" w:line="276"/>
      </w:pPr>
      <w:r>
        <w:rPr>
          <w:b/>
        </w:rPr>
        <w:t xml:space="preserve">摘要（ZH）: </w:t>
      </w:r>
      <w:r>
        <w:t>ABSTACT 聚光室热电磷(RTP) 材料由于其令人印象深刻的发光行为而引起相当的注意,然而,大多数聚合物质是硬质材料,缺乏灵活性阻碍了多功能RTP材料的开发。在这项工作中,新准备了一种磷光液体晶体弹性体,不仅可以释放RTP,还可以显示温度反应弹性行为。L4TPA的寿命为532毫斯,后天为3毫秒,在断裂至315%时,肉眼观察到长为315%。静水压力结果表明液晶框架是RTP排放的关键组成部分。令人振奋的是,这项工作还揭示了硬性酶的固有机制。</w:t>
      </w:r>
    </w:p>
    <w:p>
      <w:pPr>
        <w:spacing w:before="0" w:after="200" w:lineRule="auto" w:line="276"/>
      </w:pPr>
      <w:r>
        <w:rPr>
          <w:b/>
        </w:rPr>
        <w:t xml:space="preserve">Abstract (EN): </w:t>
      </w:r>
      <w:r>
        <w:t>Polymeric room‐temperature phosphorescent (RTP) materials have attracted considerable attention due to their impressive luminescence behaviors. However, most polymer matrices are rigid materials, the lack of flexibility has been hindering the development of multi‐functional RTP materials. In this work, a new phosphorescent liquid crystal elastomer was prepared, which could not only emit RTP but also show temperature‐responsive elastic behavior. LQ‐4TPA has a lifetime of 532 ms and an afterglow of 3 s observed by the naked eye with the elongation at break high up to 315%. The hydrostatic pressure results demonstrate that the liquid crystal framework is the key component for RTP emission. Excitingly, this work also reveals the inherent mechanism of a rigid environment that the volume of chromophores and matching interaction with the polymeric network play important roles in achieving excellent RTP performance in the liquid crystal elastomer material. After the uniaxially aligned program, the monodomain liquid crystal elastomer presented a reversible shape actuation character. Thus, the biomimetic liquid crystal flower and smart liquid crystal gripper were successfully programmed and could contract and elongate regularly under different temperatures, demonstrating the extended applications of RTP material with the combination of RTP performance and temperature‐dependent elastic deformation.</w:t>
      </w:r>
    </w:p>
    <w:p>
      <w:pPr>
        <w:spacing w:before="120" w:after="120"/>
      </w:pPr>
      <w:r>
        <w:rPr>
          <w:sz w:val="18"/>
        </w:rPr>
        <w:t>——————————————————————————————————————————————————————————————————————</w:t>
      </w:r>
    </w:p>
    <w:p>
      <w:pPr>
        <w:spacing w:before="160" w:after="40" w:line="240" w:lineRule="auto"/>
      </w:pPr>
      <w:r>
        <w:rPr>
          <w:b/>
        </w:rPr>
        <w:t xml:space="preserve">[396] </w:t>
      </w:r>
      <w:hyperlink r:id="rId719">
        <w:r>
          <w:rPr>
            <w:color w:val="1155CC"/>
            <w:u w:val="single"/>
          </w:rPr>
          <w:t>C1 分子光催化转化的C1 微粒的发动机催化器</w:t>
        </w:r>
      </w:hyperlink>
    </w:p>
    <w:p>
      <w:pPr>
        <w:spacing w:before="0" w:after="80"/>
      </w:pPr>
      <w:r>
        <w:rPr>
          <w:i/>
          <w:sz w:val="20"/>
        </w:rPr>
        <w:t>EN: Phase‐Engineered Catalysts for Photocatalytic Conversion of C1 Molecules</w:t>
      </w:r>
    </w:p>
    <w:p>
      <w:pPr>
        <w:spacing w:before="0" w:after="120"/>
      </w:pPr>
      <w:r>
        <w:rPr>
          <w:b/>
        </w:rPr>
        <w:t xml:space="preserve">Source: </w:t>
      </w:r>
      <w:r>
        <w:t>Wiley: Advanced Materials: Table of Contents</w:t>
      </w:r>
      <w:r>
        <w:t xml:space="preserve">    </w:t>
      </w:r>
      <w:r>
        <w:rPr>
          <w:b/>
        </w:rPr>
        <w:t xml:space="preserve">Pub date: </w:t>
      </w:r>
      <w:r>
        <w:t>2026-01-05 13:42:54+00:00</w:t>
      </w:r>
      <w:r>
        <w:t xml:space="preserve">    </w:t>
      </w:r>
      <w:r>
        <w:rPr>
          <w:b/>
        </w:rPr>
        <w:t xml:space="preserve">DOI: </w:t>
      </w:r>
      <w:hyperlink r:id="rId720">
        <w:r>
          <w:rPr>
            <w:color w:val="1155CC"/>
            <w:u w:val="single"/>
          </w:rPr>
          <w:t>10.1002/adma.202519450</w:t>
        </w:r>
      </w:hyperlink>
    </w:p>
    <w:p>
      <w:pPr>
        <w:spacing w:before="0" w:after="120"/>
      </w:pPr>
      <w:r>
        <w:rPr>
          <w:b/>
        </w:rPr>
        <w:t xml:space="preserve">Notes: </w:t>
      </w:r>
      <w:r>
        <w:t>abstract_source=crossref</w:t>
      </w:r>
    </w:p>
    <w:p>
      <w:pPr>
        <w:spacing w:before="0" w:after="80" w:lineRule="auto" w:line="276"/>
      </w:pPr>
      <w:r>
        <w:rPr>
          <w:b/>
        </w:rPr>
        <w:t xml:space="preserve">摘要（ZH）: </w:t>
      </w:r>
      <w:r>
        <w:t>C 1分子(CO、CO2、CH4、CH 3、CH 3 OH、HCOOH等)的光电催化转换是可持续的能源转换和碳中和碳中和的一种潜在方法。近年来,阶段工程已成为提高光催化剂性能的有希望的手段。 通过控制晶晶相结构、异相和材料表面特性,这种方法可以优化光吸收、电荷分离和电荷转移,以激活目标C1分子。此外,它还可以使光吸收、电源分离和电荷转移成为最理想的C1分子。</w:t>
      </w:r>
    </w:p>
    <w:p>
      <w:pPr>
        <w:spacing w:before="0" w:after="200" w:lineRule="auto" w:line="276"/>
      </w:pPr>
      <w:r>
        <w:rPr>
          <w:b/>
        </w:rPr>
        <w:t xml:space="preserve">Abstract (EN): </w:t>
      </w:r>
      <w:r>
        <w:t>Photocatalytic conversion of C</w:t>
      </w:r>
      <w:r>
        <w:rPr>
          <w:vertAlign w:val="subscript"/>
        </w:rPr>
        <w:t>1</w:t>
      </w:r>
      <w:r>
        <w:t>molecules (CO, CO</w:t>
      </w:r>
      <w:r>
        <w:rPr>
          <w:vertAlign w:val="subscript"/>
        </w:rPr>
        <w:t>2</w:t>
      </w:r>
      <w:r>
        <w:t>, CH</w:t>
      </w:r>
      <w:r>
        <w:rPr>
          <w:vertAlign w:val="subscript"/>
        </w:rPr>
        <w:t>4</w:t>
      </w:r>
      <w:r>
        <w:t>, CH</w:t>
      </w:r>
      <w:r>
        <w:rPr>
          <w:vertAlign w:val="subscript"/>
        </w:rPr>
        <w:t>3</w:t>
      </w:r>
      <w:r>
        <w:t>OH, HCOOH, etc.) represents a potential approach for sustainable energy conversion and carbon neutrality. In recent years, phase engineering has been emerging as a promising means to enhance the performances of photocatalysts. By controlling the crystalline phase structures, heterophases, and surface properties of materials, this approach can allow to optimize light absorption, charge separation, and charge transfer to activate of targeted C</w:t>
      </w:r>
      <w:r>
        <w:rPr>
          <w:vertAlign w:val="subscript"/>
        </w:rPr>
        <w:t>1</w:t>
      </w:r>
      <w:r>
        <w:t>molecules. In addition, it can also alleviate two core challenges in photocatalytic conversion of C</w:t>
      </w:r>
      <w:r>
        <w:rPr>
          <w:vertAlign w:val="subscript"/>
        </w:rPr>
        <w:t>1</w:t>
      </w:r>
      <w:r>
        <w:t>molecules: the competitive formation of multiple side‐products and the stability of catalytic sites. This review aims to provide a brief summary of recent research progresses in the field of phase engineering materials, and insights for designing efficient photocatalysts via multi‐scale structural regulation. Several possible research perspectives are further suggested, including exploring the phase‐performance relationship, dynamic phase‐transition mechanisms, and scalable preparation processes to advance future practical applications of photocatalytic technology for the C</w:t>
      </w:r>
      <w:r>
        <w:rPr>
          <w:vertAlign w:val="subscript"/>
        </w:rPr>
        <w:t>1</w:t>
      </w:r>
      <w:r>
        <w:t>molecule conversion.</w:t>
      </w:r>
    </w:p>
    <w:p>
      <w:pPr>
        <w:spacing w:before="120" w:after="120"/>
      </w:pPr>
      <w:r>
        <w:rPr>
          <w:sz w:val="18"/>
        </w:rPr>
        <w:t>——————————————————————————————————————————————————————————————————————</w:t>
      </w:r>
    </w:p>
    <w:p>
      <w:pPr>
        <w:spacing w:before="160" w:after="40" w:line="240" w:lineRule="auto"/>
      </w:pPr>
      <w:r>
        <w:rPr>
          <w:b/>
        </w:rPr>
        <w:t xml:space="preserve">[397] </w:t>
      </w:r>
      <w:hyperlink r:id="rId721">
        <w:r>
          <w:rPr>
            <w:color w:val="1155CC"/>
            <w:u w:val="single"/>
          </w:rPr>
          <w:t>氰酸钾稳定拉蒂塞和推介1.67Vwide-Bandgap Perovskite和Perovskite/Silcon Tandems的首选方向</w:t>
        </w:r>
      </w:hyperlink>
    </w:p>
    <w:p>
      <w:pPr>
        <w:spacing w:before="0" w:after="80"/>
      </w:pPr>
      <w:r>
        <w:rPr>
          <w:i/>
          <w:sz w:val="20"/>
        </w:rPr>
        <w:t>EN: Potassium Cyanate Stabilizes Lattice and Promotes Preferred Orientation for 1.67‐eV Wide‐Bandgap Perovskite and Perovskite/Silicon Tandems</w:t>
      </w:r>
    </w:p>
    <w:p>
      <w:pPr>
        <w:spacing w:before="0" w:after="120"/>
      </w:pPr>
      <w:r>
        <w:rPr>
          <w:b/>
        </w:rPr>
        <w:t xml:space="preserve">Source: </w:t>
      </w:r>
      <w:r>
        <w:t>Wiley: Advanced Materials: Table of Contents</w:t>
      </w:r>
      <w:r>
        <w:t xml:space="preserve">    </w:t>
      </w:r>
      <w:r>
        <w:rPr>
          <w:b/>
        </w:rPr>
        <w:t xml:space="preserve">Pub date: </w:t>
      </w:r>
      <w:r>
        <w:t>2026-01-05 13:43:23+00:00</w:t>
      </w:r>
      <w:r>
        <w:t xml:space="preserve">    </w:t>
      </w:r>
      <w:r>
        <w:rPr>
          <w:b/>
        </w:rPr>
        <w:t xml:space="preserve">DOI: </w:t>
      </w:r>
      <w:hyperlink r:id="rId722">
        <w:r>
          <w:rPr>
            <w:color w:val="1155CC"/>
            <w:u w:val="single"/>
          </w:rPr>
          <w:t>10.1002/adma.202519976</w:t>
        </w:r>
      </w:hyperlink>
    </w:p>
    <w:p>
      <w:pPr>
        <w:spacing w:before="0" w:after="120"/>
      </w:pPr>
      <w:r>
        <w:rPr>
          <w:b/>
        </w:rPr>
        <w:t xml:space="preserve">Notes: </w:t>
      </w:r>
      <w:r>
        <w:t>abstract_source=crossref</w:t>
      </w:r>
    </w:p>
    <w:p>
      <w:pPr>
        <w:spacing w:before="0" w:after="80" w:lineRule="auto" w:line="276"/>
      </w:pPr>
      <w:r>
        <w:rPr>
          <w:b/>
        </w:rPr>
        <w:t xml:space="preserve">摘要（ZH）: </w:t>
      </w:r>
      <w:r>
        <w:t>然而,由于晶体缺陷,这些细胞经常遭受无节制结晶化、阶段性不稳定和非放射性再融合损失。 因此,我们报告了一项调节百草枯结晶化和消化不协调的铅离子和卤化物空缺的简单战略,将氰酸钾(KOCN)添加到百草枯前体中,从而抑制非放射性再融合。此外,KOCN还进行调制核以推广一种(110)定向和释放菌株。因此,基于1.67的KOCNEVZWBG 灭雾装置产生了23.60%的领先效率,其作用令人印象深刻。</w:t>
      </w:r>
    </w:p>
    <w:p>
      <w:pPr>
        <w:spacing w:before="0" w:after="200" w:lineRule="auto" w:line="276"/>
      </w:pPr>
      <w:r>
        <w:rPr>
          <w:b/>
        </w:rPr>
        <w:t xml:space="preserve">Abstract (EN): </w:t>
      </w:r>
      <w:r>
        <w:t>Wide‐bandgap (WBG) perovskite solar cells are crucial for efficient perovskite/silicon tandem solar cells (PSTSCs). However, they often suffer from uncontrolled crystallization, phase instability, and non‐radiative recombination losses due to crystallographic defects. Here, we report a facile strategy of regulating perovskite crystallization and passivating uncoordinated lead ions and halide vacancies by adding potassium cyanate (KOCN) into the perovskite precursor, which incorporates into the perovskite lattice to thereby suppressing non‐radiative recombination. Moreover, KOCN modulates nucleation to promote a (110) orientation and releases strain. Consequently, KOCN‐based 1.67 eV‐WBG perovskite devices yield a champion efficiency of 23.60% with an impressive open‐circuit voltage of 1.263 V and fill factor of 84.39%, enabling a 31.10% efficiency in two‐terminal PSTSCs. After 1600 h of aging in the glovebox, the KOCN‐doped device retains over 98% of its initial efficiency.</w:t>
      </w:r>
    </w:p>
    <w:p>
      <w:pPr>
        <w:spacing w:before="120" w:after="120"/>
      </w:pPr>
      <w:r>
        <w:rPr>
          <w:sz w:val="18"/>
        </w:rPr>
        <w:t>——————————————————————————————————————————————————————————————————————</w:t>
      </w:r>
    </w:p>
    <w:p>
      <w:pPr>
        <w:spacing w:before="160" w:after="40" w:line="240" w:lineRule="auto"/>
      </w:pPr>
      <w:r>
        <w:rPr>
          <w:b/>
        </w:rPr>
        <w:t xml:space="preserve">[398] </w:t>
      </w:r>
      <w:hyperlink r:id="rId723">
        <w:r>
          <w:rPr>
            <w:color w:val="1155CC"/>
            <w:u w:val="single"/>
          </w:rPr>
          <w:t>用于可持续的 Perovskite太阳能模块的铅/碘综合管理</w:t>
        </w:r>
      </w:hyperlink>
    </w:p>
    <w:p>
      <w:pPr>
        <w:spacing w:before="0" w:after="80"/>
      </w:pPr>
      <w:r>
        <w:rPr>
          <w:i/>
          <w:sz w:val="20"/>
        </w:rPr>
        <w:t>EN: Integrated Lead/Iodine Management for Sustainable Perovskite Solar Modules</w:t>
      </w:r>
    </w:p>
    <w:p>
      <w:pPr>
        <w:spacing w:before="0" w:after="120"/>
      </w:pPr>
      <w:r>
        <w:rPr>
          <w:b/>
        </w:rPr>
        <w:t xml:space="preserve">Source: </w:t>
      </w:r>
      <w:r>
        <w:t>Wiley: Advanced Materials: Table of Contents</w:t>
      </w:r>
      <w:r>
        <w:t xml:space="preserve">    </w:t>
      </w:r>
      <w:r>
        <w:rPr>
          <w:b/>
        </w:rPr>
        <w:t xml:space="preserve">Pub date: </w:t>
      </w:r>
      <w:r>
        <w:t>2026-01-05 13:44:05+00:00</w:t>
      </w:r>
      <w:r>
        <w:t xml:space="preserve">    </w:t>
      </w:r>
      <w:r>
        <w:rPr>
          <w:b/>
        </w:rPr>
        <w:t xml:space="preserve">DOI: </w:t>
      </w:r>
      <w:hyperlink r:id="rId724">
        <w:r>
          <w:rPr>
            <w:color w:val="1155CC"/>
            <w:u w:val="single"/>
          </w:rPr>
          <w:t>10.1002/adma.202518752</w:t>
        </w:r>
      </w:hyperlink>
    </w:p>
    <w:p>
      <w:pPr>
        <w:spacing w:before="0" w:after="120"/>
      </w:pPr>
      <w:r>
        <w:rPr>
          <w:b/>
        </w:rPr>
        <w:t xml:space="preserve">Notes: </w:t>
      </w:r>
      <w:r>
        <w:t>abstract_source=crossref</w:t>
      </w:r>
    </w:p>
    <w:p>
      <w:pPr>
        <w:spacing w:before="0" w:after="80" w:lineRule="auto" w:line="276"/>
      </w:pPr>
      <w:r>
        <w:rPr>
          <w:b/>
        </w:rPr>
        <w:t xml:space="preserve">摘要（ZH）: </w:t>
      </w:r>
      <w:r>
        <w:t>释放有毒铅离子(Pb 2+)和挥发性碘物种对环境造成的危害仍然是大规模将百草枯太阳能组件商业化的主要障碍。 在这里,我们建议使用一种二元吸附剂(WH&amp;amp;Por),通过水面腐蚀的porphyrin和adsorbs Pb 2+,同时通过白喉基体捕捉挥发性碘,在百草枯装置的整个生命周期形成综合的污染物屏障。</w:t>
      </w:r>
    </w:p>
    <w:p>
      <w:pPr>
        <w:spacing w:before="0" w:after="200" w:lineRule="auto" w:line="276"/>
      </w:pPr>
      <w:r>
        <w:rPr>
          <w:b/>
        </w:rPr>
        <w:t xml:space="preserve">Abstract (EN): </w:t>
      </w:r>
      <w:r>
        <w:t>The environmental hazards posed by the release of toxic lead ions (Pb</w:t>
      </w:r>
      <w:r>
        <w:t xml:space="preserve"> </w:t>
      </w:r>
      <w:r>
        <w:t>2+</w:t>
      </w:r>
      <w:r>
        <w:t xml:space="preserve"> </w:t>
      </w:r>
      <w:r>
        <w:t>) and volatile iodine species remain a major obstacle to the large‐scale commercialization of perovskite solar modules. Here, we propose a dual‐function adsorbent–porphyrin‐modified whitlockite nanocomposites (WH&amp;amp;Por), which simultaneously captures volatile iodine via surface‐coated porphyrin and adsorbs Pb</w:t>
      </w:r>
      <w:r>
        <w:t xml:space="preserve"> </w:t>
      </w:r>
      <w:r>
        <w:t>2+</w:t>
      </w:r>
      <w:r>
        <w:t xml:space="preserve"> </w:t>
      </w:r>
      <w:r>
        <w:t>through the whitlockite matrix, forming an integrated pollutant barrier throughout the entire lifecycle of perovskite devices. Experimental results show that even under severe mechanical damage with a WH&amp;amp;Por loading of just 0.25 mg/cm</w:t>
      </w:r>
      <w:r>
        <w:rPr>
          <w:vertAlign w:val="subscript"/>
        </w:rPr>
        <w:t>2</w:t>
      </w:r>
      <w:r>
        <w:t>, the protection system prevents the leakage of lead and iodine, demonstrating excellent environmental safety performance. In addition, we developed a semi‐closed loop recycling process that enables the recovery of high‐purity PbI</w:t>
      </w:r>
      <w:r>
        <w:rPr>
          <w:vertAlign w:val="subscript"/>
        </w:rPr>
        <w:t>2</w:t>
      </w:r>
      <w:r>
        <w:t>from perovskite waste, achieving a recovery yield of up to 96.9%. Devices reassembled using the recovered PbI</w:t>
      </w:r>
      <w:r>
        <w:rPr>
          <w:vertAlign w:val="subscript"/>
        </w:rPr>
        <w:t>2</w:t>
      </w:r>
      <w:r>
        <w:t>exhibit power conversion efficiencies comparable to those of their pristine counterparts. Remarkably, the residual Pb</w:t>
      </w:r>
      <w:r>
        <w:t xml:space="preserve"> </w:t>
      </w:r>
      <w:r>
        <w:t>2+</w:t>
      </w:r>
      <w:r>
        <w:t xml:space="preserve"> </w:t>
      </w:r>
      <w:r>
        <w:t>concentration in the treated recycling waste solution was reduced to below 10 ppb, well beneath the stringent limit set by the European Union Drinking Water Directive 98/83/EC. This study offers a practical and integrated “protection–recycling” solution to one of the key environmental challenges facing perovskite photovoltaics.</w:t>
      </w:r>
    </w:p>
    <w:p>
      <w:pPr>
        <w:spacing w:before="120" w:after="120"/>
      </w:pPr>
      <w:r>
        <w:rPr>
          <w:sz w:val="18"/>
        </w:rPr>
        <w:t>——————————————————————————————————————————————————————————————————————</w:t>
      </w:r>
    </w:p>
    <w:p>
      <w:pPr>
        <w:spacing w:before="160" w:after="40" w:line="240" w:lineRule="auto"/>
      </w:pPr>
      <w:r>
        <w:rPr>
          <w:b/>
        </w:rPr>
        <w:t xml:space="preserve">[399] </w:t>
      </w:r>
      <w:hyperlink r:id="rId725">
        <w:r>
          <w:rPr>
            <w:color w:val="1155CC"/>
            <w:u w:val="single"/>
          </w:rPr>
          <w:t>通过倾斜聚合物悬浮装置的过滤法对热电腿进行表面和快速制造</w:t>
        </w:r>
      </w:hyperlink>
    </w:p>
    <w:p>
      <w:pPr>
        <w:spacing w:before="0" w:after="80"/>
      </w:pPr>
      <w:r>
        <w:rPr>
          <w:i/>
          <w:sz w:val="20"/>
        </w:rPr>
        <w:t>EN: Facile and Rapid Fabrication of Thermoelectric Legs via Filtration of Doped Polymer Suspension</w:t>
      </w:r>
    </w:p>
    <w:p>
      <w:pPr>
        <w:spacing w:before="0" w:after="120"/>
      </w:pPr>
      <w:r>
        <w:rPr>
          <w:b/>
        </w:rPr>
        <w:t xml:space="preserve">Source: </w:t>
      </w:r>
      <w:r>
        <w:t>Wiley: Advanced Energy Materials: Table of Contents</w:t>
      </w:r>
      <w:r>
        <w:t xml:space="preserve">    </w:t>
      </w:r>
      <w:r>
        <w:rPr>
          <w:b/>
        </w:rPr>
        <w:t xml:space="preserve">Pub date: </w:t>
      </w:r>
      <w:r>
        <w:t>2026-01-05 13:44:35+00:00</w:t>
      </w:r>
      <w:r>
        <w:t xml:space="preserve">    </w:t>
      </w:r>
      <w:r>
        <w:rPr>
          <w:b/>
        </w:rPr>
        <w:t xml:space="preserve">DOI: </w:t>
      </w:r>
      <w:hyperlink r:id="rId726">
        <w:r>
          <w:rPr>
            <w:color w:val="1155CC"/>
            <w:u w:val="single"/>
          </w:rPr>
          <w:t>10.1002/aenm.202505396</w:t>
        </w:r>
      </w:hyperlink>
    </w:p>
    <w:p>
      <w:pPr>
        <w:spacing w:before="0" w:after="120"/>
      </w:pPr>
      <w:r>
        <w:rPr>
          <w:b/>
        </w:rPr>
        <w:t xml:space="preserve">Notes: </w:t>
      </w:r>
      <w:r>
        <w:t>abstract_source=crossref</w:t>
      </w:r>
    </w:p>
    <w:p>
      <w:pPr>
        <w:spacing w:before="0" w:after="80" w:lineRule="auto" w:line="276"/>
      </w:pPr>
      <w:r>
        <w:rPr>
          <w:b/>
        </w:rPr>
        <w:t xml:space="preserve">摘要（ZH）: </w:t>
      </w:r>
      <w:r>
        <w:t>优化腿尺寸(包括厚度)对于最大限度地扩大热电发电机的输出力至关重要,但用聚合聚合物制造厚厚和统一的活性薄膜仍具有挑战性,因为兴奋剂工艺要么由于聚合多粉混合溶液溶解性降低,要么由于散装扩散和剂量稳定性之间的平衡而受到限制。 在这里,采用真空过滤法在几秒钟内制造高微米薄膜,有选择地从聚聚聚多板悬浮中收集大型、多粉碎聚合物颗粒。聚合物颗粒形成光滑的、厚的、均匀的和高度灵活的胶片,而短相聚合物和i。</w:t>
      </w:r>
    </w:p>
    <w:p>
      <w:pPr>
        <w:spacing w:before="0" w:after="200" w:lineRule="auto" w:line="276"/>
      </w:pPr>
      <w:r>
        <w:rPr>
          <w:b/>
        </w:rPr>
        <w:t xml:space="preserve">Abstract (EN): </w:t>
      </w:r>
      <w:r>
        <w:t>Optimization of leg dimensions, including thickness, is essential for maximizing output powers of thermoelectric (TE) generators. However, fabricating thick and uniform active films with conjugated polymers remains challenging, as doping processes are limited either by reduced solubility in polymer‐dopant blend solutions or by a trade‐off between dopant diffusion and doping stability. Here, a vacuum filtration method is introduced to fabricate tens‐of‐micrometers‐thick films within a few seconds by selectively collecting large, doped polymer particles from a polymer‐dopant suspension. The polymer particles form smooth, thick, uniformly doped, and highly flexible TE films via interparticle coalescence, while the short‐conjugated polymers and inactive dopants are effectively removed during filtration, thereby greatly enhancing the TE performance. The ≈60‐µm‐thick doped polymer films are integrated to fabricate fingertip‐sized TE generators, which exhibit high output powers up to 2.00 µW at Δ</w:t>
      </w:r>
      <w:r>
        <w:t xml:space="preserve"> </w:t>
      </w:r>
      <w:r>
        <w:t>T</w:t>
      </w:r>
      <w:r>
        <w:t xml:space="preserve"> </w:t>
      </w:r>
      <w:r>
        <w:t>= 15.2 K, yielding a record‐high normalized areal power density (209 µW m</w:t>
      </w:r>
      <w:r>
        <w:t xml:space="preserve"> </w:t>
      </w:r>
      <w:r>
        <w:t>−2</w:t>
      </w:r>
      <w:r>
        <w:t xml:space="preserve"> </w:t>
      </w:r>
      <w:r>
        <w:t>K</w:t>
      </w:r>
      <w:r>
        <w:t xml:space="preserve"> </w:t>
      </w:r>
      <w:r>
        <w:t>−2</w:t>
      </w:r>
      <w:r>
        <w:t xml:space="preserve"> </w:t>
      </w:r>
      <w:r>
        <w:t>) and enabling successful electronic device operations using body heat. It is believed that the vacuum filtration method offers a new experimental protocol for fabricating organic TE generators as well as for gaining deep insights into the effects of solution‐state doping on the electrical and structural properties of conjugated polymers.</w:t>
      </w:r>
    </w:p>
    <w:p>
      <w:pPr>
        <w:spacing w:before="120" w:after="120"/>
      </w:pPr>
      <w:r>
        <w:rPr>
          <w:sz w:val="18"/>
        </w:rPr>
        <w:t>——————————————————————————————————————————————————————————————————————</w:t>
      </w:r>
    </w:p>
    <w:p>
      <w:pPr>
        <w:spacing w:before="160" w:after="40" w:line="240" w:lineRule="auto"/>
      </w:pPr>
      <w:r>
        <w:rPr>
          <w:b/>
        </w:rPr>
        <w:t xml:space="preserve">[400] </w:t>
      </w:r>
      <w:hyperlink r:id="rId727">
        <w:r>
          <w:rPr>
            <w:color w:val="1155CC"/>
            <w:u w:val="single"/>
          </w:rPr>
          <w:t>提高AllPerovskite Tandem 光电层的高效PbíSn Perovskite太阳能电池</w:t>
        </w:r>
      </w:hyperlink>
    </w:p>
    <w:p>
      <w:pPr>
        <w:spacing w:before="0" w:after="80"/>
      </w:pPr>
      <w:r>
        <w:rPr>
          <w:i/>
          <w:sz w:val="20"/>
        </w:rPr>
        <w:t>EN: Interface Matters: Boosting Efficient Pb‐Sn Perovskite Solar Cells for All‐Perovskite Tandem Photovoltaics</w:t>
      </w:r>
    </w:p>
    <w:p>
      <w:pPr>
        <w:spacing w:before="0" w:after="120"/>
      </w:pPr>
      <w:r>
        <w:rPr>
          <w:b/>
        </w:rPr>
        <w:t xml:space="preserve">Source: </w:t>
      </w:r>
      <w:r>
        <w:t>Wiley: Advanced Materials: Table of Contents</w:t>
      </w:r>
      <w:r>
        <w:t xml:space="preserve">    </w:t>
      </w:r>
      <w:r>
        <w:rPr>
          <w:b/>
        </w:rPr>
        <w:t xml:space="preserve">Pub date: </w:t>
      </w:r>
      <w:r>
        <w:t>2026-01-05 13:46:31+00:00</w:t>
      </w:r>
      <w:r>
        <w:t xml:space="preserve">    </w:t>
      </w:r>
      <w:r>
        <w:rPr>
          <w:b/>
        </w:rPr>
        <w:t xml:space="preserve">DOI: </w:t>
      </w:r>
      <w:hyperlink r:id="rId728">
        <w:r>
          <w:rPr>
            <w:color w:val="1155CC"/>
            <w:u w:val="single"/>
          </w:rPr>
          <w:t>10.1002/adma.202521789</w:t>
        </w:r>
      </w:hyperlink>
    </w:p>
    <w:p>
      <w:pPr>
        <w:spacing w:before="0" w:after="120"/>
      </w:pPr>
      <w:r>
        <w:rPr>
          <w:b/>
        </w:rPr>
        <w:t xml:space="preserve">Notes: </w:t>
      </w:r>
      <w:r>
        <w:t>abstract_source=crossref</w:t>
      </w:r>
    </w:p>
    <w:p>
      <w:pPr>
        <w:spacing w:before="0" w:after="80" w:lineRule="auto" w:line="276"/>
      </w:pPr>
      <w:r>
        <w:rPr>
          <w:b/>
        </w:rPr>
        <w:t xml:space="preserve">摘要（ZH）: </w:t>
      </w:r>
      <w:r>
        <w:t>为了克服单核对齐千伏夫斯基太阳能电池(PSCs)的理论效率限制,开发全极珀罗夫斯基同步太阳能电池(APTSCs)吸引了很大的兴趣,因为其成本低、效率高、与弹性基质相容。目前,APTSC的绩效主要受窄带铅化(Pb-Sn)极低效的极低性能的限制,其原因是Sn 2+不稳定和不平衡的结晶化过程导致界面质量差。令人鼓舞的是,最近在合理界面工程方面的突破使得高质量的Pb-Sn perovskite电影的制作得以以优化的界面来进行,从而提升了胶片质量。</w:t>
      </w:r>
    </w:p>
    <w:p>
      <w:pPr>
        <w:spacing w:before="0" w:after="200" w:lineRule="auto" w:line="276"/>
      </w:pPr>
      <w:r>
        <w:rPr>
          <w:b/>
        </w:rPr>
        <w:t xml:space="preserve">Abstract (EN): </w:t>
      </w:r>
      <w:r>
        <w:t>To overcome the theoretical efficiency limit of single‐junction perovskite solar cells (PSCs), the development of all‐perovskite tandem solar cells (APTSCs) has attracted significant interest due to their low cost, high efficiency, and compatibility with flexible substrates. Currently, the performance of APTSCs is primarily constrained by the inferior performance of narrow‐bandgap lead‐tin (Pb─Sn) perovskite sub‐cells, stemming from poor interface quality caused by Sn</w:t>
      </w:r>
      <w:r>
        <w:t xml:space="preserve"> </w:t>
      </w:r>
      <w:r>
        <w:t>2+</w:t>
      </w:r>
      <w:r>
        <w:t xml:space="preserve"> </w:t>
      </w:r>
      <w:r>
        <w:t>instability and an unbalanced crystallization process. Encouragingly, recent breakthroughs in rational interface engineering have enabled the construction of high‐quality Pb─Sn perovskite films with optimized interfaces, boosting the efficiency of APTSCs beyond 30%. Herein, we provide a comprehensive review of the recent advances in interface engineering for realizing efficient Pb─Sn PSCs and APTSCs. First, we introduce the fundamental challenges and potential solutions associated with the different interfaces in Pb─Sn PSCs, including the grain boundaries, buried interface, and top interface. Subsequently, we carefully examine cutting‐edge strategies and their underlying mechanisms for addressing these interface issues of Pb─Sn PSCs, and the corresponding performance of their APTSCs is also summarized. Finally, we offer a critical perspective on this exciting field. This review is intended to inspire new ideas for further performance improvements in Pb─Sn PSCs and APTSCs.</w:t>
      </w:r>
    </w:p>
    <w:p>
      <w:pPr>
        <w:spacing w:before="120" w:after="120"/>
      </w:pPr>
      <w:r>
        <w:rPr>
          <w:sz w:val="18"/>
        </w:rPr>
        <w:t>——————————————————————————————————————————————————————————————————————</w:t>
      </w:r>
    </w:p>
    <w:p>
      <w:pPr>
        <w:spacing w:before="160" w:after="40" w:line="240" w:lineRule="auto"/>
      </w:pPr>
      <w:r>
        <w:rPr>
          <w:b/>
        </w:rPr>
        <w:t xml:space="preserve">[401] </w:t>
      </w:r>
      <w:hyperlink r:id="rId729">
        <w:r>
          <w:rPr>
            <w:color w:val="1155CC"/>
            <w:u w:val="single"/>
          </w:rPr>
          <w:t>改为“含有皮层电动生物膜促进牙科组织再生”</w:t>
        </w:r>
      </w:hyperlink>
    </w:p>
    <w:p>
      <w:pPr>
        <w:spacing w:before="0" w:after="80"/>
      </w:pPr>
      <w:r>
        <w:rPr>
          <w:i/>
          <w:sz w:val="20"/>
        </w:rPr>
        <w:t>EN: Correction to “Strontium‐Containing Piezoelectric Biofilm Promotes Dentin Tissue Regeneration”</w:t>
      </w:r>
    </w:p>
    <w:p>
      <w:pPr>
        <w:spacing w:before="0" w:after="120"/>
      </w:pPr>
      <w:r>
        <w:rPr>
          <w:b/>
        </w:rPr>
        <w:t xml:space="preserve">Source: </w:t>
      </w:r>
      <w:r>
        <w:t>Wiley: Advanced Materials: Table of Contents</w:t>
      </w:r>
      <w:r>
        <w:t xml:space="preserve">    </w:t>
      </w:r>
      <w:r>
        <w:rPr>
          <w:b/>
        </w:rPr>
        <w:t xml:space="preserve">Pub date: </w:t>
      </w:r>
      <w:r>
        <w:t>2026-01-05 13:50:00+00:00</w:t>
      </w:r>
      <w:r>
        <w:t xml:space="preserve">    </w:t>
      </w:r>
      <w:r>
        <w:rPr>
          <w:b/>
        </w:rPr>
        <w:t xml:space="preserve">DOI: </w:t>
      </w:r>
      <w:hyperlink r:id="rId730">
        <w:r>
          <w:rPr>
            <w:color w:val="1155CC"/>
            <w:u w:val="single"/>
          </w:rPr>
          <w:t>10.1002/adma.72048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[402] </w:t>
      </w:r>
      <w:hyperlink r:id="rId731">
        <w:r>
          <w:rPr>
            <w:color w:val="1155CC"/>
            <w:u w:val="single"/>
          </w:rPr>
          <w:t>[ASAP]通过使用甲氧二烯二烯二烯二烯二烯二烯二烯二烯二烯二烯二烯二烯二烯二烯二烯二烯二烯二烯二烯二烯二烯二烯二烯二烯二烯二烯二烯二烯二烯三烯二烯二烯二烯二烯二烯二烯二烯二烯二烯二烯二烯二烯二烯二烯二烯二烯二烯二烯二烯二烯二烯二烯二烯二烯二烯二烯二烯二烯二烯</w:t>
        </w:r>
      </w:hyperlink>
    </w:p>
    <w:p>
      <w:pPr>
        <w:spacing w:before="0" w:after="80"/>
      </w:pPr>
      <w:r>
        <w:rPr>
          <w:i/>
          <w:sz w:val="20"/>
        </w:rPr>
        <w:t>EN: [ASAP] Chemoenzymatic Diazo Synthesis Enabled by Enzymatic Halide Recycling with Vanadium-Dependent Haloperoxidases</w:t>
      </w:r>
    </w:p>
    <w:p>
      <w:pPr>
        <w:spacing w:before="0" w:after="120"/>
      </w:pPr>
      <w:r>
        <w:rPr>
          <w:b/>
        </w:rPr>
        <w:t xml:space="preserve">Source: </w:t>
      </w:r>
      <w:r>
        <w:t>Journal of the American Chemical Society: Latest Articles (ACS Publications)</w:t>
      </w:r>
      <w:r>
        <w:t xml:space="preserve">    </w:t>
      </w:r>
      <w:r>
        <w:rPr>
          <w:b/>
        </w:rPr>
        <w:t xml:space="preserve">Pub date: </w:t>
      </w:r>
      <w:r>
        <w:t>2026-01-05 14:12:06+00:00</w:t>
      </w:r>
      <w:r>
        <w:t xml:space="preserve">    </w:t>
      </w:r>
      <w:r>
        <w:rPr>
          <w:b/>
        </w:rPr>
        <w:t xml:space="preserve">DOI: </w:t>
      </w:r>
      <w:hyperlink r:id="rId732">
        <w:r>
          <w:rPr>
            <w:color w:val="1155CC"/>
            <w:u w:val="single"/>
          </w:rPr>
          <w:t>10.1021/jacs.5c17554</w:t>
        </w:r>
      </w:hyperlink>
    </w:p>
    <w:p>
      <w:pPr>
        <w:spacing w:before="0" w:after="120"/>
      </w:pPr>
      <w:r>
        <w:rPr>
          <w:b/>
        </w:rPr>
        <w:t xml:space="preserve">Notes: </w:t>
      </w:r>
      <w:r>
        <w:t>abstract_source=pubmed</w:t>
      </w:r>
    </w:p>
    <w:p>
      <w:pPr>
        <w:spacing w:before="0" w:after="80" w:lineRule="auto" w:line="276"/>
      </w:pPr>
      <w:r>
        <w:rPr>
          <w:b/>
        </w:rPr>
        <w:t xml:space="preserve">摘要（ZH）: </w:t>
      </w:r>
      <w:r>
        <w:t>Diazo化合物是合成有机化学中特殊碳素前体,尽管在化化学合成和生物催化化学合成中具有多种用途,但是其配制通常需要使用昂贵、有毒和不可持续的试剂。我们在此描述一种化学酶战略,用于用抗依赖卤化酶(VHPO)酶进行循环利用,以制造稳定的diazo化合物。这一过程包括将含碳基化合物转换成中间氢化区,直接受VHPO催化氮-硝基苯(N-N)联结氧化法的制约,以支付相应的diazo化合物。该议定书适用于各种中度至高产量和极优色选择性的碳基。</w:t>
      </w:r>
    </w:p>
    <w:p>
      <w:pPr>
        <w:spacing w:before="0" w:after="200" w:lineRule="auto" w:line="276"/>
      </w:pPr>
      <w:r>
        <w:rPr>
          <w:b/>
        </w:rPr>
        <w:t xml:space="preserve">Abstract (EN): </w:t>
      </w:r>
      <w:r>
        <w:t>Diazo compounds are privileged carbene precursors in synthetic organic chemistry. Despite their versatility in both chemo- and biocatalytic chemical synthesis, their preparation typically requires the use of reagents that are expensive, toxic, and unsustainable. Herein, we describe a chemoenzymatic strategy for the preparation of stabilized diazo compounds enabled by enzymatic halide recycling with vanadium-dependent haloperoxidase (VHPO) enzymes. The process involves the conversion of a carbonyl-containing compound to an intermediate hydrazone that is subjected directly to a VHPO-catalyzed nitrogen-nitrogen (N-N) bond oxidation to afford the corresponding diazo compound. The protocol is applied to a broad range of carbonyls with moderate to high yield and excellent chemoselectivity. A series of molecular docking, molecular dynamics, microscale thermophoresis, and mutagenesis experiments provide insight into reactivity rate differences between (E)- and (Z)-configured hydrazones in the VHPO-mediated oxidation process. Finally, the developed method is interfaced with lipase-mediated transacylation to produce a collection of diazo derivatives starting from a single benzoylformate starting material.</w:t>
      </w:r>
    </w:p>
    <w:p>
      <w:pPr>
        <w:spacing w:before="120" w:after="120"/>
      </w:pPr>
      <w:r>
        <w:rPr>
          <w:sz w:val="18"/>
        </w:rPr>
        <w:t>——————————————————————————————————————————————————————————————————————</w:t>
      </w:r>
    </w:p>
    <w:p>
      <w:pPr>
        <w:spacing w:before="160" w:after="40" w:line="240" w:lineRule="auto"/>
      </w:pPr>
      <w:r>
        <w:rPr>
          <w:b/>
        </w:rPr>
        <w:t xml:space="preserve">[403] </w:t>
      </w:r>
      <w:hyperlink r:id="rId733">
        <w:r>
          <w:rPr>
            <w:color w:val="1155CC"/>
            <w:u w:val="single"/>
          </w:rPr>
          <w:t>[ASAP]通过Cobalt-Catalyzed Enantio选择性选择性脱色盐化氢气化,对奇拉尔多基氯乙烯的模块合成</w:t>
        </w:r>
      </w:hyperlink>
    </w:p>
    <w:p>
      <w:pPr>
        <w:spacing w:before="0" w:after="80"/>
      </w:pPr>
      <w:r>
        <w:rPr>
          <w:i/>
          <w:sz w:val="20"/>
        </w:rPr>
        <w:t>EN: [ASAP] Modular Synthesis of Chiral Multi-Substituted Cyclohexanes via Cobalt-Catalyzed Enantioselective Desymmetrizing Hydroalkylation</w:t>
      </w:r>
    </w:p>
    <w:p>
      <w:pPr>
        <w:spacing w:before="0" w:after="120"/>
      </w:pPr>
      <w:r>
        <w:rPr>
          <w:b/>
        </w:rPr>
        <w:t xml:space="preserve">Source: </w:t>
      </w:r>
      <w:r>
        <w:t>Journal of the American Chemical Society: Latest Articles (ACS Publications)</w:t>
      </w:r>
      <w:r>
        <w:t xml:space="preserve">    </w:t>
      </w:r>
      <w:r>
        <w:rPr>
          <w:b/>
        </w:rPr>
        <w:t xml:space="preserve">Pub date: </w:t>
      </w:r>
      <w:r>
        <w:t>2026-01-05 14:32:03+00:00</w:t>
      </w:r>
      <w:r>
        <w:t xml:space="preserve">    </w:t>
      </w:r>
      <w:r>
        <w:rPr>
          <w:b/>
        </w:rPr>
        <w:t xml:space="preserve">DOI: </w:t>
      </w:r>
      <w:hyperlink r:id="rId734">
        <w:r>
          <w:rPr>
            <w:color w:val="1155CC"/>
            <w:u w:val="single"/>
          </w:rPr>
          <w:t>10.1021/jacs.5c13553</w:t>
        </w:r>
      </w:hyperlink>
    </w:p>
    <w:p>
      <w:pPr>
        <w:spacing w:before="0" w:after="120"/>
      </w:pPr>
      <w:r>
        <w:rPr>
          <w:b/>
        </w:rPr>
        <w:t xml:space="preserve">Notes: </w:t>
      </w:r>
      <w:r>
        <w:t>abstract_source=pubmed</w:t>
      </w:r>
    </w:p>
    <w:p>
      <w:pPr>
        <w:spacing w:before="0" w:after="80" w:lineRule="auto" w:line="276"/>
      </w:pPr>
      <w:r>
        <w:rPr>
          <w:b/>
        </w:rPr>
        <w:t xml:space="preserve">摘要（ZH）: </w:t>
      </w:r>
      <w:r>
        <w:t>在制药、农用化学品和自然产品中,具有高螺旋3特性的多代代六人碳循环机是其特殊框架,因为它们加强了捆绑性、代谢稳定性和三维分子识别,然而,对具有多个C(sp3)立体核的这种密集功能化全碳环进行对应选择性建造仍然是一个重大的合成挑战。在这里,我们报告了一种由钴催化的环己烷衍生物非对称远程水晶反应,使得能够模块化和对等选择性地接触多基代基六人碳循环机,这种转换在温和条件下进行,具有极好的再生和对应选择性,从而能够在广泛的亚基范围内实现精确的分离性立体控制。</w:t>
      </w:r>
    </w:p>
    <w:p>
      <w:pPr>
        <w:spacing w:before="0" w:after="200" w:lineRule="auto" w:line="276"/>
      </w:pPr>
      <w:r>
        <w:rPr>
          <w:b/>
        </w:rPr>
        <w:t xml:space="preserve">Abstract (EN): </w:t>
      </w:r>
      <w:r>
        <w:t>Chiral, multi-substituted six-membered carbocycles with high sp3 character are privileged frameworks in pharmaceuticals, agrochemicals, and natural products, owing to their enhanced binding affinity, metabolic stability, and three-dimensional molecular recognition. However, the enantioselective construction of such densely functionalized all-carbon rings bearing multiple C(sp3) stereocenters remains a major synthetic challenge. Here, we report a cobalt-catalyzed asymmetric remote hydroalkylation of cyclohexene derivatives, enabling modular and enantioselective access to multisubstituted, chiral six-membered carbocycles. This transformation proceeds under mild conditions with excellent regio- and enantioselectivity, allowing for precise distal stereocontrol across a broad substrate scope. The resulting products feature high Fsp3 content and are readily amenable to diversification via radical C-C coupling, photoredox transformations, or Curtius rearrangement. This work provides a powerful strategy for the streamlined synthesis of sp3-rich, stereochemically complex carbocycles, expanding the synthetic toolbox for 3D molecular architectures in drug and materials discovery.</w:t>
      </w:r>
    </w:p>
    <w:p>
      <w:pPr>
        <w:spacing w:before="120" w:after="120"/>
      </w:pPr>
      <w:r>
        <w:rPr>
          <w:sz w:val="18"/>
        </w:rPr>
        <w:t>——————————————————————————————————————————————————————————————————————</w:t>
      </w:r>
    </w:p>
    <w:p>
      <w:pPr>
        <w:spacing w:before="160" w:after="40" w:line="240" w:lineRule="auto"/>
      </w:pPr>
      <w:r>
        <w:rPr>
          <w:b/>
        </w:rPr>
        <w:t xml:space="preserve">[404] </w:t>
      </w:r>
      <w:hyperlink r:id="rId735">
        <w:r>
          <w:rPr>
            <w:color w:val="1155CC"/>
            <w:u w:val="single"/>
          </w:rPr>
          <w:t>[ASAP] 超高溶剂渗透度和分子筛选能力超高溶性助动微型聚聚氨膜的相聚微型聚合体微型环境工程</w:t>
        </w:r>
      </w:hyperlink>
    </w:p>
    <w:p>
      <w:pPr>
        <w:spacing w:before="0" w:after="80"/>
      </w:pPr>
      <w:r>
        <w:rPr>
          <w:i/>
          <w:sz w:val="20"/>
        </w:rPr>
        <w:t>EN: [ASAP] Microenvironment Engineering of Conjugated Microporous Polymer Membranes Enabling Ultrahigh Solvent Permeability and Molecular Sieving</w:t>
      </w:r>
    </w:p>
    <w:p>
      <w:pPr>
        <w:spacing w:before="0" w:after="120"/>
      </w:pPr>
      <w:r>
        <w:rPr>
          <w:b/>
        </w:rPr>
        <w:t xml:space="preserve">Source: </w:t>
      </w:r>
      <w:r>
        <w:t>Journal of the American Chemical Society: Latest Articles (ACS Publications)</w:t>
      </w:r>
      <w:r>
        <w:t xml:space="preserve">    </w:t>
      </w:r>
      <w:r>
        <w:rPr>
          <w:b/>
        </w:rPr>
        <w:t xml:space="preserve">Pub date: </w:t>
      </w:r>
      <w:r>
        <w:t>2026-01-05 14:32:53+00:00</w:t>
      </w:r>
      <w:r>
        <w:t xml:space="preserve">    </w:t>
      </w:r>
      <w:r>
        <w:rPr>
          <w:b/>
        </w:rPr>
        <w:t xml:space="preserve">DOI: </w:t>
      </w:r>
      <w:hyperlink r:id="rId736">
        <w:r>
          <w:rPr>
            <w:color w:val="1155CC"/>
            <w:u w:val="single"/>
          </w:rPr>
          <w:t>10.1021/jacs.5c19172</w:t>
        </w:r>
      </w:hyperlink>
    </w:p>
    <w:p>
      <w:pPr>
        <w:spacing w:before="0" w:after="120"/>
      </w:pPr>
      <w:r>
        <w:rPr>
          <w:b/>
        </w:rPr>
        <w:t xml:space="preserve">Notes: </w:t>
      </w:r>
      <w:r>
        <w:t>abstract_source=pubmed</w:t>
      </w:r>
    </w:p>
    <w:p>
      <w:pPr>
        <w:spacing w:before="0" w:after="80" w:lineRule="auto" w:line="276"/>
      </w:pPr>
      <w:r>
        <w:rPr>
          <w:b/>
        </w:rPr>
        <w:t xml:space="preserve">摘要（ZH）: </w:t>
      </w:r>
      <w:r>
        <w:t>分离技术大规模转让的强化要求有精密设计的孔状建筑和化学以及可缩放制造的薄膜。在这里,第一批大型的大型混凝微型聚聚聚合物(CMP)复合薄膜是通过溶解-处理超酸性催化催化氯酮凝结制造的,展示出超高溶溶剂渗透性和特殊的化学稳定性。通过纳入氟化聚糖体对CMPs进行分子微环境工程,实现了等级自由量控制,并形成了以低地表能量为单位的封闭式大规模传输纳米通道。氟化的CMP(Fx-CMP)膜提供了最高的结构参数(/),并且记录了聚苯乙烯渗透度为2272 L-2 h-1巴-毫米。</w:t>
      </w:r>
    </w:p>
    <w:p>
      <w:pPr>
        <w:spacing w:before="0" w:after="200" w:lineRule="auto" w:line="276"/>
      </w:pPr>
      <w:r>
        <w:rPr>
          <w:b/>
        </w:rPr>
        <w:t xml:space="preserve">Abstract (EN): </w:t>
      </w:r>
      <w:r>
        <w:t>Mass transfer intensification in separation technologies requires membranes with precisely engineered pore architectures and chemistry, as well as scalable fabrication. Herein, the first large-scale conjugated microporous polymer (CMP) composite membranes have been fabricated via solution-processable superacid-catalyzed ketone condensation, exhibiting ultrahigh solvent permeability and exceptional chemical stability. Molecular microenvironment engineering of CMPs via incorporation of fluorinated moieties achieves hierarchical free-volume control and forms confined mass transfer nanochannels with low surface energy. The fluorinated CMP (Fx-CMP) membranes deliver the highest structural parameter (ε/τ) and a record n-hexane permeability of 2272 L m-2 h-1 bar-1 nm, reported to date among polymer membranes. The inertness of C-F bonds, coupled with fluorine-induced reduction in aryl electrophilicity, confers exceptional resistance to 18 M H2SO4, surpassing all previously reported acid-resistant membranes. When applied to separate active pharmaceutical ingredients (APIs), the Fx-CMP membrane achieved a 50-fold enrichment of API within 2.2 h, with a 90% reduction in CO2 emissions compared to conventional thermal separation processes.</w:t>
      </w:r>
    </w:p>
    <w:p>
      <w:pPr>
        <w:spacing w:before="120" w:after="120"/>
      </w:pPr>
      <w:r>
        <w:rPr>
          <w:sz w:val="18"/>
        </w:rPr>
        <w:t>——————————————————————————————————————————————————————————————————————</w:t>
      </w:r>
    </w:p>
    <w:p>
      <w:pPr>
        <w:spacing w:before="160" w:after="40" w:line="240" w:lineRule="auto"/>
      </w:pPr>
      <w:r>
        <w:rPr>
          <w:b/>
        </w:rPr>
        <w:t xml:space="preserve">[405] </w:t>
      </w:r>
      <w:hyperlink r:id="rId737">
        <w:r>
          <w:rPr>
            <w:color w:val="1155CC"/>
            <w:u w:val="single"/>
          </w:rPr>
          <w:t>[ASAP] 利用纳米级热结构核心(BiFeO3基陶瓷中增强能源储存的贝壳阶段)</w:t>
        </w:r>
      </w:hyperlink>
    </w:p>
    <w:p>
      <w:pPr>
        <w:spacing w:before="0" w:after="80"/>
      </w:pPr>
      <w:r>
        <w:rPr>
          <w:i/>
          <w:sz w:val="20"/>
        </w:rPr>
        <w:t>EN: [ASAP] Harnessing Nanoscale Heterostructure Core–Shell Phase for Enhanced Energy Storage in BiFeO3-Based Ceramics</w:t>
      </w:r>
    </w:p>
    <w:p>
      <w:pPr>
        <w:spacing w:before="0" w:after="120"/>
      </w:pPr>
      <w:r>
        <w:rPr>
          <w:b/>
        </w:rPr>
        <w:t xml:space="preserve">Source: </w:t>
      </w:r>
      <w:r>
        <w:t>ACS Energy Letters: Latest Articles (ACS Publications)</w:t>
      </w:r>
      <w:r>
        <w:t xml:space="preserve">    </w:t>
      </w:r>
      <w:r>
        <w:rPr>
          <w:b/>
        </w:rPr>
        <w:t xml:space="preserve">Pub date: </w:t>
      </w:r>
      <w:r>
        <w:t>2026-01-05 15:43:28+00:00</w:t>
      </w:r>
      <w:r>
        <w:t xml:space="preserve">    </w:t>
      </w:r>
      <w:r>
        <w:rPr>
          <w:b/>
        </w:rPr>
        <w:t xml:space="preserve">DOI: </w:t>
      </w:r>
      <w:hyperlink r:id="rId738">
        <w:r>
          <w:rPr>
            <w:color w:val="1155CC"/>
            <w:u w:val="single"/>
          </w:rPr>
          <w:t>10.1021/acsenergylett.5c03119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[406] </w:t>
      </w:r>
      <w:hyperlink r:id="rId739">
        <w:r>
          <w:rPr>
            <w:color w:val="1155CC"/>
            <w:u w:val="single"/>
          </w:rPr>
          <w:t>[ASAP]缺乏证据支持广泛使用1,2-二溴乙烷作为锌的活性剂:替代品阻塞或TMSCl 活性</w:t>
        </w:r>
      </w:hyperlink>
    </w:p>
    <w:p>
      <w:pPr>
        <w:spacing w:before="0" w:after="80"/>
      </w:pPr>
      <w:r>
        <w:rPr>
          <w:i/>
          <w:sz w:val="20"/>
        </w:rPr>
        <w:t>EN: [ASAP] Lack of Evidence Supporting Widespread Use of 1,2-Dibromoethane as an Activator for Zinc: Alternative Stirring or TMSCl Activation</w:t>
      </w:r>
    </w:p>
    <w:p>
      <w:pPr>
        <w:spacing w:before="0" w:after="120"/>
      </w:pPr>
      <w:r>
        <w:rPr>
          <w:b/>
        </w:rPr>
        <w:t xml:space="preserve">Source: </w:t>
      </w:r>
      <w:r>
        <w:t>Journal of the American Chemical Society: Latest Articles (ACS Publications)</w:t>
      </w:r>
      <w:r>
        <w:t xml:space="preserve">    </w:t>
      </w:r>
      <w:r>
        <w:rPr>
          <w:b/>
        </w:rPr>
        <w:t xml:space="preserve">Pub date: </w:t>
      </w:r>
      <w:r>
        <w:t>2026-01-05 15:51:04+00:00</w:t>
      </w:r>
      <w:r>
        <w:t xml:space="preserve">    </w:t>
      </w:r>
      <w:r>
        <w:rPr>
          <w:b/>
        </w:rPr>
        <w:t xml:space="preserve">DOI: </w:t>
      </w:r>
      <w:hyperlink r:id="rId740">
        <w:r>
          <w:rPr>
            <w:color w:val="1155CC"/>
            <w:u w:val="single"/>
          </w:rPr>
          <w:t>10.1021/jacs.5c14352</w:t>
        </w:r>
      </w:hyperlink>
    </w:p>
    <w:p>
      <w:pPr>
        <w:spacing w:before="0" w:after="120"/>
      </w:pPr>
      <w:r>
        <w:rPr>
          <w:b/>
        </w:rPr>
        <w:t xml:space="preserve">Notes: </w:t>
      </w:r>
      <w:r>
        <w:t>abstract_source=pubmed</w:t>
      </w:r>
    </w:p>
    <w:p>
      <w:pPr>
        <w:spacing w:before="0" w:after="80" w:lineRule="auto" w:line="276"/>
      </w:pPr>
      <w:r>
        <w:rPr>
          <w:b/>
        </w:rPr>
        <w:t xml:space="preserve">摘要（ZH）: </w:t>
      </w:r>
      <w:r>
        <w:t>几十年的规程利用1,2-二溴乙烷作为锌金属粉的活性剂,以促进直接插入有机卤化物,但缺乏研究其对反应率的影响的动能实验。在这里,由条件和浓度控制的1H NMR 光谱动能实验测量率、诱导期和产量 - 令人惊讶地显示,通常报告的合成条件和1,2二溴乙烷的数量(4 毫升%)对直接插入烷基碘化物的速度没有影响。相反,随着公布的“化学”激活议定书的合成程序而出现的物理扰动过程本身就加快了速度。这一发现被改制成亚甲醇基碘化物作为具有较长感应期的样板,导致第十个步骤的加速。</w:t>
      </w:r>
    </w:p>
    <w:p>
      <w:pPr>
        <w:spacing w:before="0" w:after="200" w:lineRule="auto" w:line="276"/>
      </w:pPr>
      <w:r>
        <w:rPr>
          <w:b/>
        </w:rPr>
        <w:t xml:space="preserve">Abstract (EN): </w:t>
      </w:r>
      <w:r>
        <w:t>Decades of protocols use 1,2-dibromoethane as an activating agent for zinc metal powder to promote direct insertion into organohalides, but kinetics experiments examining its effect on reaction rates are absent. Here condition- and concentration-controlled 1H NMR spectroscopy kinetics experiments measure rates, induction periods, and yields─and surprisingly showed that typically reported synthetic conditions and quantities of 1,2-dibromoethane (4 mol %) had no effect on the rate of direct insertion of alkyl iodides. Instead, an acceleration was caused by the physical stirring processes alone that accompanied the published synthetic procedures for the "chemical" activation protocol. This finding was adapted to aryl iodides as an example substrate with longer induction periods, leading to the discovery that relatively short prestir times (1 h) with a magnetic stir bar produced activation of zinc that approached similar degrees (∼85%) in the absence of 1,2-dibromoethane. An origin of the previously observed activation is therefore reassigned, in part, to mechanical activation of the surface during these processes. When 1,2-dibromoethane and trimethylsilyl chloride (TMSCl) were both present, as in many reported synthetic protocols, TMSCl caused full activation, and 1,2-dibromoethane caused no additional effect. The broad replacement of 1,2-dibromoethane activation is thus supported.</w:t>
      </w:r>
    </w:p>
    <w:p>
      <w:pPr>
        <w:spacing w:before="120" w:after="120"/>
      </w:pPr>
      <w:r>
        <w:rPr>
          <w:sz w:val="18"/>
        </w:rPr>
        <w:t>——————————————————————————————————————————————————————————————————————</w:t>
      </w:r>
    </w:p>
    <w:p>
      <w:pPr>
        <w:spacing w:before="160" w:after="40" w:line="240" w:lineRule="auto"/>
      </w:pPr>
      <w:r>
        <w:rPr>
          <w:b/>
        </w:rPr>
        <w:t xml:space="preserve">[407] </w:t>
      </w:r>
      <w:hyperlink r:id="rId741">
        <w:r>
          <w:rPr>
            <w:color w:val="1155CC"/>
            <w:u w:val="single"/>
          </w:rPr>
          <w:t>[ASAP]在Situ可变光热中,针对奇美拉斯的静地可变光热,用于微粒可控制的蛋白降解和综合抗癌免疫疗法</w:t>
        </w:r>
      </w:hyperlink>
    </w:p>
    <w:p>
      <w:pPr>
        <w:spacing w:before="0" w:after="80"/>
      </w:pPr>
      <w:r>
        <w:rPr>
          <w:i/>
          <w:sz w:val="20"/>
        </w:rPr>
        <w:t>EN: [ASAP] In Situ Transformable Photothermal Targeting Chimeras for Spatiotemporally Controllable Protein Degradation and Combination Immunotherapy for Cancer</w:t>
      </w:r>
    </w:p>
    <w:p>
      <w:pPr>
        <w:spacing w:before="0" w:after="120"/>
      </w:pPr>
      <w:r>
        <w:rPr>
          <w:b/>
        </w:rPr>
        <w:t xml:space="preserve">Source: </w:t>
      </w:r>
      <w:r>
        <w:t>Journal of the American Chemical Society: Latest Articles (ACS Publications)</w:t>
      </w:r>
      <w:r>
        <w:t xml:space="preserve">    </w:t>
      </w:r>
      <w:r>
        <w:rPr>
          <w:b/>
        </w:rPr>
        <w:t xml:space="preserve">Pub date: </w:t>
      </w:r>
      <w:r>
        <w:t>2026-01-05 15:52:08+00:00</w:t>
      </w:r>
      <w:r>
        <w:t xml:space="preserve">    </w:t>
      </w:r>
      <w:r>
        <w:rPr>
          <w:b/>
        </w:rPr>
        <w:t xml:space="preserve">DOI: </w:t>
      </w:r>
      <w:hyperlink r:id="rId742">
        <w:r>
          <w:rPr>
            <w:color w:val="1155CC"/>
            <w:u w:val="single"/>
          </w:rPr>
          <w:t>10.1021/jacs.5c16311</w:t>
        </w:r>
      </w:hyperlink>
    </w:p>
    <w:p>
      <w:pPr>
        <w:spacing w:before="0" w:after="120"/>
      </w:pPr>
      <w:r>
        <w:rPr>
          <w:b/>
        </w:rPr>
        <w:t xml:space="preserve">Notes: </w:t>
      </w:r>
      <w:r>
        <w:t>abstract_source=pubmed</w:t>
      </w:r>
    </w:p>
    <w:p>
      <w:pPr>
        <w:spacing w:before="0" w:after="80" w:lineRule="auto" w:line="276"/>
      </w:pPr>
      <w:r>
        <w:rPr>
          <w:b/>
        </w:rPr>
        <w:t xml:space="preserve">摘要（ZH）: </w:t>
      </w:r>
      <w:r>
        <w:t>在癌症治疗方面,广泛应用了有针对性的蛋白退化技术(TPD),但是,目前的TPD方法受到两大限制,即缺乏组织和子细胞特性,无法精确地定位,以及由于依赖单一传统途径监管,降解后效益不足。 为了实现与免疫有关的膜和细胞内相关蛋白的肿瘤特有退化,我们通过将光热剂和蛋白离子结合,合理设计了一套光热定位辣椒(PTTACs ) 。PTTACs展示了高光热转化效力和蛋白结合性,很容易被装入酸性活性小鼠纳米粒子,并可以具体投放到肿瘤微粒中。</w:t>
      </w:r>
    </w:p>
    <w:p>
      <w:pPr>
        <w:spacing w:before="0" w:after="200" w:lineRule="auto" w:line="276"/>
      </w:pPr>
      <w:r>
        <w:rPr>
          <w:b/>
        </w:rPr>
        <w:t xml:space="preserve">Abstract (EN): </w:t>
      </w:r>
      <w:r>
        <w:t>Targeted protein degradation (TPD) technology has been extensively exploited for cancer therapy. However, current TPD approaches suffer from two major limitations that the lack of tissue and subcellular specificity for precise localization, and insufficient postdegradation benefits due to their reliance on single traditional pathway regulation. To achieve tumor-specific degradation of immune-related membrane and intracellular proteins of interest, we rationally engineered a set of photothermal-targeting chimeras (PTTACs) by integrating a photothermal agent and a protein ligand. The PTTACs display superior photothermal conversion efficacy and protein binding affinity, can be readily loaded into acidity-activatable micellar nanoparticles, and can be specifically delivered into the tumor milieu for in situ self-assembly into two-dimensional nanosheets and selectively bind to proteins of interest. The combination of 808 nm laser irradiation with PTTAC nanosheets highly specifically degrades both the membrane (e.g., PD-L1) and intracellular (e.g., BRD4) proteins via the autophagy pathway. The PTTAC-based nanoplatform combination markedly reduced 4T1 breast tumor growth upon 808 nm laser irradiation and suppressed metastasis by durably abolishing PD-L1 and BRD4 expression, outperforming single-pathway therapy. Overall, this study provides a robust strategy for spatiotemporally confined all-protein degradation and combination immunotherapy of solid tumors.</w:t>
      </w:r>
    </w:p>
    <w:p>
      <w:pPr>
        <w:spacing w:before="120" w:after="120"/>
      </w:pPr>
      <w:r>
        <w:rPr>
          <w:sz w:val="18"/>
        </w:rPr>
        <w:t>——————————————————————————————————————————————————————————————————————</w:t>
      </w:r>
    </w:p>
    <w:p>
      <w:pPr>
        <w:spacing w:before="160" w:after="40" w:line="240" w:lineRule="auto"/>
      </w:pPr>
      <w:r>
        <w:rPr>
          <w:b/>
        </w:rPr>
        <w:t xml:space="preserve">[408] </w:t>
      </w:r>
      <w:hyperlink r:id="rId743">
        <w:r>
          <w:rPr>
            <w:color w:val="1155CC"/>
            <w:u w:val="single"/>
          </w:rPr>
          <w:t>[ASAP]在异花表面测绘甘立库RNAs</w:t>
        </w:r>
      </w:hyperlink>
    </w:p>
    <w:p>
      <w:pPr>
        <w:spacing w:before="0" w:after="80"/>
      </w:pPr>
      <w:r>
        <w:rPr>
          <w:i/>
          <w:sz w:val="20"/>
        </w:rPr>
        <w:t>EN: [ASAP] Mapping GlycoRNAs on an Exosomal Surface</w:t>
      </w:r>
    </w:p>
    <w:p>
      <w:pPr>
        <w:spacing w:before="0" w:after="120"/>
      </w:pPr>
      <w:r>
        <w:rPr>
          <w:b/>
        </w:rPr>
        <w:t xml:space="preserve">Source: </w:t>
      </w:r>
      <w:r>
        <w:t>Journal of the American Chemical Society: Latest Articles (ACS Publications)</w:t>
      </w:r>
      <w:r>
        <w:t xml:space="preserve">    </w:t>
      </w:r>
      <w:r>
        <w:rPr>
          <w:b/>
        </w:rPr>
        <w:t xml:space="preserve">Pub date: </w:t>
      </w:r>
      <w:r>
        <w:t>2026-01-05 16:04:03+00:00</w:t>
      </w:r>
      <w:r>
        <w:t xml:space="preserve">    </w:t>
      </w:r>
      <w:r>
        <w:rPr>
          <w:b/>
        </w:rPr>
        <w:t xml:space="preserve">DOI: </w:t>
      </w:r>
      <w:hyperlink r:id="rId744">
        <w:r>
          <w:rPr>
            <w:color w:val="1155CC"/>
            <w:u w:val="single"/>
          </w:rPr>
          <w:t>10.1021/jacs.5c19319</w:t>
        </w:r>
      </w:hyperlink>
    </w:p>
    <w:p>
      <w:pPr>
        <w:spacing w:before="0" w:after="120"/>
      </w:pPr>
      <w:r>
        <w:rPr>
          <w:b/>
        </w:rPr>
        <w:t xml:space="preserve">Notes: </w:t>
      </w:r>
      <w:r>
        <w:t>abstract_source=pubmed</w:t>
      </w:r>
    </w:p>
    <w:p>
      <w:pPr>
        <w:spacing w:before="0" w:after="80" w:lineRule="auto" w:line="276"/>
      </w:pPr>
      <w:r>
        <w:rPr>
          <w:b/>
        </w:rPr>
        <w:t xml:space="preserve">摘要（ZH）: </w:t>
      </w:r>
      <w:r>
        <w:t>本研究结合RNA约束性染染染或分子信标(MB),引入了一种创新的周期氧化和氧化离星法(OL),以探测内生外表外表外表的晶体RNAs,应对外生纳米尺寸构成的挑战,以及缺乏适当的检测技术。这一方法有助于确定直接的胶层-RNA联系,有可能增进我们对甘基RNA生物学的理解。该方法的特性和灵敏性通过一种分辨外表受色光束的双标签法得到验证,这种分辨得到流动细胞测量法和直接光学重建光学显微镜(dStorM)的证实。此外,还利用树脂质和pittide-N-glycosidase F (PNGase F) e 的酶处理。</w:t>
      </w:r>
    </w:p>
    <w:p>
      <w:pPr>
        <w:spacing w:before="0" w:after="200" w:lineRule="auto" w:line="276"/>
      </w:pPr>
      <w:r>
        <w:rPr>
          <w:b/>
        </w:rPr>
        <w:t xml:space="preserve">Abstract (EN): </w:t>
      </w:r>
      <w:r>
        <w:t>This study introduces an innovative periodate oxidation and oxime ligation (OL) method in combination with RNA-binding dyes or molecular beacons (MB) to detect glycoRNAs on endosome-derived exosome surfaces, addressing the challenges posed by exosomes nanoscopic dimensions and the lack of suitable detection techniques. This method enabled the identification of a direct glycan-RNA linkage, potentially advancing our understanding of glycoRNA biology. The method's specificity and sensitivity were validated using a sequential dual-labeling approach that distinguished exosome-surface-bound glycoRNAs, which was confirmed by flow cytometry and direct stochastic optical reconstruction microscopy (dSTORM). Furthermore, enzymatic treatments with ribonucleases and peptide-N-glycosidase F (PNGase F) elucidated the location and stability of glycan modifications, suggesting a significant role of glycoRNAs in cellular uptake for effective intercellular communication. The approach not only bypasses the need for metabolic chemical reporters but also lays the groundwork for exploring unknown glycoRNA sequences and expanding the investigation beyond sialic acids, thereby broadening the scope of epitranscriptomics and providing potential therapeutic insights.</w:t>
      </w:r>
    </w:p>
    <w:p>
      <w:pPr>
        <w:spacing w:before="120" w:after="120"/>
      </w:pPr>
      <w:r>
        <w:rPr>
          <w:sz w:val="18"/>
        </w:rPr>
        <w:t>——————————————————————————————————————————————————————————————————————</w:t>
      </w:r>
    </w:p>
    <w:p>
      <w:pPr>
        <w:spacing w:before="160" w:after="40" w:line="240" w:lineRule="auto"/>
      </w:pPr>
      <w:r>
        <w:rPr>
          <w:b/>
        </w:rPr>
        <w:t xml:space="preserve">[409] </w:t>
      </w:r>
      <w:hyperlink r:id="rId745">
        <w:r>
          <w:rPr>
            <w:color w:val="1155CC"/>
            <w:u w:val="single"/>
          </w:rPr>
          <w:t>[ASAP] Sn-Pb Perovskites和全Perovskite Tandem太阳能电池的高当前密度和稳定性</w:t>
        </w:r>
      </w:hyperlink>
    </w:p>
    <w:p>
      <w:pPr>
        <w:spacing w:before="0" w:after="80"/>
      </w:pPr>
      <w:r>
        <w:rPr>
          <w:i/>
          <w:sz w:val="20"/>
        </w:rPr>
        <w:t>EN: [ASAP] Hole-Transport Layer for High Current Density and Stability of Sn–Pb Perovskites and All-Perovskite Tandem Solar Cells</w:t>
      </w:r>
    </w:p>
    <w:p>
      <w:pPr>
        <w:spacing w:before="0" w:after="120"/>
      </w:pPr>
      <w:r>
        <w:rPr>
          <w:b/>
        </w:rPr>
        <w:t xml:space="preserve">Source: </w:t>
      </w:r>
      <w:r>
        <w:t>ACS Energy Letters: Latest Articles (ACS Publications)</w:t>
      </w:r>
      <w:r>
        <w:t xml:space="preserve">    </w:t>
      </w:r>
      <w:r>
        <w:rPr>
          <w:b/>
        </w:rPr>
        <w:t xml:space="preserve">Pub date: </w:t>
      </w:r>
      <w:r>
        <w:t>2026-01-05 16:26:35+00:00</w:t>
      </w:r>
      <w:r>
        <w:t xml:space="preserve">    </w:t>
      </w:r>
      <w:r>
        <w:rPr>
          <w:b/>
        </w:rPr>
        <w:t xml:space="preserve">DOI: </w:t>
      </w:r>
      <w:hyperlink r:id="rId746">
        <w:r>
          <w:rPr>
            <w:color w:val="1155CC"/>
            <w:u w:val="single"/>
          </w:rPr>
          <w:t>10.1021/acsenergylett.5c03341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[410] </w:t>
      </w:r>
      <w:hyperlink r:id="rId747">
        <w:r>
          <w:rPr>
            <w:color w:val="1155CC"/>
            <w:u w:val="single"/>
          </w:rPr>
          <w:t>[ASAP] 单立石膜单流细胞中氮和水的连续氨电合成</w:t>
        </w:r>
      </w:hyperlink>
    </w:p>
    <w:p>
      <w:pPr>
        <w:spacing w:before="0" w:after="80"/>
      </w:pPr>
      <w:r>
        <w:rPr>
          <w:i/>
          <w:sz w:val="20"/>
        </w:rPr>
        <w:t>EN: [ASAP] Continuous Ammonia Electrosynthesis from Nitrogen and Water in a Monolithic Pd Membrane-Based Flow Cell</w:t>
      </w:r>
    </w:p>
    <w:p>
      <w:pPr>
        <w:spacing w:before="0" w:after="120"/>
      </w:pPr>
      <w:r>
        <w:rPr>
          <w:b/>
        </w:rPr>
        <w:t xml:space="preserve">Source: </w:t>
      </w:r>
      <w:r>
        <w:t>ACS Energy Letters: Latest Articles (ACS Publications)</w:t>
      </w:r>
      <w:r>
        <w:t xml:space="preserve">    </w:t>
      </w:r>
      <w:r>
        <w:rPr>
          <w:b/>
        </w:rPr>
        <w:t xml:space="preserve">Pub date: </w:t>
      </w:r>
      <w:r>
        <w:t>2026-01-05 16:50:01+00:00</w:t>
      </w:r>
      <w:r>
        <w:t xml:space="preserve">    </w:t>
      </w:r>
      <w:r>
        <w:rPr>
          <w:b/>
        </w:rPr>
        <w:t xml:space="preserve">DOI: </w:t>
      </w:r>
      <w:hyperlink r:id="rId748">
        <w:r>
          <w:rPr>
            <w:color w:val="1155CC"/>
            <w:u w:val="single"/>
          </w:rPr>
          <w:t>10.1021/acsenergylett.5c03617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[411] </w:t>
      </w:r>
      <w:hyperlink r:id="rId749">
        <w:r>
          <w:rPr>
            <w:color w:val="1155CC"/>
            <w:u w:val="single"/>
          </w:rPr>
          <w:t>[ASAP] 一种理想的地表显示,它有多活跃,为什么降低等级:SrTi05/Fe0.5O3  具有原子平坦层的模拟薄膜-A案例研究</w:t>
        </w:r>
      </w:hyperlink>
    </w:p>
    <w:p>
      <w:pPr>
        <w:spacing w:before="0" w:after="80"/>
      </w:pPr>
      <w:r>
        <w:rPr>
          <w:i/>
          <w:sz w:val="20"/>
        </w:rPr>
        <w:t>EN: [ASAP] An Ideal Surface Reveals How Active It Is and Why It Degrades: SrTi0.5Fe0.5O3−δ Model Thin Film with Atomically Flat Terraces─A Case Study</w:t>
      </w:r>
    </w:p>
    <w:p>
      <w:pPr>
        <w:spacing w:before="0" w:after="120"/>
      </w:pPr>
      <w:r>
        <w:rPr>
          <w:b/>
        </w:rPr>
        <w:t xml:space="preserve">Source: </w:t>
      </w:r>
      <w:r>
        <w:t>Journal of the American Chemical Society: Latest Articles (ACS Publications)</w:t>
      </w:r>
      <w:r>
        <w:t xml:space="preserve">    </w:t>
      </w:r>
      <w:r>
        <w:rPr>
          <w:b/>
        </w:rPr>
        <w:t xml:space="preserve">Pub date: </w:t>
      </w:r>
      <w:r>
        <w:t>2026-01-05 17:02:25+00:00</w:t>
      </w:r>
      <w:r>
        <w:t xml:space="preserve">    </w:t>
      </w:r>
      <w:r>
        <w:rPr>
          <w:b/>
        </w:rPr>
        <w:t xml:space="preserve">DOI: </w:t>
      </w:r>
      <w:hyperlink r:id="rId750">
        <w:r>
          <w:rPr>
            <w:color w:val="1155CC"/>
            <w:u w:val="single"/>
          </w:rPr>
          <w:t>10.1021/jacs.5c15728</w:t>
        </w:r>
      </w:hyperlink>
    </w:p>
    <w:p>
      <w:pPr>
        <w:spacing w:before="0" w:after="120"/>
      </w:pPr>
      <w:r>
        <w:rPr>
          <w:b/>
        </w:rPr>
        <w:t xml:space="preserve">Notes: </w:t>
      </w:r>
      <w:r>
        <w:t>abstract_source=pubmed</w:t>
      </w:r>
    </w:p>
    <w:p>
      <w:pPr>
        <w:spacing w:before="0" w:after="80" w:lineRule="auto" w:line="276"/>
      </w:pPr>
      <w:r>
        <w:rPr>
          <w:b/>
        </w:rPr>
        <w:t xml:space="preserve">摘要（ZH）: </w:t>
      </w:r>
      <w:r>
        <w:t>地表电解分离,特别是施用(Sr),被确定为造成各种能源转换装置中使用的无氧氧化亚氮电极性能退化的一个主要因素,然而,由于过氧化亚氮表面的化学和结构复杂,地表隔离背后的机制及其对电极活动的影响只得到部分理解,此外,这种现象发生在无氧合成过程中,使情况更加复杂。为解决这一问题,本研究采用了一种控制方法,采用由SrTi0.5Fe0.50O3-(STF50)组成的薄膜模型系统,配有声学测量表层和原子平坦梯田,可以进行详细检查。地表结构、构成和氧的演变。</w:t>
      </w:r>
    </w:p>
    <w:p>
      <w:pPr>
        <w:spacing w:before="0" w:after="200" w:lineRule="auto" w:line="276"/>
      </w:pPr>
      <w:r>
        <w:rPr>
          <w:b/>
        </w:rPr>
        <w:t xml:space="preserve">Abstract (EN): </w:t>
      </w:r>
      <w:r>
        <w:t>Surface cation segregation, specifically strontium (Sr), has been identified as a primary factor contributing to the performance degradation of perovskite-based oxide electrodes used in various energy conversion devices. However, due to the complex chemistry and structure of the perovskite oxide surfaces, the mechanisms behind surface segregation and its impact on electrode activity are only partially understood. Moreover, this phenomenon occurs during perovskite synthesis, further complicating the situation. To address this issue, this study implements a controlled approach using a model thin film system composed of SrTi0.5Fe0.5O3-δ (STF50) with a stoichiometric surface and atomically flat terraces, enabling detailed examination. The evolution of surface structure, composition, and oxygen exchange kinetics are observed as a function of temperature and time. By integrating experiments and ab initio simulations, we tackle several fundamental questions, including the evaluation of reactivity for pristine perovskite oxide surface before surface segregation and the correlation between surface segregation at the surface with oxygen exchange kinetics. Our comprehensive analysis clearly reveals that the decline in performance of the perovskite oxide electrodes is primarily attributed to the detrimental effects of Sr-deficiency on the surface, thereby resolving longstanding debates in the field.</w:t>
      </w:r>
    </w:p>
    <w:p>
      <w:pPr>
        <w:spacing w:before="120" w:after="120"/>
      </w:pPr>
      <w:r>
        <w:rPr>
          <w:sz w:val="18"/>
        </w:rPr>
        <w:t>——————————————————————————————————————————————————————————————————————</w:t>
      </w:r>
    </w:p>
    <w:p>
      <w:pPr>
        <w:spacing w:before="160" w:after="40" w:line="240" w:lineRule="auto"/>
      </w:pPr>
      <w:r>
        <w:rPr>
          <w:b/>
        </w:rPr>
        <w:t xml:space="preserve">[412] </w:t>
      </w:r>
      <w:hyperlink r:id="rId751">
        <w:r>
          <w:rPr>
            <w:color w:val="1155CC"/>
            <w:u w:val="single"/>
          </w:rPr>
          <w:t>[ASAP]能源研究前沿的女科学家:第八部分</w:t>
        </w:r>
      </w:hyperlink>
    </w:p>
    <w:p>
      <w:pPr>
        <w:spacing w:before="0" w:after="80"/>
      </w:pPr>
      <w:r>
        <w:rPr>
          <w:i/>
          <w:sz w:val="20"/>
        </w:rPr>
        <w:t>EN: [ASAP] Women Scientists at the Forefront of Energy Research: Part 8</w:t>
      </w:r>
    </w:p>
    <w:p>
      <w:pPr>
        <w:spacing w:before="0" w:after="120"/>
      </w:pPr>
      <w:r>
        <w:rPr>
          <w:b/>
        </w:rPr>
        <w:t xml:space="preserve">Source: </w:t>
      </w:r>
      <w:r>
        <w:t>ACS Energy Letters: Latest Articles (ACS Publications)</w:t>
      </w:r>
      <w:r>
        <w:t xml:space="preserve">    </w:t>
      </w:r>
      <w:r>
        <w:rPr>
          <w:b/>
        </w:rPr>
        <w:t xml:space="preserve">Pub date: </w:t>
      </w:r>
      <w:r>
        <w:t>2026-01-05 17:34:02+00:00</w:t>
      </w:r>
      <w:r>
        <w:t xml:space="preserve">    </w:t>
      </w:r>
      <w:r>
        <w:rPr>
          <w:b/>
        </w:rPr>
        <w:t xml:space="preserve">DOI: </w:t>
      </w:r>
      <w:hyperlink r:id="rId752">
        <w:r>
          <w:rPr>
            <w:color w:val="1155CC"/>
            <w:u w:val="single"/>
          </w:rPr>
          <w:t>10.1021/acsenergylett.5c03937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[413] </w:t>
      </w:r>
      <w:hyperlink r:id="rId753">
        <w:r>
          <w:rPr>
            <w:color w:val="1155CC"/>
            <w:u w:val="single"/>
          </w:rPr>
          <w:t>[ASAP] Perovskite反转太阳能电池的多功能Tiazolidine衍生物多功能协调运输界面管理</w:t>
        </w:r>
      </w:hyperlink>
    </w:p>
    <w:p>
      <w:pPr>
        <w:spacing w:before="0" w:after="80"/>
      </w:pPr>
      <w:r>
        <w:rPr>
          <w:i/>
          <w:sz w:val="20"/>
        </w:rPr>
        <w:t>EN: [ASAP] Multifunctional Thiazolidine Derivatives Synergistic Regulation of Charge Transport Interface for Inverted Perovskite Solar Cells</w:t>
      </w:r>
    </w:p>
    <w:p>
      <w:pPr>
        <w:spacing w:before="0" w:after="120"/>
      </w:pPr>
      <w:r>
        <w:rPr>
          <w:b/>
        </w:rPr>
        <w:t xml:space="preserve">Source: </w:t>
      </w:r>
      <w:r>
        <w:t>ACS Energy Letters: Latest Articles (ACS Publications)</w:t>
      </w:r>
      <w:r>
        <w:t xml:space="preserve">    </w:t>
      </w:r>
      <w:r>
        <w:rPr>
          <w:b/>
        </w:rPr>
        <w:t xml:space="preserve">Pub date: </w:t>
      </w:r>
      <w:r>
        <w:t>2026-01-05 17:36:13+00:00</w:t>
      </w:r>
      <w:r>
        <w:t xml:space="preserve">    </w:t>
      </w:r>
      <w:r>
        <w:rPr>
          <w:b/>
        </w:rPr>
        <w:t xml:space="preserve">DOI: </w:t>
      </w:r>
      <w:hyperlink r:id="rId754">
        <w:r>
          <w:rPr>
            <w:color w:val="1155CC"/>
            <w:u w:val="single"/>
          </w:rPr>
          <w:t>10.1021/acsenergylett.5c03328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[414] </w:t>
      </w:r>
      <w:hyperlink r:id="rId755">
        <w:r>
          <w:rPr>
            <w:color w:val="1155CC"/>
            <w:u w:val="single"/>
          </w:rPr>
          <w:t>[ASAP]更正为“通过生物模拟[6+4] 使用生物模拟[6+4]</w:t>
        </w:r>
      </w:hyperlink>
    </w:p>
    <w:p>
      <w:pPr>
        <w:spacing w:before="0" w:after="80"/>
      </w:pPr>
      <w:r>
        <w:rPr>
          <w:i/>
          <w:sz w:val="20"/>
        </w:rPr>
        <w:t>EN: [ASAP] Correction to “Synthesis of Collinoketones via Biomimetic [6 + 4] Cycloaddition”</w:t>
      </w:r>
    </w:p>
    <w:p>
      <w:pPr>
        <w:spacing w:before="0" w:after="120"/>
      </w:pPr>
      <w:r>
        <w:rPr>
          <w:b/>
        </w:rPr>
        <w:t xml:space="preserve">Source: </w:t>
      </w:r>
      <w:r>
        <w:t>Journal of the American Chemical Society: Latest Articles (ACS Publications)</w:t>
      </w:r>
      <w:r>
        <w:t xml:space="preserve">    </w:t>
      </w:r>
      <w:r>
        <w:rPr>
          <w:b/>
        </w:rPr>
        <w:t xml:space="preserve">Pub date: </w:t>
      </w:r>
      <w:r>
        <w:t>2026-01-05 18:20:16+00:00</w:t>
      </w:r>
      <w:r>
        <w:t xml:space="preserve">    </w:t>
      </w:r>
      <w:r>
        <w:rPr>
          <w:b/>
        </w:rPr>
        <w:t xml:space="preserve">DOI: </w:t>
      </w:r>
      <w:hyperlink r:id="rId756">
        <w:r>
          <w:rPr>
            <w:color w:val="1155CC"/>
            <w:u w:val="single"/>
          </w:rPr>
          <w:t>10.1021/jacs.5c20646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[415] </w:t>
      </w:r>
      <w:hyperlink r:id="rId757">
        <w:r>
          <w:rPr>
            <w:color w:val="1155CC"/>
            <w:u w:val="single"/>
          </w:rPr>
          <w:t>[ASAP]211At()+加固成纳米共价有机框架,防止Vivo的野化</w:t>
        </w:r>
      </w:hyperlink>
    </w:p>
    <w:p>
      <w:pPr>
        <w:spacing w:before="0" w:after="80"/>
      </w:pPr>
      <w:r>
        <w:rPr>
          <w:i/>
          <w:sz w:val="20"/>
        </w:rPr>
        <w:t>EN: [ASAP] Encapsulation of 211At(Ø)+ into a Nanoscale Covalent Organic Framework Prevents Deastatination In Vivo</w:t>
      </w:r>
    </w:p>
    <w:p>
      <w:pPr>
        <w:spacing w:before="0" w:after="120"/>
      </w:pPr>
      <w:r>
        <w:rPr>
          <w:b/>
        </w:rPr>
        <w:t xml:space="preserve">Source: </w:t>
      </w:r>
      <w:r>
        <w:t>Journal of the American Chemical Society: Latest Articles (ACS Publications)</w:t>
      </w:r>
      <w:r>
        <w:t xml:space="preserve">    </w:t>
      </w:r>
      <w:r>
        <w:rPr>
          <w:b/>
        </w:rPr>
        <w:t xml:space="preserve">Pub date: </w:t>
      </w:r>
      <w:r>
        <w:t>2026-01-05 19:31:35+00:00</w:t>
      </w:r>
      <w:r>
        <w:t xml:space="preserve">    </w:t>
      </w:r>
      <w:r>
        <w:rPr>
          <w:b/>
        </w:rPr>
        <w:t xml:space="preserve">DOI: </w:t>
      </w:r>
      <w:hyperlink r:id="rId758">
        <w:r>
          <w:rPr>
            <w:color w:val="1155CC"/>
            <w:u w:val="single"/>
          </w:rPr>
          <w:t>10.1021/jacs.5c14889</w:t>
        </w:r>
      </w:hyperlink>
    </w:p>
    <w:p>
      <w:pPr>
        <w:spacing w:before="0" w:after="120"/>
      </w:pPr>
      <w:r>
        <w:rPr>
          <w:b/>
        </w:rPr>
        <w:t xml:space="preserve">Notes: </w:t>
      </w:r>
      <w:r>
        <w:t>abstract_source=pubmed</w:t>
      </w:r>
    </w:p>
    <w:p>
      <w:pPr>
        <w:spacing w:before="0" w:after="80" w:lineRule="auto" w:line="276"/>
      </w:pPr>
      <w:r>
        <w:rPr>
          <w:b/>
        </w:rPr>
        <w:t xml:space="preserve">摘要（ZH）: </w:t>
      </w:r>
      <w:r>
        <w:t>ASatine-211 (2111At)是目标α疗法(TAT)极有希望的α-发射源,将近-100%的α-排放与7.21-h最佳半衰期结合起来。然而,211At基放射性药剂的临床翻译却受到传统共价构造中实验室CAR-At的圆性CAR-At联系的氧化裂变的阻碍,导致治疗期间正常组织受到显著的离目标外和辐射危害。在这里,我们提议在预先组织的zwitter共价有机框架(ZVCOF, ZVV =zwitterionic virnyle-联结)内采用范式移动无线电标签战略,通过协同的多种非covalent互动将211At 物种(At(N)+)稳定地固定起来。因此,ZVCOFs的动态可逆无线电标签路径实现了高标签效率(RCY 90%和无线电标签亲属)。</w:t>
      </w:r>
    </w:p>
    <w:p>
      <w:pPr>
        <w:spacing w:before="0" w:after="200" w:lineRule="auto" w:line="276"/>
      </w:pPr>
      <w:r>
        <w:rPr>
          <w:b/>
        </w:rPr>
        <w:t xml:space="preserve">Abstract (EN): </w:t>
      </w:r>
      <w:r>
        <w:t>Astatine-211 (211At) is a highly promising α-emitter for targeted alpha therapy (TAT), combining near-100% α-emission with an optimal 7.21-h half-life. Yet clinical translation of 211At-based radiopharmaceuticals is hindered by oxidative cleavage of labile CAr-At bonds in conventional covalent constructs, leading to notable off-target and radiation hazards to normal tissues during therapy. Here, we propose a paradigm-shifting radiolabeling strategy within a preorganized zwitterionic covalent organic framework (ZVCOF, ZV = zwitterionic vinylene-linked) that stably immobilizes cationic 211At species (At(Ø)+) via synergistic multiple noncovalent interactions. The resulting dynamically reversible radiolabeling pathway in ZVCOFs achieves high labeling efficiency (RCY ≥ 90% and radiolabeling kinetics ≤ 2 min) and enhanced in vivo stability against deastatination, surpassing molecular organo-astatine complexes represented by N-succinimidyl 3-[211At]astatobenzoate, a gold standard in clinical trials. Theoretical studies provide fundamental insights into the coordination chemistry and dynamic behavior of At(Ø)+ in the ZVCOF, while cellular and in vivo experiments validate the practical potential of this strategy. This work establishes a robust, deastatination-resistant platform for next-generation α-therapeutics, providing pivotal hints for unlocking the full potential of 211At in precision oncology.</w:t>
      </w:r>
    </w:p>
    <w:p>
      <w:pPr>
        <w:spacing w:before="120" w:after="120"/>
      </w:pPr>
      <w:r>
        <w:rPr>
          <w:sz w:val="18"/>
        </w:rPr>
        <w:t>——————————————————————————————————————————————————————————————————————</w:t>
      </w:r>
    </w:p>
    <w:p>
      <w:pPr>
        <w:spacing w:before="160" w:after="40" w:line="240" w:lineRule="auto"/>
      </w:pPr>
      <w:r>
        <w:rPr>
          <w:b/>
        </w:rPr>
        <w:t xml:space="preserve">[416] </w:t>
      </w:r>
      <w:hyperlink r:id="rId759">
        <w:r>
          <w:rPr>
            <w:color w:val="1155CC"/>
            <w:u w:val="single"/>
          </w:rPr>
          <w:t>[ASAP]作为固体质子导体的原子两不同材料:实现最短质子转移距离,高选择性能源应用</w:t>
        </w:r>
      </w:hyperlink>
    </w:p>
    <w:p>
      <w:pPr>
        <w:spacing w:before="0" w:after="80"/>
      </w:pPr>
      <w:r>
        <w:rPr>
          <w:i/>
          <w:sz w:val="20"/>
        </w:rPr>
        <w:t>EN: [ASAP] Atomic Two-Dimensional Materials as Solid Proton Conductors: Achieving the Shortest Proton Transfer Distance with High Selectivity for Energy Applications</w:t>
      </w:r>
    </w:p>
    <w:p>
      <w:pPr>
        <w:spacing w:before="0" w:after="120"/>
      </w:pPr>
      <w:r>
        <w:rPr>
          <w:b/>
        </w:rPr>
        <w:t xml:space="preserve">Source: </w:t>
      </w:r>
      <w:r>
        <w:t>ACS Energy Letters: Latest Articles (ACS Publications)</w:t>
      </w:r>
      <w:r>
        <w:t xml:space="preserve">    </w:t>
      </w:r>
      <w:r>
        <w:rPr>
          <w:b/>
        </w:rPr>
        <w:t xml:space="preserve">Pub date: </w:t>
      </w:r>
      <w:r>
        <w:t>2026-01-05 19:32:32+00:00</w:t>
      </w:r>
      <w:r>
        <w:t xml:space="preserve">    </w:t>
      </w:r>
      <w:r>
        <w:rPr>
          <w:b/>
        </w:rPr>
        <w:t xml:space="preserve">DOI: </w:t>
      </w:r>
      <w:hyperlink r:id="rId760">
        <w:r>
          <w:rPr>
            <w:color w:val="1155CC"/>
            <w:u w:val="single"/>
          </w:rPr>
          <w:t>10.1021/acsenergylett.5c03159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[417] </w:t>
      </w:r>
      <w:hyperlink r:id="rId761">
        <w:r>
          <w:rPr>
            <w:color w:val="1155CC"/>
            <w:u w:val="single"/>
          </w:rPr>
          <w:t>将甲烷部分氧化和热电生成纳入瑞士滚动反应堆:氢和电力双重生产和生命周期评估</w:t>
        </w:r>
      </w:hyperlink>
    </w:p>
    <w:p>
      <w:pPr>
        <w:spacing w:before="0" w:after="80"/>
      </w:pPr>
      <w:r>
        <w:rPr>
          <w:i/>
          <w:sz w:val="20"/>
        </w:rPr>
        <w:t>EN: Integrating methane partial oxidation and thermoelectric generation in a Swiss-roll reactor: Hydrogen and electricity dual production and life cycle assessment</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[418] </w:t>
      </w:r>
      <w:hyperlink r:id="rId762">
        <w:r>
          <w:rPr>
            <w:color w:val="1155CC"/>
            <w:u w:val="single"/>
          </w:rPr>
          <w:t>将跨系统级联作为净零向零过渡过程中电气化路径的驱动力</w:t>
        </w:r>
      </w:hyperlink>
    </w:p>
    <w:p>
      <w:pPr>
        <w:spacing w:before="0" w:after="80"/>
      </w:pPr>
      <w:r>
        <w:rPr>
          <w:i/>
          <w:sz w:val="20"/>
        </w:rPr>
        <w:t>EN: Cross-system cascades as drivers of the electrification pathway in net-zero transitions</w:t>
      </w:r>
    </w:p>
    <w:p>
      <w:pPr>
        <w:spacing w:before="0" w:after="120"/>
      </w:pPr>
      <w:r>
        <w:rPr>
          <w:b/>
        </w:rPr>
        <w:t xml:space="preserve">Source: </w:t>
      </w:r>
      <w:r>
        <w:t>Nature Sustainability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虽然对跨系统互动的负面可持续性影响进行了充分研究,但对积极的跨系统级联没有很好地理解,这一视角表明,这些级联动态在净零电气化转型中已经很重要,而且由于核心创新(包括太阳-光伏、风力、电池、热泵、电炉和绿色氢)、关键资源(净-零电)和各种互补创新之间的积极互动,这些级联动态在未来几年可能会变得更加重要。这一视角讨论了跨技术、资源、行为体和机构层面的12个跨系统级联流程。《愿景》还为进一步刺激积极的跨系统级联和机制层面提供了可操作的政策建议。</w:t>
      </w:r>
    </w:p>
    <w:p>
      <w:pPr>
        <w:spacing w:before="0" w:after="200" w:lineRule="auto" w:line="276"/>
      </w:pPr>
      <w:r>
        <w:rPr>
          <w:b/>
        </w:rPr>
        <w:t xml:space="preserve">Abstract (EN): </w:t>
      </w:r>
      <w:r>
        <w:t>While negative sustainability effects of cross-system interactions are well studied, positive cross-system cascades are less well understood. This Perspective shows that these cascade dynamics are already important in net-zero electrification transitions and will probably become more important in the coming years due to positive interactions between core innovations (including solar-photovoltaics, wind power, batteries, heat pumps, electric furnaces and green hydrogen), a key resource (net-zero electricity) and various complementary innovations. This Perspective discusses 12 cross-system cascade processes across technology, resource, actor and institutional dimensions. The Perspective also provides actionable policy recommendations for further stimulating positive cross-system cascades and accelerating net-zero transitions.</w:t>
      </w:r>
    </w:p>
    <w:p>
      <w:pPr>
        <w:spacing w:before="120" w:after="120"/>
      </w:pPr>
      <w:r>
        <w:rPr>
          <w:sz w:val="18"/>
        </w:rPr>
        <w:t>——————————————————————————————————————————————————————————————————————</w:t>
      </w:r>
    </w:p>
    <w:p>
      <w:pPr>
        <w:spacing w:before="160" w:after="40" w:line="240" w:lineRule="auto"/>
      </w:pPr>
      <w:r>
        <w:rPr>
          <w:b/>
        </w:rPr>
        <w:t xml:space="preserve">[419] </w:t>
      </w:r>
      <w:hyperlink r:id="rId763">
        <w:r>
          <w:rPr>
            <w:color w:val="1155CC"/>
            <w:u w:val="single"/>
          </w:rPr>
          <w:t>美国联邦环境犯罪起诉模式的社会因素</w:t>
        </w:r>
      </w:hyperlink>
    </w:p>
    <w:p>
      <w:pPr>
        <w:spacing w:before="0" w:after="80"/>
      </w:pPr>
      <w:r>
        <w:rPr>
          <w:i/>
          <w:sz w:val="20"/>
        </w:rPr>
        <w:t>EN: Social factors shape federal environmental crime prosecution patterns in the USA</w:t>
      </w:r>
    </w:p>
    <w:p>
      <w:pPr>
        <w:spacing w:before="0" w:after="120"/>
      </w:pPr>
      <w:r>
        <w:rPr>
          <w:b/>
        </w:rPr>
        <w:t xml:space="preserve">Source: </w:t>
      </w:r>
      <w:r>
        <w:t>Nature Sustainability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环境法律法规的实施对于实现更清洁的环境和减轻环境损害的不公平分布至关重要。 我们在此审视2011年至2020年美国联邦环境犯罪起诉的地理格局。 结果表明,社会经济地位较高的州平均拥有更多的环境刑事诉讼,而空气和水质等环境条件对环境犯罪起诉模式没有影响。</w:t>
      </w:r>
    </w:p>
    <w:p>
      <w:pPr>
        <w:spacing w:before="0" w:after="200" w:lineRule="auto" w:line="276"/>
      </w:pPr>
      <w:r>
        <w:rPr>
          <w:b/>
        </w:rPr>
        <w:t xml:space="preserve">Abstract (EN): </w:t>
      </w:r>
      <w:r>
        <w:t>Enforcement of environmental laws and regulations is critical to achieving a cleaner environment and alleviating inequitable distributions of environmental harms. Here we examine the geographic patterning of US federal environmental crime prosecutions from 2011 to 2020. Results show that counties with higher levels of socioeconomic status have more environmental criminal prosecutions, on average, while environmental conditions such as air and water quality have no effect on environmental crime prosecution patterns.</w:t>
      </w:r>
    </w:p>
    <w:p>
      <w:pPr>
        <w:spacing w:before="120" w:after="120"/>
      </w:pPr>
      <w:r>
        <w:rPr>
          <w:sz w:val="18"/>
        </w:rPr>
        <w:t>——————————————————————————————————————————————————————————————————————</w:t>
      </w:r>
    </w:p>
    <w:p>
      <w:pPr>
        <w:spacing w:before="160" w:after="40" w:line="240" w:lineRule="auto"/>
      </w:pPr>
      <w:r>
        <w:rPr>
          <w:b/>
        </w:rPr>
        <w:t xml:space="preserve">[420] </w:t>
      </w:r>
      <w:hyperlink r:id="rId764">
        <w:r>
          <w:rPr>
            <w:color w:val="1155CC"/>
            <w:u w:val="single"/>
          </w:rPr>
          <w:t>一种发光虫的诗意生与死</w:t>
        </w:r>
      </w:hyperlink>
    </w:p>
    <w:p>
      <w:pPr>
        <w:spacing w:before="0" w:after="80"/>
      </w:pPr>
      <w:r>
        <w:rPr>
          <w:i/>
          <w:sz w:val="20"/>
        </w:rPr>
        <w:t>EN: The poetic life and death of a glow-worm</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[421] </w:t>
      </w:r>
      <w:hyperlink r:id="rId765">
        <w:r>
          <w:rPr>
            <w:color w:val="1155CC"/>
            <w:u w:val="single"/>
          </w:rPr>
          <w:t>水中气候变化引起的污染物</w:t>
        </w:r>
      </w:hyperlink>
    </w:p>
    <w:p>
      <w:pPr>
        <w:spacing w:before="0" w:after="80"/>
      </w:pPr>
      <w:r>
        <w:rPr>
          <w:i/>
          <w:sz w:val="20"/>
        </w:rPr>
        <w:t>EN: Climate change-driven contaminants in water</w:t>
      </w:r>
    </w:p>
    <w:p>
      <w:pPr>
        <w:spacing w:before="0" w:after="120"/>
      </w:pPr>
      <w:r>
        <w:rPr>
          <w:b/>
        </w:rPr>
        <w:t xml:space="preserve">Source: </w:t>
      </w:r>
      <w:r>
        <w:t>Nature Sustainability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[422] </w:t>
      </w:r>
      <w:hyperlink r:id="rId766">
        <w:r>
          <w:rPr>
            <w:color w:val="1155CC"/>
            <w:u w:val="single"/>
          </w:rPr>
          <w:t>一个可缩放的超导超导纳米线内存阵列,有行 - 列 地址</w:t>
        </w:r>
      </w:hyperlink>
    </w:p>
    <w:p>
      <w:pPr>
        <w:spacing w:before="0" w:after="80"/>
      </w:pPr>
      <w:r>
        <w:rPr>
          <w:i/>
          <w:sz w:val="20"/>
        </w:rPr>
        <w:t>EN: A scalable superconducting nanowire memory array with row–column addressing</w:t>
      </w:r>
    </w:p>
    <w:p>
      <w:pPr>
        <w:spacing w:before="0" w:after="120"/>
      </w:pPr>
      <w:r>
        <w:rPr>
          <w:b/>
        </w:rPr>
        <w:t xml:space="preserve">Source: </w:t>
      </w:r>
      <w:r>
        <w:t>Nature Electronics</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开发低能超导超导计算机和防故障量子计算机需要可缩缩超导内存。常规超导逻辑式的逻辑内存细胞拥有巨大的足足足,限制缩放;超导超导超导内存细胞尽管更为紧凑,但纳米电线型超导内存细胞的误差率较高,这阻碍了与大型阵列的整合。这里我们报告了用于可缩放行列操作的4×4超导超导超导超导内存阵列,其功能密度为2.6 mbit cm-2。 每个内存细胞都基于由两个依赖温度的超导开关和一个可变动感动感应器组成的纳米回路环。这些阵列以1.3 K 运行,我们在那里执行并描述多流量夸坦州存储和破坏性读取功能。</w:t>
      </w:r>
    </w:p>
    <w:p>
      <w:pPr>
        <w:spacing w:before="0" w:after="200" w:lineRule="auto" w:line="276"/>
      </w:pPr>
      <w:r>
        <w:rPr>
          <w:b/>
        </w:rPr>
        <w:t xml:space="preserve">Abstract (EN): </w:t>
      </w:r>
      <w:r>
        <w:t>Scalable superconducting memory is required for the development of low-energy superconducting computers and fault-tolerant quantum computers. Conventional superconducting logic-based memory cells possess a large footprint that limits scaling; nanowire-based superconducting memory cells, although more compact, have high error rates, which hinders integration into large arrays. Here we report a 4 × 4 superconducting nanowire memory array that is designed for scalable row–column operations and has a functional density of 2.6 Mbit cm−2. Each memory cell is based on a nanowire loop consisting of two temperature-dependent superconducting switches and a variable kinetic inductor. The arrays operate at 1.3 K, where we implement and characterize multiflux quanta state storage and destructive read-out. By optimizing the write- and read-pulse sequences, we minimize bit errors and maximize operating margins. We achieve a minimum bit error rate of 10−5. We also use circuit-level simulations to understand the memory cell’s dynamics, performance limits and stability under varying pulse amplitudes.</w:t>
      </w:r>
    </w:p>
    <w:p>
      <w:pPr>
        <w:spacing w:before="120" w:after="120"/>
      </w:pPr>
      <w:r>
        <w:rPr>
          <w:sz w:val="18"/>
        </w:rPr>
        <w:t>——————————————————————————————————————————————————————————————————————</w:t>
      </w:r>
    </w:p>
    <w:p>
      <w:pPr>
        <w:spacing w:before="160" w:after="40" w:line="240" w:lineRule="auto"/>
      </w:pPr>
      <w:r>
        <w:rPr>
          <w:b/>
        </w:rPr>
        <w:t xml:space="preserve">[423] </w:t>
      </w:r>
      <w:hyperlink r:id="rId767">
        <w:r>
          <w:rPr>
            <w:color w:val="1155CC"/>
            <w:u w:val="single"/>
          </w:rPr>
          <w:t>科学词汇中的退休`seminal '</w:t>
        </w:r>
      </w:hyperlink>
    </w:p>
    <w:p>
      <w:pPr>
        <w:spacing w:before="0" w:after="80"/>
      </w:pPr>
      <w:r>
        <w:rPr>
          <w:i/>
          <w:sz w:val="20"/>
        </w:rPr>
        <w:t>EN: Retire ‘seminal’ from the scientific vocabulary</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[424] </w:t>
      </w:r>
      <w:hyperlink r:id="rId768">
        <w:r>
          <w:rPr>
            <w:color w:val="1155CC"/>
            <w:u w:val="single"/>
          </w:rPr>
          <w:t>基于原子层沉积的全氮超导超导</w:t>
        </w:r>
      </w:hyperlink>
    </w:p>
    <w:p>
      <w:pPr>
        <w:spacing w:before="0" w:after="80"/>
      </w:pPr>
      <w:r>
        <w:rPr>
          <w:i/>
          <w:sz w:val="20"/>
        </w:rPr>
        <w:t>EN: All-nitride superconducting qubits based on atomic layer deposition</w:t>
      </w:r>
    </w:p>
    <w:p>
      <w:pPr>
        <w:spacing w:before="0" w:after="120"/>
      </w:pPr>
      <w:r>
        <w:rPr>
          <w:b/>
        </w:rPr>
        <w:t xml:space="preserve">Source: </w:t>
      </w:r>
      <w:r>
        <w:t>Nature Materials</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大型量子处理器的发展得益于超导量子处理器的发展,超导量子处理器可以在高温下运行,并用可缩放的、与铸造相容的工艺制造。原子层沉积(ALD)正日益被作为薄膜生长的工业标准,特别是在需要精确控制层厚度和成分的应用程序中。我们在这里报告基于完全由ALD沉积的NbN/AlN/NbN三层的超导量子处理器。我们通过改变用于形成AlN屏障的ALD周期的数量,实现了Josephson通过不同厚度的屏障挖洞,目前的临界密度跨越七级,表明了这一过程的统一性和多功能性。由于N的高临界温度,我们实现了约瑟森的隧道。</w:t>
      </w:r>
    </w:p>
    <w:p>
      <w:pPr>
        <w:spacing w:before="0" w:after="200" w:lineRule="auto" w:line="276"/>
      </w:pPr>
      <w:r>
        <w:rPr>
          <w:b/>
        </w:rPr>
        <w:t xml:space="preserve">Abstract (EN): </w:t>
      </w:r>
      <w:r>
        <w:t>The development of large-scale quantum processors benefits from superconducting qubits that can operate at elevated temperatures and be fabricated with scalable, foundry-compatible processes. Atomic layer deposition (ALD) is increasingly being adopted as an industrial standard for thin-film growth, particularly in applications requiring precise control over layer thickness and composition. Here we report superconducting qubits based on NbN/AlN/NbN trilayers deposited entirely by ALD. By varying the number of ALD cycles used to form the AlN barrier, we achieve Josephson tunnelling through barriers of different thicknesses, with critical current density spanning seven orders of magnitude, demonstrating the uniformity and versatility of the process. Owing to the high critical temperature of NbN, transmon qubits based on these all-nitride trilayers exhibit microsecond-scale relaxation times, even at temperatures above 300 mK. These results establish ALD as a viable low-temperature deposition technique for superconducting quantum circuits and position all-nitride ALD qubits as a promising platform for operation at elevated temperatures.</w:t>
      </w:r>
    </w:p>
    <w:p>
      <w:pPr>
        <w:spacing w:before="120" w:after="120"/>
      </w:pPr>
      <w:r>
        <w:rPr>
          <w:sz w:val="18"/>
        </w:rPr>
        <w:t>——————————————————————————————————————————————————————————————————————</w:t>
      </w:r>
    </w:p>
    <w:p>
      <w:pPr>
        <w:spacing w:before="160" w:after="40" w:line="240" w:lineRule="auto"/>
      </w:pPr>
      <w:r>
        <w:rPr>
          <w:b/>
        </w:rPr>
        <w:t xml:space="preserve">[425] </w:t>
      </w:r>
      <w:hyperlink r:id="rId769">
        <w:r>
          <w:rPr>
            <w:color w:val="1155CC"/>
            <w:u w:val="single"/>
          </w:rPr>
          <w:t>单立单体细胞在乳房细胞结构能够使血管动脉切乳机受体用于生物现实学悬浮芯片的骨缩缩集集成</w:t>
        </w:r>
      </w:hyperlink>
    </w:p>
    <w:p>
      <w:pPr>
        <w:spacing w:before="0" w:after="80"/>
      </w:pPr>
      <w:r>
        <w:rPr>
          <w:i/>
          <w:sz w:val="20"/>
        </w:rPr>
        <w:t>EN: Monolithic cell-on-memristor architecture enables wafer-scale integration of oscillatory chemoreceptors for bio-realistic gustatory chips</w:t>
      </w:r>
    </w:p>
    <w:p>
      <w:pPr>
        <w:spacing w:before="0" w:after="120"/>
      </w:pPr>
      <w:r>
        <w:rPr>
          <w:b/>
        </w:rPr>
        <w:t xml:space="preserve">Source: </w:t>
      </w:r>
      <w:r>
        <w:t>Nature Materials</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在实际生物应用中,人工螺旋动动脉切乳机构造和电动电动电动构件的晶片结合对于使生物模拟芯片与生物现实感应在生物实际应用中具有生物-现实感应至关重要,然而,基于传统结构的现有切乳机受体由于固有的物质或结构缺陷,需要尖端或非可缩放的制造技术。 我们在这里引入一个单体细胞乳房(CoM)感应结构,其特点是自动生物感应和原位加注编码的独特振动机制。 通过合理物质选择和补充金属-氧化-半导体-兼容制造,我们实现了瓦法10x10COM阵列的演示,其空间分辨率为每英寸51个像素和极小的像素大小 o。</w:t>
      </w:r>
    </w:p>
    <w:p>
      <w:pPr>
        <w:spacing w:before="0" w:after="200" w:lineRule="auto" w:line="276"/>
      </w:pPr>
      <w:r>
        <w:rPr>
          <w:b/>
        </w:rPr>
        <w:t xml:space="preserve">Abstract (EN): </w:t>
      </w:r>
      <w:r>
        <w:t>Array fabrication and the wafer-scale integration of artificial oscillatory chemoreceptors are crucial for enabling biomimetic chips with bio-realistic chemoreception in practical bioapplications. However, existing chemoreceptors based on conventional architectures require sophisticated or non-scalable fabrication techniques due to inherent material or structural defects. Here we introduce a monolithic cell-on-memristor (CoM) chemoreceptive architecture featuring a unique oscillation mechanism for self-powered biosensing and in situ spike encoding. Through rational material selection and complementary metal–oxide–semiconductor-compatible fabrication, we realize the demonstration of a wafer-scale 10 × 10 CoM array with a spatial resolution of 51 pixels per inch and a very small pixel size of 150 μm, with potential for further scaling down. Using its bio-plausible ion-modulated voltage oscillations with spatiotemporal probabilistic spiking information, we exploit the CoM-array-based gustatory chip to replicate gustation for accuracy salty taste classification. Our CoM architecture offers a general and scalable approach for implementing chemoreceptive oscillatory systems aimed at human–machine biointegration applications.</w:t>
      </w:r>
    </w:p>
    <w:p>
      <w:pPr>
        <w:spacing w:before="120" w:after="120"/>
      </w:pPr>
      <w:r>
        <w:rPr>
          <w:sz w:val="18"/>
        </w:rPr>
        <w:t>——————————————————————————————————————————————————————————————————————</w:t>
      </w:r>
    </w:p>
    <w:p>
      <w:pPr>
        <w:spacing w:before="160" w:after="40" w:line="240" w:lineRule="auto"/>
      </w:pPr>
      <w:r>
        <w:rPr>
          <w:b/>
        </w:rPr>
        <w:t xml:space="preserve">[426] </w:t>
      </w:r>
      <w:hyperlink r:id="rId770">
        <w:r>
          <w:rPr>
            <w:color w:val="1155CC"/>
            <w:u w:val="single"/>
          </w:rPr>
          <w:t>无阳无阳性锂金属和锂-硫电池的失效机制和可缩放性</w:t>
        </w:r>
      </w:hyperlink>
    </w:p>
    <w:p>
      <w:pPr>
        <w:spacing w:before="0" w:after="80"/>
      </w:pPr>
      <w:r>
        <w:rPr>
          <w:i/>
          <w:sz w:val="20"/>
        </w:rPr>
        <w:t>EN: Failure mechanisms and scalability of anode-free lithium-metal and lithium–sulfur batteries</w:t>
      </w:r>
    </w:p>
    <w:p>
      <w:pPr>
        <w:spacing w:before="0" w:after="120"/>
      </w:pPr>
      <w:r>
        <w:rPr>
          <w:b/>
        </w:rPr>
        <w:t xml:space="preserve">Source: </w:t>
      </w:r>
      <w:r>
        <w:t>Nature Reviews Clean Technology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无阳性锂金属电池组(AFLMBs)的组装没有活性阴极材料,并且将高能量密度(~500Whk千克-1-1)与简化制造结合起来,然而,材料选择对能源密度、可缩缩缩性和环境影响的影响与常规的利金属电池相比,仍然没有充分理解。在本审查中,我们讨论了以液态电解液基亚化金属电池组(AFLMBs)的故障机制、缓解战略和规模,包括以氧化阴极为基础的AFLMBs和以硫化阴极无阴极的李硫电池组(AFLSBsbs),由于通过提高性能的定向战略可以缓解的多种根源,导致的电离子容量比低于1时,就会发生阳性方衰败。</w:t>
      </w:r>
    </w:p>
    <w:p>
      <w:pPr>
        <w:spacing w:before="0" w:after="200" w:lineRule="auto" w:line="276"/>
      </w:pPr>
      <w:r>
        <w:rPr>
          <w:b/>
        </w:rPr>
        <w:t xml:space="preserve">Abstract (EN): </w:t>
      </w:r>
      <w:r>
        <w:t>Anode-free lithium-metal batteries (AFLMBs) are assembled without active anode material and combine high energy density (~500 Wh kg−1) with simplified manufacturing. However, the influence of material selection on energy density, scalability and environmental impact remains insufficiently understood compared with conventional Li-metal batteries. In this Review, we discuss failure mechanisms, mitigation strategies and scaling of liquid-electrolyte-based AFLMBs, including both oxide-cathode-based AFLMBs and sulfide-cathode-based anode-free Li–sulfur batteries (AFLSBs). Anode-side failures occur when the anodic-to-cathodic capacity ratio falls below 1, arising from multiple root causes that can be mitigated through targeted strategies to enhance performance. Eliminating metallic Li in as-prepared AFLMBs enables simpler fabrication, easier scalability, a 10–15% higher gravimetric energy density and more efficient end-of-life handling, and reduces greenhouse gas emissions by over 9.5% compared with conventional Li-metal batteries. Efficient materials and designs, focusing on the use of high-loading cathodes, lean electrolytes, and thin separators and current collectors, enhance the feasibility of AFLMBs. Advancing electrolyte design, interface stabilization and resource-efficient cell architectures will be crucial for translating AFLMBs from laboratory prototypes to scalable energy storage systems.</w:t>
      </w:r>
    </w:p>
    <w:p>
      <w:pPr>
        <w:spacing w:before="120" w:after="120"/>
      </w:pPr>
      <w:r>
        <w:rPr>
          <w:sz w:val="18"/>
        </w:rPr>
        <w:t>——————————————————————————————————————————————————————————————————————</w:t>
      </w:r>
    </w:p>
    <w:p>
      <w:pPr>
        <w:spacing w:before="160" w:after="40" w:line="240" w:lineRule="auto"/>
      </w:pPr>
      <w:r>
        <w:rPr>
          <w:b/>
        </w:rPr>
        <w:t xml:space="preserve">[427] </w:t>
      </w:r>
      <w:hyperlink r:id="rId771">
        <w:r>
          <w:rPr>
            <w:color w:val="1155CC"/>
            <w:u w:val="single"/>
          </w:rPr>
          <w:t>生命末期的燃料贫困风险需要紧急关注</w:t>
        </w:r>
      </w:hyperlink>
    </w:p>
    <w:p>
      <w:pPr>
        <w:spacing w:before="0" w:after="80"/>
      </w:pPr>
      <w:r>
        <w:rPr>
          <w:i/>
          <w:sz w:val="20"/>
        </w:rPr>
        <w:t>EN: Fuel poverty risk at the end of life needs urgent attention</w:t>
      </w:r>
    </w:p>
    <w:p>
      <w:pPr>
        <w:spacing w:before="0" w:after="120"/>
      </w:pPr>
      <w:r>
        <w:rPr>
          <w:b/>
        </w:rPr>
        <w:t xml:space="preserve">Source: </w:t>
      </w:r>
      <w:r>
        <w:t>Nature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[428] </w:t>
      </w:r>
      <w:hyperlink r:id="rId772">
        <w:r>
          <w:rPr>
            <w:color w:val="1155CC"/>
            <w:u w:val="single"/>
          </w:rPr>
          <w:t>帮助小规模金矿开采者逐步不再使用汞</w:t>
        </w:r>
      </w:hyperlink>
    </w:p>
    <w:p>
      <w:pPr>
        <w:spacing w:before="0" w:after="80"/>
      </w:pPr>
      <w:r>
        <w:rPr>
          <w:i/>
          <w:sz w:val="20"/>
        </w:rPr>
        <w:t>EN: Help small-scale gold miners to transition away from mercury use</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[429] </w:t>
      </w:r>
      <w:hyperlink r:id="rId773">
        <w:r>
          <w:rPr>
            <w:color w:val="1155CC"/>
            <w:u w:val="single"/>
          </w:rPr>
          <w:t>太阳能燃料技术能够相互学习什么</w:t>
        </w:r>
      </w:hyperlink>
    </w:p>
    <w:p>
      <w:pPr>
        <w:spacing w:before="0" w:after="80"/>
      </w:pPr>
      <w:r>
        <w:rPr>
          <w:i/>
          <w:sz w:val="20"/>
        </w:rPr>
        <w:t>EN: What solar fuel technologies can learn from each other</w:t>
      </w:r>
    </w:p>
    <w:p>
      <w:pPr>
        <w:spacing w:before="0" w:after="120"/>
      </w:pPr>
      <w:r>
        <w:rPr>
          <w:b/>
        </w:rPr>
        <w:t xml:space="preserve">Source: </w:t>
      </w:r>
      <w:r>
        <w:t>Nature Reviews Clean Technology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太阳能燃料技术利用阳光合成可用作可再生燃料或化学原料的增值分子,它们共同使用化学债券转换和储存太阳能和其他可再生能源的共同原则,但在回收机制、催化工艺和使用的系统方面有所不同。这些区别导致不同的优势、挑战、成熟度和可部署前景。从这个角度,我们对五大主要太阳能燃料平台——光解、光电驱动电解电解(PV+EC)、光电化学、光热热和光光解(Plasmoniculization)——进行跨学科分析,以确定可转移的洞见和设计原则。太阳对氢的效率(通常为0.1%至15%)和氢的平化成本(2美元至30美元)。</w:t>
      </w:r>
    </w:p>
    <w:p>
      <w:pPr>
        <w:spacing w:before="0" w:after="200" w:lineRule="auto" w:line="276"/>
      </w:pPr>
      <w:r>
        <w:rPr>
          <w:b/>
        </w:rPr>
        <w:t xml:space="preserve">Abstract (EN): </w:t>
      </w:r>
      <w:r>
        <w:t>Solar fuel technologies use sunlight to synthesize value-added molecules that can be used as renewable fuels or chemical feedstock. They share the common principle of converting and storing solar and other renewable energy in chemical bonds, but differ in the harvesting mechanisms, catalytic processes and systems used. These distinctions lead to different advantages, challenges, maturity and deployability prospects. In this Perspective, we provide a cross-disciplinary view of five major solar fuel platforms — photocatalysis, photovoltaic-driven electrolysis (PV + EC), photoelectrochemical, photothermal and plasmonic catalysis — to identify transferable insights and design principles. The wide span of solar-to-hydrogen efficiency (typically 0.1–15%) and levelized cost of hydrogen (US$2–30 kg−1 H2) depending on the system reflect both mechanistic limitations and system-level constraints that keep performance below theoretical limits. Common bottlenecks emerge, including spectral mismatch, charge-management and heat-management losses, stability in harsh operating environments and dependence on critical materials. At the same time, shared design principles — such as defect and facet engineering, multi-absorber architectures, plasmonic and photothermal enhancement, interface stabilization and catalyst–reactor co-design — offer transferable strategies capable of improving performance across platforms. Together, these insights provide a transversal unifying vision on how advances in one solar fuel technology can accelerate progress in others and inform pathways towards scalable, efficient and economically viable solar fuel production.</w:t>
      </w:r>
    </w:p>
    <w:p>
      <w:pPr>
        <w:spacing w:before="120" w:after="120"/>
      </w:pPr>
      <w:r>
        <w:rPr>
          <w:sz w:val="18"/>
        </w:rPr>
        <w:t>——————————————————————————————————————————————————————————————————————</w:t>
      </w:r>
    </w:p>
    <w:p>
      <w:pPr>
        <w:spacing w:before="160" w:after="40" w:line="240" w:lineRule="auto"/>
      </w:pPr>
      <w:r>
        <w:rPr>
          <w:b/>
        </w:rPr>
        <w:t xml:space="preserve">[430] </w:t>
      </w:r>
      <w:hyperlink r:id="rId774">
        <w:r>
          <w:rPr>
            <w:color w:val="1155CC"/>
            <w:u w:val="single"/>
          </w:rPr>
          <w:t>重新思考我们如何建立大赦国际,以便有效地缓解气候变化</w:t>
        </w:r>
      </w:hyperlink>
    </w:p>
    <w:p>
      <w:pPr>
        <w:spacing w:before="0" w:after="80"/>
      </w:pPr>
      <w:r>
        <w:rPr>
          <w:i/>
          <w:sz w:val="20"/>
        </w:rPr>
        <w:t>EN: Rethink how we build AI to enable effective climate-change mitigation</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[431] </w:t>
      </w:r>
      <w:hyperlink r:id="rId775">
        <w:r>
          <w:rPr>
            <w:color w:val="1155CC"/>
            <w:u w:val="single"/>
          </w:rPr>
          <w:t>人造皮肤模仿章鱼的伪装艺术</w:t>
        </w:r>
      </w:hyperlink>
    </w:p>
    <w:p>
      <w:pPr>
        <w:spacing w:before="0" w:after="80"/>
      </w:pPr>
      <w:r>
        <w:rPr>
          <w:i/>
          <w:sz w:val="20"/>
        </w:rPr>
        <w:t>EN: Artificial skin mimics the octopus’s art of disguise</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[432] </w:t>
      </w:r>
      <w:hyperlink r:id="rId776">
        <w:r>
          <w:rPr>
            <w:color w:val="1155CC"/>
            <w:u w:val="single"/>
          </w:rPr>
          <w:t>为什么癌症会在几年后复发——以及如何阻止癌症</w:t>
        </w:r>
      </w:hyperlink>
    </w:p>
    <w:p>
      <w:pPr>
        <w:spacing w:before="0" w:after="80"/>
      </w:pPr>
      <w:r>
        <w:rPr>
          <w:i/>
          <w:sz w:val="20"/>
        </w:rPr>
        <w:t>EN: Why cancer can come back years later — and how to stop it</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[433] </w:t>
      </w:r>
      <w:hyperlink r:id="rId777">
        <w:r>
          <w:rPr>
            <w:color w:val="1155CC"/>
            <w:u w:val="single"/>
          </w:rPr>
          <w:t>在灵活能源市场下为微型电网建立以学习为基础的深入强化学习多目标能源管理系统</w:t>
        </w:r>
      </w:hyperlink>
    </w:p>
    <w:p>
      <w:pPr>
        <w:spacing w:before="0" w:after="80"/>
      </w:pPr>
      <w:r>
        <w:rPr>
          <w:i/>
          <w:sz w:val="20"/>
        </w:rPr>
        <w:t>EN: Deep reinforcement learning-based multi-objective energy management system for microgrids under flexible energy market</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[434] </w:t>
      </w:r>
      <w:hyperlink r:id="rId778">
        <w:r>
          <w:rPr>
            <w:color w:val="1155CC"/>
            <w:u w:val="single"/>
          </w:rPr>
          <w:t>转让及其他转让:二维材料装置制造方面新出现的战略和趋势</w:t>
        </w:r>
      </w:hyperlink>
    </w:p>
    <w:p>
      <w:pPr>
        <w:spacing w:before="0" w:after="80"/>
      </w:pPr>
      <w:r>
        <w:rPr>
          <w:i/>
          <w:sz w:val="20"/>
        </w:rPr>
        <w:t>EN: Transfer and beyond: emerging strategies and trends in two-dimensional material device fabrication</w:t>
      </w:r>
    </w:p>
    <w:p>
      <w:pPr>
        <w:spacing w:before="0" w:after="120"/>
      </w:pPr>
      <w:r>
        <w:rPr>
          <w:b/>
        </w:rPr>
        <w:t xml:space="preserve">Source: </w:t>
      </w:r>
      <w:r>
        <w:t>RSC - Chem. Soc. Rev. latest articles</w:t>
      </w:r>
      <w:r>
        <w:t xml:space="preserve">    </w:t>
      </w:r>
      <w:r>
        <w:rPr>
          <w:b/>
        </w:rPr>
        <w:t xml:space="preserve">Pub date: </w:t>
      </w:r>
      <w:r>
        <w:t>2026-01-06 00:00:00+00:00</w:t>
      </w:r>
    </w:p>
    <w:p>
      <w:pPr>
        <w:spacing w:before="0" w:after="120"/>
      </w:pPr>
      <w:r>
        <w:rPr>
          <w:b/>
        </w:rPr>
        <w:t xml:space="preserve">Notes: </w:t>
      </w:r>
      <w:r>
        <w:t>abstract_source=rsc_html</w:t>
      </w:r>
    </w:p>
    <w:p>
      <w:pPr>
        <w:spacing w:before="0" w:after="80" w:lineRule="auto" w:line="276"/>
      </w:pPr>
      <w:r>
        <w:rPr>
          <w:b/>
        </w:rPr>
        <w:t xml:space="preserve">摘要（ZH）: </w:t>
      </w:r>
      <w:r>
        <w:t>二维(2D)材料领域取得了显著进展,这得益于其独特的电子、光学和机械特性,2D材料除了本身的特性外,还原状薄,很容易与各种装置结合,为新一代的芯片技术提供了超越电子和光学的各个领域的巨大潜力。2D设备制造的核心是开发有效的转让方法,这些方法对于维护清洁材料界面和完整材料特性至关重要。然而,作为一些最基本的技术,2D材料的转让方法极其多样,对各种方法的导航提出了挑战。本审查对状态和状态进行了全面分析。</w:t>
      </w:r>
    </w:p>
    <w:p>
      <w:pPr>
        <w:spacing w:before="0" w:after="200" w:lineRule="auto" w:line="276"/>
      </w:pPr>
      <w:r>
        <w:rPr>
          <w:b/>
        </w:rPr>
        <w:t xml:space="preserve">Abstract (EN): </w:t>
      </w:r>
      <w:r>
        <w:t>The field of two-dimensional (2D) materials has seen remarkable progress, driven by their exceptional electronic, optical, and mechanical properties. In addition to their intrinsic qualities, 2D materials are atomically thin and readily integrated with a wide range of devices, offering immense potential for next-generation on-chip technologies across various domains, beyond just electronics and optics. Central to the fabrication of 2D devices is the development of effective transfer methods, which are crucial for maintaining clean material interfaces and intact material properties. However, as some of the most fundamental techniques, transfer methods are incredibly diverse, making it challenging to navigate the various approaches. This review provides a comprehensive analysis of the state-of-the-art transfer methods, including a preliminary discussion on high-quality 2D material preparation, along with evaluation of the strengths and weaknesses of various transfer techniques. Furthermore, despite being a foundational field, there are still many significant tasks to be undertaken, with several bottlenecks awaiting breakthroughs. We also highlight emerging trends, such as reconfigurable transfer, all-transfer for chip manufacturing, and the application of transfer techniques to low-dimensional materials across broader research fields, such as chemistry, polariton, tribology, haptics, thermal transport, thermodynamic control, quantum science, neuromorphic computing, electrocatalysts, and energy, offering insights into future directions for 2D material integration.</w:t>
      </w:r>
    </w:p>
    <w:p>
      <w:pPr>
        <w:spacing w:before="120" w:after="120"/>
      </w:pPr>
      <w:r>
        <w:rPr>
          <w:sz w:val="18"/>
        </w:rPr>
        <w:t>——————————————————————————————————————————————————————————————————————</w:t>
      </w:r>
    </w:p>
    <w:p>
      <w:pPr>
        <w:spacing w:before="160" w:after="40" w:line="240" w:lineRule="auto"/>
      </w:pPr>
      <w:r>
        <w:rPr>
          <w:b/>
        </w:rPr>
        <w:t xml:space="preserve">[435] </w:t>
      </w:r>
      <w:hyperlink r:id="rId779">
        <w:r>
          <w:rPr>
            <w:color w:val="1155CC"/>
            <w:u w:val="single"/>
          </w:rPr>
          <w:t>合成细胞的分子系统工程</w:t>
        </w:r>
      </w:hyperlink>
    </w:p>
    <w:p>
      <w:pPr>
        <w:spacing w:before="0" w:after="80"/>
      </w:pPr>
      <w:r>
        <w:rPr>
          <w:i/>
          <w:sz w:val="20"/>
        </w:rPr>
        <w:t>EN: Molecular systems engineering of synthetic cells</w:t>
      </w:r>
    </w:p>
    <w:p>
      <w:pPr>
        <w:spacing w:before="0" w:after="120"/>
      </w:pPr>
      <w:r>
        <w:rPr>
          <w:b/>
        </w:rPr>
        <w:t xml:space="preserve">Source: </w:t>
      </w:r>
      <w:r>
        <w:t>Nature Chemistry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建立自下而上的生物细胞合成版本,为理解生命规则和利用生物技术中的细胞能力提供了一个前所未有的机会,虽然在总结基本细胞功能方面取得了实质性进展,但我们认为,加速合成细胞工程的工程需要改变研究实践。 主导方法——理性地设计和整合功能模块——在处理与生命有关的极其复杂的生物化学路径时,特别是在设计原则仍然不明确时,具有限制性。 我们主张从理论上的合理设计转向以图书馆生成为核心的数据驱动模型。 受系统化学视角的启发,这一战略具有先验性。</w:t>
      </w:r>
    </w:p>
    <w:p>
      <w:pPr>
        <w:spacing w:before="0" w:after="200" w:lineRule="auto" w:line="276"/>
      </w:pPr>
      <w:r>
        <w:rPr>
          <w:b/>
        </w:rPr>
        <w:t xml:space="preserve">Abstract (EN): </w:t>
      </w:r>
      <w:r>
        <w:t>Building synthetic versions of biological cells from the bottom up offers an unprecedented opportunity to understand the rules of life and harness cellular capabilities in biotechnology. Whereas substantial progress has been made in recapitulating elementary cell functions, we argue that accelerating the engineering of synthetic cells requires a shift in research practices. The dominant approach—rationally designing and integrating functional modules—becomes restrictive when dealing with the massively complex biochemical pathways associated with life, especially when design principles remain unclear. We advocate moving away from theoretical rational design towards a data-driven model that is centred on library generation. Inspired by a systems chemistry perspective, this strategy prioritizes the systematic creation and distribution of composition–function libraries. To enable this, experimental strategies must integrate high-throughput synthetic cell generation, automation and closed-feedback control of workflows. Broad adoption will also require greater emphasis on quantitative benchmarking, and the de-skilling of techniques, supporting effective laboratory-to-laboratory collaboration.</w:t>
      </w:r>
    </w:p>
    <w:p>
      <w:pPr>
        <w:spacing w:before="120" w:after="120"/>
      </w:pPr>
      <w:r>
        <w:rPr>
          <w:sz w:val="18"/>
        </w:rPr>
        <w:t>——————————————————————————————————————————————————————————————————————</w:t>
      </w:r>
    </w:p>
    <w:p>
      <w:pPr>
        <w:spacing w:before="160" w:after="40" w:line="240" w:lineRule="auto"/>
      </w:pPr>
      <w:r>
        <w:rPr>
          <w:b/>
        </w:rPr>
        <w:t xml:space="preserve">[436] </w:t>
      </w:r>
      <w:hyperlink r:id="rId780">
        <w:r>
          <w:rPr>
            <w:color w:val="1155CC"/>
            <w:u w:val="single"/>
          </w:rPr>
          <w:t>小分子螺旋发射体</w:t>
        </w:r>
      </w:hyperlink>
    </w:p>
    <w:p>
      <w:pPr>
        <w:spacing w:before="0" w:after="80"/>
      </w:pPr>
      <w:r>
        <w:rPr>
          <w:i/>
          <w:sz w:val="20"/>
        </w:rPr>
        <w:t>EN: Small molecule helical emitters</w:t>
      </w:r>
    </w:p>
    <w:p>
      <w:pPr>
        <w:spacing w:before="0" w:after="120"/>
      </w:pPr>
      <w:r>
        <w:rPr>
          <w:b/>
        </w:rPr>
        <w:t xml:space="preserve">Source: </w:t>
      </w:r>
      <w:r>
        <w:t>RSC - Chem. Soc. Rev. latest articles</w:t>
      </w:r>
      <w:r>
        <w:t xml:space="preserve">    </w:t>
      </w:r>
      <w:r>
        <w:rPr>
          <w:b/>
        </w:rPr>
        <w:t xml:space="preserve">Pub date: </w:t>
      </w:r>
      <w:r>
        <w:t>2026-01-06 00:00:00+00:00</w:t>
      </w:r>
    </w:p>
    <w:p>
      <w:pPr>
        <w:spacing w:before="0" w:after="120"/>
      </w:pPr>
      <w:r>
        <w:rPr>
          <w:b/>
        </w:rPr>
        <w:t xml:space="preserve">Notes: </w:t>
      </w:r>
      <w:r>
        <w:t>abstract_source=rsc_html</w:t>
      </w:r>
    </w:p>
    <w:p>
      <w:pPr>
        <w:spacing w:before="0" w:after="80" w:lineRule="auto" w:line="276"/>
      </w:pPr>
      <w:r>
        <w:rPr>
          <w:b/>
        </w:rPr>
        <w:t xml:space="preserve">摘要（ZH）: </w:t>
      </w:r>
      <w:r>
        <w:t>开发显示循环两极化发光材料(CPL)是下一代光学技术研究的一个关键领域,包括3D显示和安全通信,该领域的中心目标是创造具有高光度不对称性(gCPL)因子(gCPL),这是测量排放体性的一个尺度。虽然在理论上达到 +2, 小型有机分子的实际价值历来要低得多,大约为0.001或更少。本摘要概述了分子设计的核心战略,重点是最近促成重大突破的升温发射物,将G值推到0.01阈值之外。G系数的大小由电(μ)和磁(μ)底醇三角之间的角的正弦决定。</w:t>
      </w:r>
    </w:p>
    <w:p>
      <w:pPr>
        <w:spacing w:before="0" w:after="200" w:lineRule="auto" w:line="276"/>
      </w:pPr>
      <w:r>
        <w:rPr>
          <w:b/>
        </w:rPr>
        <w:t xml:space="preserve">Abstract (EN): </w:t>
      </w:r>
      <w:r>
        <w:t>The development of materials exhibiting circularly polarized luminescence (CPL) is a key area of research for next-generation optical technologies, including 3D displays and secure communications. The central goal in this field is to create chiral emitters with a high luminescence dissymmetry (gCPL) factor, a measure of the emission's chirality. While theoretically reaching ±2, practical values in small organic molecules have historically been much lower, on the order of 0.001 or less. This summary outlines the core strategies in molecular design focusing on helical emitters that have recently enabled significant breakthroughs, pushing g values beyond the 0.01 threshold. The magnitude of g factor is determined by the cosine of the angle between the electric (μe) and magnetic (μm) dipole transition moments, as well as their respective magnitudes. Consequently, the most successful research has moved beyond simple screening and has focused on rationally engineering molecules to optimize this relationship. One of the most direct strategies has been to design rigid, helical molecules where high symmetry forces the μe and μm to be parallel. By enforcing D2 and other symmetry in certain helicenes, helical nanographenes and related structures, researchers have minimized the angle between the moments, thus maximizing the cosine term and leading to a significant enhancement in the g factor value. A second, distinct approach targets the magnitude of the μm. In most organic chromophores, μm is inherently small, limiting the potential g factor intensity. To overcome this, researchers have designed for example belt-shaped macrocyclic molecules that function as molecular-scale solenoids. The cyclic arrangement of chromophores induces a large, circulating electric current in the excited state, which in turn generates a powerful μm along the cylinder's axis. A third innovative strategy circumvents the limitation of a small intrinsic μm by leveraging exciton coupling between two and more chromophores. In these systems, two π-conjugated units such as pyrene are held in a fixed, chiral arrangement. Upon photoexcitation, they form an intramolecular excimer, a transient excited-state complex with a well-defined helical geometry. The resulting CPL signal originates from the chiral interaction of the two strong electric transition moments, generating a large rotational strength and a high g factor without relying on the weak magnetic moment of the individual units. The progress in CPL-active materials is a testament to the power of targeted molecular engineering. As seen in the state-of-the-art examples in the review, the field has matured to a point where the fundamental photophysical principles governing CPL are being directly translated into synthetic molecular designs. While current high-performing materials are often complex and synthetically challenging, these proof-of-concept molecules validate the core design strategies.</w:t>
      </w:r>
    </w:p>
    <w:p>
      <w:pPr>
        <w:spacing w:before="120" w:after="120"/>
      </w:pPr>
      <w:r>
        <w:rPr>
          <w:sz w:val="18"/>
        </w:rPr>
        <w:t>——————————————————————————————————————————————————————————————————————</w:t>
      </w:r>
    </w:p>
    <w:p>
      <w:pPr>
        <w:spacing w:before="160" w:after="40" w:line="240" w:lineRule="auto"/>
      </w:pPr>
      <w:r>
        <w:rPr>
          <w:b/>
        </w:rPr>
        <w:t xml:space="preserve">[437] </w:t>
      </w:r>
      <w:hyperlink r:id="rId781">
        <w:r>
          <w:rPr>
            <w:color w:val="1155CC"/>
            <w:u w:val="single"/>
          </w:rPr>
          <w:t>GC内容对重新基因出生的影响</w:t>
        </w:r>
      </w:hyperlink>
    </w:p>
    <w:p>
      <w:pPr>
        <w:spacing w:before="0" w:after="80"/>
      </w:pPr>
      <w:r>
        <w:rPr>
          <w:i/>
          <w:sz w:val="20"/>
        </w:rPr>
        <w:t>EN: Impact of GC content on de novo gene birth</w:t>
      </w:r>
    </w:p>
    <w:p>
      <w:pPr>
        <w:spacing w:before="0" w:after="120"/>
      </w:pPr>
      <w:r>
        <w:rPr>
          <w:b/>
        </w:rPr>
        <w:t xml:space="preserve">Source: </w:t>
      </w:r>
      <w:r>
        <w:t>Nature Communications</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eukaryotes的非编码区域表现广泛,是新微蛋白的重要来源,其中一些被固定为新基因,但是,这些未演化的产品的结构特性和促使其固定的特征仍然不甚清楚。特别是,核分裂物成分(GC内容)对其结构特性和进化轨迹的影响仍然不清楚。在这里,我们预测了在3,379个含GC成分为18%至79%的无编码开放阅读框架(ORFs)中可能编码的数以百万计微蛋白的折叠性和序列特性,这些微蛋白可能具有3,379个含GC成分为18%至79%的无编码电子蛋白基因组。根据GC内容,这些微蛋白具有不同的结构特性,表明非源区域具有不同的细胞影响。</w:t>
      </w:r>
    </w:p>
    <w:p>
      <w:pPr>
        <w:spacing w:before="0" w:after="200" w:lineRule="auto" w:line="276"/>
      </w:pPr>
      <w:r>
        <w:rPr>
          <w:b/>
        </w:rPr>
        <w:t xml:space="preserve">Abstract (EN): </w:t>
      </w:r>
      <w:r>
        <w:t>Noncoding regions in eukaryotes are extensively expressed and represent a significant source of novel microproteins, some of which become fixed as de novo genes. However, the structural properties of these unevolved products and the features driving their fixation remain poorly understood. Particularly, the influence of nucleotide composition (GC content) on their structural properties and evolutionary trajectories is still unclear. Here, we predict the foldability and sequence properties of millions of microproteins potentially encoded in the noncoding open reading frames (ORFs) of 3,379 eukaryotic genomes with GC contents ranging from 18% to 79%. Depending on GC content, these microproteins exhibit distinct structural properties, suggesting different cellular impacts if non-genic regions are pervasively expressed. Using phylostratigraphy, de novo gene search, and ancestral sequence reconstruction, we trace the evolution of several hundred de novo proteins across 22 organisms with varying GC contents. We show that de novo genes preferentially emerge from GC-rich ORFs with folding potential, revealing that the interplay between GC content and foldability - rooted in the structure of the genetic code - shapes the emergence of novel genes.</w:t>
      </w:r>
    </w:p>
    <w:p>
      <w:pPr>
        <w:spacing w:before="120" w:after="120"/>
      </w:pPr>
      <w:r>
        <w:rPr>
          <w:sz w:val="18"/>
        </w:rPr>
        <w:t>——————————————————————————————————————————————————————————————————————</w:t>
      </w:r>
    </w:p>
    <w:p>
      <w:pPr>
        <w:spacing w:before="160" w:after="40" w:line="240" w:lineRule="auto"/>
      </w:pPr>
      <w:r>
        <w:rPr>
          <w:b/>
        </w:rPr>
        <w:t xml:space="preserve">[438] </w:t>
      </w:r>
      <w:hyperlink r:id="rId782">
        <w:r>
          <w:rPr>
            <w:color w:val="1155CC"/>
            <w:u w:val="single"/>
          </w:rPr>
          <w:t>加强具有代表性的光电光电场景情景提取,用于多个发电站,采用共享重量和适应性结合的图形组合组合法</w:t>
        </w:r>
      </w:hyperlink>
    </w:p>
    <w:p>
      <w:pPr>
        <w:spacing w:before="0" w:after="80"/>
      </w:pPr>
      <w:r>
        <w:rPr>
          <w:i/>
          <w:sz w:val="20"/>
        </w:rPr>
        <w:t>EN: Enhancing representative photovoltaic scenario extraction for multiple power stations with a shared-weight and adaptively fused graph clustering method</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[439] </w:t>
      </w:r>
      <w:hyperlink r:id="rId783">
        <w:r>
          <w:rPr>
            <w:color w:val="1155CC"/>
            <w:u w:val="single"/>
          </w:rPr>
          <w:t>具有催化作用的对等选择性[1,2] -- -- 维蒂格重新排列合金醚级联</w:t>
        </w:r>
      </w:hyperlink>
    </w:p>
    <w:p>
      <w:pPr>
        <w:spacing w:before="0" w:after="80"/>
      </w:pPr>
      <w:r>
        <w:rPr>
          <w:i/>
          <w:sz w:val="20"/>
        </w:rPr>
        <w:t>EN: The catalytic enantioselective [1,2]-Wittig rearrangement cascade of allylic ethers</w:t>
      </w:r>
    </w:p>
    <w:p>
      <w:pPr>
        <w:spacing w:before="0" w:after="120"/>
      </w:pPr>
      <w:r>
        <w:rPr>
          <w:b/>
        </w:rPr>
        <w:t xml:space="preserve">Source: </w:t>
      </w:r>
      <w:r>
        <w:t>Nature Chemistry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刺激性对应选择性选择[1,2,2]-维蒂克重新排列合苯醚是一个公认的合成挑战,因为传统上人们认为,这是一个公认的合成挑战,因为传统上认为它产生于通过形成和重组基对配方而形成的非封闭反应路径。 在这里,我们展示了一种对这一挑战的催化性对应选择性解决办法,表明[1,2]-维蒂格产品是通过传统教条的替代反应级联产生的。 发达过程使用一种手性双功能性二功能性非氮磷化催化剂来推动初始的对应性选择性[2,3]-光学重新排列。随后的一个基础推广、立体趋同、碎裂性再组合过程,该过程在形式上相当于伍德沃德-霍夫曼(Woodward-Hoffmann)禁止设置。</w:t>
      </w:r>
    </w:p>
    <w:p>
      <w:pPr>
        <w:spacing w:before="0" w:after="200" w:lineRule="auto" w:line="276"/>
      </w:pPr>
      <w:r>
        <w:rPr>
          <w:b/>
        </w:rPr>
        <w:t xml:space="preserve">Abstract (EN): </w:t>
      </w:r>
      <w:r>
        <w:t>The catalytic enantioselective [1,2]-Wittig rearrangement of allylic ethers constitutes a recognized synthetic challenge as it is traditionally considered to arise from a non-concerted reaction pathway via formation and recombination of radical pairs. Here we show a catalytic enantioselective solution to this challenge, demonstrating that [1,2]-Wittig products are generated via an alternative reaction cascade to traditional dogma. The developed process employs a chiral bifunctional iminophosphorane catalyst to promote an initial enantioselective [2,3]-sigmatropic rearrangement. A subsequent base-promoted, stereoconvergent, fragmentation–recombination process that proceeds with high enantiospecificity and retention of configuration, formally equivalent to a Woodward–Hoffmann forbidden thermal [1,3]-sigmatropic rearrangement, generates [1,2]-Wittig products in up to 97:3 enantiomeric ratio. Supported by extensive quantum chemistry calculations, this chirality transfer process will have broad implications for fundamental stereocontrol in organic transformations.</w:t>
      </w:r>
    </w:p>
    <w:p>
      <w:pPr>
        <w:spacing w:before="120" w:after="120"/>
      </w:pPr>
      <w:r>
        <w:rPr>
          <w:sz w:val="18"/>
        </w:rPr>
        <w:t>——————————————————————————————————————————————————————————————————————</w:t>
      </w:r>
    </w:p>
    <w:p>
      <w:pPr>
        <w:spacing w:before="160" w:after="40" w:line="240" w:lineRule="auto"/>
      </w:pPr>
      <w:r>
        <w:rPr>
          <w:b/>
        </w:rPr>
        <w:t xml:space="preserve">[440] </w:t>
      </w:r>
      <w:hyperlink r:id="rId784">
        <w:r>
          <w:rPr>
            <w:color w:val="1155CC"/>
            <w:u w:val="single"/>
          </w:rPr>
          <w:t>甜甜分子容器</w:t>
        </w:r>
      </w:hyperlink>
    </w:p>
    <w:p>
      <w:pPr>
        <w:spacing w:before="0" w:after="80"/>
      </w:pPr>
      <w:r>
        <w:rPr>
          <w:i/>
          <w:sz w:val="20"/>
        </w:rPr>
        <w:t>EN: Sweet molecular containers</w:t>
      </w:r>
    </w:p>
    <w:p>
      <w:pPr>
        <w:spacing w:before="0" w:after="120"/>
      </w:pPr>
      <w:r>
        <w:rPr>
          <w:b/>
        </w:rPr>
        <w:t xml:space="preserve">Source: </w:t>
      </w:r>
      <w:r>
        <w:t>Nature Chemistry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[441] </w:t>
      </w:r>
      <w:hyperlink r:id="rId785">
        <w:r>
          <w:rPr>
            <w:color w:val="1155CC"/>
            <w:u w:val="single"/>
          </w:rPr>
          <w:t>两条通往锂核核的公路</w:t>
        </w:r>
      </w:hyperlink>
    </w:p>
    <w:p>
      <w:pPr>
        <w:spacing w:before="0" w:after="80"/>
      </w:pPr>
      <w:r>
        <w:rPr>
          <w:i/>
          <w:sz w:val="20"/>
        </w:rPr>
        <w:t>EN: Two roads to lithium nucleation</w:t>
      </w:r>
    </w:p>
    <w:p>
      <w:pPr>
        <w:spacing w:before="0" w:after="120"/>
      </w:pPr>
      <w:r>
        <w:rPr>
          <w:b/>
        </w:rPr>
        <w:t xml:space="preserve">Source: </w:t>
      </w:r>
      <w:r>
        <w:t>Nature Chemistry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[442] </w:t>
      </w:r>
      <w:hyperlink r:id="rId786">
        <w:r>
          <w:rPr>
            <w:color w:val="1155CC"/>
            <w:u w:val="single"/>
          </w:rPr>
          <w:t>塔坦锌电解从根到打破锌在实际锌电池中的利用/能力障碍</w:t>
        </w:r>
      </w:hyperlink>
    </w:p>
    <w:p>
      <w:pPr>
        <w:spacing w:before="0" w:after="80"/>
      </w:pPr>
      <w:r>
        <w:rPr>
          <w:i/>
          <w:sz w:val="20"/>
        </w:rPr>
        <w:t>EN: Taming Zinc Electrodeposition from the Root to Break Zinc Utilization/Capacity Barriers in Practical Zinc Batteries</w:t>
      </w:r>
    </w:p>
    <w:p>
      <w:pPr>
        <w:spacing w:before="0" w:after="120"/>
      </w:pPr>
      <w:r>
        <w:rPr>
          <w:b/>
        </w:rPr>
        <w:t xml:space="preserve">Source: </w:t>
      </w:r>
      <w:r>
        <w:t>RSC - Energy Environ. Sci. latest articles</w:t>
      </w:r>
      <w:r>
        <w:t xml:space="preserve">    </w:t>
      </w:r>
      <w:r>
        <w:rPr>
          <w:b/>
        </w:rPr>
        <w:t xml:space="preserve">Pub date: </w:t>
      </w:r>
      <w:r>
        <w:t>2026-01-06 00:00:00+00:00</w:t>
      </w:r>
    </w:p>
    <w:p>
      <w:pPr>
        <w:spacing w:before="0" w:after="120"/>
      </w:pPr>
      <w:r>
        <w:rPr>
          <w:b/>
        </w:rPr>
        <w:t xml:space="preserve">Notes: </w:t>
      </w:r>
      <w:r>
        <w:t>abstract_source=rsc_html</w:t>
      </w:r>
    </w:p>
    <w:p>
      <w:pPr>
        <w:spacing w:before="0" w:after="80" w:lineRule="auto" w:line="276"/>
      </w:pPr>
      <w:r>
        <w:rPr>
          <w:b/>
        </w:rPr>
        <w:t xml:space="preserve">摘要（ZH）: </w:t>
      </w:r>
      <w:r>
        <w:t>开发实用锌(Zn)电池需要从源头驯化Zn电极,以抑制相关的不利反应,同时提高商业相关分区能力的Zn利用效率(10 mAh cm-2),这项工作克服了Zn利用(在半细胞中为99%)方面的关键限制,并通过对Zn电化学系统进行量身定做的电流收集的基本了解,克服了这种能力。</w:t>
      </w:r>
    </w:p>
    <w:p>
      <w:pPr>
        <w:spacing w:before="0" w:after="200" w:lineRule="auto" w:line="276"/>
      </w:pPr>
      <w:r>
        <w:rPr>
          <w:b/>
        </w:rPr>
        <w:t xml:space="preserve">Abstract (EN): </w:t>
      </w:r>
      <w:r>
        <w:t>Developing practical zinc (Zn) batteries necessitates taming Zn electrodeposition at source to suppress associated unfavorable reactions while enhancing Zn utilization efficiency at commercially relevant areal capacities (≥10 mAh cm-2). This work overcomes key limitations in Zn utilization (99% in half-cells) and areal capacity through fundamental insights into Zn electrochemistry on tailored current collects. Complementary in-situ characterization and simulations reveal that the tailored brass (Cu0.7Zn0.3) establishes a zincophilic interface, homogeneous electric field distribution, and proton-rejecting properties. This synergy promotes uniform Zn diffusion and progressive nucleation, enabling dendrite-free deposition and effective suppression of water-induced side reactions. The Zn|Brass half-cell achieves an ultrahigh areal capacity of 50 mAh cm-2. In a static Zn-Br2 battery, it delivers 20000 stable cycles at 1 mAh cm-2, while exhibits a scalable areal capacity up to 50 mAh cm-2. A 200 mAh Zn-Br2 pouch cell sustains 1000 cycles, with high reversibility extending to 1000 mAh. The pouch cell offers a practical energy density of 61 Wh kg-1, safe operation, and compatibility with renewable energy integration. This work establishes design guidelines of current collectors for Zn anodes, paving the way for the advancement of practical Zn battery technologies.</w:t>
      </w:r>
    </w:p>
    <w:p>
      <w:pPr>
        <w:spacing w:before="120" w:after="120"/>
      </w:pPr>
      <w:r>
        <w:rPr>
          <w:sz w:val="18"/>
        </w:rPr>
        <w:t>——————————————————————————————————————————————————————————————————————</w:t>
      </w:r>
    </w:p>
    <w:p>
      <w:pPr>
        <w:spacing w:before="160" w:after="40" w:line="240" w:lineRule="auto"/>
      </w:pPr>
      <w:r>
        <w:rPr>
          <w:b/>
        </w:rPr>
        <w:t xml:space="preserve">[443] </w:t>
      </w:r>
      <w:hyperlink r:id="rId787">
        <w:r>
          <w:rPr>
            <w:color w:val="1155CC"/>
            <w:u w:val="single"/>
          </w:rPr>
          <w:t>Skew-tetramantane的定型选择性全面合成</w:t>
        </w:r>
      </w:hyperlink>
    </w:p>
    <w:p>
      <w:pPr>
        <w:spacing w:before="0" w:after="80"/>
      </w:pPr>
      <w:r>
        <w:rPr>
          <w:i/>
          <w:sz w:val="20"/>
        </w:rPr>
        <w:t>EN: Stereoselective total synthesis of skew-tetramantane</w:t>
      </w:r>
    </w:p>
    <w:p>
      <w:pPr>
        <w:spacing w:before="0" w:after="120"/>
      </w:pPr>
      <w:r>
        <w:rPr>
          <w:b/>
        </w:rPr>
        <w:t xml:space="preserve">Source: </w:t>
      </w:r>
      <w:r>
        <w:t>Nature Chemistry</w:t>
      </w:r>
      <w:r>
        <w:t xml:space="preserve">    </w:t>
      </w:r>
      <w:r>
        <w:rPr>
          <w:b/>
        </w:rPr>
        <w:t xml:space="preserve">Pub date: </w:t>
      </w:r>
      <w:r>
        <w:t>2026-01-06 00:00:00+00:00</w:t>
      </w:r>
    </w:p>
    <w:p>
      <w:pPr>
        <w:spacing w:before="0" w:after="120"/>
      </w:pPr>
      <w:r>
        <w:rPr>
          <w:b/>
        </w:rPr>
        <w:t xml:space="preserve">Notes: </w:t>
      </w:r>
      <w:r>
        <w:t>abstract_source=nature_html</w:t>
      </w:r>
    </w:p>
    <w:p>
      <w:pPr>
        <w:spacing w:before="0" w:after="80" w:lineRule="auto" w:line="276"/>
      </w:pPr>
      <w:r>
        <w:rPr>
          <w:b/>
        </w:rPr>
        <w:t xml:space="preserve">摘要（ZH）: </w:t>
      </w:r>
      <w:r>
        <w:t>钻石的基本手性成分 — — skew-tetramantane — — 特征是极端僵硬、稳定和精确界定的几何特征,代表了-希里坦的母体结构。 虽然-特异曼丹自然地出现在化石燃料的微小部分中,但几十年来为选择性合成而付出的努力仍然不尽如人意。 随着最近光化催化和将金属催化转换成驯服基和碳化物种的进展,我们现在通过立体选择性的选择性高超笼子扩展,设计出一个目标的、完全合成的-特异曼丹。 第一次封顶是用光催化基子反应进行的,而用内分子C(sp3 ) - 插入Davies 的菌来实现显著的重组、干涉和对应控制。</w:t>
      </w:r>
    </w:p>
    <w:p>
      <w:pPr>
        <w:spacing w:before="0" w:after="200" w:lineRule="auto" w:line="276"/>
      </w:pPr>
      <w:r>
        <w:rPr>
          <w:b/>
        </w:rPr>
        <w:t xml:space="preserve">Abstract (EN): </w:t>
      </w:r>
      <w:r>
        <w:t>Diamond’s elementary chiral constituent—skew-tetramantane—features extreme rigidity, stability and a precisely defined geometry, epitomizing the parent structure of a σ-helicene. While skew-tetramantane is naturally occurring in trace fractions in fossil fuels, efforts over several decades towards its selective synthesis remained unfruitful. With the recent advances in photocatalysis and transition metal catalysis to tame radical and carbene species, we have now devised a targeted total synthesis of skew-tetramantane by means of a stereoselective adamantalogous cage extension. A first cap attachment was effected by a photocatalytic Giese reaction, while remarkable regio-, diastereo- and enantiocontrol were achieved by an intramolecular C(sp3)−H insertion using Davies’ chiral rhodium catalysts. After a Buchner–Curtius–Schlotterbeck ring expansion and a stereoselective Mukaiyama hydration, the fusion to the adamantine skew-tetramantane structure was completed by an intramolecular C(sp3)−H insertion of a non-stabilized carbenoid. Here we show that this approach provides access to synthetic skew-tetramantane in isomerically pure form with σ-helicity defined by the catalyst, marking a selective pathway to higher diamondoids.</w:t>
      </w:r>
    </w:p>
    <w:p>
      <w:pPr>
        <w:spacing w:before="120" w:after="120"/>
      </w:pPr>
      <w:r>
        <w:rPr>
          <w:sz w:val="18"/>
        </w:rPr>
        <w:t>——————————————————————————————————————————————————————————————————————</w:t>
      </w:r>
    </w:p>
    <w:p>
      <w:pPr>
        <w:spacing w:before="160" w:after="40" w:line="240" w:lineRule="auto"/>
      </w:pPr>
      <w:r>
        <w:rPr>
          <w:b/>
        </w:rPr>
        <w:t xml:space="preserve">[444] </w:t>
      </w:r>
      <w:hyperlink r:id="rId788">
        <w:r>
          <w:rPr>
            <w:color w:val="1155CC"/>
            <w:u w:val="single"/>
          </w:rPr>
          <w:t>量量夸夸声</w:t>
        </w:r>
      </w:hyperlink>
    </w:p>
    <w:p>
      <w:pPr>
        <w:spacing w:before="0" w:after="80"/>
      </w:pPr>
      <w:r>
        <w:rPr>
          <w:i/>
          <w:sz w:val="20"/>
        </w:rPr>
        <w:t>EN: Quantum quacks</w:t>
      </w:r>
    </w:p>
    <w:p>
      <w:pPr>
        <w:spacing w:before="0" w:after="120"/>
      </w:pPr>
      <w:r>
        <w:rPr>
          <w:b/>
        </w:rPr>
        <w:t xml:space="preserve">Source: </w:t>
      </w:r>
      <w:r>
        <w:t>Nature Chemistry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[445] </w:t>
      </w:r>
      <w:hyperlink r:id="rId789">
        <w:r>
          <w:rPr>
            <w:color w:val="1155CC"/>
            <w:u w:val="single"/>
          </w:rPr>
          <w:t>每日简报:没有大脑的动物也睡不着——暗示为什么我们睡觉</w:t>
        </w:r>
      </w:hyperlink>
    </w:p>
    <w:p>
      <w:pPr>
        <w:spacing w:before="0" w:after="80"/>
      </w:pPr>
      <w:r>
        <w:rPr>
          <w:i/>
          <w:sz w:val="20"/>
        </w:rPr>
        <w:t>EN: Daily briefing: Animals without brains sleep too — hinting at why we sleep at all</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[446] </w:t>
      </w:r>
      <w:hyperlink r:id="rId790">
        <w:r>
          <w:rPr>
            <w:color w:val="1155CC"/>
            <w:u w:val="single"/>
          </w:rPr>
          <w:t>Jellyfish人睡得像人一样,</w:t>
        </w:r>
      </w:hyperlink>
    </w:p>
    <w:p>
      <w:pPr>
        <w:spacing w:before="0" w:after="80"/>
      </w:pPr>
      <w:r>
        <w:rPr>
          <w:i/>
          <w:sz w:val="20"/>
        </w:rPr>
        <w:t>EN: Jellyfish sleep like humans — even though they don’t have brains</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[447] </w:t>
      </w:r>
      <w:hyperlink r:id="rId791">
        <w:r>
          <w:rPr>
            <w:color w:val="1155CC"/>
            <w:u w:val="single"/>
          </w:rPr>
          <w:t>使我们的化学世界消毒</w:t>
        </w:r>
      </w:hyperlink>
    </w:p>
    <w:p>
      <w:pPr>
        <w:spacing w:before="0" w:after="80"/>
      </w:pPr>
      <w:r>
        <w:rPr>
          <w:i/>
          <w:sz w:val="20"/>
        </w:rPr>
        <w:t>EN: Defossilize our chemical world</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[448] </w:t>
      </w:r>
      <w:hyperlink r:id="rId792">
        <w:r>
          <w:rPr>
            <w:color w:val="1155CC"/>
            <w:u w:val="single"/>
          </w:rPr>
          <w:t>通过氟化氢气箱盔甲堵塞多面降解路径,用于稳定无气太阳能电池</w:t>
        </w:r>
      </w:hyperlink>
    </w:p>
    <w:p>
      <w:pPr>
        <w:spacing w:before="0" w:after="80"/>
      </w:pPr>
      <w:r>
        <w:rPr>
          <w:i/>
          <w:sz w:val="20"/>
        </w:rPr>
        <w:t>EN: Blocking multifaceted degradation pathways via fluorinated hydrogen-bond armor for stable perovskite solar cells</w:t>
      </w:r>
    </w:p>
    <w:p>
      <w:pPr>
        <w:spacing w:before="0" w:after="120"/>
      </w:pPr>
      <w:r>
        <w:rPr>
          <w:b/>
        </w:rPr>
        <w:t xml:space="preserve">Source: </w:t>
      </w:r>
      <w:r>
        <w:t>RSC - Energy Environ. Sci. latest articles</w:t>
      </w:r>
      <w:r>
        <w:t xml:space="preserve">    </w:t>
      </w:r>
      <w:r>
        <w:rPr>
          <w:b/>
        </w:rPr>
        <w:t xml:space="preserve">Pub date: </w:t>
      </w:r>
      <w:r>
        <w:t>2026-01-06 00:00:00+00:00</w:t>
      </w:r>
    </w:p>
    <w:p>
      <w:pPr>
        <w:spacing w:before="0" w:after="120"/>
      </w:pPr>
      <w:r>
        <w:rPr>
          <w:b/>
        </w:rPr>
        <w:t xml:space="preserve">Notes: </w:t>
      </w:r>
      <w:r>
        <w:t>abstract_source=rsc_html</w:t>
      </w:r>
    </w:p>
    <w:p>
      <w:pPr>
        <w:spacing w:before="0" w:after="80" w:lineRule="auto" w:line="276"/>
      </w:pPr>
      <w:r>
        <w:rPr>
          <w:b/>
        </w:rPr>
        <w:t xml:space="preserve">摘要（ZH）: </w:t>
      </w:r>
      <w:r>
        <w:t>在这项研究中,我们提出了一个“氟化氢气箱”战略,以全面保护红化、防氧化的碘化(I-)防护和抑制离子迁移。 6-氟-氟-氟-苯米多醇-2-硫醇(F-MBI)通过氢结合形成与FA+稳定的复合体。</w:t>
      </w:r>
    </w:p>
    <w:p>
      <w:pPr>
        <w:spacing w:before="0" w:after="200" w:lineRule="auto" w:line="276"/>
      </w:pPr>
      <w:r>
        <w:rPr>
          <w:b/>
        </w:rPr>
        <w:t xml:space="preserve">Abstract (EN): </w:t>
      </w:r>
      <w:r>
        <w:t>The long-term operational stability of perovskite solar cells (PSCs) is governed by a complex interplay of multiple coupled degradation mechanisms rather than isolated factors. Key processes including organic cation decomposition, halide anion oxidation, and ion migration do not occur independently but synergistically interact, ultimately leading to progressive lattice degradation and irreversible device failure. In this study, we propose a “fluorinated hydrogen-bond armor” strategy to comprehensively safeguard formamidinium cations (FA+) against deprotonation, shield iodide (I−) from oxidation, and suppress ion migration. 6-Fluoro-lH-benzimidazole-2-thiol (F-MBI) forms a stabilized complex with FA+ through hydrogen bonding. The strongly electronegative fluorine substituent induces local electronic redistribution via a hydrogen-bond-mediated electronic bridge, passivating proton-active sites and mitigating FA+ deprotonation. Simultaneously, the thiol (–SH) group in F-MBI acts as a reducing agent, protecting I from oxidative degradation. Moreover, F-MBI homogenizes the vertical concentration distribution of Cs+ and FA+ within the perovskite, eliminating the concentration gradient that drives ion migration. The F-MBI modified PSCs achieved an outstanding power conversion efficiency (PCE) of 26.51% (stabilized PCE of 25.85%) and retained over 90% of their initial efficiency after continuous maximum power point tracking (MPP) for 1950 hours under the ISOS-L-2 protocol. Furthermore, the incorporation of F-MBI into the fabrication of large-area modules (active area = 64.68 cm2) yielded an impressive PCE of 20.99%, highlighting the broad applicability and scalability. Our work lays a solid scientific foundation for the comprehensive enhancement of perovskite device photostability and the accelerated advancement toward commercialization.</w:t>
      </w:r>
    </w:p>
    <w:p>
      <w:pPr>
        <w:spacing w:before="120" w:after="120"/>
      </w:pPr>
      <w:r>
        <w:rPr>
          <w:sz w:val="18"/>
        </w:rPr>
        <w:t>——————————————————————————————————————————————————————————————————————</w:t>
      </w:r>
    </w:p>
    <w:p>
      <w:pPr>
        <w:spacing w:before="160" w:after="40" w:line="240" w:lineRule="auto"/>
      </w:pPr>
      <w:r>
        <w:rPr>
          <w:b/>
        </w:rPr>
        <w:t xml:space="preserve">[449] </w:t>
      </w:r>
      <w:hyperlink r:id="rId793">
        <w:r>
          <w:rPr>
            <w:color w:val="1155CC"/>
            <w:u w:val="single"/>
          </w:rPr>
          <w:t>无碳乙烯无乙烯电解解液化电池改用更好的锂离子电池</w:t>
        </w:r>
      </w:hyperlink>
    </w:p>
    <w:p>
      <w:pPr>
        <w:spacing w:before="0" w:after="80"/>
      </w:pPr>
      <w:r>
        <w:rPr>
          <w:i/>
          <w:sz w:val="20"/>
        </w:rPr>
        <w:t>EN: Ethylene carbonate-free electrolytes toward better lithium-ion batteries</w:t>
      </w:r>
    </w:p>
    <w:p>
      <w:pPr>
        <w:spacing w:before="0" w:after="120"/>
      </w:pPr>
      <w:r>
        <w:rPr>
          <w:b/>
        </w:rPr>
        <w:t xml:space="preserve">Source: </w:t>
      </w:r>
      <w:r>
        <w:t>Joule</w:t>
      </w:r>
      <w:r>
        <w:t xml:space="preserve">    </w:t>
      </w:r>
      <w:r>
        <w:rPr>
          <w:b/>
        </w:rPr>
        <w:t xml:space="preserve">Pub date: </w:t>
      </w:r>
      <w:r>
        <w:t>2026-01-06 00:00:00+00:00</w:t>
      </w:r>
    </w:p>
    <w:p>
      <w:pPr>
        <w:spacing w:before="0" w:after="120"/>
      </w:pPr>
      <w:r>
        <w:rPr>
          <w:b/>
        </w:rPr>
        <w:t xml:space="preserve">Notes: </w:t>
      </w:r>
      <w:r>
        <w:t>abstract_source=rss_cell</w:t>
      </w:r>
    </w:p>
    <w:p>
      <w:pPr>
        <w:spacing w:before="0" w:after="80" w:lineRule="auto" w:line="276"/>
      </w:pPr>
      <w:r>
        <w:rPr>
          <w:b/>
        </w:rPr>
        <w:t xml:space="preserve">摘要（ZH）: </w:t>
      </w:r>
      <w:r>
        <w:t>几十年来,碳酸乙烯(EC)一直是锂离子电池中一个必要但有问题的组成部分,造成了安全问题和性能限制。 这一审查表明,去除EC并不是一个损失,而是一个突破。 通过设计没有EC的更聪明电解解槽,电池可以同时变得更加安全、支持更高的电压、从北极冷到沙漠热的操作以及超快的充电,为更强大和强大的能源储存铺平了道路。</w:t>
      </w:r>
    </w:p>
    <w:p>
      <w:pPr>
        <w:spacing w:before="0" w:after="200" w:lineRule="auto" w:line="276"/>
      </w:pPr>
      <w:r>
        <w:rPr>
          <w:b/>
        </w:rPr>
        <w:t xml:space="preserve">Abstract (EN): </w:t>
      </w:r>
      <w:r>
        <w:t>For decades, ethylene carbonate (EC) has been an essential but problematic component in lithium-ion batteries, causing safety issues and performance limits. This review demonstrates that removing EC is not a loss but a breakthrough. By designing smarter electrolytes without EC, batteries can simultaneously become safer, support higher voltages, operate from arctic cold to desert heat, and charge extraordinarily fast, paving the way for more robust and powerful energy storage.</w:t>
      </w:r>
    </w:p>
    <w:p>
      <w:pPr>
        <w:spacing w:before="120" w:after="120"/>
      </w:pPr>
      <w:r>
        <w:rPr>
          <w:sz w:val="18"/>
        </w:rPr>
        <w:t>——————————————————————————————————————————————————————————————————————</w:t>
      </w:r>
    </w:p>
    <w:p>
      <w:pPr>
        <w:spacing w:before="160" w:after="40" w:line="240" w:lineRule="auto"/>
      </w:pPr>
      <w:r>
        <w:rPr>
          <w:b/>
        </w:rPr>
        <w:t xml:space="preserve">[450] </w:t>
      </w:r>
      <w:hyperlink r:id="rId794">
        <w:r>
          <w:rPr>
            <w:color w:val="1155CC"/>
            <w:u w:val="single"/>
          </w:rPr>
          <w:t>为提高抵御气候变化的能力,跟踪持续情况</w:t>
        </w:r>
      </w:hyperlink>
    </w:p>
    <w:p>
      <w:pPr>
        <w:spacing w:before="0" w:after="80"/>
      </w:pPr>
      <w:r>
        <w:rPr>
          <w:i/>
          <w:sz w:val="20"/>
        </w:rPr>
        <w:t>EN: To improve resilience to climate change, track what endures</w:t>
      </w:r>
    </w:p>
    <w:p>
      <w:pPr>
        <w:spacing w:before="0" w:after="120"/>
      </w:pPr>
      <w:r>
        <w:rPr>
          <w:b/>
        </w:rPr>
        <w:t xml:space="preserve">Source: </w:t>
      </w:r>
      <w:r>
        <w:t>Nature</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[451] </w:t>
      </w:r>
      <w:hyperlink r:id="rId795">
        <w:r>
          <w:rPr>
            <w:color w:val="1155CC"/>
            <w:u w:val="single"/>
          </w:rPr>
          <w:t>高性能固体氧化物电化学电池的 细菌间板机的战略缺陷工程</w:t>
        </w:r>
      </w:hyperlink>
    </w:p>
    <w:p>
      <w:pPr>
        <w:spacing w:before="0" w:after="80"/>
      </w:pPr>
      <w:r>
        <w:rPr>
          <w:i/>
          <w:sz w:val="20"/>
        </w:rPr>
        <w:t>EN: Strategic defect engineering in ceria interlayer for high-performing solid oxide electrochemical cells</w:t>
      </w:r>
    </w:p>
    <w:p>
      <w:pPr>
        <w:spacing w:before="0" w:after="120"/>
      </w:pPr>
      <w:r>
        <w:rPr>
          <w:b/>
        </w:rPr>
        <w:t xml:space="preserve">Source: </w:t>
      </w:r>
      <w:r>
        <w:t>ScienceDirect Publication: Materials Today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[452] </w:t>
      </w:r>
      <w:hyperlink r:id="rId796">
        <w:r>
          <w:rPr>
            <w:color w:val="1155CC"/>
            <w:u w:val="single"/>
          </w:rPr>
          <w:t>通过基于代理机构的环境框架评估采用电动车辆的政策干预措施</w:t>
        </w:r>
      </w:hyperlink>
    </w:p>
    <w:p>
      <w:pPr>
        <w:spacing w:before="0" w:after="80"/>
      </w:pPr>
      <w:r>
        <w:rPr>
          <w:i/>
          <w:sz w:val="20"/>
        </w:rPr>
        <w:t>EN: Assessing policy interventions for electric vehicle adoption through an agent-based environmental framework</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[453] </w:t>
      </w:r>
      <w:hyperlink r:id="rId797">
        <w:r>
          <w:rPr>
            <w:color w:val="1155CC"/>
            <w:u w:val="single"/>
          </w:rPr>
          <w:t>在评估空调系统可持续性方面采用水能Nexus方法</w:t>
        </w:r>
      </w:hyperlink>
    </w:p>
    <w:p>
      <w:pPr>
        <w:spacing w:before="0" w:after="80"/>
      </w:pPr>
      <w:r>
        <w:rPr>
          <w:i/>
          <w:sz w:val="20"/>
        </w:rPr>
        <w:t>EN: Application of the Water-Energy Nexus approach to assess the sustainability of air conditioning systems</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[454] </w:t>
      </w:r>
      <w:hyperlink r:id="rId798">
        <w:r>
          <w:rPr>
            <w:color w:val="1155CC"/>
            <w:u w:val="single"/>
          </w:rPr>
          <w:t>多边能源系统的两级协调操作,通过两阶段的随机方案编制办法,考虑以碳为导向的合作定价机制</w:t>
        </w:r>
      </w:hyperlink>
    </w:p>
    <w:p>
      <w:pPr>
        <w:spacing w:before="0" w:after="80"/>
      </w:pPr>
      <w:r>
        <w:rPr>
          <w:i/>
          <w:sz w:val="20"/>
        </w:rPr>
        <w:t>EN: Two-layer coordinated operation of multi-energy system considering carbon-oriented collaborative pricing mechanism via two-stage stochastic programming approach</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[455] </w:t>
      </w:r>
      <w:hyperlink r:id="rId799">
        <w:r>
          <w:rPr>
            <w:color w:val="1155CC"/>
            <w:u w:val="single"/>
          </w:rPr>
          <w:t>通过光纤菌株测量对电池包充电状态的适应性估计</w:t>
        </w:r>
      </w:hyperlink>
    </w:p>
    <w:p>
      <w:pPr>
        <w:spacing w:before="0" w:after="80"/>
      </w:pPr>
      <w:r>
        <w:rPr>
          <w:i/>
          <w:sz w:val="20"/>
        </w:rPr>
        <w:t>EN: Adaptive estimation of battery pack state of charge with optical fibre strain measurements</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[456] </w:t>
      </w:r>
      <w:hyperlink r:id="rId800">
        <w:r>
          <w:rPr>
            <w:color w:val="1155CC"/>
            <w:u w:val="single"/>
          </w:rPr>
          <w:t>加拿大艾伯塔省高温盐溶盐电热能储存系统的设计、技术经济分析和比较评估</w:t>
        </w:r>
      </w:hyperlink>
    </w:p>
    <w:p>
      <w:pPr>
        <w:spacing w:before="0" w:after="80"/>
      </w:pPr>
      <w:r>
        <w:rPr>
          <w:i/>
          <w:sz w:val="20"/>
        </w:rPr>
        <w:t>EN: Design, techno-economic analysis, and comparative assessment of high-temperature molten salt electric thermal energy storage systems for industrial heat decarbonization in Alberta, Canada</w:t>
      </w:r>
    </w:p>
    <w:p>
      <w:pPr>
        <w:spacing w:before="0" w:after="120"/>
      </w:pPr>
      <w:r>
        <w:rPr>
          <w:b/>
        </w:rPr>
        <w:t xml:space="preserve">Source: </w:t>
      </w:r>
      <w:r>
        <w:t>ScienceDirect Publication: Applied Energy</w:t>
      </w:r>
      <w:r>
        <w:t xml:space="preserve">    </w:t>
      </w:r>
      <w:r>
        <w:rPr>
          <w:b/>
        </w:rPr>
        <w:t xml:space="preserve">Pub date: </w:t>
      </w:r>
      <w:r>
        <w:t>2026-01-06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[457] </w:t>
      </w:r>
      <w:hyperlink r:id="rId801">
        <w:r>
          <w:rPr>
            <w:color w:val="1155CC"/>
            <w:u w:val="single"/>
          </w:rPr>
          <w:t>H 动态移动到 HH+++,通过氢化化学循环循环实现</w:t>
        </w:r>
      </w:hyperlink>
    </w:p>
    <w:p>
      <w:pPr>
        <w:spacing w:before="0" w:after="80"/>
      </w:pPr>
      <w:r>
        <w:rPr>
          <w:i/>
          <w:sz w:val="20"/>
        </w:rPr>
        <w:t>EN: Dynamic Modulation of H· to H−&amp;H+ Enabled by Chemical Looping for Hydrogenation‐Dehydrogenation Tandem Reaction</w:t>
      </w:r>
    </w:p>
    <w:p>
      <w:pPr>
        <w:spacing w:before="0" w:after="120"/>
      </w:pPr>
      <w:r>
        <w:rPr>
          <w:b/>
        </w:rPr>
        <w:t xml:space="preserve">Source: </w:t>
      </w:r>
      <w:r>
        <w:t>Wiley: Angewandte Chemie International Edition: Table of Contents</w:t>
      </w:r>
      <w:r>
        <w:t xml:space="preserve">    </w:t>
      </w:r>
      <w:r>
        <w:rPr>
          <w:b/>
        </w:rPr>
        <w:t xml:space="preserve">Pub date: </w:t>
      </w:r>
      <w:r>
        <w:t>2026-01-06 04:55:24+00:00</w:t>
      </w:r>
      <w:r>
        <w:t xml:space="preserve">    </w:t>
      </w:r>
      <w:r>
        <w:rPr>
          <w:b/>
        </w:rPr>
        <w:t xml:space="preserve">DOI: </w:t>
      </w:r>
      <w:hyperlink r:id="rId802">
        <w:r>
          <w:rPr>
            <w:color w:val="1155CC"/>
            <w:u w:val="single"/>
          </w:rPr>
          <w:t>10.1002/anie.202519253</w:t>
        </w:r>
      </w:hyperlink>
    </w:p>
    <w:p>
      <w:pPr>
        <w:spacing w:before="0" w:after="120"/>
      </w:pPr>
      <w:r>
        <w:rPr>
          <w:b/>
        </w:rPr>
        <w:t xml:space="preserve">Notes: </w:t>
      </w:r>
      <w:r>
        <w:t>abstract_source=crossref</w:t>
      </w:r>
    </w:p>
    <w:p>
      <w:pPr>
        <w:spacing w:before="0" w:after="80" w:lineRule="auto" w:line="276"/>
      </w:pPr>
      <w:r>
        <w:rPr>
          <w:b/>
        </w:rPr>
        <w:t xml:space="preserve">摘要（ZH）: </w:t>
      </w:r>
      <w:r>
        <w:t>氢化和脱氢脱氢的抽象合成物具有重大意义,因为两者都是关键的联结重建模式,在大约10%的化学合成物中共同存在。然而,由于声光测量不平衡,往往需要外生氢,从而导致“视觉效应”,抑制脱氢,挑战热力和同步过程的动能。在这里,我们提出了一个以化学循环为基础的动态战略,以调制氢种为基础。我们设计了Ru n@NiCuV M催化剂,用金属空隙(V M)诱导的“电动加速器”特性,从而能够通过化学环流进行可逆电子捕捉和释放。</w:t>
      </w:r>
    </w:p>
    <w:p>
      <w:pPr>
        <w:spacing w:before="0" w:after="200" w:lineRule="auto" w:line="276"/>
      </w:pPr>
      <w:r>
        <w:rPr>
          <w:b/>
        </w:rPr>
        <w:t xml:space="preserve">Abstract (EN): </w:t>
      </w:r>
      <w:r>
        <w:t>Coupling hydrogenation and dehydrogenation is of great significance, as both are pivotal bond reconstruction modes and co‐occur in about 10% of chemical syntheses. However, stoichiometric imbalance often necessitates exogenous hydrogen, which causes “seesaw effect” and inhibits dehydrogenation, challenging thermodynamics and kinetics of tandem process. Herein, we propose a dynamic strategy based on chemical looping to modulate hydrogen species. We designed Ru</w:t>
      </w:r>
      <w:r>
        <w:t xml:space="preserve"> </w:t>
      </w:r>
      <w:r>
        <w:t>n</w:t>
      </w:r>
      <w:r>
        <w:t xml:space="preserve"> </w:t>
      </w:r>
      <w:r>
        <w:t>@NiCu‐V</w:t>
      </w:r>
      <w:r>
        <w:t xml:space="preserve"> </w:t>
      </w:r>
      <w:r>
        <w:t>M</w:t>
      </w:r>
      <w:r>
        <w:t xml:space="preserve"> </w:t>
      </w:r>
      <w:r>
        <w:t>catalyst with metal vacancy (V</w:t>
      </w:r>
      <w:r>
        <w:t xml:space="preserve"> </w:t>
      </w:r>
      <w:r>
        <w:t>M</w:t>
      </w:r>
      <w:r>
        <w:t xml:space="preserve"> </w:t>
      </w:r>
      <w:r>
        <w:t>) induced “electron allocator” properties, enabling reversible electron capture and release via chemical looping, which drives the neutral H· to convert into H</w:t>
      </w:r>
      <w:r>
        <w:t xml:space="preserve"> </w:t>
      </w:r>
      <w:r>
        <w:t>−</w:t>
      </w:r>
      <w:r>
        <w:t>&amp;amp;H</w:t>
      </w:r>
      <w:r>
        <w:t xml:space="preserve"> </w:t>
      </w:r>
      <w:r>
        <w:t>+</w:t>
      </w:r>
      <w:r>
        <w:t xml:space="preserve"> </w:t>
      </w:r>
      <w:r>
        <w:t>, while simultaneously completing electron cycling. The converted H</w:t>
      </w:r>
      <w:r>
        <w:t xml:space="preserve"> </w:t>
      </w:r>
      <w:r>
        <w:t>−</w:t>
      </w:r>
      <w:r>
        <w:t>&amp;amp;H</w:t>
      </w:r>
      <w:r>
        <w:t xml:space="preserve"> </w:t>
      </w:r>
      <w:r>
        <w:t>+</w:t>
      </w:r>
      <w:r>
        <w:t xml:space="preserve"> </w:t>
      </w:r>
      <w:r>
        <w:t>promote hydrogenation of polar ─C═N bonds in the tandem reaction of 5‐hydroxymethylfurfural to 2,5‐furandimethanamine, while neutral H· enhances the dehydrogenation rate by avoiding charge repulsion with H</w:t>
      </w:r>
      <w:r>
        <w:t xml:space="preserve"> </w:t>
      </w:r>
      <w:r>
        <w:t>−</w:t>
      </w:r>
      <w:r>
        <w:t>&amp;amp;H</w:t>
      </w:r>
      <w:r>
        <w:t xml:space="preserve"> </w:t>
      </w:r>
      <w:r>
        <w:t>+</w:t>
      </w:r>
      <w:r>
        <w:t xml:space="preserve"> </w:t>
      </w:r>
      <w:r>
        <w:t>generated from dehydrogenation of ─CH</w:t>
      </w:r>
      <w:r>
        <w:rPr>
          <w:vertAlign w:val="subscript"/>
        </w:rPr>
        <w:t>2</w:t>
      </w:r>
      <w:r>
        <w:t>OH. The coupled hydrogenation‐dehydrogenation process achieves a 1.7‐fold rate enhancement, delivers 92% 2,5‐furandimethanamine yield, outperforms most reported catalysts, and exhibits broad substrate applicability.</w:t>
      </w:r>
    </w:p>
    <w:p>
      <w:pPr>
        <w:spacing w:before="120" w:after="120"/>
      </w:pPr>
      <w:r>
        <w:rPr>
          <w:sz w:val="18"/>
        </w:rPr>
        <w:t>——————————————————————————————————————————————————————————————————————</w:t>
      </w:r>
    </w:p>
    <w:p>
      <w:pPr>
        <w:spacing w:before="160" w:after="40" w:line="240" w:lineRule="auto"/>
      </w:pPr>
      <w:r>
        <w:rPr>
          <w:b/>
        </w:rPr>
        <w:t xml:space="preserve">[458] </w:t>
      </w:r>
      <w:hyperlink r:id="rId803">
        <w:r>
          <w:rPr>
            <w:color w:val="1155CC"/>
            <w:u w:val="single"/>
          </w:rPr>
          <w:t>CO 开始重建CunZrOx催化催化致甲醇的协同CO2/CO CO-Hydrogenization</w:t>
        </w:r>
      </w:hyperlink>
    </w:p>
    <w:p>
      <w:pPr>
        <w:spacing w:before="0" w:after="80"/>
      </w:pPr>
      <w:r>
        <w:rPr>
          <w:i/>
          <w:sz w:val="20"/>
        </w:rPr>
        <w:t>EN: CO‐Induced Reconstruction of Cu–ZnZrOx Catalyst Enables Synergistic CO2/CO Co‐Hydrogenation to Methanol</w:t>
      </w:r>
    </w:p>
    <w:p>
      <w:pPr>
        <w:spacing w:before="0" w:after="120"/>
      </w:pPr>
      <w:r>
        <w:rPr>
          <w:b/>
        </w:rPr>
        <w:t xml:space="preserve">Source: </w:t>
      </w:r>
      <w:r>
        <w:t>Wiley: Angewandte Chemie International Edition: Table of Contents</w:t>
      </w:r>
      <w:r>
        <w:t xml:space="preserve">    </w:t>
      </w:r>
      <w:r>
        <w:rPr>
          <w:b/>
        </w:rPr>
        <w:t xml:space="preserve">Pub date: </w:t>
      </w:r>
      <w:r>
        <w:t>2026-01-06 04:57:52+00:00</w:t>
      </w:r>
      <w:r>
        <w:t xml:space="preserve">    </w:t>
      </w:r>
      <w:r>
        <w:rPr>
          <w:b/>
        </w:rPr>
        <w:t xml:space="preserve">DOI: </w:t>
      </w:r>
      <w:hyperlink r:id="rId804">
        <w:r>
          <w:rPr>
            <w:color w:val="1155CC"/>
            <w:u w:val="single"/>
          </w:rPr>
          <w:t>10.1002/anie.202525886</w:t>
        </w:r>
      </w:hyperlink>
    </w:p>
    <w:p>
      <w:pPr>
        <w:spacing w:before="0" w:after="120"/>
      </w:pPr>
      <w:r>
        <w:rPr>
          <w:b/>
        </w:rPr>
        <w:t xml:space="preserve">Notes: </w:t>
      </w:r>
      <w:r>
        <w:t>abstract_source=crossref</w:t>
      </w:r>
    </w:p>
    <w:p>
      <w:pPr>
        <w:spacing w:before="0" w:after="80" w:lineRule="auto" w:line="276"/>
      </w:pPr>
      <w:r>
        <w:rPr>
          <w:b/>
        </w:rPr>
        <w:t xml:space="preserve">摘要（ZH）: </w:t>
      </w:r>
      <w:r>
        <w:t>摘要催化作用阶段在很大程度上取决于反应条件。 在CO2 氢化中,努力主要强调CO2的激活,同时忽略了如何设计用于CO2和动力特性不同的副产品COCO的共转化和动力化的积极阶段。 这里发现,在CO2 - H2中增加CO2,通过明显协同促进CO2和CunZrOx的CO氢化,增加CO2 - H2进料可提高甲醇的生产率,最高可达2.2倍。</w:t>
      </w:r>
    </w:p>
    <w:p>
      <w:pPr>
        <w:spacing w:before="0" w:after="200" w:lineRule="auto" w:line="276"/>
      </w:pPr>
      <w:r>
        <w:rPr>
          <w:b/>
        </w:rPr>
        <w:t xml:space="preserve">Abstract (EN): </w:t>
      </w:r>
      <w:r>
        <w:t>Catalytically active phase depends strongly on reaction conditions. In CO</w:t>
      </w:r>
      <w:r>
        <w:rPr>
          <w:vertAlign w:val="subscript"/>
        </w:rPr>
        <w:t>2</w:t>
      </w:r>
      <w:r>
        <w:t>hydrogenation, efforts have largely emphasized CO</w:t>
      </w:r>
      <w:r>
        <w:rPr>
          <w:vertAlign w:val="subscript"/>
        </w:rPr>
        <w:t>2</w:t>
      </w:r>
      <w:r>
        <w:t>activation while overlooking how to design active phase for the co‐conversion of CO</w:t>
      </w:r>
      <w:r>
        <w:rPr>
          <w:vertAlign w:val="subscript"/>
        </w:rPr>
        <w:t>2</w:t>
      </w:r>
      <w:r>
        <w:t>and the kinetically distinct byproduct CO. Here, it is found that adding CO to CO</w:t>
      </w:r>
      <w:r>
        <w:rPr>
          <w:vertAlign w:val="subscript"/>
        </w:rPr>
        <w:t>2</w:t>
      </w:r>
      <w:r>
        <w:t>–H</w:t>
      </w:r>
      <w:r>
        <w:rPr>
          <w:vertAlign w:val="subscript"/>
        </w:rPr>
        <w:t>2</w:t>
      </w:r>
      <w:r>
        <w:t>feeds boosts methanol productivity by up to 2.2‐fold via a pronounced synergistic promotion of both CO</w:t>
      </w:r>
      <w:r>
        <w:rPr>
          <w:vertAlign w:val="subscript"/>
        </w:rPr>
        <w:t>2</w:t>
      </w:r>
      <w:r>
        <w:t>and CO hydrogenation over a Cu–ZnZrO</w:t>
      </w:r>
      <w:r>
        <w:t xml:space="preserve"> </w:t>
      </w:r>
      <w:r>
        <w:t>x</w:t>
      </w:r>
      <w:r>
        <w:t xml:space="preserve"> </w:t>
      </w:r>
      <w:r>
        <w:t>catalyst. In situ spectroscopy reveals that CO accelerates Zn reduction and migration onto Cu, increasing Zn</w:t>
      </w:r>
      <w:r>
        <w:rPr>
          <w:vertAlign w:val="subscript"/>
        </w:rPr>
        <w:t>0</w:t>
      </w:r>
      <w:r>
        <w:t>/Cu ratio, Zn</w:t>
      </w:r>
      <w:r>
        <w:t xml:space="preserve"> </w:t>
      </w:r>
      <w:r>
        <w:t>2+</w:t>
      </w:r>
      <w:r>
        <w:t xml:space="preserve"> </w:t>
      </w:r>
      <w:r>
        <w:t>/Cu, and Cu</w:t>
      </w:r>
      <w:r>
        <w:t xml:space="preserve"> </w:t>
      </w:r>
      <w:r>
        <w:t>+</w:t>
      </w:r>
      <w:r>
        <w:t xml:space="preserve"> </w:t>
      </w:r>
      <w:r>
        <w:t>/Cu fraction, while reducing exposed surface Cu from 42% to 19%. This CO‐induced restructuring enriches Zn exposure, drives CuZn alloy formation, and creates abundant CuZn alloy–ZnO</w:t>
      </w:r>
      <w:r>
        <w:t xml:space="preserve"> </w:t>
      </w:r>
      <w:r>
        <w:t>x</w:t>
      </w:r>
      <w:r>
        <w:t xml:space="preserve"> </w:t>
      </w:r>
      <w:r>
        <w:t>interfaces that stabilize Cu</w:t>
      </w:r>
      <w:r>
        <w:t xml:space="preserve"> </w:t>
      </w:r>
      <w:r>
        <w:t>+</w:t>
      </w:r>
      <w:r>
        <w:t xml:space="preserve"> </w:t>
      </w:r>
      <w:r>
        <w:t>sites. These interfaces enable a cooperative dual‐pathway mechanism: CO</w:t>
      </w:r>
      <w:r>
        <w:rPr>
          <w:vertAlign w:val="subscript"/>
        </w:rPr>
        <w:t>2</w:t>
      </w:r>
      <w:r>
        <w:t>is hydrogenated mainly via the formate route at alloy–ZnO</w:t>
      </w:r>
      <w:r>
        <w:t xml:space="preserve"> </w:t>
      </w:r>
      <w:r>
        <w:t>x</w:t>
      </w:r>
      <w:r>
        <w:t xml:space="preserve"> </w:t>
      </w:r>
      <w:r>
        <w:t>sites, whereas CO follows the formyl route on Cu sites. Additionally, in situ‐formed water accelerates conversion of the rate‐determining CH</w:t>
      </w:r>
      <w:r>
        <w:rPr>
          <w:vertAlign w:val="subscript"/>
        </w:rPr>
        <w:t>3</w:t>
      </w:r>
      <w:r>
        <w:t>O</w:t>
      </w:r>
      <w:r>
        <w:t xml:space="preserve"> </w:t>
      </w:r>
      <w:r>
        <w:t>*</w:t>
      </w:r>
      <w:r>
        <w:t xml:space="preserve"> </w:t>
      </w:r>
      <w:r>
        <w:t>intermediate in the CO pathway. Together, CO‐driven evolution of active sites, synergistic dual‐pathway catalysis, and water‐assisted promotion yield highly efficient methanol synthesis from mixed CO–CO</w:t>
      </w:r>
      <w:r>
        <w:rPr>
          <w:vertAlign w:val="subscript"/>
        </w:rPr>
        <w:t>2</w:t>
      </w:r>
      <w:r>
        <w:t>feeds.</w:t>
      </w:r>
    </w:p>
    <w:p>
      <w:pPr>
        <w:spacing w:before="120" w:after="120"/>
      </w:pPr>
      <w:r>
        <w:rPr>
          <w:sz w:val="18"/>
        </w:rPr>
        <w:t>——————————————————————————————————————————————————————————————————————</w:t>
      </w:r>
    </w:p>
    <w:p>
      <w:pPr>
        <w:spacing w:before="160" w:after="40" w:line="240" w:lineRule="auto"/>
      </w:pPr>
      <w:r>
        <w:rPr>
          <w:b/>
        </w:rPr>
        <w:t xml:space="preserve">[459] </w:t>
      </w:r>
      <w:hyperlink r:id="rId805">
        <w:r>
          <w:rPr>
            <w:color w:val="1155CC"/>
            <w:u w:val="single"/>
          </w:rPr>
          <w:t>一个像Eu30这样的减少二氧化碳照片的催化器,其更替数字超过1000万。</w:t>
        </w:r>
      </w:hyperlink>
    </w:p>
    <w:p>
      <w:pPr>
        <w:spacing w:before="0" w:after="80"/>
      </w:pPr>
      <w:r>
        <w:rPr>
          <w:i/>
          <w:sz w:val="20"/>
        </w:rPr>
        <w:t>EN: A Doughnut‐Like Eu30 Catalyst for CO2 Photoreduction with Turnover Numbers Over Ten Million</w:t>
      </w:r>
    </w:p>
    <w:p>
      <w:pPr>
        <w:spacing w:before="0" w:after="120"/>
      </w:pPr>
      <w:r>
        <w:rPr>
          <w:b/>
        </w:rPr>
        <w:t xml:space="preserve">Source: </w:t>
      </w:r>
      <w:r>
        <w:t>Wiley: Angewandte Chemie International Edition: Table of Contents</w:t>
      </w:r>
      <w:r>
        <w:t xml:space="preserve">    </w:t>
      </w:r>
      <w:r>
        <w:rPr>
          <w:b/>
        </w:rPr>
        <w:t xml:space="preserve">Pub date: </w:t>
      </w:r>
      <w:r>
        <w:t>2026-01-06 04:58:53+00:00</w:t>
      </w:r>
      <w:r>
        <w:t xml:space="preserve">    </w:t>
      </w:r>
      <w:r>
        <w:rPr>
          <w:b/>
        </w:rPr>
        <w:t xml:space="preserve">DOI: </w:t>
      </w:r>
      <w:hyperlink r:id="rId806">
        <w:r>
          <w:rPr>
            <w:color w:val="1155CC"/>
            <w:u w:val="single"/>
          </w:rPr>
          <w:t>10.1002/anie.202525260</w:t>
        </w:r>
      </w:hyperlink>
    </w:p>
    <w:p>
      <w:pPr>
        <w:spacing w:before="0" w:after="120"/>
      </w:pPr>
      <w:r>
        <w:rPr>
          <w:b/>
        </w:rPr>
        <w:t xml:space="preserve">Notes: </w:t>
      </w:r>
      <w:r>
        <w:t>abstract_source=crossref</w:t>
      </w:r>
    </w:p>
    <w:p>
      <w:pPr>
        <w:spacing w:before="0" w:after="80" w:lineRule="auto" w:line="276"/>
      </w:pPr>
      <w:r>
        <w:rPr>
          <w:b/>
        </w:rPr>
        <w:t xml:space="preserve">摘要（ZH）: </w:t>
      </w:r>
      <w:r>
        <w:t>由于多个活跃中心之间独特的空间结构,抽象金属集聚体可能成为CO2减排的高性能催化剂,因为多个活跃中心具有独特的空间结构,因此,在逐步取消增长机制之后,通过现场协同反应合成了两个30个核甜甜甜圈类兰沙尼德(Eu30和Dy30)组(Eu30和Dy30),与基于DyQ的模拟相比,Eu30在可见光驱动CO2的转换中起到了高性能催化剂的作用,有98%的选择性和创纪录的高营业次数达到1.720×10。</w:t>
      </w:r>
    </w:p>
    <w:p>
      <w:pPr>
        <w:spacing w:before="0" w:after="200" w:lineRule="auto" w:line="276"/>
      </w:pPr>
      <w:r>
        <w:rPr>
          <w:b/>
        </w:rPr>
        <w:t xml:space="preserve">Abstract (EN): </w:t>
      </w:r>
      <w:r>
        <w:t>Polynuclear metal clusters can be potentially high‐performance catalysts for the CO</w:t>
      </w:r>
      <w:r>
        <w:rPr>
          <w:vertAlign w:val="subscript"/>
        </w:rPr>
        <w:t>2</w:t>
      </w:r>
      <w:r>
        <w:t>reduction owing to the unique spatial structures among multiple active centers. Herein, two 30‐nuclear doughnut‐like lanthanide clusters (</w:t>
      </w:r>
      <w:r>
        <w:t xml:space="preserve"> </w:t>
      </w:r>
      <w:r>
        <w:t>Eu30</w:t>
      </w:r>
      <w:r>
        <w:t xml:space="preserve"> </w:t>
      </w:r>
      <w:r>
        <w:t>and</w:t>
      </w:r>
      <w:r>
        <w:t xml:space="preserve"> </w:t>
      </w:r>
      <w:r>
        <w:t>Dy30</w:t>
      </w:r>
      <w:r>
        <w:t xml:space="preserve"> </w:t>
      </w:r>
      <w:r>
        <w:t>) were synthesized via in situ tandem reaction following a stepwise annular growth mechanism. In contrast to the Dy‐based analog,</w:t>
      </w:r>
      <w:r>
        <w:t xml:space="preserve"> </w:t>
      </w:r>
      <w:r>
        <w:t>Eu30</w:t>
      </w:r>
      <w:r>
        <w:t xml:space="preserve"> </w:t>
      </w:r>
      <w:r>
        <w:t>serves as a high‐performance catalyst in visible‐light‐driven CO</w:t>
      </w:r>
      <w:r>
        <w:rPr>
          <w:vertAlign w:val="subscript"/>
        </w:rPr>
        <w:t>2</w:t>
      </w:r>
      <w:r>
        <w:t>‐to‐CO conversion with 98% selectivity and a record‐high turnover number reaching 1.720 × 10</w:t>
      </w:r>
      <w:r>
        <w:rPr>
          <w:vertAlign w:val="subscript"/>
        </w:rPr>
        <w:t>7</w:t>
      </w:r>
      <w:r>
        <w:t>, a rare case with only lanthanide metals as the active centers. Experimental and computational results indicate that the excellent performance of</w:t>
      </w:r>
      <w:r>
        <w:t xml:space="preserve"> </w:t>
      </w:r>
      <w:r>
        <w:t>Eu30</w:t>
      </w:r>
      <w:r>
        <w:t xml:space="preserve"> </w:t>
      </w:r>
      <w:r>
        <w:t>, as the first example of pure lanthanide cluster catalyst, can be attributed to its high redox activity with an appropriate LUMO energy level.</w:t>
      </w:r>
    </w:p>
    <w:p>
      <w:pPr>
        <w:spacing w:before="120" w:after="120"/>
      </w:pPr>
      <w:r>
        <w:rPr>
          <w:sz w:val="18"/>
        </w:rPr>
        <w:t>——————————————————————————————————————————————————————————————————————</w:t>
      </w:r>
    </w:p>
    <w:p>
      <w:pPr>
        <w:spacing w:before="160" w:after="40" w:line="240" w:lineRule="auto"/>
      </w:pPr>
      <w:r>
        <w:rPr>
          <w:b/>
        </w:rPr>
        <w:t xml:space="preserve">[460] </w:t>
      </w:r>
      <w:hyperlink r:id="rId807">
        <w:r>
          <w:rPr>
            <w:color w:val="1155CC"/>
            <w:u w:val="single"/>
          </w:rPr>
          <w:t>用于高效选择性有氧氧氧化作用的协同工程推进器 Alkynyl-Copper光电分离</w:t>
        </w:r>
      </w:hyperlink>
    </w:p>
    <w:p>
      <w:pPr>
        <w:spacing w:before="0" w:after="80"/>
      </w:pPr>
      <w:r>
        <w:rPr>
          <w:i/>
          <w:sz w:val="20"/>
        </w:rPr>
        <w:t>EN: Conjugation Engineering Boosts Alkynyl‐Copper Photocatalysis for Efficient Selective Aerobic Oxidation</w:t>
      </w:r>
    </w:p>
    <w:p>
      <w:pPr>
        <w:spacing w:before="0" w:after="120"/>
      </w:pPr>
      <w:r>
        <w:rPr>
          <w:b/>
        </w:rPr>
        <w:t xml:space="preserve">Source: </w:t>
      </w:r>
      <w:r>
        <w:t>Wiley: Angewandte Chemie International Edition: Table of Contents</w:t>
      </w:r>
      <w:r>
        <w:t xml:space="preserve">    </w:t>
      </w:r>
      <w:r>
        <w:rPr>
          <w:b/>
        </w:rPr>
        <w:t xml:space="preserve">Pub date: </w:t>
      </w:r>
      <w:r>
        <w:t>2026-01-06 04:59:55+00:00</w:t>
      </w:r>
      <w:r>
        <w:t xml:space="preserve">    </w:t>
      </w:r>
      <w:r>
        <w:rPr>
          <w:b/>
        </w:rPr>
        <w:t xml:space="preserve">DOI: </w:t>
      </w:r>
      <w:hyperlink r:id="rId808">
        <w:r>
          <w:rPr>
            <w:color w:val="1155CC"/>
            <w:u w:val="single"/>
          </w:rPr>
          <w:t>10.1002/anie.202521533</w:t>
        </w:r>
      </w:hyperlink>
    </w:p>
    <w:p>
      <w:pPr>
        <w:spacing w:before="0" w:after="120"/>
      </w:pPr>
      <w:r>
        <w:rPr>
          <w:b/>
        </w:rPr>
        <w:t xml:space="preserve">Notes: </w:t>
      </w:r>
      <w:r>
        <w:t>abstract_source=crossref</w:t>
      </w:r>
    </w:p>
    <w:p>
      <w:pPr>
        <w:spacing w:before="0" w:after="80" w:lineRule="auto" w:line="276"/>
      </w:pPr>
      <w:r>
        <w:rPr>
          <w:b/>
        </w:rPr>
        <w:t xml:space="preserve">摘要（ZH）: </w:t>
      </w:r>
      <w:r>
        <w:t>抽象颗粒菊酯(PACu)是铜催化交叉相交结合体中一个重要的光活中间体,具有有限的可见光吸收作用、快速的辐射再组合和光化性差,妨碍了其实际应用。 我们在此报告了一项协同工程战略,通过以扩展的系统(如2-苯乙烯(NA)、9-苯乙烯苯丙胺(Fa)和1-苯丙苯乙烯(BA)取代苯乙烯来应对这些挑战。 实验和理论研究显示,强化的conjugation将宽幅缩小至1.95 eV(BACu),将吸收范围扩大到600纳米以上,促进电荷分离,并抑制Cu。</w:t>
      </w:r>
    </w:p>
    <w:p>
      <w:pPr>
        <w:spacing w:before="0" w:after="200" w:lineRule="auto" w:line="276"/>
      </w:pPr>
      <w:r>
        <w:rPr>
          <w:b/>
        </w:rPr>
        <w:t xml:space="preserve">Abstract (EN): </w:t>
      </w:r>
      <w:r>
        <w:t>Phenylacetylide‐copper (PACu), as an important photoactive intermediate in copper‐catalyzed cross‐couplings, suffers from limited visible‐light absorption, rapid radiative recombination, and poor photostability, hindering its practical application. Herein, we report a conjugation engineering strategy to address these challenges by replacing phenylacetylene with extended π‐system ligands, such as 2‐ethynylnaphthalene (NA), 9‐ethynylphenanthrene (FA), and 1‐ethynylpyrene (BA), yielding a series of new alkynyl‐copper photocatalysts (NACu, FACu, BACu). Experimental and theoretical studies reveal that enhanced π‐conjugation narrows the band gap to 1.95 eV (BACu), extends absorption beyond 600 nm, promotes charge separation, and suppresses Cu</w:t>
      </w:r>
      <w:r>
        <w:t xml:space="preserve"> </w:t>
      </w:r>
      <w:r>
        <w:t>I</w:t>
      </w:r>
      <w:r>
        <w:t xml:space="preserve"> </w:t>
      </w:r>
      <w:r>
        <w:t>oxidation during photocatalysis. The optimized BACu demonstrates exceptional photocatalytic activity and stability in [4 + 2] cycloaddition, Glaser coupling, and benzylamine oxidation, achieving &amp;gt;99% conversion and selectivity with excellent recyclability. This work provides fundamental insights into electronic structure modulation via conjugation engineering, offering a universal strategy for designing efficient and stable metal‐alkynyl photocatalysts.</w:t>
      </w:r>
    </w:p>
    <w:p>
      <w:pPr>
        <w:spacing w:before="120" w:after="120"/>
      </w:pPr>
      <w:r>
        <w:rPr>
          <w:sz w:val="18"/>
        </w:rPr>
        <w:t>——————————————————————————————————————————————————————————————————————</w:t>
      </w:r>
    </w:p>
    <w:p>
      <w:pPr>
        <w:spacing w:before="160" w:after="40" w:line="240" w:lineRule="auto"/>
      </w:pPr>
      <w:r>
        <w:rPr>
          <w:b/>
        </w:rPr>
        <w:t xml:space="preserve">[461] </w:t>
      </w:r>
      <w:hyperlink r:id="rId809">
        <w:r>
          <w:rPr>
            <w:color w:val="1155CC"/>
            <w:u w:val="single"/>
          </w:rPr>
          <w:t>未激活的C(sp3)-H Bond</w:t>
        </w:r>
      </w:hyperlink>
    </w:p>
    <w:p>
      <w:pPr>
        <w:spacing w:before="0" w:after="80"/>
      </w:pPr>
      <w:r>
        <w:rPr>
          <w:i/>
          <w:sz w:val="20"/>
        </w:rPr>
        <w:t>EN: Intermolecular Enantioselective Nickel‐Catalyzed Arylation of Un‐Activated C(sp3)─H Bond</w:t>
      </w:r>
    </w:p>
    <w:p>
      <w:pPr>
        <w:spacing w:before="0" w:after="120"/>
      </w:pPr>
      <w:r>
        <w:rPr>
          <w:b/>
        </w:rPr>
        <w:t xml:space="preserve">Source: </w:t>
      </w:r>
      <w:r>
        <w:t>Wiley: Angewandte Chemie International Edition: Table of Contents</w:t>
      </w:r>
      <w:r>
        <w:t xml:space="preserve">    </w:t>
      </w:r>
      <w:r>
        <w:rPr>
          <w:b/>
        </w:rPr>
        <w:t xml:space="preserve">Pub date: </w:t>
      </w:r>
      <w:r>
        <w:t>2026-01-06 05:00:31+00:00</w:t>
      </w:r>
      <w:r>
        <w:t xml:space="preserve">    </w:t>
      </w:r>
      <w:r>
        <w:rPr>
          <w:b/>
        </w:rPr>
        <w:t xml:space="preserve">DOI: </w:t>
      </w:r>
      <w:hyperlink r:id="rId810">
        <w:r>
          <w:rPr>
            <w:color w:val="1155CC"/>
            <w:u w:val="single"/>
          </w:rPr>
          <w:t>10.1002/anie.202523241</w:t>
        </w:r>
      </w:hyperlink>
    </w:p>
    <w:p>
      <w:pPr>
        <w:spacing w:before="0" w:after="120"/>
      </w:pPr>
      <w:r>
        <w:rPr>
          <w:b/>
        </w:rPr>
        <w:t xml:space="preserve">Notes: </w:t>
      </w:r>
      <w:r>
        <w:t>abstract_source=crossref</w:t>
      </w:r>
    </w:p>
    <w:p>
      <w:pPr>
        <w:spacing w:before="0" w:after="80" w:lineRule="auto" w:line="276"/>
      </w:pPr>
      <w:r>
        <w:rPr>
          <w:b/>
        </w:rPr>
        <w:t xml:space="preserve">摘要（ZH）: </w:t>
      </w:r>
      <w:r>
        <w:t>我们报告了一个中间分子、对应选择性的Ni(II)催化C(sp 3)-H 的中间分子、对应选择性的Ni(II)-催化C(sp 3)-H 相互调节的第一个例子,它提供了直接进入所有碳四氟制立体中心的机会。这一成功的关键是使用一个专门设计的BINOL衍生的离心法,通过一个速度和对立的C-H激活步骤,使宝石二甲基组能够有效地脱污。这一催化系统显示了显著的功能性群体容忍度,为高产量(高达85%)和极佳的对应性(高达95:5 e.r.)提供各种近效的近效产品。</w:t>
      </w:r>
    </w:p>
    <w:p>
      <w:pPr>
        <w:spacing w:before="0" w:after="200" w:lineRule="auto" w:line="276"/>
      </w:pPr>
      <w:r>
        <w:rPr>
          <w:b/>
        </w:rPr>
        <w:t xml:space="preserve">Abstract (EN): </w:t>
      </w:r>
      <w:r>
        <w:t>We report the first example of an intermolecular, enantioselective Ni(II)‐catalyzed C(sp</w:t>
      </w:r>
      <w:r>
        <w:rPr>
          <w:vertAlign w:val="subscript"/>
        </w:rPr>
        <w:t>3</w:t>
      </w:r>
      <w:r>
        <w:t>)─H arylation, providing direct access to challenging all‐carbon quaternary stereogenic centers. Key to this success is the use of a specially designed BINOL‐derived ligand, which enables efficient desymmetrization of gem‐dimethyl groups through a rate‐ and enantio‐determining C─H activation step. This catalytic system demonstrates remarkable functional group tolerance, affording a wide variety of arylated products in high yields (up to 85%) and with excellent enantioselectivities (up to 95:5 e.r.). Mechanistic studies, combining kinetic isotope effect measurements, deuterium labeling, and DFT calculations, reveal that the Ni–BINOL complex promotes a unique concerted metalation–deprotonation pathway assisted by ligand coordination and π–π interactions. This work establishes nickel as a powerful and sustainable alternative to precious metals for asymmetric C─H activation, opening new perspectives for the construction of enantioenriched quaternary carbon centers of high relevance in drug discovery and materials science.</w:t>
      </w:r>
    </w:p>
    <w:p>
      <w:pPr>
        <w:spacing w:before="120" w:after="120"/>
      </w:pPr>
      <w:r>
        <w:rPr>
          <w:sz w:val="18"/>
        </w:rPr>
        <w:t>——————————————————————————————————————————————————————————————————————</w:t>
      </w:r>
    </w:p>
    <w:p>
      <w:pPr>
        <w:spacing w:before="160" w:after="40" w:line="240" w:lineRule="auto"/>
      </w:pPr>
      <w:r>
        <w:rPr>
          <w:b/>
        </w:rPr>
        <w:t xml:space="preserve">[462] </w:t>
      </w:r>
      <w:hyperlink r:id="rId811">
        <w:r>
          <w:rPr>
            <w:color w:val="1155CC"/>
            <w:u w:val="single"/>
          </w:rPr>
          <w:t>通过甲基溴/Nickel中继催化剂催化1,3-Bis-Carbo的功能化,使1 和1 子子环丁烷的释放多样化</w:t>
        </w:r>
      </w:hyperlink>
    </w:p>
    <w:p>
      <w:pPr>
        <w:spacing w:before="0" w:after="80"/>
      </w:pPr>
      <w:r>
        <w:rPr>
          <w:i/>
          <w:sz w:val="20"/>
        </w:rPr>
        <w:t>EN: Strain‐Release Diversification of 1‐Azabicyclobutanes via Bromide/Nickel Relay Catalyzed 1,3‐Bis‐Carbofunctionalization</w:t>
      </w:r>
    </w:p>
    <w:p>
      <w:pPr>
        <w:spacing w:before="0" w:after="120"/>
      </w:pPr>
      <w:r>
        <w:rPr>
          <w:b/>
        </w:rPr>
        <w:t xml:space="preserve">Source: </w:t>
      </w:r>
      <w:r>
        <w:t>Wiley: Angewandte Chemie International Edition: Table of Contents</w:t>
      </w:r>
      <w:r>
        <w:t xml:space="preserve">    </w:t>
      </w:r>
      <w:r>
        <w:rPr>
          <w:b/>
        </w:rPr>
        <w:t xml:space="preserve">Pub date: </w:t>
      </w:r>
      <w:r>
        <w:t>2026-01-06 05:00:33+00:00</w:t>
      </w:r>
      <w:r>
        <w:t xml:space="preserve">    </w:t>
      </w:r>
      <w:r>
        <w:rPr>
          <w:b/>
        </w:rPr>
        <w:t xml:space="preserve">DOI: </w:t>
      </w:r>
      <w:hyperlink r:id="rId812">
        <w:r>
          <w:rPr>
            <w:color w:val="1155CC"/>
            <w:u w:val="single"/>
          </w:rPr>
          <w:t>10.1002/anie.202522817</w:t>
        </w:r>
      </w:hyperlink>
    </w:p>
    <w:p>
      <w:pPr>
        <w:spacing w:before="0" w:after="120"/>
      </w:pPr>
      <w:r>
        <w:rPr>
          <w:b/>
        </w:rPr>
        <w:t xml:space="preserve">Notes: </w:t>
      </w:r>
      <w:r>
        <w:t>abstract_source=crossref</w:t>
      </w:r>
    </w:p>
    <w:p>
      <w:pPr>
        <w:spacing w:before="0" w:after="80" w:lineRule="auto" w:line="276"/>
      </w:pPr>
      <w:r>
        <w:rPr>
          <w:b/>
        </w:rPr>
        <w:t xml:space="preserve">摘要（ZH）: </w:t>
      </w:r>
      <w:r>
        <w:t>摘要摘要:尽管对作为药用化学方面特权分子的安眠药的需求很高,但高效合成平台仍有限,无法迅速制作各种装饰的安眠药,尽管高度紧张的1-氮环甲丁烷(ABB)的二等-子机能化一直是合成结构多样的安眠药的最可行、模块化和多功能的方法之一,但向ABB催化安装脂质支解剂的催化性装置仍然未受到充分探讨。</w:t>
      </w:r>
    </w:p>
    <w:p>
      <w:pPr>
        <w:spacing w:before="0" w:after="200" w:lineRule="auto" w:line="276"/>
      </w:pPr>
      <w:r>
        <w:rPr>
          <w:b/>
        </w:rPr>
        <w:t xml:space="preserve">Abstract (EN): </w:t>
      </w:r>
      <w:r>
        <w:t>Despite the high demands for azetidines as privileged motifs in medicinal chemistry, efficient synthesis platforms that enable the rapid preparation of diversely decorated azetidines remain limited. Although the</w:t>
      </w:r>
      <w:r>
        <w:t xml:space="preserve"> </w:t>
      </w:r>
      <w:r>
        <w:t>bis</w:t>
      </w:r>
      <w:r>
        <w:t xml:space="preserve"> </w:t>
      </w:r>
      <w:r>
        <w:t>‐functionalization of highly strained 1‐azabicyclobutane (ABB) has been one of the most viable, modular, and versatile methods for the synthesis of structurally diverse azetidines, the catalytic installation of aliphatic pendants to ABB remains underexplored. In this work, we report the multicomponent synthesis of the elusive all‐carbon quaternary azetidines from ABBs through the radical addition of azetidines to various</w:t>
      </w:r>
      <w:r>
        <w:t xml:space="preserve"> </w:t>
      </w:r>
      <w:r>
        <w:t>α,β</w:t>
      </w:r>
      <w:r>
        <w:t xml:space="preserve"> </w:t>
      </w:r>
      <w:r>
        <w:t>‐unsaturated esters, amides, ketones, a 1,3‐enyne, and a vinylphosphonate ester. The reaction is facilitated by a bromide/nickel dual‐catalyzed polar‐radical relay strategy, enabling the radical difunctionalization of</w:t>
      </w:r>
      <w:r>
        <w:t xml:space="preserve"> </w:t>
      </w:r>
      <w:r>
        <w:t>α,β</w:t>
      </w:r>
      <w:r>
        <w:t xml:space="preserve"> </w:t>
      </w:r>
      <w:r>
        <w:t>‐unsaturated carbonyl compounds via sequential ring‐strain‐release azetidinylation and Suzuki‐type arylation or alkenylation. Variation in the individual components enabled the synthesis of &amp;gt;60 azetidine derivatives, including modifications of selected biorelevant molecules. The functional group interconversion of representative azetidine derivatives illustrates the method's potential to produce unprecedented spirocyclic azetidine hybrids, which may be useful for exploring uncharted areas of chemical space in drug design. Additionally, a diastereoselective synthesis using Evans’ oxazolidinone enabled the preparation of an enantiopure azetidine, potentially useful as a platform for library preparation of stereochemically diverse azetidines.</w:t>
      </w:r>
    </w:p>
    <w:p>
      <w:pPr>
        <w:spacing w:before="120" w:after="120"/>
      </w:pPr>
      <w:r>
        <w:rPr>
          <w:sz w:val="18"/>
        </w:rPr>
        <w:t>——————————————————————————————————————————————————————————————————————</w:t>
      </w:r>
    </w:p>
    <w:p>
      <w:pPr>
        <w:spacing w:before="160" w:after="40" w:line="240" w:lineRule="auto"/>
      </w:pPr>
      <w:r>
        <w:rPr>
          <w:b/>
        </w:rPr>
        <w:t xml:space="preserve">[463] </w:t>
      </w:r>
      <w:hyperlink r:id="rId813">
        <w:r>
          <w:rPr>
            <w:color w:val="1155CC"/>
            <w:u w:val="single"/>
          </w:rPr>
          <w:t>用于将CO2光光减到乙酸的建筑中 磁性活性界面</w:t>
        </w:r>
      </w:hyperlink>
    </w:p>
    <w:p>
      <w:pPr>
        <w:spacing w:before="0" w:after="80"/>
      </w:pPr>
      <w:r>
        <w:rPr>
          <w:i/>
          <w:sz w:val="20"/>
        </w:rPr>
        <w:t>EN: Epitaxial Active Interface to Construct Intralattice‐Bonded Asymmetric Bi1─O─Bi2 Sites for Robust CO2 Photoreduction to Acetic Acid</w:t>
      </w:r>
    </w:p>
    <w:p>
      <w:pPr>
        <w:spacing w:before="0" w:after="120"/>
      </w:pPr>
      <w:r>
        <w:rPr>
          <w:b/>
        </w:rPr>
        <w:t xml:space="preserve">Source: </w:t>
      </w:r>
      <w:r>
        <w:t>Wiley: Angewandte Chemie International Edition: Table of Contents</w:t>
      </w:r>
      <w:r>
        <w:t xml:space="preserve">    </w:t>
      </w:r>
      <w:r>
        <w:rPr>
          <w:b/>
        </w:rPr>
        <w:t xml:space="preserve">Pub date: </w:t>
      </w:r>
      <w:r>
        <w:t>2026-01-06 05:02:04+00:00</w:t>
      </w:r>
      <w:r>
        <w:t xml:space="preserve">    </w:t>
      </w:r>
      <w:r>
        <w:rPr>
          <w:b/>
        </w:rPr>
        <w:t xml:space="preserve">DOI: </w:t>
      </w:r>
      <w:hyperlink r:id="rId814">
        <w:r>
          <w:rPr>
            <w:color w:val="1155CC"/>
            <w:u w:val="single"/>
          </w:rPr>
          <w:t>10.1002/anie.202524970</w:t>
        </w:r>
      </w:hyperlink>
    </w:p>
    <w:p>
      <w:pPr>
        <w:spacing w:before="0" w:after="120"/>
      </w:pPr>
      <w:r>
        <w:rPr>
          <w:b/>
        </w:rPr>
        <w:t xml:space="preserve">Notes: </w:t>
      </w:r>
      <w:r>
        <w:t>abstract_source=crossref</w:t>
      </w:r>
    </w:p>
    <w:p>
      <w:pPr>
        <w:spacing w:before="0" w:after="80" w:lineRule="auto" w:line="276"/>
      </w:pPr>
      <w:r>
        <w:rPr>
          <w:b/>
        </w:rPr>
        <w:t xml:space="preserve">摘要（ZH）: </w:t>
      </w:r>
      <w:r>
        <w:t>摘要 Solar 驱动的C 2化学物的C 2化学物从CO 2 选择性合成是碳循环的重要途径,但受到C-C 混合的高动能屏障的限制。本研究为lattice-bond不对称地点提出了一个上层增长战略。 通过在Bi 3 NbO 7 NbO 7 Nm_dots/Bi 3 O 4 O 4 Br纳米表(BNO/BBB)接口建造一个B 1 - OO - Bi 2 站点,以促进乙酸生产的C-C连接,光催化炉。</w:t>
      </w:r>
    </w:p>
    <w:p>
      <w:pPr>
        <w:spacing w:before="0" w:after="200" w:lineRule="auto" w:line="276"/>
      </w:pPr>
      <w:r>
        <w:rPr>
          <w:b/>
        </w:rPr>
        <w:t xml:space="preserve">Abstract (EN): </w:t>
      </w:r>
      <w:r>
        <w:t>Solar‐driven selective synthesis of C</w:t>
      </w:r>
      <w:r>
        <w:rPr>
          <w:vertAlign w:val="subscript"/>
        </w:rPr>
        <w:t>2</w:t>
      </w:r>
      <w:r>
        <w:t>chemicals from CO</w:t>
      </w:r>
      <w:r>
        <w:rPr>
          <w:vertAlign w:val="subscript"/>
        </w:rPr>
        <w:t>2</w:t>
      </w:r>
      <w:r>
        <w:t>is a crucial pathway for carbon cycling, but it is limited by the high kinetic barrier of C─C coupling. This study proposes an epitaxial growth strategy for lattice‐bonded asymmetric sites. By constructing a Bi</w:t>
      </w:r>
      <w:r>
        <w:rPr>
          <w:vertAlign w:val="subscript"/>
        </w:rPr>
        <w:t>1</w:t>
      </w:r>
      <w:r>
        <w:t>─O─Bi</w:t>
      </w:r>
      <w:r>
        <w:rPr>
          <w:vertAlign w:val="subscript"/>
        </w:rPr>
        <w:t>2</w:t>
      </w:r>
      <w:r>
        <w:t>site at the Bi</w:t>
      </w:r>
      <w:r>
        <w:rPr>
          <w:vertAlign w:val="subscript"/>
        </w:rPr>
        <w:t>3</w:t>
      </w:r>
      <w:r>
        <w:t>NbO</w:t>
      </w:r>
      <w:r>
        <w:rPr>
          <w:vertAlign w:val="subscript"/>
        </w:rPr>
        <w:t>7</w:t>
      </w:r>
      <w:r>
        <w:t>nano‐dots/Bi</w:t>
      </w:r>
      <w:r>
        <w:rPr>
          <w:vertAlign w:val="subscript"/>
        </w:rPr>
        <w:t>3</w:t>
      </w:r>
      <w:r>
        <w:t>O</w:t>
      </w:r>
      <w:r>
        <w:rPr>
          <w:vertAlign w:val="subscript"/>
        </w:rPr>
        <w:t>4</w:t>
      </w:r>
      <w:r>
        <w:t>Br nanosheet (BNO/BOB) interface to promote C─C coupling for acetic acid production, the photocatalytic conversion rate of CO</w:t>
      </w:r>
      <w:r>
        <w:rPr>
          <w:vertAlign w:val="subscript"/>
        </w:rPr>
        <w:t>2</w:t>
      </w:r>
      <w:r>
        <w:t>to acetic acid can reach 192.3 µmol·g</w:t>
      </w:r>
      <w:r>
        <w:t xml:space="preserve"> </w:t>
      </w:r>
      <w:r>
        <w:t>−1</w:t>
      </w:r>
      <w:r>
        <w:t xml:space="preserve"> </w:t>
      </w:r>
      <w:r>
        <w:t>·h</w:t>
      </w:r>
      <w:r>
        <w:t xml:space="preserve"> </w:t>
      </w:r>
      <w:r>
        <w:t>−1</w:t>
      </w:r>
      <w:r>
        <w:t xml:space="preserve"> </w:t>
      </w:r>
      <w:r>
        <w:t>, with 91.4% selectivity. The apparent quantum efficiency at 380 and 400 nm reach 9.49% and 6.57%, respectively. The key mechanism originates from a cascade electron effect triggered by the interfacial Bi</w:t>
      </w:r>
      <w:r>
        <w:rPr>
          <w:vertAlign w:val="subscript"/>
        </w:rPr>
        <w:t>1</w:t>
      </w:r>
      <w:r>
        <w:t>─O─Bi</w:t>
      </w:r>
      <w:r>
        <w:rPr>
          <w:vertAlign w:val="subscript"/>
        </w:rPr>
        <w:t>2</w:t>
      </w:r>
      <w:r>
        <w:t>sites: the interfacial charge redistribution induces a strong built‐in electric field, where high‐energy electrons selectively occupy the 2π antibonding orbitals of CO</w:t>
      </w:r>
      <w:r>
        <w:t xml:space="preserve"> </w:t>
      </w:r>
      <w:r>
        <w:t>*</w:t>
      </w:r>
      <w:r>
        <w:t xml:space="preserve"> </w:t>
      </w:r>
      <w:r>
        <w:t>intermediates, significantly weakening the C─O bond in CO</w:t>
      </w:r>
      <w:r>
        <w:t xml:space="preserve"> </w:t>
      </w:r>
      <w:r>
        <w:t>*</w:t>
      </w:r>
      <w:r>
        <w:t xml:space="preserve"> </w:t>
      </w:r>
      <w:r>
        <w:t>intermediate. Furthermore, the asymmetric charge redistribution effectively neutralizes the electrostatic repulsion between adjacent CO</w:t>
      </w:r>
      <w:r>
        <w:t xml:space="preserve"> </w:t>
      </w:r>
      <w:r>
        <w:t>*</w:t>
      </w:r>
      <w:r>
        <w:t xml:space="preserve"> </w:t>
      </w:r>
      <w:r>
        <w:t>intermediates, synergistically stabilizing the OCCO</w:t>
      </w:r>
      <w:r>
        <w:t xml:space="preserve"> </w:t>
      </w:r>
      <w:r>
        <w:t>*</w:t>
      </w:r>
      <w:r>
        <w:t xml:space="preserve"> </w:t>
      </w:r>
      <w:r>
        <w:t>transition state through d‐π electron feedback from Bi sites. The dual effects synergistically lower the energy barriers for both the C─C coupling and hydrogenation steps, ultimately steering the reaction pathway towards long‐lasting acetic acid formation.</w:t>
      </w:r>
    </w:p>
    <w:p>
      <w:pPr>
        <w:spacing w:before="120" w:after="120"/>
      </w:pPr>
      <w:r>
        <w:rPr>
          <w:sz w:val="18"/>
        </w:rPr>
        <w:t>——————————————————————————————————————————————————————————————————————</w:t>
      </w:r>
    </w:p>
    <w:p>
      <w:pPr>
        <w:spacing w:before="160" w:after="40" w:line="240" w:lineRule="auto"/>
      </w:pPr>
      <w:r>
        <w:rPr>
          <w:b/>
        </w:rPr>
        <w:t xml:space="preserve">[464] </w:t>
      </w:r>
      <w:hyperlink r:id="rId815">
        <w:r>
          <w:rPr>
            <w:color w:val="1155CC"/>
            <w:u w:val="single"/>
          </w:rPr>
          <w:t>实现非线性光学[ABa3Br2][Ga5Se10](A = Cs、Rb、K、Na)通过大型非线性拉蒂斯扭曲实现阶段性[ABa3Br2][Ga5Se10](A = Cs、Rb、K、Na)</w:t>
        </w:r>
      </w:hyperlink>
    </w:p>
    <w:p>
      <w:pPr>
        <w:spacing w:before="0" w:after="80"/>
      </w:pPr>
      <w:r>
        <w:rPr>
          <w:i/>
          <w:sz w:val="20"/>
        </w:rPr>
        <w:t>EN: Realizing Phase‐Matching of Nonlinear Optical [ABa3Br2][Ga5Se10] (A = Cs, Rb, K, Na) Through Large Anisotropic Lattice Distortion</w:t>
      </w:r>
    </w:p>
    <w:p>
      <w:pPr>
        <w:spacing w:before="0" w:after="120"/>
      </w:pPr>
      <w:r>
        <w:rPr>
          <w:b/>
        </w:rPr>
        <w:t xml:space="preserve">Source: </w:t>
      </w:r>
      <w:r>
        <w:t>Wiley: Angewandte Chemie International Edition: Table of Contents</w:t>
      </w:r>
      <w:r>
        <w:t xml:space="preserve">    </w:t>
      </w:r>
      <w:r>
        <w:rPr>
          <w:b/>
        </w:rPr>
        <w:t xml:space="preserve">Pub date: </w:t>
      </w:r>
      <w:r>
        <w:t>2026-01-06 05:09:28+00:00</w:t>
      </w:r>
      <w:r>
        <w:t xml:space="preserve">    </w:t>
      </w:r>
      <w:r>
        <w:rPr>
          <w:b/>
        </w:rPr>
        <w:t xml:space="preserve">DOI: </w:t>
      </w:r>
      <w:hyperlink r:id="rId816">
        <w:r>
          <w:rPr>
            <w:color w:val="1155CC"/>
            <w:u w:val="single"/>
          </w:rPr>
          <w:t>10.1002/anie.202524279</w:t>
        </w:r>
      </w:hyperlink>
    </w:p>
    <w:p>
      <w:pPr>
        <w:spacing w:before="0" w:after="120"/>
      </w:pPr>
      <w:r>
        <w:rPr>
          <w:b/>
        </w:rPr>
        <w:t xml:space="preserve">Notes: </w:t>
      </w:r>
      <w:r>
        <w:t>abstract_source=crossref</w:t>
      </w:r>
    </w:p>
    <w:p>
      <w:pPr>
        <w:spacing w:before="0" w:after="80" w:lineRule="auto" w:line="276"/>
      </w:pPr>
      <w:r>
        <w:rPr>
          <w:b/>
        </w:rPr>
        <w:t xml:space="preserve">摘要（ZH）: </w:t>
      </w:r>
      <w:r>
        <w:t>通过增强非线光学(NLO)晶体的双相比性,实现相相相匹配(PM)行为摘要是一个艰巨的挑战。这里,盐-内含铬化盐[ABa 3 Br 2 [Ga 5 Se 10] (A = Cs, 1 ; Rb, 2 ; K, 3 ; Na, 4 )</w:t>
      </w:r>
    </w:p>
    <w:p>
      <w:pPr>
        <w:spacing w:before="0" w:after="200" w:lineRule="auto" w:line="276"/>
      </w:pPr>
      <w:r>
        <w:rPr>
          <w:b/>
        </w:rPr>
        <w:t xml:space="preserve">Abstract (EN): </w:t>
      </w:r>
      <w:r>
        <w:t>Achieving phase‐matching (PM) behavior by enhancing the birefringence of nonlinear optical (NLO) crystals has been a formidable challenge. Herein, salt‐inclusion chalcogenides [ABa</w:t>
      </w:r>
      <w:r>
        <w:rPr>
          <w:vertAlign w:val="subscript"/>
        </w:rPr>
        <w:t>3</w:t>
      </w:r>
      <w:r>
        <w:t>Br</w:t>
      </w:r>
      <w:r>
        <w:rPr>
          <w:vertAlign w:val="subscript"/>
        </w:rPr>
        <w:t>2</w:t>
      </w:r>
      <w:r>
        <w:t>][Ga</w:t>
      </w:r>
      <w:r>
        <w:rPr>
          <w:vertAlign w:val="subscript"/>
        </w:rPr>
        <w:t>5</w:t>
      </w:r>
      <w:r>
        <w:t>Se</w:t>
      </w:r>
      <w:r>
        <w:rPr>
          <w:vertAlign w:val="subscript"/>
        </w:rPr>
        <w:t>10</w:t>
      </w:r>
      <w:r>
        <w:t>] (A = Cs,</w:t>
      </w:r>
      <w:r>
        <w:rPr>
          <w:vertAlign w:val="subscript"/>
        </w:rPr>
        <w:t>1</w:t>
      </w:r>
      <w:r>
        <w:t>; Rb,</w:t>
      </w:r>
      <w:r>
        <w:rPr>
          <w:vertAlign w:val="subscript"/>
        </w:rPr>
        <w:t>2</w:t>
      </w:r>
      <w:r>
        <w:t>; K,</w:t>
      </w:r>
      <w:r>
        <w:rPr>
          <w:vertAlign w:val="subscript"/>
        </w:rPr>
        <w:t>3</w:t>
      </w:r>
      <w:r>
        <w:t>; Na,</w:t>
      </w:r>
      <w:r>
        <w:rPr>
          <w:vertAlign w:val="subscript"/>
        </w:rPr>
        <w:t>4</w:t>
      </w:r>
      <w:r>
        <w:t>) that crystal in tetragonal system were synthesized and exhibit smaller</w:t>
      </w:r>
      <w:r>
        <w:t xml:space="preserve"> </w:t>
      </w:r>
      <w:r>
        <w:t>c</w:t>
      </w:r>
      <w:r>
        <w:t xml:space="preserve"> </w:t>
      </w:r>
      <w:r>
        <w:t>/</w:t>
      </w:r>
      <w:r>
        <w:t>a</w:t>
      </w:r>
      <w:r>
        <w:t xml:space="preserve"> </w:t>
      </w:r>
      <w:r>
        <w:t>ratios (where</w:t>
      </w:r>
      <w:r>
        <w:t xml:space="preserve"> </w:t>
      </w:r>
      <w:r>
        <w:t>a</w:t>
      </w:r>
      <w:r>
        <w:t xml:space="preserve"> </w:t>
      </w:r>
      <w:r>
        <w:t>and</w:t>
      </w:r>
      <w:r>
        <w:t xml:space="preserve"> </w:t>
      </w:r>
      <w:r>
        <w:t>c</w:t>
      </w:r>
      <w:r>
        <w:t xml:space="preserve"> </w:t>
      </w:r>
      <w:r>
        <w:t>are the lattice constants) when compared with their Cl‐analogues, indicative of an anisotropic lattice distortion. Along the</w:t>
      </w:r>
      <w:r>
        <w:t xml:space="preserve"> </w:t>
      </w:r>
      <w:r>
        <w:t>a</w:t>
      </w:r>
      <w:r>
        <w:t xml:space="preserve"> </w:t>
      </w:r>
      <w:r>
        <w:t>‐ and</w:t>
      </w:r>
      <w:r>
        <w:t xml:space="preserve"> </w:t>
      </w:r>
      <w:r>
        <w:t>c</w:t>
      </w:r>
      <w:r>
        <w:t xml:space="preserve"> </w:t>
      </w:r>
      <w:r>
        <w:t>‐axes, the refractive indices show a significant divergence, corresponding to the decrease or increase in electron density. Such anisotropic behavior significantly enhances the birefringence of compounds</w:t>
      </w:r>
      <w:r>
        <w:rPr>
          <w:vertAlign w:val="subscript"/>
        </w:rPr>
        <w:t>1</w:t>
      </w:r>
      <w:r>
        <w:t>–</w:t>
      </w:r>
      <w:r>
        <w:rPr>
          <w:vertAlign w:val="subscript"/>
        </w:rPr>
        <w:t>4</w:t>
      </w:r>
      <w:r>
        <w:t>(0.044–0.066 @546 nm), realizing the transition from non‐PM (Cl‐analogues) to PM (compounds</w:t>
      </w:r>
      <w:r>
        <w:rPr>
          <w:vertAlign w:val="subscript"/>
        </w:rPr>
        <w:t>1</w:t>
      </w:r>
      <w:r>
        <w:t>–</w:t>
      </w:r>
      <w:r>
        <w:rPr>
          <w:vertAlign w:val="subscript"/>
        </w:rPr>
        <w:t>4</w:t>
      </w:r>
      <w:r>
        <w:t>) characteristics at near 2.0 um laser. Moreover, compounds</w:t>
      </w:r>
      <w:r>
        <w:rPr>
          <w:vertAlign w:val="subscript"/>
        </w:rPr>
        <w:t>1</w:t>
      </w:r>
      <w:r>
        <w:t>–</w:t>
      </w:r>
      <w:r>
        <w:rPr>
          <w:vertAlign w:val="subscript"/>
        </w:rPr>
        <w:t>4</w:t>
      </w:r>
      <w:r>
        <w:t>represent a rare class of selenides that combine significant PM second‐harmonic generation responses (&amp;gt;1.0 × AgGaS</w:t>
      </w:r>
      <w:r>
        <w:rPr>
          <w:vertAlign w:val="subscript"/>
        </w:rPr>
        <w:t>2</w:t>
      </w:r>
      <w:r>
        <w:t>) with wide optical band gaps (&amp;gt;3.0 eV). This work achieves the critical transition from non‐PM to PM behavior through significant anisotropic lattice distortion, thereby offering a new avenue for developing NLO materials.</w:t>
      </w:r>
    </w:p>
    <w:p>
      <w:pPr>
        <w:spacing w:before="120" w:after="120"/>
      </w:pPr>
      <w:r>
        <w:rPr>
          <w:sz w:val="18"/>
        </w:rPr>
        <w:t>——————————————————————————————————————————————————————————————————————</w:t>
      </w:r>
    </w:p>
    <w:p>
      <w:pPr>
        <w:spacing w:before="160" w:after="40" w:line="240" w:lineRule="auto"/>
      </w:pPr>
      <w:r>
        <w:rPr>
          <w:b/>
        </w:rPr>
        <w:t xml:space="preserve">[465] </w:t>
      </w:r>
      <w:hyperlink r:id="rId817">
        <w:r>
          <w:rPr>
            <w:color w:val="1155CC"/>
            <w:u w:val="single"/>
          </w:rPr>
          <w:t>Energopted-transfer-enfable-encroncable-Coept-Catalyzed 直接场地-与 Alkenes 的无保护氧化物的选择性循环载荷</w:t>
        </w:r>
      </w:hyperlink>
    </w:p>
    <w:p>
      <w:pPr>
        <w:spacing w:before="0" w:after="80"/>
      </w:pPr>
      <w:r>
        <w:rPr>
          <w:i/>
          <w:sz w:val="20"/>
        </w:rPr>
        <w:t>EN: Energy‐Transfer‐Enabled Copper‐Catalyzed Direct Site‐Selective Cycloaddition of Unprotected Oximes with Alkenes</w:t>
      </w:r>
    </w:p>
    <w:p>
      <w:pPr>
        <w:spacing w:before="0" w:after="120"/>
      </w:pPr>
      <w:r>
        <w:rPr>
          <w:b/>
        </w:rPr>
        <w:t xml:space="preserve">Source: </w:t>
      </w:r>
      <w:r>
        <w:t>Wiley: Angewandte Chemie International Edition: Table of Contents</w:t>
      </w:r>
      <w:r>
        <w:t xml:space="preserve">    </w:t>
      </w:r>
      <w:r>
        <w:rPr>
          <w:b/>
        </w:rPr>
        <w:t xml:space="preserve">Pub date: </w:t>
      </w:r>
      <w:r>
        <w:t>2026-01-06 05:16:38+00:00</w:t>
      </w:r>
      <w:r>
        <w:t xml:space="preserve">    </w:t>
      </w:r>
      <w:r>
        <w:rPr>
          <w:b/>
        </w:rPr>
        <w:t xml:space="preserve">DOI: </w:t>
      </w:r>
      <w:hyperlink r:id="rId818">
        <w:r>
          <w:rPr>
            <w:color w:val="1155CC"/>
            <w:u w:val="single"/>
          </w:rPr>
          <w:t>10.1002/anie.202524475</w:t>
        </w:r>
      </w:hyperlink>
    </w:p>
    <w:p>
      <w:pPr>
        <w:spacing w:before="0" w:after="120"/>
      </w:pPr>
      <w:r>
        <w:rPr>
          <w:b/>
        </w:rPr>
        <w:t xml:space="preserve">Notes: </w:t>
      </w:r>
      <w:r>
        <w:t>abstract_source=crossref</w:t>
      </w:r>
    </w:p>
    <w:p>
      <w:pPr>
        <w:spacing w:before="0" w:after="80" w:lineRule="auto" w:line="276"/>
      </w:pPr>
      <w:r>
        <w:rPr>
          <w:b/>
        </w:rPr>
        <w:t xml:space="preserve">摘要（ZH）: </w:t>
      </w:r>
      <w:r>
        <w:t>虽然消除氧化亚氮氧化物中N-O债券的取消方法早已确立,但类似的免费氧化亚胺的激活仍然具有挑战性,这主要是由于选择性N-O债券的断裂和涉及酸性O-H酸性O-H运动的相互竞争的侧面反应造成的巨大障碍。我们在此报告一种双光和铜催化战略,通过氧化铜综合体的照片敏化,从而克服先前的限制,直接促进自由氧化氧中N-O债券的同质分解。 机械学研究,包括关键铜中间体的全面定性,支持一种能量转移途径。 这种独特的激活模式使得未受保护氧化物之间先前难以实现的分子周期性循环化。</w:t>
      </w:r>
    </w:p>
    <w:p>
      <w:pPr>
        <w:spacing w:before="0" w:after="200" w:lineRule="auto" w:line="276"/>
      </w:pPr>
      <w:r>
        <w:rPr>
          <w:b/>
        </w:rPr>
        <w:t xml:space="preserve">Abstract (EN): </w:t>
      </w:r>
      <w:r>
        <w:t>While methodologies for N─O bond scission in O‐functionalized oximes are well established, the analogous activation of free oximes remains challenging, largely due to the formidable hurdles associated with selective N─O bond cleavage and competing side reactions involving the acidic O─H moiety. Herein, we report a dual photo‐ and copper‐catalyzed strategy that directly promotes homolytic cleavage of the N─O bond in free oximes through photosensitization of oxime‐ligated copper complexes, thereby overcoming prior limitations. Mechanistic studies, including full characterization of key copper intermediates, support an energy transfer (EnT) pathway. This distinctive activation mode enables a previously elusive intermolecular cyclization between unprotected oximes and alkenes, delivering valuable 1‐pyrrolines with high efficiency.</w:t>
      </w:r>
    </w:p>
    <w:p>
      <w:pPr>
        <w:spacing w:before="120" w:after="120"/>
      </w:pPr>
      <w:r>
        <w:rPr>
          <w:sz w:val="18"/>
        </w:rPr>
        <w:t>——————————————————————————————————————————————————————————————————————</w:t>
      </w:r>
    </w:p>
    <w:p>
      <w:pPr>
        <w:spacing w:before="160" w:after="40" w:line="240" w:lineRule="auto"/>
      </w:pPr>
      <w:r>
        <w:rPr>
          <w:b/>
        </w:rPr>
        <w:t xml:space="preserve">[466] </w:t>
      </w:r>
      <w:hyperlink r:id="rId819">
        <w:r>
          <w:rPr>
            <w:color w:val="1155CC"/>
            <w:u w:val="single"/>
          </w:rPr>
          <w:t>完全真空处理 Perovskite 太阳能电池是否随 OLED 的脚印而动?</w:t>
        </w:r>
      </w:hyperlink>
    </w:p>
    <w:p>
      <w:pPr>
        <w:spacing w:before="0" w:after="80"/>
      </w:pPr>
      <w:r>
        <w:rPr>
          <w:i/>
          <w:sz w:val="20"/>
        </w:rPr>
        <w:t>EN: Can Fully Vacuum‐Processed Perovskite Solar Cells Follow the Footprint of OLEDs?</w:t>
      </w:r>
    </w:p>
    <w:p>
      <w:pPr>
        <w:spacing w:before="0" w:after="120"/>
      </w:pPr>
      <w:r>
        <w:rPr>
          <w:b/>
        </w:rPr>
        <w:t xml:space="preserve">Source: </w:t>
      </w:r>
      <w:r>
        <w:t>Wiley: Advanced Energy Materials: Table of Contents</w:t>
      </w:r>
      <w:r>
        <w:t xml:space="preserve">    </w:t>
      </w:r>
      <w:r>
        <w:rPr>
          <w:b/>
        </w:rPr>
        <w:t xml:space="preserve">Pub date: </w:t>
      </w:r>
      <w:r>
        <w:t>2026-01-06 05:37:08+00:00</w:t>
      </w:r>
      <w:r>
        <w:t xml:space="preserve">    </w:t>
      </w:r>
      <w:r>
        <w:rPr>
          <w:b/>
        </w:rPr>
        <w:t xml:space="preserve">DOI: </w:t>
      </w:r>
      <w:hyperlink r:id="rId820">
        <w:r>
          <w:rPr>
            <w:color w:val="1155CC"/>
            <w:u w:val="single"/>
          </w:rPr>
          <w:t>10.1002/aenm.202506169</w:t>
        </w:r>
      </w:hyperlink>
    </w:p>
    <w:p>
      <w:pPr>
        <w:spacing w:before="0" w:after="120"/>
      </w:pPr>
      <w:r>
        <w:rPr>
          <w:b/>
        </w:rPr>
        <w:t xml:space="preserve">Notes: </w:t>
      </w:r>
      <w:r>
        <w:t>abstract_source=crossref</w:t>
      </w:r>
    </w:p>
    <w:p>
      <w:pPr>
        <w:spacing w:before="0" w:after="80" w:lineRule="auto" w:line="276"/>
      </w:pPr>
      <w:r>
        <w:rPr>
          <w:b/>
        </w:rPr>
        <w:t xml:space="preserve">摘要（ZH）: </w:t>
      </w:r>
      <w:r>
        <w:t>Perovskite太阳能电池(ABSTACT Perovskite太阳能电池)作为一种有希望的光伏技术,已经迅速发展,在单点连接方面实现了超过27%的核证效率,在同步配置方面实现了34%的核证效率,然而,基于解决方案的制造挑战,包括溶剂毒性、跨层损害和大面积统一性差等,阻碍了商业化。本审查将基于真空的干燥加工作为一种可伸缩的替代方法,与通过真空方法成功地将有机发光二极管(OLEDs)商业化平行进行。我们系统地分析按有机、无机和混合体分类的渗透吸收器的干制;按含有机、无机、无机和混合体分类的孔和电子运输层分类的充电运输层。</w:t>
      </w:r>
    </w:p>
    <w:p>
      <w:pPr>
        <w:spacing w:before="0" w:after="200" w:lineRule="auto" w:line="276"/>
      </w:pPr>
      <w:r>
        <w:rPr>
          <w:b/>
        </w:rPr>
        <w:t xml:space="preserve">Abstract (EN): </w:t>
      </w:r>
      <w:r>
        <w:t>Perovskite solar cells (PSCs) have rapidly advanced as a promising photovoltaic technology, achieving certified efficiencies exceeding 27% for single‐junction and 34% for tandem configurations. However, commercialization is hindered by solution‐based fabrication challenges, including solvent toxicity, interlayer damage, and poor large‐area uniformity. This review examines vacuum‐based dry processing as a scalable alternative, drawing parallels with the successful commercialization of organic light‐emitting diodes (OLEDs) via vacuum methods. We systematically analyzes dry fabrication of perovskite absorbers, classified by organic‐, inorganic‐, and hybrid‐ cations; charge transport layers, categorized by hole and electron transport layers with organic, inorganic, and hybrid variants; and fully dry‐processed PSCs. Key frameworks include precursor evaporability criteria, in situ stoichiometry control, and sublayer‐templated crystallization for uniform films and stable stacks. Extensive survey tables highlight photovoltaics in terms of their dry‐process methodologies used and resulting performances. This work concludes that by leveraging the multilayer precision and patterning expertise of OLEDs, dry‐processed PSCs offer enhanced reproducibility, environmental safety, and industrial viability, positioning them to overcome current bottlenecks toward widespread deployment.</w:t>
      </w:r>
    </w:p>
    <w:p>
      <w:pPr>
        <w:spacing w:before="120" w:after="120"/>
      </w:pPr>
      <w:r>
        <w:rPr>
          <w:sz w:val="18"/>
        </w:rPr>
        <w:t>——————————————————————————————————————————————————————————————————————</w:t>
      </w:r>
    </w:p>
    <w:p>
      <w:pPr>
        <w:spacing w:before="160" w:after="40" w:line="240" w:lineRule="auto"/>
      </w:pPr>
      <w:r>
        <w:rPr>
          <w:b/>
        </w:rPr>
        <w:t xml:space="preserve">[467] </w:t>
      </w:r>
      <w:hyperlink r:id="rId821">
        <w:r>
          <w:rPr>
            <w:color w:val="1155CC"/>
            <w:u w:val="single"/>
          </w:rPr>
          <w:t>Perovskite Opto电子学:通过材料和几何方法克服限制</w:t>
        </w:r>
      </w:hyperlink>
    </w:p>
    <w:p>
      <w:pPr>
        <w:spacing w:before="0" w:after="80"/>
      </w:pPr>
      <w:r>
        <w:rPr>
          <w:i/>
          <w:sz w:val="20"/>
        </w:rPr>
        <w:t>EN: Stretchable Perovskite Optoelectronics: Overcoming Limitations via Material and Geometric Approaches</w:t>
      </w:r>
    </w:p>
    <w:p>
      <w:pPr>
        <w:spacing w:before="0" w:after="120"/>
      </w:pPr>
      <w:r>
        <w:rPr>
          <w:b/>
        </w:rPr>
        <w:t xml:space="preserve">Source: </w:t>
      </w:r>
      <w:r>
        <w:t>Wiley: Advanced Energy Materials: Table of Contents</w:t>
      </w:r>
      <w:r>
        <w:t xml:space="preserve">    </w:t>
      </w:r>
      <w:r>
        <w:rPr>
          <w:b/>
        </w:rPr>
        <w:t xml:space="preserve">Pub date: </w:t>
      </w:r>
      <w:r>
        <w:t>2026-01-06 05:41:15+00:00</w:t>
      </w:r>
      <w:r>
        <w:t xml:space="preserve">    </w:t>
      </w:r>
      <w:r>
        <w:rPr>
          <w:b/>
        </w:rPr>
        <w:t xml:space="preserve">DOI: </w:t>
      </w:r>
      <w:hyperlink r:id="rId822">
        <w:r>
          <w:rPr>
            <w:color w:val="1155CC"/>
            <w:u w:val="single"/>
          </w:rPr>
          <w:t>10.1002/aenm.202505956</w:t>
        </w:r>
      </w:hyperlink>
    </w:p>
    <w:p>
      <w:pPr>
        <w:spacing w:before="0" w:after="120"/>
      </w:pPr>
      <w:r>
        <w:rPr>
          <w:b/>
        </w:rPr>
        <w:t xml:space="preserve">Notes: </w:t>
      </w:r>
      <w:r>
        <w:t>abstract_source=crossref</w:t>
      </w:r>
    </w:p>
    <w:p>
      <w:pPr>
        <w:spacing w:before="0" w:after="80" w:lineRule="auto" w:line="276"/>
      </w:pPr>
      <w:r>
        <w:rPr>
          <w:b/>
        </w:rPr>
        <w:t xml:space="preserve">摘要（ZH）: </w:t>
      </w:r>
      <w:r>
        <w:t>推进自由成形电子产品是扩大电子产品适用性的关键,在这方面,开发具有极优超光电子特性的可伸缩性可伸缩性半导体及其系统十分必要。 在各种光电子材料候选物中,金属-卤化物(perovskite)因其高电荷可移动性、长exciton扩散长度和金枪鱼易散带宽而成为最有前景的半导体。然而,与可伸缩的有机设备相比,可伸缩性全氟化物装置很少被调查,因为普罗夫斯基人本身的机械可伸缩性很低。 在这方面,开发可伸缩性全氟化物光电子产品,确定基本条件。</w:t>
      </w:r>
    </w:p>
    <w:p>
      <w:pPr>
        <w:spacing w:before="0" w:after="200" w:lineRule="auto" w:line="276"/>
      </w:pPr>
      <w:r>
        <w:rPr>
          <w:b/>
        </w:rPr>
        <w:t xml:space="preserve">Abstract (EN): </w:t>
      </w:r>
      <w:r>
        <w:t>Advancing free‐form‐factor electronics is essential to broaden their applicability of electronics. In this regard, the development of stretchable semiconductors and their systems that offer both excellent stretchability with outstanding optoelectronic properties is imperative. Among various optoelectronic material candidates, metal‐halide perovskite has emerged as the most promising semiconductors owing to their high charge mobility, long exciton diffusion length and tunable bandgap. However, compared to stretchable organic‐based devices, stretchable perovskite devices have been rarely investigated because of perovskites’ inherently low mechanical stretchability. In this regard, to develop stretchable perovskite optoelectronics, identifying the fundamental determinants of their low mechanical deformability and establishing of strategies to overcome these limitations are crucial. In this context, this paper presents the first in‐depth overview of stretchability characteristics of perovskite‐based optoelectronic device, highlighting key strategies for realizing next‐generation stretchable platforms from material and geometric perspectives. In detail, background on mechanical deformation behaviors of stretchable devices is provided. Subsequently, we examine reported studies on stretchable perovskite optoelectronic devices according to their materials and device structures. Finally, current challenges and important issues that remain unresolved but must be addressed to enable meaningful progress are discussed.</w:t>
      </w:r>
    </w:p>
    <w:p>
      <w:pPr>
        <w:spacing w:before="120" w:after="120"/>
      </w:pPr>
      <w:r>
        <w:rPr>
          <w:sz w:val="18"/>
        </w:rPr>
        <w:t>——————————————————————————————————————————————————————————————————————</w:t>
      </w:r>
    </w:p>
    <w:p>
      <w:pPr>
        <w:spacing w:before="160" w:after="40" w:line="240" w:lineRule="auto"/>
      </w:pPr>
      <w:r>
        <w:rPr>
          <w:b/>
        </w:rPr>
        <w:t xml:space="preserve">[468] </w:t>
      </w:r>
      <w:hyperlink r:id="rId823">
        <w:r>
          <w:rPr>
            <w:color w:val="1155CC"/>
            <w:u w:val="single"/>
          </w:rPr>
          <w:t>建立氢网络以稳定Perovskite太阳能电池的双分子协同战略</w:t>
        </w:r>
      </w:hyperlink>
    </w:p>
    <w:p>
      <w:pPr>
        <w:spacing w:before="0" w:after="80"/>
      </w:pPr>
      <w:r>
        <w:rPr>
          <w:i/>
          <w:sz w:val="20"/>
        </w:rPr>
        <w:t>EN: A Bimolecular Co‐Anchoring Strategy for Constructing Hydrogen Networks to Stabilize Perovskite Solar Cells</w:t>
      </w:r>
    </w:p>
    <w:p>
      <w:pPr>
        <w:spacing w:before="0" w:after="120"/>
      </w:pPr>
      <w:r>
        <w:rPr>
          <w:b/>
        </w:rPr>
        <w:t xml:space="preserve">Source: </w:t>
      </w:r>
      <w:r>
        <w:t>Wiley: Advanced Energy Materials: Table of Contents</w:t>
      </w:r>
      <w:r>
        <w:t xml:space="preserve">    </w:t>
      </w:r>
      <w:r>
        <w:rPr>
          <w:b/>
        </w:rPr>
        <w:t xml:space="preserve">Pub date: </w:t>
      </w:r>
      <w:r>
        <w:t>2026-01-06 05:42:11+00:00</w:t>
      </w:r>
      <w:r>
        <w:t xml:space="preserve">    </w:t>
      </w:r>
      <w:r>
        <w:rPr>
          <w:b/>
        </w:rPr>
        <w:t xml:space="preserve">DOI: </w:t>
      </w:r>
      <w:hyperlink r:id="rId824">
        <w:r>
          <w:rPr>
            <w:color w:val="1155CC"/>
            <w:u w:val="single"/>
          </w:rPr>
          <w:t>10.1002/aenm.202504844</w:t>
        </w:r>
      </w:hyperlink>
    </w:p>
    <w:p>
      <w:pPr>
        <w:spacing w:before="0" w:after="120"/>
      </w:pPr>
      <w:r>
        <w:rPr>
          <w:b/>
        </w:rPr>
        <w:t xml:space="preserve">Notes: </w:t>
      </w:r>
      <w:r>
        <w:t>abstract_source=crossref</w:t>
      </w:r>
    </w:p>
    <w:p>
      <w:pPr>
        <w:spacing w:before="0" w:after="80" w:lineRule="auto" w:line="276"/>
      </w:pPr>
      <w:r>
        <w:rPr>
          <w:b/>
        </w:rPr>
        <w:t xml:space="preserve">摘要（ZH）: </w:t>
      </w:r>
      <w:r>
        <w:t>ABSTACT ABSTACT ASTRACT 3 形式的三相铅化物(FAPbI 3)太阳能电池最近的进展大大提高了光电转换效率,在第三代光电中将它们定位为主要候选产品,然而,由于从光活性 FAPBI 3 向不活动 FAPBI 3 的阶段性过渡,它们的热动力可变性——导致效率衰减,妨碍长期稳定和工业化。本研究引入了一种双分子协同定位战略来应对这些挑战:利用4-[3-(三氟甲基)3-H]3-H 3-Diazirin_3-yl]苯甲酸(H)建立多比例分子间锁网络。</w:t>
      </w:r>
    </w:p>
    <w:p>
      <w:pPr>
        <w:spacing w:before="0" w:after="200" w:lineRule="auto" w:line="276"/>
      </w:pPr>
      <w:r>
        <w:rPr>
          <w:b/>
        </w:rPr>
        <w:t xml:space="preserve">Abstract (EN): </w:t>
      </w:r>
      <w:r>
        <w:t>Recent advances in formamidinium lead triiodide (FAPbI</w:t>
      </w:r>
      <w:r>
        <w:rPr>
          <w:vertAlign w:val="subscript"/>
        </w:rPr>
        <w:t>3</w:t>
      </w:r>
      <w:r>
        <w:t>) solar cells have significantly improved their photoelectric conversion efficiency, positioning them as a leading candidate in third‐generation photovoltaics. However, their thermodynamic metastability—driven by phase transitions from photoactive α‐FAPbI</w:t>
      </w:r>
      <w:r>
        <w:rPr>
          <w:vertAlign w:val="subscript"/>
        </w:rPr>
        <w:t>3</w:t>
      </w:r>
      <w:r>
        <w:t>to inactive δ‐FAPbI</w:t>
      </w:r>
      <w:r>
        <w:rPr>
          <w:vertAlign w:val="subscript"/>
        </w:rPr>
        <w:t>3</w:t>
      </w:r>
      <w:r>
        <w:t>—causes efficiency decay, hindering long‐term stability and industrialization. This study introduces a bimolecular synergistic anchoring strategy to address these challenges: a multiscale molecular interlocking network is constructed using 4‐[3‐(trifluoromethyl)‐3H‐diazirin‐3‐yl]benzoic acid (HDA) and 2‐benzamidinyl‐5‐guanidinopentanoic acid (GS). HDA stabilizes formamidinium iodide (FAI) via carbene reactions, suppressing FA⁺ thermal escape, while GS binds under‐coordinated Pb</w:t>
      </w:r>
      <w:r>
        <w:rPr>
          <w:vertAlign w:val="subscript"/>
        </w:rPr>
        <w:t>2</w:t>
      </w:r>
      <w:r>
        <w:t>⁺ through its high dipole moment, minimizing lead leakage. Leveraging structural homology, these dual passivators synergistically stabilize A‐site (FA⁺) and B‐site (Pb</w:t>
      </w:r>
      <w:r>
        <w:rPr>
          <w:vertAlign w:val="subscript"/>
        </w:rPr>
        <w:t>2</w:t>
      </w:r>
      <w:r>
        <w:t>⁺) ions, forming a hydrogen‐bond network that optimizes crystal growth and enhances α‐FAPbI</w:t>
      </w:r>
      <w:r>
        <w:rPr>
          <w:vertAlign w:val="subscript"/>
        </w:rPr>
        <w:t>3</w:t>
      </w:r>
      <w:r>
        <w:t>phase stability and photothermal resilience. Perovskite solar cells (PSCs) optimized with HDA‐GS achieve a record power conversion efficiency of 26.07%, along with exceptional operational stability: unencapsulated devices retain 95% of initial efficiency after 1300 h at 85°C under nitrogen (thermal stability) and 91% after 1500 h of continuous light exposure (light stability). This work demonstrates that a multi‐scale molecular interlocking network effectively overcomes perovskite inherent instability, offering a scalable pathway to high‐performance, durable PSCs.</w:t>
      </w:r>
    </w:p>
    <w:p>
      <w:pPr>
        <w:spacing w:before="120" w:after="120"/>
      </w:pPr>
      <w:r>
        <w:rPr>
          <w:sz w:val="18"/>
        </w:rPr>
        <w:t>——————————————————————————————————————————————————————————————————————</w:t>
      </w:r>
    </w:p>
    <w:p>
      <w:pPr>
        <w:spacing w:before="160" w:after="40" w:line="240" w:lineRule="auto"/>
      </w:pPr>
      <w:r>
        <w:rPr>
          <w:b/>
        </w:rPr>
        <w:t xml:space="preserve">[469] </w:t>
      </w:r>
      <w:hyperlink r:id="rId825">
        <w:r>
          <w:rPr>
            <w:color w:val="1155CC"/>
            <w:u w:val="single"/>
          </w:rPr>
          <w:t>在Harsh环境中自成一体的超极端稳定水下粘合性</w:t>
        </w:r>
      </w:hyperlink>
    </w:p>
    <w:p>
      <w:pPr>
        <w:spacing w:before="0" w:after="80"/>
      </w:pPr>
      <w:r>
        <w:rPr>
          <w:i/>
          <w:sz w:val="20"/>
        </w:rPr>
        <w:t>EN: Tailored Hierarchical Bonding Networks Derive Ultra‐Stable Underwater Adhesion in Harsh Environments</w:t>
      </w:r>
    </w:p>
    <w:p>
      <w:pPr>
        <w:spacing w:before="0" w:after="120"/>
      </w:pPr>
      <w:r>
        <w:rPr>
          <w:b/>
        </w:rPr>
        <w:t xml:space="preserve">Source: </w:t>
      </w:r>
      <w:r>
        <w:t>Wiley: Angewandte Chemie International Edition: Table of Contents</w:t>
      </w:r>
      <w:r>
        <w:t xml:space="preserve">    </w:t>
      </w:r>
      <w:r>
        <w:rPr>
          <w:b/>
        </w:rPr>
        <w:t xml:space="preserve">Pub date: </w:t>
      </w:r>
      <w:r>
        <w:t>2026-01-06 07:13:23+00:00</w:t>
      </w:r>
      <w:r>
        <w:t xml:space="preserve">    </w:t>
      </w:r>
      <w:r>
        <w:rPr>
          <w:b/>
        </w:rPr>
        <w:t xml:space="preserve">DOI: </w:t>
      </w:r>
      <w:hyperlink r:id="rId826">
        <w:r>
          <w:rPr>
            <w:color w:val="1155CC"/>
            <w:u w:val="single"/>
          </w:rPr>
          <w:t>10.1002/anie.202521651</w:t>
        </w:r>
      </w:hyperlink>
    </w:p>
    <w:p>
      <w:pPr>
        <w:spacing w:before="0" w:after="120"/>
      </w:pPr>
      <w:r>
        <w:rPr>
          <w:b/>
        </w:rPr>
        <w:t xml:space="preserve">Notes: </w:t>
      </w:r>
      <w:r>
        <w:t>abstract_source=crossref</w:t>
      </w:r>
    </w:p>
    <w:p>
      <w:pPr>
        <w:spacing w:before="0" w:after="80" w:lineRule="auto" w:line="276"/>
      </w:pPr>
      <w:r>
        <w:rPr>
          <w:b/>
        </w:rPr>
        <w:t xml:space="preserve">摘要（ZH）: </w:t>
      </w:r>
      <w:r>
        <w:t>摘要 高性能抗水和水下粘合剂的开发对于推进水下技术至关重要,然而,在复杂的水下环境中实现稳健的功能粘合并长期耐久性仍然是一个重大挑战。在这里,我们提出了一个在严酷的水下条件下实现稳定粘合的等级连结网络战略。通过设计一个与密集活性互动点(包括氢氧基、苯环、碳化物和水分恐惧物)嵌入的交叉连接的聚硅氧烷脊椎,我们创造了协同的多尺度互动,既能增强凝聚性,又能增强水面间粘合性。优化粘合性实现了12.2兆帕的强大粘合力和钢上3.4兆帕的水下粘合力。</w:t>
      </w:r>
    </w:p>
    <w:p>
      <w:pPr>
        <w:spacing w:before="0" w:after="200" w:lineRule="auto" w:line="276"/>
      </w:pPr>
      <w:r>
        <w:rPr>
          <w:b/>
        </w:rPr>
        <w:t xml:space="preserve">Abstract (EN): </w:t>
      </w:r>
      <w:r>
        <w:t>The development of high‐performance water‐resistant and underwater adhesives is critical for advancing underwater technologies, yet achieving robust functional adhesion with long‐term durability in complex underwater environments remains a significant challenge. Here, we present a hierarchical bonding network strategy to realize stable adhesion under harsh underwater conditions. By engineering a cross‐linked polysiloxane backbone embedded with dense active interaction sites, including hydroxyl groups, benzene rings, cations, and hydrophobic moieties, we create synergistic multiscale interactions that amplify both cohesion and interfacial adhesion. The optimized adhesive achieves a strong bonding strength of 12.2 MPa and an underwater adhesion of 3.4 MPa on steel substrates and retains stability in corrosive underwater environments (acidic, alkaline, and saline solutions) over extended periods. It further demonstrates exceptional thermal resilience, maintaining functionality across temperatures from ‐196 to 150 °C. Integrating quaternary ammonium cations with long‐chain alkanes endows the material with potent antibacterial activity (≥99.9999% inhibition) and the highest antifungal grade. This work provides a new avenue for designing high‐performance multifunctional adhesives with strong adhesion, long‐term durability, extreme temperature resistance, and antimicrobial properties, offering broad potential for applications in demanding underwater environments.</w:t>
      </w:r>
    </w:p>
    <w:p>
      <w:pPr>
        <w:spacing w:before="120" w:after="120"/>
      </w:pPr>
      <w:r>
        <w:rPr>
          <w:sz w:val="18"/>
        </w:rPr>
        <w:t>——————————————————————————————————————————————————————————————————————</w:t>
      </w:r>
    </w:p>
    <w:p>
      <w:pPr>
        <w:spacing w:before="160" w:after="40" w:line="240" w:lineRule="auto"/>
      </w:pPr>
      <w:r>
        <w:rPr>
          <w:b/>
        </w:rPr>
        <w:t xml:space="preserve">[470] </w:t>
      </w:r>
      <w:hyperlink r:id="rId827">
        <w:r>
          <w:rPr>
            <w:color w:val="1155CC"/>
            <w:u w:val="single"/>
          </w:rPr>
          <w:t>聚二二酰乙烯聚集总量中多方向电荷分离</w:t>
        </w:r>
      </w:hyperlink>
    </w:p>
    <w:p>
      <w:pPr>
        <w:spacing w:before="0" w:after="80"/>
      </w:pPr>
      <w:r>
        <w:rPr>
          <w:i/>
          <w:sz w:val="20"/>
        </w:rPr>
        <w:t>EN: Multidirectional Charge Separation in Self‐Assembled Aggregates of Perylenebisimide‐Porphyrin Bola‐Supra‐Amphiphiles</w:t>
      </w:r>
    </w:p>
    <w:p>
      <w:pPr>
        <w:spacing w:before="0" w:after="120"/>
      </w:pPr>
      <w:r>
        <w:rPr>
          <w:b/>
        </w:rPr>
        <w:t xml:space="preserve">Source: </w:t>
      </w:r>
      <w:r>
        <w:t>Wiley: Angewandte Chemie International Edition: Table of Contents</w:t>
      </w:r>
      <w:r>
        <w:t xml:space="preserve">    </w:t>
      </w:r>
      <w:r>
        <w:rPr>
          <w:b/>
        </w:rPr>
        <w:t xml:space="preserve">Pub date: </w:t>
      </w:r>
      <w:r>
        <w:t>2026-01-06 07:13:45+00:00</w:t>
      </w:r>
      <w:r>
        <w:t xml:space="preserve">    </w:t>
      </w:r>
      <w:r>
        <w:rPr>
          <w:b/>
        </w:rPr>
        <w:t xml:space="preserve">DOI: </w:t>
      </w:r>
      <w:hyperlink r:id="rId828">
        <w:r>
          <w:rPr>
            <w:color w:val="1155CC"/>
            <w:u w:val="single"/>
          </w:rPr>
          <w:t>10.1002/anie.202523324</w:t>
        </w:r>
      </w:hyperlink>
    </w:p>
    <w:p>
      <w:pPr>
        <w:spacing w:before="0" w:after="120"/>
      </w:pPr>
      <w:r>
        <w:rPr>
          <w:b/>
        </w:rPr>
        <w:t xml:space="preserve">Notes: </w:t>
      </w:r>
      <w:r>
        <w:t>abstract_source=crossref</w:t>
      </w:r>
    </w:p>
    <w:p>
      <w:pPr>
        <w:spacing w:before="0" w:after="80" w:lineRule="auto" w:line="276"/>
      </w:pPr>
      <w:r>
        <w:rPr>
          <w:b/>
        </w:rPr>
        <w:t xml:space="preserve">摘要（ZH）: </w:t>
      </w:r>
      <w:r>
        <w:t>我们报告合成氢-bond介介质bola-type bola-bolahphie 及其在水中的组装,该组装以闪光性激素和对水的疏水性聚苯乙烯双双双乳基苯丙胺酯(PBI)为基础,这两种物质仅通过Hbonding motif形成结果的bola-forif(Hbonding motif由染色素本身的组装保护),而亚硫酸和亚硫二苯丙二苯丙二烯二烯二苯基苯并用作极头组,两种汉密尔顿受体与PBI有关,通过水/THF混合物中两种成分的统合解决方案实现大会,然后在产生稳定悬浮的纯水中进行再分解。</w:t>
      </w:r>
    </w:p>
    <w:p>
      <w:pPr>
        <w:spacing w:before="0" w:after="200" w:lineRule="auto" w:line="276"/>
      </w:pPr>
      <w:r>
        <w:rPr>
          <w:b/>
        </w:rPr>
        <w:t xml:space="preserve">Abstract (EN): </w:t>
      </w:r>
      <w:r>
        <w:t>We report on the synthesis of a hydrogen‐bond mediated bola‐type supra‐amphiphile and assembly thereof in water. The assembly is based on amphiphilic porphyrins and hydrophobic perylenebisimdes (PBI), which both form the resulting bola‐form solely through the H‐bonding motif, which is shielded by the assembly of the chromophores itself. The amphiphilic porphyrin was functionalized, on one hand, with a cyanuric acid and, on the other hand, with an oligo carboxylate dendron as polar head group. Two Hamilton receptors were linked to the PBI on each imide position. Assembly was achieved by lyophilizing solutions of both components in water/THF mixtures, followed by redispersion in pure water yielding stable suspensions. Cryogenic transmission electron microscopy (cryo‐TEM) and dynamic light scattering (DLS) reveal a spherical morphology with diameters ranging from 15 – 100 nm. Once formed, the assemblies showed broadened absorptions and quenched PBI‐centered fluorescence. Using time‐resolved absorption spectroscopy, the nature of the fluorescence quenching was confirmed to be either charge separation, by which the porphyrin donates an electron to the PBI, or symmetry breaking charge separation, by which π‐π stacked PBIs donate and accept electrons. Denaturation of the supra‐amphiphile went hand‐in‐hand with a reinstation of the PBI fluorescence and suppression of charge separation.</w:t>
      </w:r>
    </w:p>
    <w:p>
      <w:pPr>
        <w:spacing w:before="120" w:after="120"/>
      </w:pPr>
      <w:r>
        <w:rPr>
          <w:sz w:val="18"/>
        </w:rPr>
        <w:t>——————————————————————————————————————————————————————————————————————</w:t>
      </w:r>
    </w:p>
    <w:p>
      <w:pPr>
        <w:spacing w:before="160" w:after="40" w:line="240" w:lineRule="auto"/>
      </w:pPr>
      <w:r>
        <w:rPr>
          <w:b/>
        </w:rPr>
        <w:t xml:space="preserve">[471] </w:t>
      </w:r>
      <w:hyperlink r:id="rId829">
        <w:r>
          <w:rPr>
            <w:color w:val="1155CC"/>
            <w:u w:val="single"/>
          </w:rPr>
          <w:t>改为“通过DNA-Catalyst Conjugations在RNA具体安装阿里尔组的序列”</w:t>
        </w:r>
      </w:hyperlink>
    </w:p>
    <w:p>
      <w:pPr>
        <w:spacing w:before="0" w:after="80"/>
      </w:pPr>
      <w:r>
        <w:rPr>
          <w:i/>
          <w:sz w:val="20"/>
        </w:rPr>
        <w:t>EN: Correction to “Sequence‐Specific Installation of Aryl Groups in RNA via DNA‐Catalyst Conjugates”</w:t>
      </w:r>
    </w:p>
    <w:p>
      <w:pPr>
        <w:spacing w:before="0" w:after="120"/>
      </w:pPr>
      <w:r>
        <w:rPr>
          <w:b/>
        </w:rPr>
        <w:t xml:space="preserve">Source: </w:t>
      </w:r>
      <w:r>
        <w:t>Wiley: Angewandte Chemie International Edition: Table of Contents</w:t>
      </w:r>
      <w:r>
        <w:t xml:space="preserve">    </w:t>
      </w:r>
      <w:r>
        <w:rPr>
          <w:b/>
        </w:rPr>
        <w:t xml:space="preserve">Pub date: </w:t>
      </w:r>
      <w:r>
        <w:t>2026-01-06 07:21:02+00:00</w:t>
      </w:r>
      <w:r>
        <w:t xml:space="preserve">    </w:t>
      </w:r>
      <w:r>
        <w:rPr>
          <w:b/>
        </w:rPr>
        <w:t xml:space="preserve">DOI: </w:t>
      </w:r>
      <w:hyperlink r:id="rId830">
        <w:r>
          <w:rPr>
            <w:color w:val="1155CC"/>
            <w:u w:val="single"/>
          </w:rPr>
          <w:t>10.1002/anie.6505783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[472] </w:t>
      </w:r>
      <w:hyperlink r:id="rId831">
        <w:r>
          <w:rPr>
            <w:color w:val="1155CC"/>
            <w:u w:val="single"/>
          </w:rPr>
          <w:t>通过S(VI)-Fluoride 交易所迭代活性指数增长(SUFEx IEG)确定定型聚硫化物</w:t>
        </w:r>
      </w:hyperlink>
    </w:p>
    <w:p>
      <w:pPr>
        <w:spacing w:before="0" w:after="80"/>
      </w:pPr>
      <w:r>
        <w:rPr>
          <w:i/>
          <w:sz w:val="20"/>
        </w:rPr>
        <w:t>EN: Sequence‐Defined Polysulfates via S(VI)‐Fluoride Exchange Iterative Exponential Growth (SuFEx IEG)</w:t>
      </w:r>
    </w:p>
    <w:p>
      <w:pPr>
        <w:spacing w:before="0" w:after="120"/>
      </w:pPr>
      <w:r>
        <w:rPr>
          <w:b/>
        </w:rPr>
        <w:t xml:space="preserve">Source: </w:t>
      </w:r>
      <w:r>
        <w:t>Wiley: Angewandte Chemie International Edition: Table of Contents</w:t>
      </w:r>
      <w:r>
        <w:t xml:space="preserve">    </w:t>
      </w:r>
      <w:r>
        <w:rPr>
          <w:b/>
        </w:rPr>
        <w:t xml:space="preserve">Pub date: </w:t>
      </w:r>
      <w:r>
        <w:t>2026-01-06 07:27:10+00:00</w:t>
      </w:r>
      <w:r>
        <w:t xml:space="preserve">    </w:t>
      </w:r>
      <w:r>
        <w:rPr>
          <w:b/>
        </w:rPr>
        <w:t xml:space="preserve">DOI: </w:t>
      </w:r>
      <w:hyperlink r:id="rId832">
        <w:r>
          <w:rPr>
            <w:color w:val="1155CC"/>
            <w:u w:val="single"/>
          </w:rPr>
          <w:t>10.1002/anie.202525487</w:t>
        </w:r>
      </w:hyperlink>
    </w:p>
    <w:p>
      <w:pPr>
        <w:spacing w:before="0" w:after="120"/>
      </w:pPr>
      <w:r>
        <w:rPr>
          <w:b/>
        </w:rPr>
        <w:t xml:space="preserve">Notes: </w:t>
      </w:r>
      <w:r>
        <w:t>abstract_source=crossref</w:t>
      </w:r>
    </w:p>
    <w:p>
      <w:pPr>
        <w:spacing w:before="0" w:after="80" w:lineRule="auto" w:line="276"/>
      </w:pPr>
      <w:r>
        <w:rPr>
          <w:b/>
        </w:rPr>
        <w:t xml:space="preserve">摘要（ZH）: </w:t>
      </w:r>
      <w:r>
        <w:t>利用 S(VI) 氟化物交换(SuFEx) 反应的高回动性、模块性和正方位性(SUFEx) 反应,这是对点击化学的新添加,我们在此报告S(VI) 氟化物交换(SUFEx) 反应的高回动性、模块性和正方位性(Outoraide) 反应,这是对点击化学的一种新添加,我们在此报告S(SuFEx) 迭代倍增指数增长(SuFEx) 方法), 将统一的聚合物和块状共聚物(BCPs) 与分子重量合成到 21 kDa 。 SuFEx IEG 的关键步骤是, 双苯硫化物和二苯醚的一组功能组群(SuFEX) 点点需求、 方位(Orthobonal) 和 imidzylate) 组(SUFFFFEG) 组合(SuFEX) 的合成编码。</w:t>
      </w:r>
    </w:p>
    <w:p>
      <w:pPr>
        <w:spacing w:before="0" w:after="200" w:lineRule="auto" w:line="276"/>
      </w:pPr>
      <w:r>
        <w:rPr>
          <w:b/>
        </w:rPr>
        <w:t xml:space="preserve">Abstract (EN): </w:t>
      </w:r>
      <w:r>
        <w:t>Leveraging the high reactivity, modularity, and orthogonality of the S(VI)‐fluoride exchange (SuFEx) reaction, a new addition to click chemistry, we report here the SuFEx iterative exponential growth (SuFEx IEG) method for synthesizing uniform polymers and block copolymers (BCPs) with molecular weights up to 21 kDa. The key step in SuFEx IEG was the on‐demand, orthogonal activation of the pair of functional groups, the SuFEx‐inactive tetrahydropyranyl and imidazylate groups, into SuFEx‐active</w:t>
      </w:r>
      <w:r>
        <w:t xml:space="preserve"> </w:t>
      </w:r>
      <w:r>
        <w:t>tert</w:t>
      </w:r>
      <w:r>
        <w:t xml:space="preserve"> </w:t>
      </w:r>
      <w:r>
        <w:t>‐butyldimethylsilyl (TBS) and sulfonyl fluoride. With SuFEx IEG, we demonstrate the synthetic encoding of 16‐bit information into the sequence‐defined polysulfate of diphenyl sulfide and diphenyl ether. The modular nature of the SuFEx click reaction enabled the synthesis of uniform polysulfates, including hydrophilic oligo(ethylene glycol)‐based polysulfates, that served as modules to create block copolymers (BCPs) and triblock copolymers without molecular weight distribution. The chain ends of the polymers and BCPs produced via SuFEx IEG were used to prepare uniform cyclic polymers and BCPs via intramolecular SuFEx cyclization. The SuFEx IEG method provides a robust and versatile approach for precisely constructing uniform linear and cyclic polymers, as well as sequence‐defined polymers, across a broad molecular weight range.</w:t>
      </w:r>
    </w:p>
    <w:p>
      <w:pPr>
        <w:spacing w:before="120" w:after="120"/>
      </w:pPr>
      <w:r>
        <w:rPr>
          <w:sz w:val="18"/>
        </w:rPr>
        <w:t>——————————————————————————————————————————————————————————————————————</w:t>
      </w:r>
    </w:p>
    <w:p>
      <w:pPr>
        <w:spacing w:before="160" w:after="40" w:line="240" w:lineRule="auto"/>
      </w:pPr>
      <w:r>
        <w:rPr>
          <w:b/>
        </w:rPr>
        <w:t xml:space="preserve">[473] </w:t>
      </w:r>
      <w:hyperlink r:id="rId833">
        <w:r>
          <w:rPr>
            <w:color w:val="1155CC"/>
            <w:u w:val="single"/>
          </w:rPr>
          <w:t>本问题</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834">
        <w:r>
          <w:rPr>
            <w:color w:val="1155CC"/>
            <w:u w:val="single"/>
          </w:rPr>
          <w:t>10.1073/iti0126123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[474] </w:t>
      </w:r>
      <w:hyperlink r:id="rId835">
        <w:r>
          <w:rPr>
            <w:color w:val="1155CC"/>
            <w:u w:val="single"/>
          </w:rPr>
          <w:t>为国家学院和我们所服务的国家绘制路线</w:t>
        </w:r>
      </w:hyperlink>
    </w:p>
    <w:p>
      <w:pPr>
        <w:spacing w:before="0" w:after="80"/>
      </w:pPr>
      <w:r>
        <w:rPr>
          <w:i/>
          <w:sz w:val="20"/>
        </w:rPr>
        <w:t>EN: Charting a course for the National Academies and the nation we serve</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836">
        <w:r>
          <w:rPr>
            <w:color w:val="1155CC"/>
            <w:u w:val="single"/>
          </w:rPr>
          <w:t>10.1073/pnas.2535307123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[475] </w:t>
      </w:r>
      <w:hyperlink r:id="rId837">
        <w:r>
          <w:rPr>
            <w:color w:val="1155CC"/>
            <w:u w:val="single"/>
          </w:rPr>
          <w:t>氨基甲状腺纤维纤维状体的生物-溶解溶解的冷冻-EM结构可提供对AL 氨基虫病的分子洞察。</w:t>
        </w:r>
      </w:hyperlink>
    </w:p>
    <w:p>
      <w:pPr>
        <w:spacing w:before="0" w:after="80"/>
      </w:pPr>
      <w:r>
        <w:rPr>
          <w:i/>
          <w:sz w:val="20"/>
        </w:rPr>
        <w:t>EN: Biopsy-resolved cryo-EM structures of amyloid fibrils provide molecular insights into AL amyloidosis</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838">
        <w:r>
          <w:rPr>
            <w:color w:val="1155CC"/>
            <w:u w:val="single"/>
          </w:rPr>
          <w:t>10.1073/pnas.2515454123</w:t>
        </w:r>
      </w:hyperlink>
    </w:p>
    <w:p>
      <w:pPr>
        <w:spacing w:before="0" w:after="120"/>
      </w:pPr>
      <w:r>
        <w:rPr>
          <w:b/>
        </w:rPr>
        <w:t xml:space="preserve">Notes: </w:t>
      </w:r>
      <w:r>
        <w:t>abstract_source=crossref</w:t>
      </w:r>
    </w:p>
    <w:p>
      <w:pPr>
        <w:spacing w:before="0" w:after="80" w:lineRule="auto" w:line="276"/>
      </w:pPr>
      <w:r>
        <w:rPr>
          <w:b/>
        </w:rPr>
        <w:t xml:space="preserve">摘要（ZH）: </w:t>
      </w:r>
      <w:r>
        <w:t>在这项研究中,我们直接从三个AL病人的腹部脂肪和心组织生物细胞中提取了氨基纤维纤维素。我们通过冷冻-电子显微镜,确定了五个不同的光链结构(LC)氨基纤维质。我们的结果表明,不同病人的LC纤维质采用了独特的结构分解,突出了病人特有的纤维性变异。相反,从同一病人的不同组织中提取的LC纤维纤维质具有高度相似的总体纤维质结构,但显示出局部的相容性变化,可能由不同的环境同源体形成。本研究强调C。</w:t>
      </w:r>
    </w:p>
    <w:p>
      <w:pPr>
        <w:spacing w:before="0" w:after="200" w:lineRule="auto" w:line="276"/>
      </w:pPr>
      <w:r>
        <w:rPr>
          <w:b/>
        </w:rPr>
        <w:t xml:space="preserve">Abstract (EN): </w:t>
      </w:r>
      <w:r>
        <w:t>Systemic light chain amyloidosis (AL) is characterized by amyloid fibril deposition in multiple organs, often severely affecting cardiac function. In this study, we extracted amyloid fibrils directly from abdominal fat and cardiac tissue biopsies obtained from three AL patients. Using cryo-electron microscopy, we determined five distinct structures of light chain (LC) amyloid fibrils. Our results demonstrate that LC fibrils from different patients adopt unique structural conformations, highlighting patient-specific fibril variations. Conversely, LC fibrils extracted from different tissues within the same patient share highly similar overall fibril structures, yet exhibit localized conformational variations, potentially shaped by distinct environmental cofactors. This study emphasizes the combined roles of patient-specific protein sequences and tissue-specific microenvironments in defining LC fibril conformation. The determination of LC fibril structures directly from easily accessible abdominal fat biopsy provides critical molecular insights into AL amyloidosis pathology, facilitating the development of therapeutic strategies.</w:t>
      </w:r>
    </w:p>
    <w:p>
      <w:pPr>
        <w:spacing w:before="120" w:after="120"/>
      </w:pPr>
      <w:r>
        <w:rPr>
          <w:sz w:val="18"/>
        </w:rPr>
        <w:t>——————————————————————————————————————————————————————————————————————</w:t>
      </w:r>
    </w:p>
    <w:p>
      <w:pPr>
        <w:spacing w:before="160" w:after="40" w:line="240" w:lineRule="auto"/>
      </w:pPr>
      <w:r>
        <w:rPr>
          <w:b/>
        </w:rPr>
        <w:t xml:space="preserve">[476] </w:t>
      </w:r>
      <w:hyperlink r:id="rId839">
        <w:r>
          <w:rPr>
            <w:color w:val="1155CC"/>
            <w:u w:val="single"/>
          </w:rPr>
          <w:t>苏丹复杂的基因混合历史促使苏丹科普特人适应疟疾。</w:t>
        </w:r>
      </w:hyperlink>
    </w:p>
    <w:p>
      <w:pPr>
        <w:spacing w:before="0" w:after="80"/>
      </w:pPr>
      <w:r>
        <w:rPr>
          <w:i/>
          <w:sz w:val="20"/>
        </w:rPr>
        <w:t>EN: Sudan’s complex genetic admixture history drives adaptation to malaria in Sudanese Copts</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840">
        <w:r>
          <w:rPr>
            <w:color w:val="1155CC"/>
            <w:u w:val="single"/>
          </w:rPr>
          <w:t>10.1073/pnas.2516263123</w:t>
        </w:r>
      </w:hyperlink>
    </w:p>
    <w:p>
      <w:pPr>
        <w:spacing w:before="0" w:after="120"/>
      </w:pPr>
      <w:r>
        <w:rPr>
          <w:b/>
        </w:rPr>
        <w:t xml:space="preserve">Notes: </w:t>
      </w:r>
      <w:r>
        <w:t>abstract_source=crossref</w:t>
      </w:r>
    </w:p>
    <w:p>
      <w:pPr>
        <w:spacing w:before="0" w:after="80" w:lineRule="auto" w:line="276"/>
      </w:pPr>
      <w:r>
        <w:rPr>
          <w:b/>
        </w:rPr>
        <w:t xml:space="preserve">摘要（ZH）: </w:t>
      </w:r>
      <w:r>
        <w:t>苏丹位于非洲和中东的十字路口,其文化、语言和生态多样性因复杂的人口历史而具有丰富的文化、语言和生态多样性,苏丹处于非洲和中东的十字路口,我们对苏丹人口进行了全基因顺序(WGS)研究,分析了代表五个民族语言群体、共有三个语言家庭的125名人的高覆盖基因组(~30x),我们的结果显示人口结构深厚,涉及尼洛-撒哈拉、西欧亚、北非和西非祖传组成部分,以及阿拉伯扩张的标志。我们报告有100多万种新变异,包括人口特有的有害异类,突出说明需要更广泛的非洲基因组代表。值得注意的是,当地祖先的推论揭示出一个强大的信号,表明在黑社会上有适应性的混合。</w:t>
      </w:r>
    </w:p>
    <w:p>
      <w:pPr>
        <w:spacing w:before="0" w:after="200" w:lineRule="auto" w:line="276"/>
      </w:pPr>
      <w:r>
        <w:rPr>
          <w:b/>
        </w:rPr>
        <w:t xml:space="preserve">Abstract (EN): </w:t>
      </w:r>
      <w:r>
        <w:t>Sudan lies at the crossroads of Africa and the Middle East, with rich cultural, linguistic, and ecological diversity shaped by a complex demographic history. We present a whole-genome sequencing (WGS) study of Sudanese populations, analyzing high-coverage genomes (~30×) from 125 individuals representing five ethnolinguistic groups across three language families. Our results reveal deep population structure, involving Nilo-Saharan, West Eurasian, Northern African, and Western African ancestral components, as well as signatures of the Arab expansion. We report over one million novel variants, including population-specific deleterious alleles, highlighting the need for broader African genomic representation. Notably, local ancestry inference reveals a strong signal of adaptive admixture on chromosome 1 in Sudanese Copts, marked by a peak of Nilo-Saharan ancestry introduced via genetic admixture 1,000 to 1,500 y ago. At this locus, we estimate a remarkably strong selection coefficient (s = 0.0996) for SNP rs2814778 within the</w:t>
      </w:r>
      <w:r>
        <w:t xml:space="preserve"> </w:t>
      </w:r>
      <w:r>
        <w:t>ACKR1</w:t>
      </w:r>
      <w:r>
        <w:t xml:space="preserve"> </w:t>
      </w:r>
      <w:r>
        <w:t>gene, which is responsible for the Duffy-null blood group that provides resistance to</w:t>
      </w:r>
      <w:r>
        <w:t xml:space="preserve"> </w:t>
      </w:r>
      <w:r>
        <w:t>Plasmodium vivax</w:t>
      </w:r>
      <w:r>
        <w:t xml:space="preserve"> </w:t>
      </w:r>
      <w:r>
        <w:t>malaria. These findings reveal Sudan as a genomic mosaic shaped by ancient and recent migrations and provide clear evidence of admixture-driven adaptation in an understudied region of Africa.</w:t>
      </w:r>
    </w:p>
    <w:p>
      <w:pPr>
        <w:spacing w:before="120" w:after="120"/>
      </w:pPr>
      <w:r>
        <w:rPr>
          <w:sz w:val="18"/>
        </w:rPr>
        <w:t>——————————————————————————————————————————————————————————————————————</w:t>
      </w:r>
    </w:p>
    <w:p>
      <w:pPr>
        <w:spacing w:before="160" w:after="40" w:line="240" w:lineRule="auto"/>
      </w:pPr>
      <w:r>
        <w:rPr>
          <w:b/>
        </w:rPr>
        <w:t xml:space="preserve">[477] </w:t>
      </w:r>
      <w:hyperlink r:id="rId841">
        <w:r>
          <w:rPr>
            <w:color w:val="1155CC"/>
            <w:u w:val="single"/>
          </w:rPr>
          <w:t>重建美国流行性呼吸道病毒早期空间传播</w:t>
        </w:r>
      </w:hyperlink>
    </w:p>
    <w:p>
      <w:pPr>
        <w:spacing w:before="0" w:after="80"/>
      </w:pPr>
      <w:r>
        <w:rPr>
          <w:i/>
          <w:sz w:val="20"/>
        </w:rPr>
        <w:t>EN: Reconstructing the early spatial spread of pandemic respiratory viruses in the United States</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842">
        <w:r>
          <w:rPr>
            <w:color w:val="1155CC"/>
            <w:u w:val="single"/>
          </w:rPr>
          <w:t>10.1073/pnas.2518051123</w:t>
        </w:r>
      </w:hyperlink>
    </w:p>
    <w:p>
      <w:pPr>
        <w:spacing w:before="0" w:after="120"/>
      </w:pPr>
      <w:r>
        <w:rPr>
          <w:b/>
        </w:rPr>
        <w:t xml:space="preserve">Notes: </w:t>
      </w:r>
      <w:r>
        <w:t>abstract_source=crossref</w:t>
      </w:r>
    </w:p>
    <w:p>
      <w:pPr>
        <w:spacing w:before="0" w:after="80" w:lineRule="auto" w:line="276"/>
      </w:pPr>
      <w:r>
        <w:rPr>
          <w:b/>
        </w:rPr>
        <w:t xml:space="preserve">摘要（ZH）: </w:t>
      </w:r>
      <w:r>
        <w:t>了解新出现的呼吸道病毒的地理传播对于防范大流行病至关重要,然而,2009年H1N1流感大流行和严重急性急性呼吸道疾病冠状病毒2在美国的早期时空动态仍然不明确,尽管流动性和基因组数据揭示了大流行病空间传播的重要方面,但仍然存在几个关键问题:这两种流行病是否遵循类似的空间传播路线?它们如何迅速蔓延到美国各地?在早期空间传播方面,随机过程起什么作用?为了解决这些问题,我们把高分辨率疾病数据与一个将空中旅行、通勤流动和病原体超传播潜力结合起来的强有力、数据高效的推论框架结合起来,以重建高分辨率疾病。</w:t>
      </w:r>
    </w:p>
    <w:p>
      <w:pPr>
        <w:spacing w:before="0" w:after="200" w:lineRule="auto" w:line="276"/>
      </w:pPr>
      <w:r>
        <w:rPr>
          <w:b/>
        </w:rPr>
        <w:t xml:space="preserve">Abstract (EN): </w:t>
      </w:r>
      <w:r>
        <w:t>Understanding the geographic spread of emerging respiratory viruses is critical for pandemic preparedness, yet the early spatiotemporal dynamics of the 2009 H1N1 pandemic influenza and severe acute respiratory syndrome coronavirus 2 in the United States remain unclear. While mobility and genomic data have revealed important aspects of pandemic spatial spread, several key questions remain: Did the two pandemics follow similar spatial transmission routes? How rapidly did they spread across the United States? What role did stochastic processes play in early spatial transmission? To address these questions, we integrated high-resolution disease data with a robust, data-efficient inference framework combining air travel, commuting flows, and pathogen superspreading potentials to reconstruct their spatial spread across US metropolitan areas. The two pandemics exhibited distinct transmission pathways across locations; however, both pandemics established local circulation in most metropolitan areas within weeks, driven by several shared transmission hubs. Early spatial spread was more strongly associated with air travel than with commuting, though stochastic dynamics introduced substantial uncertainty in transmission routes, creating challenges for timely detection and control. Simulations indicate that broad wastewater surveillance coverage beyond top transmission hubs coupled with effective infection control may slow initial spatial expansion. Our findings highlight the rapid, stochastic spread of pandemic respiratory pathogens and the difficulties of early outbreak containment.</w:t>
      </w:r>
    </w:p>
    <w:p>
      <w:pPr>
        <w:spacing w:before="120" w:after="120"/>
      </w:pPr>
      <w:r>
        <w:rPr>
          <w:sz w:val="18"/>
        </w:rPr>
        <w:t>——————————————————————————————————————————————————————————————————————</w:t>
      </w:r>
    </w:p>
    <w:p>
      <w:pPr>
        <w:spacing w:before="160" w:after="40" w:line="240" w:lineRule="auto"/>
      </w:pPr>
      <w:r>
        <w:rPr>
          <w:b/>
        </w:rPr>
        <w:t xml:space="preserve">[478] </w:t>
      </w:r>
      <w:hyperlink r:id="rId843">
        <w:r>
          <w:rPr>
            <w:color w:val="1155CC"/>
            <w:u w:val="single"/>
          </w:rPr>
          <w:t>运动神经神经元控制早期胚胎行为,通过伽马(GABA)释放来控制早期胚胎行为。</w:t>
        </w:r>
      </w:hyperlink>
    </w:p>
    <w:p>
      <w:pPr>
        <w:spacing w:before="0" w:after="80"/>
      </w:pPr>
      <w:r>
        <w:rPr>
          <w:i/>
          <w:sz w:val="20"/>
        </w:rPr>
        <w:t>EN: Immature Caenorhabditis elegans motor neurons control early embryo behavior via both synaptic and nonsynaptic GABA release</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844">
        <w:r>
          <w:rPr>
            <w:color w:val="1155CC"/>
            <w:u w:val="single"/>
          </w:rPr>
          <w:t>10.1073/pnas.2508541123</w:t>
        </w:r>
      </w:hyperlink>
    </w:p>
    <w:p>
      <w:pPr>
        <w:spacing w:before="0" w:after="120"/>
      </w:pPr>
      <w:r>
        <w:rPr>
          <w:b/>
        </w:rPr>
        <w:t xml:space="preserve">Notes: </w:t>
      </w:r>
      <w:r>
        <w:t>abstract_source=crossref</w:t>
      </w:r>
    </w:p>
    <w:p>
      <w:pPr>
        <w:spacing w:before="0" w:after="80" w:lineRule="auto" w:line="276"/>
      </w:pPr>
      <w:r>
        <w:rPr>
          <w:b/>
        </w:rPr>
        <w:t xml:space="preserve">摘要（ZH）: </w:t>
      </w:r>
      <w:r>
        <w:t>产前脑活动对随后的神经发育具有长期的持久影响,尚不清楚早期脑活动是否以细胞内生、合成或非合成机制为主。我们通过分析在Snf-11变异体(该变异体没有血浆mbrane GABA再接收泵(orthologous to GAT1))中的细胞内生、神经合成或非合成机制来解决这一问题。在510-570分钟的授精后,在Snf-11 GAT1变异体中,胚胎运动被瞬时和强烈地抑制,这在形成大多数神经环突触之前。这种瞬时运动的抑制要求DD运动神经元的GABA合成和身体肌肉中的UNC-49 GABA受体。c</w:t>
      </w:r>
    </w:p>
    <w:p>
      <w:pPr>
        <w:spacing w:before="0" w:after="200" w:lineRule="auto" w:line="276"/>
      </w:pPr>
      <w:r>
        <w:rPr>
          <w:b/>
        </w:rPr>
        <w:t xml:space="preserve">Abstract (EN): </w:t>
      </w:r>
      <w:r>
        <w:t>Prenatal brain activity has long lasting effects on subsequent neurodevelopment. It is unclear if early brain activity is dominated by cell intrinsic, synaptic, or nonsynaptic mechanisms. We address this question by analyzing</w:t>
      </w:r>
      <w:r>
        <w:t xml:space="preserve"> </w:t>
      </w:r>
      <w:r>
        <w:t>Caenorhabditis elegans</w:t>
      </w:r>
      <w:r>
        <w:t xml:space="preserve"> </w:t>
      </w:r>
      <w:r>
        <w:t>embryo behavior in</w:t>
      </w:r>
      <w:r>
        <w:t xml:space="preserve"> </w:t>
      </w:r>
      <w:r>
        <w:t>snf-11</w:t>
      </w:r>
      <w:r>
        <w:t xml:space="preserve"> </w:t>
      </w:r>
      <w:r>
        <w:t>mutants, which lack a plasma membrane GABA reuptake pump (orthologous to GAT1). At 510 to 570 min postfertilization, embryo motion was transiently and potently inhibited in</w:t>
      </w:r>
      <w:r>
        <w:t xml:space="preserve"> </w:t>
      </w:r>
      <w:r>
        <w:t>snf-11</w:t>
      </w:r>
      <w:r>
        <w:t xml:space="preserve"> </w:t>
      </w:r>
      <w:r>
        <w:t>GAT1 mutants, which precedes formation of most nerve ring synapses. This transient motion inhibition requires GABA synthesis in DD motor neurons and UNC-49 GABA</w:t>
      </w:r>
      <w:r>
        <w:t xml:space="preserve"> </w:t>
      </w:r>
      <w:r>
        <w:t>A</w:t>
      </w:r>
      <w:r>
        <w:t xml:space="preserve"> </w:t>
      </w:r>
      <w:r>
        <w:t>receptors in body muscles. When motion inhibition occurs, DD neurons have not yet completed neurite outgrowth. Genetic analysis suggests that motion inhibition was mediated by both synaptic and tonic GABA release from DD motor neurons. These results suggest that DD neurons control embryo behavior prior to completing their developmental maturation.</w:t>
      </w:r>
    </w:p>
    <w:p>
      <w:pPr>
        <w:spacing w:before="120" w:after="120"/>
      </w:pPr>
      <w:r>
        <w:rPr>
          <w:sz w:val="18"/>
        </w:rPr>
        <w:t>——————————————————————————————————————————————————————————————————————</w:t>
      </w:r>
    </w:p>
    <w:p>
      <w:pPr>
        <w:spacing w:before="160" w:after="40" w:line="240" w:lineRule="auto"/>
      </w:pPr>
      <w:r>
        <w:rPr>
          <w:b/>
        </w:rPr>
        <w:t xml:space="preserve">[479] </w:t>
      </w:r>
      <w:hyperlink r:id="rId845">
        <w:r>
          <w:rPr>
            <w:color w:val="1155CC"/>
            <w:u w:val="single"/>
          </w:rPr>
          <w:t>Chlamydomonas 叶板基因可容忍将基因编码压缩为51个codons</w:t>
        </w:r>
      </w:hyperlink>
    </w:p>
    <w:p>
      <w:pPr>
        <w:spacing w:before="0" w:after="80"/>
      </w:pPr>
      <w:r>
        <w:rPr>
          <w:i/>
          <w:sz w:val="20"/>
        </w:rPr>
        <w:t>EN: Chlamydomonas chloroplast genes tolerate compression of the genetic code to just 51 codons</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846">
        <w:r>
          <w:rPr>
            <w:color w:val="1155CC"/>
            <w:u w:val="single"/>
          </w:rPr>
          <w:t>10.1073/pnas.2506263123</w:t>
        </w:r>
      </w:hyperlink>
    </w:p>
    <w:p>
      <w:pPr>
        <w:spacing w:before="0" w:after="120"/>
      </w:pPr>
      <w:r>
        <w:rPr>
          <w:b/>
        </w:rPr>
        <w:t xml:space="preserve">Notes: </w:t>
      </w:r>
      <w:r>
        <w:t>abstract_source=crossref</w:t>
      </w:r>
    </w:p>
    <w:p>
      <w:pPr>
        <w:spacing w:before="0" w:after="80" w:lineRule="auto" w:line="276"/>
      </w:pPr>
      <w:r>
        <w:rPr>
          <w:b/>
        </w:rPr>
        <w:t xml:space="preserve">摘要（ZH）: </w:t>
      </w:r>
      <w:r>
        <w:t>基因组规模工程使得Codon压缩了普世遗传编码,消除了Escherichia coli的七种codon,但允许在基因组规模上测试更激进的codon压缩和再分配计划,同时避免巨大的技术挑战,需要更小、更简单的基因系统。在这里,我们报告了205 kb Chlamydomonas Reinhardtii 叶绿化石基因组的重新编码计划,其中两种停止的codon和一种或数种对正弦、甘油、异醇、莱西内和精液的codon,所有这些都存在两种共生转RNA(tNAs),将基因编码压缩到51 codons。</w:t>
      </w:r>
    </w:p>
    <w:p>
      <w:pPr>
        <w:spacing w:before="0" w:after="200" w:lineRule="auto" w:line="276"/>
      </w:pPr>
      <w:r>
        <w:rPr>
          <w:b/>
        </w:rPr>
        <w:t xml:space="preserve">Abstract (EN): </w:t>
      </w:r>
      <w:r>
        <w:t>Genome scale engineering has enabled codon compression of the universal genetic code to eliminate seven codons in</w:t>
      </w:r>
      <w:r>
        <w:t xml:space="preserve"> </w:t>
      </w:r>
      <w:r>
        <w:t>Escherichia coli</w:t>
      </w:r>
      <w:r>
        <w:t xml:space="preserve"> </w:t>
      </w:r>
      <w:r>
        <w:t>, but to allow more radical schemes for codon compression and reassignment to be tested at genome scale, while avoiding significant technical challenges, smaller, simpler genetic systems are needed. Here, we report a recoding scheme for the 205 kb</w:t>
      </w:r>
      <w:r>
        <w:t xml:space="preserve"> </w:t>
      </w:r>
      <w:r>
        <w:t>Chlamydomonas reinhardtii</w:t>
      </w:r>
      <w:r>
        <w:t xml:space="preserve"> </w:t>
      </w:r>
      <w:r>
        <w:t>chloroplast genome, in which two stop codons and one or more of the codons for arginine, glycine, isoleucine, leucine, and serine, all of which have two cognate transfer RNAs (tRNAs), are absent, compressing the genetic code to 51 codons. Several recoding strategies were tested on the essential</w:t>
      </w:r>
      <w:r>
        <w:t xml:space="preserve"> </w:t>
      </w:r>
      <w:r>
        <w:t>rpoA</w:t>
      </w:r>
      <w:r>
        <w:t xml:space="preserve"> </w:t>
      </w:r>
      <w:r>
        <w:t>gene, encoding a subunit of the chloroplast RNA polymerase. A defined compression scheme, which relied on swapping the target codons with the permitted frequent codons, could replace the native sequence without affecting expression of a reporter protein or strain fitness under standard laboratory conditions. The same strategy was successfully used for codon compression of</w:t>
      </w:r>
      <w:r>
        <w:t xml:space="preserve"> </w:t>
      </w:r>
      <w:r>
        <w:t>ycf1</w:t>
      </w:r>
      <w:r>
        <w:t xml:space="preserve"> </w:t>
      </w:r>
      <w:r>
        <w:t>, encoding a subunit of the chloroplast translocon,</w:t>
      </w:r>
      <w:r>
        <w:t xml:space="preserve"> </w:t>
      </w:r>
      <w:r>
        <w:t>psaA</w:t>
      </w:r>
      <w:r>
        <w:t xml:space="preserve"> </w:t>
      </w:r>
      <w:r>
        <w:t>and</w:t>
      </w:r>
      <w:r>
        <w:t xml:space="preserve"> </w:t>
      </w:r>
      <w:r>
        <w:t>psbA</w:t>
      </w:r>
      <w:r>
        <w:t xml:space="preserve"> </w:t>
      </w:r>
      <w:r>
        <w:t>, intron-containing highly expressed genes encoding reaction center subunits of both photosystems, and an 8.5 kb operon encoding essential and nonessential genes. Finally, we tested degeneracy of the 51-codon genetic code by exploring the combinatorial design for the large subunit of Rubisco, relying on restoration of photosynthesis in an</w:t>
      </w:r>
      <w:r>
        <w:t xml:space="preserve"> </w:t>
      </w:r>
      <w:r>
        <w:t>rbcL</w:t>
      </w:r>
      <w:r>
        <w:t xml:space="preserve"> </w:t>
      </w:r>
      <w:r>
        <w:t>mutant strain. More than 70 functional sequences with diverse codons were recovered. For all recoded genes, viable homoplasmic lines were obtained, showing the efficacy of our codon compression scheme.</w:t>
      </w:r>
    </w:p>
    <w:p>
      <w:pPr>
        <w:spacing w:before="120" w:after="120"/>
      </w:pPr>
      <w:r>
        <w:rPr>
          <w:sz w:val="18"/>
        </w:rPr>
        <w:t>——————————————————————————————————————————————————————————————————————</w:t>
      </w:r>
    </w:p>
    <w:p>
      <w:pPr>
        <w:spacing w:before="160" w:after="40" w:line="240" w:lineRule="auto"/>
      </w:pPr>
      <w:r>
        <w:rPr>
          <w:b/>
        </w:rPr>
        <w:t xml:space="preserve">[480] </w:t>
      </w:r>
      <w:hyperlink r:id="rId847">
        <w:r>
          <w:rPr>
            <w:color w:val="1155CC"/>
            <w:u w:val="single"/>
          </w:rPr>
          <w:t>NRVS和DFT所透露的无释放酶</w:t>
        </w:r>
      </w:hyperlink>
    </w:p>
    <w:p>
      <w:pPr>
        <w:spacing w:before="0" w:after="80"/>
      </w:pPr>
      <w:r>
        <w:rPr>
          <w:i/>
          <w:sz w:val="20"/>
        </w:rPr>
        <w:t>EN: Hydroxo-bridged active site of flavodiiron NO reductase revealed by NRVS and DFT</w:t>
      </w:r>
    </w:p>
    <w:p>
      <w:pPr>
        <w:spacing w:before="0" w:after="120"/>
      </w:pPr>
      <w:r>
        <w:rPr>
          <w:b/>
        </w:rPr>
        <w:t xml:space="preserve">Source: </w:t>
      </w:r>
      <w:r>
        <w:t>Proceedings of the National Academy of Sciences: Keyword search for query</w:t>
      </w:r>
      <w:r>
        <w:t xml:space="preserve">    </w:t>
      </w:r>
      <w:r>
        <w:rPr>
          <w:b/>
        </w:rPr>
        <w:t xml:space="preserve">Pub date: </w:t>
      </w:r>
      <w:r>
        <w:t>2026-01-06 08:00:00+00:00</w:t>
      </w:r>
      <w:r>
        <w:t xml:space="preserve">    </w:t>
      </w:r>
      <w:r>
        <w:rPr>
          <w:b/>
        </w:rPr>
        <w:t xml:space="preserve">DOI: </w:t>
      </w:r>
      <w:hyperlink r:id="rId848">
        <w:r>
          <w:rPr>
            <w:color w:val="1155CC"/>
            <w:u w:val="single"/>
          </w:rPr>
          <w:t>10.1073/pnas.2512429123</w:t>
        </w:r>
      </w:hyperlink>
    </w:p>
    <w:p>
      <w:pPr>
        <w:spacing w:before="0" w:after="120"/>
      </w:pPr>
      <w:r>
        <w:rPr>
          <w:b/>
        </w:rPr>
        <w:t xml:space="preserve">Notes: </w:t>
      </w:r>
      <w:r>
        <w:t>abstract_source=crossref</w:t>
      </w:r>
    </w:p>
    <w:p>
      <w:pPr>
        <w:spacing w:before="0" w:after="80" w:lineRule="auto" w:line="276"/>
      </w:pPr>
      <w:r>
        <w:rPr>
          <w:b/>
        </w:rPr>
        <w:t xml:space="preserve">摘要（ZH）: </w:t>
      </w:r>
      <w:r>
        <w:t>氧和硝酸盐作为终端电子接收器使用氧和硝酸盐为生物提供了大量可用的能量,但需要用各种方法解毒活性中间体。许多有机体中的NO和O2解毒机制涉及法老二子蛋白(FDPs),虽然协调这些酶的二环活性场点的蛋白性结壳已经牢固建立,但由于对晶体学和光谱/理论研究的解释相互矛盾,其确切的协调环境仍在争论之中。我们利用57种欧洲核共振动光谱(NRVS),辅之以Mössbauer光谱和密度功能理论,我们阐述了与红氧化物相关的结构结构。</w:t>
      </w:r>
    </w:p>
    <w:p>
      <w:pPr>
        <w:spacing w:before="0" w:after="200" w:lineRule="auto" w:line="276"/>
      </w:pPr>
      <w:r>
        <w:rPr>
          <w:b/>
        </w:rPr>
        <w:t xml:space="preserve">Abstract (EN): </w:t>
      </w:r>
      <w:r>
        <w:t>The use of oxygen and nitrate as terminal electron acceptors provides organisms with a huge amount of available energy but necessitates methods to detoxify reactive intermediates. The mechanisms of NO and O</w:t>
      </w:r>
      <w:r>
        <w:rPr>
          <w:vertAlign w:val="subscript"/>
        </w:rPr>
        <w:t>2</w:t>
      </w:r>
      <w:r>
        <w:t>detoxification in many organisms involve flavodiiron proteins (FDPs). Although the proteinaceous ligands that coordinate the diiron active site of these enzymes are well established, its exact coordination environment remains under debate due to conflicting interpretations of crystallographic and spectroscopic/theoretical studies. Using</w:t>
      </w:r>
      <w:r>
        <w:rPr>
          <w:vertAlign w:val="subscript"/>
        </w:rPr>
        <w:t>57</w:t>
      </w:r>
      <w:r>
        <w:t>Fe nuclear resonance vibrational spectroscopy (NRVS), complemented by Mössbauer spectroscopy and density functional theory, we elucidated the redox-linked structural changes in the FDP from</w:t>
      </w:r>
      <w:r>
        <w:t xml:space="preserve"> </w:t>
      </w:r>
      <w:r>
        <w:t>Escherichia coli</w:t>
      </w:r>
      <w:r>
        <w:t xml:space="preserve"> </w:t>
      </w:r>
      <w:r>
        <w:t>. The as-isolated diferric state is best described as a dihydroxo-bridged Fe(III)–(μOH</w:t>
      </w:r>
      <w:r>
        <w:t xml:space="preserve"> </w:t>
      </w:r>
      <w:r>
        <w:t>−</w:t>
      </w:r>
      <w:r>
        <w:t>)</w:t>
      </w:r>
      <w:r>
        <w:rPr>
          <w:vertAlign w:val="subscript"/>
        </w:rPr>
        <w:t>2</w:t>
      </w:r>
      <w:r>
        <w:t>–Fe(III) core, which upon reduction converts to a monohydroxo Fe(II)–(μOH</w:t>
      </w:r>
      <w:r>
        <w:t xml:space="preserve"> </w:t>
      </w:r>
      <w:r>
        <w:t>−</w:t>
      </w:r>
      <w:r>
        <w:t>)–Fe(II) center through the loss of one bridging ligand. This ligand rearrangement defines the structural basis for redox-linked reactivity in FDPs. The study further demonstrates that photoreduction of a stable metalloprotein species can occur under NRVS conditions, indicating that synchrotron-based vibrational measurements may induce subtle redox changes even under low photon flux. These findings provide a mechanistic framework for interpreting redox-linked ligand dynamics in diiron enzymes and highlight the need to collect damage-free X-ray crystal structures avoiding potential beam-induced reduction. Furthermore, diiron active sites are found in numerous other enzyme classes (e.g., methane monooxygenase), and therefore, our findings have implications way beyond the FDPs.</w:t>
      </w:r>
    </w:p>
    <w:p>
      <w:pPr>
        <w:spacing w:before="120" w:after="120"/>
      </w:pPr>
      <w:r>
        <w:rPr>
          <w:sz w:val="18"/>
        </w:rPr>
        <w:t>——————————————————————————————————————————————————————————————————————</w:t>
      </w:r>
    </w:p>
    <w:p>
      <w:pPr>
        <w:spacing w:before="160" w:after="40" w:line="240" w:lineRule="auto"/>
      </w:pPr>
      <w:r>
        <w:rPr>
          <w:b/>
        </w:rPr>
        <w:t xml:space="preserve">[481] </w:t>
      </w:r>
      <w:hyperlink r:id="rId849">
        <w:r>
          <w:rPr>
            <w:color w:val="1155CC"/>
            <w:u w:val="single"/>
          </w:rPr>
          <w:t>[ASAP] 含水下氧氧化合物用于氧进化的可选-稳定化纳米粒子</w:t>
        </w:r>
      </w:hyperlink>
    </w:p>
    <w:p>
      <w:pPr>
        <w:spacing w:before="0" w:after="80"/>
      </w:pPr>
      <w:r>
        <w:rPr>
          <w:i/>
          <w:sz w:val="20"/>
        </w:rPr>
        <w:t>EN: [ASAP] Electride-Stabilized Iridium Nanoparticles with Subsurface Oxygen Confinement for Oxygen Evolution Electrocatalysis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2026-01-06 09:06:56+00:00</w:t>
      </w:r>
      <w:r>
        <w:t xml:space="preserve">    </w:t>
      </w:r>
      <w:r>
        <w:rPr>
          <w:b/>
        </w:rPr>
        <w:t xml:space="preserve">DOI: </w:t>
      </w:r>
      <w:hyperlink r:id="rId850">
        <w:r>
          <w:rPr>
            <w:color w:val="1155CC"/>
            <w:u w:val="single"/>
          </w:rPr>
          <w:t>10.1021/jacs.5c12062</w:t>
        </w:r>
      </w:hyperlink>
    </w:p>
    <w:p>
      <w:pPr>
        <w:spacing w:before="0" w:after="120"/>
      </w:pPr>
      <w:r>
        <w:rPr>
          <w:b/>
        </w:rPr>
        <w:t xml:space="preserve">Notes: </w:t>
      </w:r>
      <w:r>
        <w:t>abstract_source=pubmed</w:t>
      </w:r>
    </w:p>
    <w:p>
      <w:pPr>
        <w:spacing w:before="0" w:after="80" w:lineRule="auto" w:line="276"/>
      </w:pPr>
      <w:r>
        <w:rPr>
          <w:b/>
        </w:rPr>
        <w:t xml:space="preserve">摘要（ZH）: </w:t>
      </w:r>
      <w:r>
        <w:t>具有独特的电子含量丰富的结构的电气,具有催化的变革潜力,但由于内在的不稳定和合成限制,在电化学系统中面临严峻的挑战。在这里,我们展示了对合成相相纯的 Ti3O 彩形纳米粒子的动态控制气体-固态反应,这些反应在酸性介质中表现出高导电率(617 Scm-1)和广泛的电化学稳定性窗口(-0.4至2.1 V vs RHE)。当用作对氧进化反应中的(Ir)纳米催化剂(Ir)的支持时,Ti3O 彩形显示强大的金属支持互动。这些相互作用抑制了Ir纳米粒子的形态化和凝聚。此外, Ti3O推动氧扩散到Ir lattice, le, le</w:t>
      </w:r>
    </w:p>
    <w:p>
      <w:pPr>
        <w:spacing w:before="0" w:after="200" w:lineRule="auto" w:line="276"/>
      </w:pPr>
      <w:r>
        <w:rPr>
          <w:b/>
        </w:rPr>
        <w:t xml:space="preserve">Abstract (EN): </w:t>
      </w:r>
      <w:r>
        <w:t>Electrides, with their unique electron-rich architectures, hold transformative potential for catalysis but face critical challenges in electrochemical systems due to inherent instability and synthesis limitations. Here, we present a kinetically controlled gas-solid reaction to synthesize phase-pure Ti3O electride nanoparticles, which exhibit high electrical conductivity (617 S cm-1) and broad electrochemical stability window (-0.4 to 2.1 V vs RHE) in acidic media. When used as a support for iridium (Ir) nanocatalysts in the oxygen evolution reaction (OER), the Ti3O electride demonstrates strong metal-support interactions. These interactions suppress both amorphization and coalescence of the Ir nanoparticles during the OER. Furthermore, Ti3O promotes oxygen diffusion into the Ir lattice, leading to the formation of subsurface oxygen-confined Ir nanoparticles, a previously unobserved catalytic active phase. This unique configuration shifts the OER mechanism entirely to the adsorbate evolution mechanism (AEM), avoiding participation of the lattice oxygen mechanism (LOM). Consequently, the Ir/Ti3O catalyst exhibits superior activity and stability compared to pristine Ir nanoparticles or Ir nanoparticles supported on other nonelectride titanium oxides, across both three-electrode cells and proton exchange membrane water electrolyzers. This work establishes electrides as versatile mediators for electronic structure engineering in electrocatalysis, enabling the stabilization of catalytic phases unattainable with conventional supports.</w:t>
      </w:r>
    </w:p>
    <w:p>
      <w:pPr>
        <w:spacing w:before="120" w:after="120"/>
      </w:pPr>
      <w:r>
        <w:rPr>
          <w:sz w:val="18"/>
        </w:rPr>
        <w:t>——————————————————————————————————————————————————————————————————————</w:t>
      </w:r>
    </w:p>
    <w:p>
      <w:pPr>
        <w:spacing w:before="160" w:after="40" w:line="240" w:lineRule="auto"/>
      </w:pPr>
      <w:r>
        <w:rPr>
          <w:b/>
        </w:rPr>
        <w:t xml:space="preserve">[482] </w:t>
      </w:r>
      <w:hyperlink r:id="rId851">
        <w:r>
          <w:rPr>
            <w:color w:val="1155CC"/>
            <w:u w:val="single"/>
          </w:rPr>
          <w:t>[ASAP] 革命化能源储存:AI、自动化和高级建模,作为下一轮发光突破的催化剂</w:t>
        </w:r>
      </w:hyperlink>
    </w:p>
    <w:p>
      <w:pPr>
        <w:spacing w:before="0" w:after="80"/>
      </w:pPr>
      <w:r>
        <w:rPr>
          <w:i/>
          <w:sz w:val="20"/>
        </w:rPr>
        <w:t>EN: [ASAP] Revolutionizing Energy Storage: AI, Automation, and Advanced Modeling as Catalysts for Next-Generation Breakthroughs</w:t>
      </w:r>
    </w:p>
    <w:p>
      <w:pPr>
        <w:spacing w:before="0" w:after="120"/>
      </w:pPr>
      <w:r>
        <w:rPr>
          <w:b/>
        </w:rPr>
        <w:t xml:space="preserve">Source: </w:t>
      </w:r>
      <w:r>
        <w:t>ACS Energy Letters: Latest Articles (ACS Publications)</w:t>
      </w:r>
      <w:r>
        <w:t xml:space="preserve">    </w:t>
      </w:r>
      <w:r>
        <w:rPr>
          <w:b/>
        </w:rPr>
        <w:t xml:space="preserve">Pub date: </w:t>
      </w:r>
      <w:r>
        <w:t>2026-01-06 09:12:33+00:00</w:t>
      </w:r>
      <w:r>
        <w:t xml:space="preserve">    </w:t>
      </w:r>
      <w:r>
        <w:rPr>
          <w:b/>
        </w:rPr>
        <w:t xml:space="preserve">DOI: </w:t>
      </w:r>
      <w:hyperlink r:id="rId852">
        <w:r>
          <w:rPr>
            <w:color w:val="1155CC"/>
            <w:u w:val="single"/>
          </w:rPr>
          <w:t>10.1021/acsenergylett.5c04022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[483] </w:t>
      </w:r>
      <w:hyperlink r:id="rId853">
        <w:r>
          <w:rPr>
            <w:color w:val="1155CC"/>
            <w:u w:val="single"/>
          </w:rPr>
          <w:t>通过双光成份合成晶体体:照片引发的Au(I)综合体的二极驱动器与CPVP的充电轨迹反转</w:t>
        </w:r>
      </w:hyperlink>
    </w:p>
    <w:p>
      <w:pPr>
        <w:spacing w:before="0" w:after="80"/>
      </w:pPr>
      <w:r>
        <w:rPr>
          <w:i/>
          <w:sz w:val="20"/>
        </w:rPr>
        <w:t>EN: Physical Implementation of Reinforcement Learning via a Signal Summation Process in a Dual‐Input Synaptic Transistor: Photoinduced Dipole Inversion of Au(I) Complex with Charge Traps of cPVP</w:t>
      </w:r>
    </w:p>
    <w:p>
      <w:pPr>
        <w:spacing w:before="0" w:after="120"/>
      </w:pPr>
      <w:r>
        <w:rPr>
          <w:b/>
        </w:rPr>
        <w:t xml:space="preserve">Source: </w:t>
      </w:r>
      <w:r>
        <w:t>Wiley: Advanced Materials: Table of Contents</w:t>
      </w:r>
      <w:r>
        <w:t xml:space="preserve">    </w:t>
      </w:r>
      <w:r>
        <w:rPr>
          <w:b/>
        </w:rPr>
        <w:t xml:space="preserve">Pub date: </w:t>
      </w:r>
      <w:r>
        <w:t>2026-01-06 09:54:12+00:00</w:t>
      </w:r>
      <w:r>
        <w:t xml:space="preserve">    </w:t>
      </w:r>
      <w:r>
        <w:rPr>
          <w:b/>
        </w:rPr>
        <w:t xml:space="preserve">DOI: </w:t>
      </w:r>
      <w:hyperlink r:id="rId854">
        <w:r>
          <w:rPr>
            <w:color w:val="1155CC"/>
            <w:u w:val="single"/>
          </w:rPr>
          <w:t>10.1002/adma.202516522</w:t>
        </w:r>
      </w:hyperlink>
    </w:p>
    <w:p>
      <w:pPr>
        <w:spacing w:before="0" w:after="120"/>
      </w:pPr>
      <w:r>
        <w:rPr>
          <w:b/>
        </w:rPr>
        <w:t xml:space="preserve">Notes: </w:t>
      </w:r>
      <w:r>
        <w:t>abstract_source=crossref</w:t>
      </w:r>
    </w:p>
    <w:p>
      <w:pPr>
        <w:spacing w:before="0" w:after="80" w:lineRule="auto" w:line="276"/>
      </w:pPr>
      <w:r>
        <w:rPr>
          <w:b/>
        </w:rPr>
        <w:t xml:space="preserve">摘要（ZH）: </w:t>
      </w:r>
      <w:r>
        <w:t>人工智能的快速发展推动了从软件到硬件创新的研究。为了提高计算效率,已经开发了包含大量晶体管的人工智能加速器,但这一方法仍然受到硅技术规模和热限制的限制。专门用于模拟和平行计算的合成晶体管已成为有希望的替代器。然而,仅仅取代硅晶体管在减少整体计算复杂性方面就提供了有限的改进。在这里,我们提出了一个双子合成合成晶体管,利用光和电压通过材料功能提高设备水平计算效率。线性二元光线性二元光能。</w:t>
      </w:r>
    </w:p>
    <w:p>
      <w:pPr>
        <w:spacing w:before="0" w:after="200" w:lineRule="auto" w:line="276"/>
      </w:pPr>
      <w:r>
        <w:rPr>
          <w:b/>
        </w:rPr>
        <w:t xml:space="preserve">Abstract (EN): </w:t>
      </w:r>
      <w:r>
        <w:t>The rapid advancement of artificial intelligence (AI) has driven research beyond software into hardware innovation. To improve computational efficiency, AI accelerators integrating large numbers of transistors have been developed, yet this approach remains constrained by scaling and thermal limitations of silicon technology. Synaptic transistors, specialized for analog and parallel computation, have emerged as promising alternatives. Nevertheless, simply replacing silicon transistors offers limited improvement in reducing overall computational complexity. Here, we present a dual‐input synaptic transistor that utilizes both light and voltage to enhance device‐level computational efficiency through material functionality. The linear two‐coordinate Au(I) complex, Au(</w:t>
      </w:r>
      <w:r>
        <w:t xml:space="preserve"> </w:t>
      </w:r>
      <w:r>
        <w:t>Dipp</w:t>
      </w:r>
      <w:r>
        <w:t xml:space="preserve"> </w:t>
      </w:r>
      <w:r>
        <w:t>PZI)(DPA), undergoes a ligand‐to‐ligand charge‐transfer‐induced dipole reversal upon photoexcitation, enabling photoinduced synaptic weight modulation. Complementarity, voltage‐driven modulation arises from abundant ─OH trap sites in the cPVP layer. When light and voltage signals are applied simultaneously, these materials cooperatively generate an analog summation of synaptic current within a single device. The demonstrated transistor performs weight summation in reinforcement learning algorithms without requiring complex peripheral computation units, thereby reducing computational cost. This approach provides a versatile platform applicable to various learning algorithms that rely on summation operations, offering a new strategy for efficient hardware‐level AI computation.</w:t>
      </w:r>
    </w:p>
    <w:p>
      <w:pPr>
        <w:spacing w:before="120" w:after="120"/>
      </w:pPr>
      <w:r>
        <w:rPr>
          <w:sz w:val="18"/>
        </w:rPr>
        <w:t>——————————————————————————————————————————————————————————————————————</w:t>
      </w:r>
    </w:p>
    <w:p>
      <w:pPr>
        <w:spacing w:before="160" w:after="40" w:line="240" w:lineRule="auto"/>
      </w:pPr>
      <w:r>
        <w:rPr>
          <w:b/>
        </w:rPr>
        <w:t xml:space="preserve">[484] </w:t>
      </w:r>
      <w:hyperlink r:id="rId855">
        <w:r>
          <w:rPr>
            <w:color w:val="1155CC"/>
            <w:u w:val="single"/>
          </w:rPr>
          <w:t>通过多晶晶线BiFeO3中局部拉蒂切排减影响引发的反阶段边界,使巨型极化得以实现</w:t>
        </w:r>
      </w:hyperlink>
    </w:p>
    <w:p>
      <w:pPr>
        <w:spacing w:before="0" w:after="80"/>
      </w:pPr>
      <w:r>
        <w:rPr>
          <w:i/>
          <w:sz w:val="20"/>
        </w:rPr>
        <w:t>EN: Asymmetric Ferroelectric Flux‐Non‐Closure Domain Enabling Giant Polarizations Through Local Lattice‐Defect‐Induced Antiphase Boundary in Polycrystalline BiFeO3</w:t>
      </w:r>
    </w:p>
    <w:p>
      <w:pPr>
        <w:spacing w:before="0" w:after="120"/>
      </w:pPr>
      <w:r>
        <w:rPr>
          <w:b/>
        </w:rPr>
        <w:t xml:space="preserve">Source: </w:t>
      </w:r>
      <w:r>
        <w:t>Wiley: Advanced Materials: Table of Contents</w:t>
      </w:r>
      <w:r>
        <w:t xml:space="preserve">    </w:t>
      </w:r>
      <w:r>
        <w:rPr>
          <w:b/>
        </w:rPr>
        <w:t xml:space="preserve">Pub date: </w:t>
      </w:r>
      <w:r>
        <w:t>2026-01-06 09:54:26+00:00</w:t>
      </w:r>
      <w:r>
        <w:t xml:space="preserve">    </w:t>
      </w:r>
      <w:r>
        <w:rPr>
          <w:b/>
        </w:rPr>
        <w:t xml:space="preserve">DOI: </w:t>
      </w:r>
      <w:hyperlink r:id="rId856">
        <w:r>
          <w:rPr>
            <w:color w:val="1155CC"/>
            <w:u w:val="single"/>
          </w:rPr>
          <w:t>10.1002/adma.202514332</w:t>
        </w:r>
      </w:hyperlink>
    </w:p>
    <w:p>
      <w:pPr>
        <w:spacing w:before="0" w:after="120"/>
      </w:pPr>
      <w:r>
        <w:rPr>
          <w:b/>
        </w:rPr>
        <w:t xml:space="preserve">Notes: </w:t>
      </w:r>
      <w:r>
        <w:t>abstract_source=crossref</w:t>
      </w:r>
    </w:p>
    <w:p>
      <w:pPr>
        <w:spacing w:before="0" w:after="80" w:lineRule="auto" w:line="276"/>
      </w:pPr>
      <w:r>
        <w:rPr>
          <w:b/>
        </w:rPr>
        <w:t xml:space="preserve">摘要（ZH）: </w:t>
      </w:r>
      <w:r>
        <w:t>在纳米级铁电超纬度中发现了复杂的极地层,这极大地丰富了铁电表层领域,尽管这些领域的形式、起源和长处各不相同和复杂,但通常产生于集体两极分化行为和某些机械边界条件之间的复杂相互作用,例如,在铁电超纬度中存在交织。由于大多数大型原型材料具有多种功能,陶瓷和(或)多晶胶片,很少出现极地层,甚至当显著增强的两极化同时实现时,也变得无法触及。在这里,我们展示了一个新的铁电表层领域。</w:t>
      </w:r>
    </w:p>
    <w:p>
      <w:pPr>
        <w:spacing w:before="0" w:after="200" w:lineRule="auto" w:line="276"/>
      </w:pPr>
      <w:r>
        <w:rPr>
          <w:b/>
        </w:rPr>
        <w:t xml:space="preserve">Abstract (EN): </w:t>
      </w:r>
      <w:r>
        <w:t>The discovery of complex polar topologies in nanoscale ferroelectric superlattices has greatly enriched the ferroelectric topological domains. These domains, although different and intricate in their formats, origin, and strengths, generally arise from the intricate interplay between collective polarization behaviors and certain mechanical boundary conditions, for example, interfacial strains within ferroelectric superlattices. As most extensive prototype materials afford multiple functions, ceramics and/or polycrystalline films, hardly present polar topologies, and even become unreachable when the significantly enhanced polarizations are achieved simultaneously. Herein, we demonstrate the formation of a new ferroelectric topological domain, a polarization‐asymmetric flux‐non‐closure domain (much close to vortex pattern), in polycrystalline BiFeO</w:t>
      </w:r>
      <w:r>
        <w:rPr>
          <w:vertAlign w:val="subscript"/>
        </w:rPr>
        <w:t>3</w:t>
      </w:r>
      <w:r>
        <w:t>. This asymmetric ferroelectric topology, subjected to a driving force associated with local lattice defects, induces an antiphase boundary that relaxes the anisotropic lattice strains and structural distortion, resulting in greatly increased B‐site Fe displacements and FeO</w:t>
      </w:r>
      <w:r>
        <w:rPr>
          <w:vertAlign w:val="subscript"/>
        </w:rPr>
        <w:t>6</w:t>
      </w:r>
      <w:r>
        <w:t>rotation angles. The formation of abundant asymmetric flux‐non‐closure domains also creates large net polarizations that are responsible for the significantly enhanced ferroelectric polarizations, up to 165.6 µC cm</w:t>
      </w:r>
      <w:r>
        <w:t xml:space="preserve"> </w:t>
      </w:r>
      <w:r>
        <w:t>−2</w:t>
      </w:r>
      <w:r>
        <w:t xml:space="preserve"> </w:t>
      </w:r>
      <w:r>
        <w:t>. Our findings provide a broader platform for modulating ferroelectric flux‐non‐closure patterns in extensive polycrystalline materials through facile lattice defect engineering to achieve optimized ferroelectric properties and new topological states.</w:t>
      </w:r>
    </w:p>
    <w:p>
      <w:pPr>
        <w:spacing w:before="120" w:after="120"/>
      </w:pPr>
      <w:r>
        <w:rPr>
          <w:sz w:val="18"/>
        </w:rPr>
        <w:t>——————————————————————————————————————————————————————————————————————</w:t>
      </w:r>
    </w:p>
    <w:p>
      <w:pPr>
        <w:spacing w:before="160" w:after="40" w:line="240" w:lineRule="auto"/>
      </w:pPr>
      <w:r>
        <w:rPr>
          <w:b/>
        </w:rPr>
        <w:t xml:space="preserve">[485] </w:t>
      </w:r>
      <w:hyperlink r:id="rId857">
        <w:r>
          <w:rPr>
            <w:color w:val="1155CC"/>
            <w:u w:val="single"/>
          </w:rPr>
          <w:t>在实际锂-硫电池中解锁硫反应</w:t>
        </w:r>
      </w:hyperlink>
    </w:p>
    <w:p>
      <w:pPr>
        <w:spacing w:before="0" w:after="80"/>
      </w:pPr>
      <w:r>
        <w:rPr>
          <w:i/>
          <w:sz w:val="20"/>
        </w:rPr>
        <w:t>EN: Chemo‑Electrochemical Tandem Catalysis Unlocking Sulfur Reaction in Practical Lithium–Sulfur Batteries</w:t>
      </w:r>
    </w:p>
    <w:p>
      <w:pPr>
        <w:spacing w:before="0" w:after="120"/>
      </w:pPr>
      <w:r>
        <w:rPr>
          <w:b/>
        </w:rPr>
        <w:t xml:space="preserve">Source: </w:t>
      </w:r>
      <w:r>
        <w:t>Wiley: Advanced Materials: Table of Contents</w:t>
      </w:r>
      <w:r>
        <w:t xml:space="preserve">    </w:t>
      </w:r>
      <w:r>
        <w:rPr>
          <w:b/>
        </w:rPr>
        <w:t xml:space="preserve">Pub date: </w:t>
      </w:r>
      <w:r>
        <w:t>2026-01-06 09:55:20+00:00</w:t>
      </w:r>
      <w:r>
        <w:t xml:space="preserve">    </w:t>
      </w:r>
      <w:r>
        <w:rPr>
          <w:b/>
        </w:rPr>
        <w:t xml:space="preserve">DOI: </w:t>
      </w:r>
      <w:hyperlink r:id="rId858">
        <w:r>
          <w:rPr>
            <w:color w:val="1155CC"/>
            <w:u w:val="single"/>
          </w:rPr>
          <w:t>10.1002/adma.202521611</w:t>
        </w:r>
      </w:hyperlink>
    </w:p>
    <w:p>
      <w:pPr>
        <w:spacing w:before="0" w:after="120"/>
      </w:pPr>
      <w:r>
        <w:rPr>
          <w:b/>
        </w:rPr>
        <w:t xml:space="preserve">Notes: </w:t>
      </w:r>
      <w:r>
        <w:t>abstract_source=crossref</w:t>
      </w:r>
    </w:p>
    <w:p>
      <w:pPr>
        <w:spacing w:before="0" w:after="80" w:lineRule="auto" w:line="276"/>
      </w:pPr>
      <w:r>
        <w:rPr>
          <w:b/>
        </w:rPr>
        <w:t xml:space="preserve">摘要（ZH）: </w:t>
      </w:r>
      <w:r>
        <w:t>作为下一代下一代高能电池,锂-硫(Li-S)电池由于其超高理论能量密度,是长程电动车辆有希望的解决方案。 然而,它们面临着低硫利用的基本挑战,特别是在聚硫化物无法溶解的电解冻实际条件下。 我们在这里建议化学化学化学联合催化剂Li x TIS 2,化学催化S 8/Li 2 S 8 S 8 到L 2 S 2 S 的转化。</w:t>
      </w:r>
    </w:p>
    <w:p>
      <w:pPr>
        <w:spacing w:before="0" w:after="200" w:lineRule="auto" w:line="276"/>
      </w:pPr>
      <w:r>
        <w:rPr>
          <w:b/>
        </w:rPr>
        <w:t xml:space="preserve">Abstract (EN): </w:t>
      </w:r>
      <w:r>
        <w:t>As next‐generation high‐energy batteries, lithium–sulfur (Li–S) batteries are promising solutions for long‐range electric vehicles due to their ultrahigh theoretical energy density. However, they face fundamental challenges from low sulfur utilization, particularly under electrolyte‐starved practical conditions that polysulfides are unable to dissolve. Here, we propose a chemo‐electrochemical tandem catalyst, Li</w:t>
      </w:r>
      <w:r>
        <w:t xml:space="preserve"> </w:t>
      </w:r>
      <w:r>
        <w:t>x</w:t>
      </w:r>
      <w:r>
        <w:t xml:space="preserve"> </w:t>
      </w:r>
      <w:r>
        <w:t>TiS</w:t>
      </w:r>
      <w:r>
        <w:rPr>
          <w:vertAlign w:val="subscript"/>
        </w:rPr>
        <w:t>2</w:t>
      </w:r>
      <w:r>
        <w:t>, which chemically catalyzes the transformation of S</w:t>
      </w:r>
      <w:r>
        <w:rPr>
          <w:vertAlign w:val="subscript"/>
        </w:rPr>
        <w:t>8</w:t>
      </w:r>
      <w:r>
        <w:t>/Li</w:t>
      </w:r>
      <w:r>
        <w:rPr>
          <w:vertAlign w:val="subscript"/>
        </w:rPr>
        <w:t>2</w:t>
      </w:r>
      <w:r>
        <w:t>S</w:t>
      </w:r>
      <w:r>
        <w:rPr>
          <w:vertAlign w:val="subscript"/>
        </w:rPr>
        <w:t>8</w:t>
      </w:r>
      <w:r>
        <w:t>to Li</w:t>
      </w:r>
      <w:r>
        <w:rPr>
          <w:vertAlign w:val="subscript"/>
        </w:rPr>
        <w:t>2</w:t>
      </w:r>
      <w:r>
        <w:t>S</w:t>
      </w:r>
      <w:r>
        <w:rPr>
          <w:vertAlign w:val="subscript"/>
        </w:rPr>
        <w:t>4</w:t>
      </w:r>
      <w:r>
        <w:t>and subsequently catalyzes electrochemical reduction to lithium sulfide (Li</w:t>
      </w:r>
      <w:r>
        <w:rPr>
          <w:vertAlign w:val="subscript"/>
        </w:rPr>
        <w:t>2</w:t>
      </w:r>
      <w:r>
        <w:t>S). This tandem mechanism fundamentally alters the reaction kinetics from conventional first‐order to zero‐order behavior, overcoming the limitation imposed by the solubility of sulfur species. It thus enables efficient sulfur conversion and an ultralow activation energy of ∼0.3 eV (a 50% reduction compared to without catalysts) under a low electrolyte‐to‐sulfur (E/S) ratio (5 µL mg</w:t>
      </w:r>
      <w:r>
        <w:t xml:space="preserve"> </w:t>
      </w:r>
      <w:r>
        <w:t>s</w:t>
      </w:r>
      <w:r>
        <w:t xml:space="preserve"> </w:t>
      </w:r>
      <w:r>
        <w:t>−1</w:t>
      </w:r>
      <w:r>
        <w:t xml:space="preserve"> </w:t>
      </w:r>
      <w:r>
        <w:t>), significantly improving battery performance in practical conditions. The coin cell shows an ultralow capacity decay of 0.028% per cycle over 1500 cycles, and a 2.0 Ah pouch cell achieves the high energy density of 550 Wh kg</w:t>
      </w:r>
      <w:r>
        <w:t xml:space="preserve"> </w:t>
      </w:r>
      <w:r>
        <w:t>−1</w:t>
      </w:r>
      <w:r>
        <w:t xml:space="preserve"> </w:t>
      </w:r>
      <w:r>
        <w:t>with good stability.</w:t>
      </w:r>
    </w:p>
    <w:p>
      <w:pPr>
        <w:spacing w:before="120" w:after="120"/>
      </w:pPr>
      <w:r>
        <w:rPr>
          <w:sz w:val="18"/>
        </w:rPr>
        <w:t>——————————————————————————————————————————————————————————————————————</w:t>
      </w:r>
    </w:p>
    <w:p>
      <w:pPr>
        <w:spacing w:before="160" w:after="40" w:line="240" w:lineRule="auto"/>
      </w:pPr>
      <w:r>
        <w:rPr>
          <w:b/>
        </w:rPr>
        <w:t xml:space="preserve">[486] </w:t>
      </w:r>
      <w:hyperlink r:id="rId859">
        <w:r>
          <w:rPr>
            <w:color w:val="1155CC"/>
            <w:u w:val="single"/>
          </w:rPr>
          <w:t>变异的同同质结构使高高效能高碱碱烷氢氧化反应</w:t>
        </w:r>
      </w:hyperlink>
    </w:p>
    <w:p>
      <w:pPr>
        <w:spacing w:before="0" w:after="80"/>
      </w:pPr>
      <w:r>
        <w:rPr>
          <w:i/>
          <w:sz w:val="20"/>
        </w:rPr>
        <w:t>EN: Twisted Ru Homostructures Enable High‐Efficiency Alkaline Hydrogen Oxidation Reaction</w:t>
      </w:r>
    </w:p>
    <w:p>
      <w:pPr>
        <w:spacing w:before="0" w:after="120"/>
      </w:pPr>
      <w:r>
        <w:rPr>
          <w:b/>
        </w:rPr>
        <w:t xml:space="preserve">Source: </w:t>
      </w:r>
      <w:r>
        <w:t>Wiley: Advanced Materials: Table of Contents</w:t>
      </w:r>
      <w:r>
        <w:t xml:space="preserve">    </w:t>
      </w:r>
      <w:r>
        <w:rPr>
          <w:b/>
        </w:rPr>
        <w:t xml:space="preserve">Pub date: </w:t>
      </w:r>
      <w:r>
        <w:t>2026-01-06 09:59:15+00:00</w:t>
      </w:r>
      <w:r>
        <w:t xml:space="preserve">    </w:t>
      </w:r>
      <w:r>
        <w:rPr>
          <w:b/>
        </w:rPr>
        <w:t xml:space="preserve">DOI: </w:t>
      </w:r>
      <w:hyperlink r:id="rId860">
        <w:r>
          <w:rPr>
            <w:color w:val="1155CC"/>
            <w:u w:val="single"/>
          </w:rPr>
          <w:t>10.1002/adma.202522811</w:t>
        </w:r>
      </w:hyperlink>
    </w:p>
    <w:p>
      <w:pPr>
        <w:spacing w:before="0" w:after="120"/>
      </w:pPr>
      <w:r>
        <w:rPr>
          <w:b/>
        </w:rPr>
        <w:t xml:space="preserve">Notes: </w:t>
      </w:r>
      <w:r>
        <w:t>abstract_source=crossref</w:t>
      </w:r>
    </w:p>
    <w:p>
      <w:pPr>
        <w:spacing w:before="0" w:after="80" w:lineRule="auto" w:line="276"/>
      </w:pPr>
      <w:r>
        <w:rPr>
          <w:b/>
        </w:rPr>
        <w:t xml:space="preserve">摘要（ZH）: </w:t>
      </w:r>
      <w:r>
        <w:t>ABSTACT 设计替代碱性氢氧化反应(HOR)的潜在催化剂,对于发展阴离交换膜燃料电池(AEMFCs)至关重要。基于鲁的催化剂,特别是异丁基结构,被认为是Pt最有希望的替代物。然而,基于鲁的乙基结构的活动仍然不能取代基于乙的商用丙基催化剂,这主要是因为其高活性地点数量有限,而且介质附近中间迁移的能源壁垒高。我们在此过程中,在扭曲的鲁同质结构的基础上设计了一个高效的霍氏催化剂。在扭曲的鲁同质结构的谷物边界上产生的压力效应和协调缺陷可以同时选择。</w:t>
      </w:r>
    </w:p>
    <w:p>
      <w:pPr>
        <w:spacing w:before="0" w:after="200" w:lineRule="auto" w:line="276"/>
      </w:pPr>
      <w:r>
        <w:rPr>
          <w:b/>
        </w:rPr>
        <w:t xml:space="preserve">Abstract (EN): </w:t>
      </w:r>
      <w:r>
        <w:t>Designing potential catalysts for the alkaline hydrogen oxidation reaction (HOR) to replace Pt is crucial for the development of anion exchange membrane fuel cells (AEMFCs). Ru‐based catalysts especially heterostructures are considered to be the most promising alternatives to Pt. However, the activity of Ru‐based heterostructures still falls short of displacing commercial Pt‐based catalysts, primarily due to their limited number of high‐activity sites and high energy barriers for intermediate migration near the interface. Herein, we designed an efficient HOR catalyst on the basis of twisted Ru homostructures. The stress effect and coordination deficiencies generated at the grain boundaries of twisted Ru homostructures could simultaneously optimize the thermodynamics and increase the migration kinetics of intermediates (H* and OH*), effectively overcoming the inherent drawbacks associated with heterostructure catalysts. Owing to the unique electronic structure of the twisted homostructures, our catalyst demonstrated exceptional alkaline HOR catalytic performance (</w:t>
      </w:r>
      <w:r>
        <w:t xml:space="preserve"> </w:t>
      </w:r>
      <w:r>
        <w:t>j</w:t>
      </w:r>
      <w:r>
        <w:t xml:space="preserve"> </w:t>
      </w:r>
      <w:r>
        <w:t>k</w:t>
      </w:r>
      <w:r>
        <w:t xml:space="preserve"> </w:t>
      </w:r>
      <w:r>
        <w:t>= 77.2 mA cm</w:t>
      </w:r>
      <w:r>
        <w:t xml:space="preserve"> </w:t>
      </w:r>
      <w:r>
        <w:t>−2</w:t>
      </w:r>
      <w:r>
        <w:t xml:space="preserve"> </w:t>
      </w:r>
      <w:r>
        <w:t>@ 50 mV). When evaluated in the fuel cell configuration, the catalyst achieves a record peak power density of 1.81 W cm</w:t>
      </w:r>
      <w:r>
        <w:t xml:space="preserve"> </w:t>
      </w:r>
      <w:r>
        <w:t>−2</w:t>
      </w:r>
      <w:r>
        <w:t xml:space="preserve"> </w:t>
      </w:r>
      <w:r>
        <w:t>, surpassing commercial PtRu/C (1.36 W cm</w:t>
      </w:r>
      <w:r>
        <w:t xml:space="preserve"> </w:t>
      </w:r>
      <w:r>
        <w:t>−2</w:t>
      </w:r>
      <w:r>
        <w:t xml:space="preserve"> </w:t>
      </w:r>
      <w:r>
        <w:t>) and Pt/C (1.23 W cm</w:t>
      </w:r>
      <w:r>
        <w:t xml:space="preserve"> </w:t>
      </w:r>
      <w:r>
        <w:t>−2</w:t>
      </w:r>
      <w:r>
        <w:t xml:space="preserve"> </w:t>
      </w:r>
      <w:r>
        <w:t>), representing the highest performance among reported pure metallic catalysts.</w:t>
      </w:r>
    </w:p>
    <w:p>
      <w:pPr>
        <w:spacing w:before="120" w:after="120"/>
      </w:pPr>
      <w:r>
        <w:rPr>
          <w:sz w:val="18"/>
        </w:rPr>
        <w:t>——————————————————————————————————————————————————————————————————————</w:t>
      </w:r>
    </w:p>
    <w:p>
      <w:pPr>
        <w:spacing w:before="160" w:after="40" w:line="240" w:lineRule="auto"/>
      </w:pPr>
      <w:r>
        <w:rPr>
          <w:b/>
        </w:rPr>
        <w:t xml:space="preserve">[487] </w:t>
      </w:r>
      <w:hyperlink r:id="rId861">
        <w:r>
          <w:rPr>
            <w:color w:val="1155CC"/>
            <w:u w:val="single"/>
          </w:rPr>
          <w:t>PEM 水电解</w:t>
        </w:r>
      </w:hyperlink>
    </w:p>
    <w:p>
      <w:pPr>
        <w:spacing w:before="0" w:after="80"/>
      </w:pPr>
      <w:r>
        <w:rPr>
          <w:i/>
          <w:sz w:val="20"/>
        </w:rPr>
        <w:t>EN: Porous Iridium Oxide Inverse Opal Catalysts Enable Efficient PEM Water Electrolysis</w:t>
      </w:r>
    </w:p>
    <w:p>
      <w:pPr>
        <w:spacing w:before="0" w:after="120"/>
      </w:pPr>
      <w:r>
        <w:rPr>
          <w:b/>
        </w:rPr>
        <w:t xml:space="preserve">Source: </w:t>
      </w:r>
      <w:r>
        <w:t>Wiley: Advanced Materials: Table of Contents</w:t>
      </w:r>
      <w:r>
        <w:t xml:space="preserve">    </w:t>
      </w:r>
      <w:r>
        <w:rPr>
          <w:b/>
        </w:rPr>
        <w:t xml:space="preserve">Pub date: </w:t>
      </w:r>
      <w:r>
        <w:t>2026-01-06 10:01:02+00:00</w:t>
      </w:r>
      <w:r>
        <w:t xml:space="preserve">    </w:t>
      </w:r>
      <w:r>
        <w:rPr>
          <w:b/>
        </w:rPr>
        <w:t xml:space="preserve">DOI: </w:t>
      </w:r>
      <w:hyperlink r:id="rId862">
        <w:r>
          <w:rPr>
            <w:color w:val="1155CC"/>
            <w:u w:val="single"/>
          </w:rPr>
          <w:t>10.1002/adma.202514659</w:t>
        </w:r>
      </w:hyperlink>
    </w:p>
    <w:p>
      <w:pPr>
        <w:spacing w:before="0" w:after="120"/>
      </w:pPr>
      <w:r>
        <w:rPr>
          <w:b/>
        </w:rPr>
        <w:t xml:space="preserve">Notes: </w:t>
      </w:r>
      <w:r>
        <w:t>abstract_source=crossref</w:t>
      </w:r>
    </w:p>
    <w:p>
      <w:pPr>
        <w:spacing w:before="0" w:after="80" w:lineRule="auto" w:line="276"/>
      </w:pPr>
      <w:r>
        <w:rPr>
          <w:b/>
        </w:rPr>
        <w:t xml:space="preserve">摘要（ZH）: </w:t>
      </w:r>
      <w:r>
        <w:t>质子交换膜水电解(PEMWE)产生的绿氢摘要,作为未来能源载体和化学工业的原料,已引起人们的极大关注。减少在PEMWE 阳极中使用稀有是一项关键要求。在这项工作中,以孔径大小不一的孔径基反对面结构(IrO x IO)为新颖的无支持散装洋极催化剂,其与商业替代品相比的优异性能得到了证明。孔隙和地表面积对电化学性能的影响得到了系统的调查和分类。</w:t>
      </w:r>
    </w:p>
    <w:p>
      <w:pPr>
        <w:spacing w:before="0" w:after="200" w:lineRule="auto" w:line="276"/>
      </w:pPr>
      <w:r>
        <w:rPr>
          <w:b/>
        </w:rPr>
        <w:t xml:space="preserve">Abstract (EN): </w:t>
      </w:r>
      <w:r>
        <w:t>Green hydrogen produced by proton exchange membrane water electrolysis (PEM‐WE), has gained significant attention as a future energy carrier and as a feedstock for the chemical industry. Reducing the use of scarce iridium in PEM‐WE anodes is a critical requirement. In this work, porous iridium‐based inverse opal structures (</w:t>
      </w:r>
      <w:r>
        <w:t xml:space="preserve"> </w:t>
      </w:r>
      <w:r>
        <w:t>IrO</w:t>
      </w:r>
      <w:r>
        <w:t xml:space="preserve"> </w:t>
      </w:r>
      <w:r>
        <w:t>x</w:t>
      </w:r>
      <w:r>
        <w:t xml:space="preserve"> </w:t>
      </w:r>
      <w:r>
        <w:t>‐IO</w:t>
      </w:r>
      <w:r>
        <w:t xml:space="preserve"> </w:t>
      </w:r>
      <w:r>
        <w:t>) of varying pore sizes are introduced as novel unsupported bulk anode catalysts and their superior performance compared to commercial alternatives is demonstrated. The influence of porosity and surface area on the electrochemical performance is systematically investigated and categorized using voltage breakdown analysis and equivalent circuit modeling. Efficient</w:t>
      </w:r>
      <w:r>
        <w:t xml:space="preserve"> </w:t>
      </w:r>
      <w:r>
        <w:t>IrO</w:t>
      </w:r>
      <w:r>
        <w:t xml:space="preserve"> </w:t>
      </w:r>
      <w:r>
        <w:t>x</w:t>
      </w:r>
      <w:r>
        <w:t xml:space="preserve"> </w:t>
      </w:r>
      <w:r>
        <w:t>‐IO</w:t>
      </w:r>
      <w:r>
        <w:t xml:space="preserve"> </w:t>
      </w:r>
      <w:r>
        <w:t>operation requires balancing surface area and pore size, enabling high performance up to 13 A cm</w:t>
      </w:r>
      <w:r>
        <w:t xml:space="preserve"> </w:t>
      </w:r>
      <w:r>
        <w:t>−</w:t>
      </w:r>
      <w:r>
        <w:rPr>
          <w:vertAlign w:val="subscript"/>
        </w:rPr>
        <w:t>2</w:t>
      </w:r>
      <w:r>
        <w:t>with iridium utilizations below 0.1 g</w:t>
      </w:r>
      <w:r>
        <w:t xml:space="preserve"> </w:t>
      </w:r>
      <w:r>
        <w:t>Ir</w:t>
      </w:r>
      <w:r>
        <w:t xml:space="preserve"> </w:t>
      </w:r>
      <w:r>
        <w:t>/kW at 70% efficiency. The findings advance our understanding of unsupported bulk catalysts and, more importantly, expand the range of viable anode materials by clarifying how catalyst morphology influences electrode reactivity.</w:t>
      </w:r>
    </w:p>
    <w:p>
      <w:pPr>
        <w:spacing w:before="120" w:after="120"/>
      </w:pPr>
      <w:r>
        <w:rPr>
          <w:sz w:val="18"/>
        </w:rPr>
        <w:t>——————————————————————————————————————————————————————————————————————</w:t>
      </w:r>
    </w:p>
    <w:p>
      <w:pPr>
        <w:spacing w:before="160" w:after="40" w:line="240" w:lineRule="auto"/>
      </w:pPr>
      <w:r>
        <w:rPr>
          <w:b/>
        </w:rPr>
        <w:t xml:space="preserve">[488] </w:t>
      </w:r>
      <w:hyperlink r:id="rId863">
        <w:r>
          <w:rPr>
            <w:color w:val="1155CC"/>
            <w:u w:val="single"/>
          </w:rPr>
          <w:t>阶段- 受控的波板基碳化钙多彩光度</w:t>
        </w:r>
      </w:hyperlink>
    </w:p>
    <w:p>
      <w:pPr>
        <w:spacing w:before="0" w:after="80"/>
      </w:pPr>
      <w:r>
        <w:rPr>
          <w:i/>
          <w:sz w:val="20"/>
        </w:rPr>
        <w:t>EN: Phase‐Manipulated Calcium Borate‐Based Multicolor Mechanoluminescence</w:t>
      </w:r>
    </w:p>
    <w:p>
      <w:pPr>
        <w:spacing w:before="0" w:after="120"/>
      </w:pPr>
      <w:r>
        <w:rPr>
          <w:b/>
        </w:rPr>
        <w:t xml:space="preserve">Source: </w:t>
      </w:r>
      <w:r>
        <w:t>Wiley: Advanced Materials: Table of Contents</w:t>
      </w:r>
      <w:r>
        <w:t xml:space="preserve">    </w:t>
      </w:r>
      <w:r>
        <w:rPr>
          <w:b/>
        </w:rPr>
        <w:t xml:space="preserve">Pub date: </w:t>
      </w:r>
      <w:r>
        <w:t>2026-01-06 10:03:19+00:00</w:t>
      </w:r>
      <w:r>
        <w:t xml:space="preserve">    </w:t>
      </w:r>
      <w:r>
        <w:rPr>
          <w:b/>
        </w:rPr>
        <w:t xml:space="preserve">DOI: </w:t>
      </w:r>
      <w:hyperlink r:id="rId864">
        <w:r>
          <w:rPr>
            <w:color w:val="1155CC"/>
            <w:u w:val="single"/>
          </w:rPr>
          <w:t>10.1002/adma.202522179</w:t>
        </w:r>
      </w:hyperlink>
    </w:p>
    <w:p>
      <w:pPr>
        <w:spacing w:before="0" w:after="120"/>
      </w:pPr>
      <w:r>
        <w:rPr>
          <w:b/>
        </w:rPr>
        <w:t xml:space="preserve">Notes: </w:t>
      </w:r>
      <w:r>
        <w:t>abstract_source=crossref</w:t>
      </w:r>
    </w:p>
    <w:p>
      <w:pPr>
        <w:spacing w:before="0" w:after="80" w:lineRule="auto" w:line="276"/>
      </w:pPr>
      <w:r>
        <w:rPr>
          <w:b/>
        </w:rPr>
        <w:t xml:space="preserve">摘要（ZH）: </w:t>
      </w:r>
      <w:r>
        <w:t>多色光化材料(ML)在防伪、智能皮肤、可磨损电子产品和结构健康监测方面的应用日益引起人们的关注,然而,由于现有成分稀少和恶劣的准备条件(通常要求温度超过1000°C和保护性大气),这些材料的广泛实施仍然受到很大阻碍,这里实现了以卤化物为基础的材料(Ca 2 B 2 O 5和CaB 2 O 4)的便质、低温和无大气层合成。</w:t>
      </w:r>
    </w:p>
    <w:p>
      <w:pPr>
        <w:spacing w:before="0" w:after="200" w:lineRule="auto" w:line="276"/>
      </w:pPr>
      <w:r>
        <w:rPr>
          <w:b/>
        </w:rPr>
        <w:t xml:space="preserve">Abstract (EN): </w:t>
      </w:r>
      <w:r>
        <w:t>Multicolor mechanoluminescence (ML) materials have attracted growing attention for applications in anti‐counterfeiting, smart skin, wearable electronics, and structural health monitoring. However, their widespread implementation remains significantly hindered by the scarce available compositions and harsh preparation conditions—typically requiring temperatures above 1000°C and protective atmospheres. Here, a facile, low‐temperature, and atmosphere‐free synthesis of calcium borate‐based ML materials (Ca</w:t>
      </w:r>
      <w:r>
        <w:rPr>
          <w:vertAlign w:val="subscript"/>
        </w:rPr>
        <w:t>2</w:t>
      </w:r>
      <w:r>
        <w:t>B</w:t>
      </w:r>
      <w:r>
        <w:rPr>
          <w:vertAlign w:val="subscript"/>
        </w:rPr>
        <w:t>2</w:t>
      </w:r>
      <w:r>
        <w:t>O</w:t>
      </w:r>
      <w:r>
        <w:rPr>
          <w:vertAlign w:val="subscript"/>
        </w:rPr>
        <w:t>5</w:t>
      </w:r>
      <w:r>
        <w:t>and CaB</w:t>
      </w:r>
      <w:r>
        <w:rPr>
          <w:vertAlign w:val="subscript"/>
        </w:rPr>
        <w:t>2</w:t>
      </w:r>
      <w:r>
        <w:t>O</w:t>
      </w:r>
      <w:r>
        <w:rPr>
          <w:vertAlign w:val="subscript"/>
        </w:rPr>
        <w:t>4</w:t>
      </w:r>
      <w:r>
        <w:t>) is achieved. The phase ratio of Ca</w:t>
      </w:r>
      <w:r>
        <w:rPr>
          <w:vertAlign w:val="subscript"/>
        </w:rPr>
        <w:t>2</w:t>
      </w:r>
      <w:r>
        <w:t>B</w:t>
      </w:r>
      <w:r>
        <w:rPr>
          <w:vertAlign w:val="subscript"/>
        </w:rPr>
        <w:t>2</w:t>
      </w:r>
      <w:r>
        <w:t>O</w:t>
      </w:r>
      <w:r>
        <w:rPr>
          <w:vertAlign w:val="subscript"/>
        </w:rPr>
        <w:t>5</w:t>
      </w:r>
      <w:r>
        <w:t>and CaB</w:t>
      </w:r>
      <w:r>
        <w:rPr>
          <w:vertAlign w:val="subscript"/>
        </w:rPr>
        <w:t>2</w:t>
      </w:r>
      <w:r>
        <w:t>O</w:t>
      </w:r>
      <w:r>
        <w:rPr>
          <w:vertAlign w:val="subscript"/>
        </w:rPr>
        <w:t>4</w:t>
      </w:r>
      <w:r>
        <w:t>is manipulated by adjusting the stoichiometric ratio of raw materials (H</w:t>
      </w:r>
      <w:r>
        <w:rPr>
          <w:vertAlign w:val="subscript"/>
        </w:rPr>
        <w:t>3</w:t>
      </w:r>
      <w:r>
        <w:t>BO</w:t>
      </w:r>
      <w:r>
        <w:rPr>
          <w:vertAlign w:val="subscript"/>
        </w:rPr>
        <w:t>3</w:t>
      </w:r>
      <w:r>
        <w:t>and CaO). The distinct tetrahedral and octahedral coordination of Mn</w:t>
      </w:r>
      <w:r>
        <w:t xml:space="preserve"> </w:t>
      </w:r>
      <w:r>
        <w:t>2+</w:t>
      </w:r>
      <w:r>
        <w:t xml:space="preserve"> </w:t>
      </w:r>
      <w:r>
        <w:t>in these phases gives rise to tunable ML emission spanning from green to orange (535–605 nm). When incorporated into polydimethylsiloxane (PDMS) elastomers, these materials exhibit remarkable multicolor ML suitable for multi‐level optical encryption and motion visualization. The encrypted information remains hidden under daylight or UV illumination can be deciphered only through ML activation, while the stress‐induced color variation enables real‐time monitoring of joint movement. This work not only establishes a versatile route for the design of low‐temperature, phase‐tunable ML materials but also reveals promising applications in next‐generation information security and intelligent motion‐sensing technologies.</w:t>
      </w:r>
    </w:p>
    <w:p>
      <w:pPr>
        <w:spacing w:before="120" w:after="120"/>
      </w:pPr>
      <w:r>
        <w:rPr>
          <w:sz w:val="18"/>
        </w:rPr>
        <w:t>——————————————————————————————————————————————————————————————————————</w:t>
      </w:r>
    </w:p>
    <w:p>
      <w:pPr>
        <w:spacing w:before="160" w:after="40" w:line="240" w:lineRule="auto"/>
      </w:pPr>
      <w:r>
        <w:rPr>
          <w:b/>
        </w:rPr>
        <w:t xml:space="preserve">[489] </w:t>
      </w:r>
      <w:hyperlink r:id="rId865">
        <w:r>
          <w:rPr>
            <w:color w:val="1155CC"/>
            <w:u w:val="single"/>
          </w:rPr>
          <w:t>用于适应性超强超强分辨率图像重建的红外红外光电交换器</w:t>
        </w:r>
      </w:hyperlink>
    </w:p>
    <w:p>
      <w:pPr>
        <w:spacing w:before="0" w:after="80"/>
      </w:pPr>
      <w:r>
        <w:rPr>
          <w:i/>
          <w:sz w:val="20"/>
        </w:rPr>
        <w:t>EN: Tellurium Sub‐Oxides Infrared Phototransistors for Adaptive Super‐Resolution Image Reconstruction</w:t>
      </w:r>
    </w:p>
    <w:p>
      <w:pPr>
        <w:spacing w:before="0" w:after="120"/>
      </w:pPr>
      <w:r>
        <w:rPr>
          <w:b/>
        </w:rPr>
        <w:t xml:space="preserve">Source: </w:t>
      </w:r>
      <w:r>
        <w:t>Wiley: Advanced Materials: Table of Contents</w:t>
      </w:r>
      <w:r>
        <w:t xml:space="preserve">    </w:t>
      </w:r>
      <w:r>
        <w:rPr>
          <w:b/>
        </w:rPr>
        <w:t xml:space="preserve">Pub date: </w:t>
      </w:r>
      <w:r>
        <w:t>2026-01-06 10:07:27+00:00</w:t>
      </w:r>
      <w:r>
        <w:t xml:space="preserve">    </w:t>
      </w:r>
      <w:r>
        <w:rPr>
          <w:b/>
        </w:rPr>
        <w:t xml:space="preserve">DOI: </w:t>
      </w:r>
      <w:hyperlink r:id="rId866">
        <w:r>
          <w:rPr>
            <w:color w:val="1155CC"/>
            <w:u w:val="single"/>
          </w:rPr>
          <w:t>10.1002/adma.202521147</w:t>
        </w:r>
      </w:hyperlink>
    </w:p>
    <w:p>
      <w:pPr>
        <w:spacing w:before="0" w:after="120"/>
      </w:pPr>
      <w:r>
        <w:rPr>
          <w:b/>
        </w:rPr>
        <w:t xml:space="preserve">Notes: </w:t>
      </w:r>
      <w:r>
        <w:t>abstract_source=crossref</w:t>
      </w:r>
    </w:p>
    <w:p>
      <w:pPr>
        <w:spacing w:before="0" w:after="80" w:lineRule="auto" w:line="276"/>
      </w:pPr>
      <w:r>
        <w:rPr>
          <w:b/>
        </w:rPr>
        <w:t xml:space="preserve">摘要（ZH）: </w:t>
      </w:r>
      <w:r>
        <w:t>使用晶状硅或IIIV化合物进行的红外线(IR)探测通常使用,但经常受到散装和低效率的挑战。随着自主驱动器和机视的开发,IR技术越来越需要纳入紧凑神经结构。在本研究中,IR敏感的P--N型无序亚氧化(TeO x)薄膜通过无机混合战略沉积。通过将荧光二电层、协同电荷传输和光源引发的二级Excour TeO x 以天为基地的IRV可感应传感器(IVAS)与宽带探测和备忘录相结合,将荧光电层、协同电荷传输和光源引发的二级Excurow TeO x 以天为基地的IRV可感应感应传感器(IVAS)与宽带探测和备忘录结合起来。</w:t>
      </w:r>
    </w:p>
    <w:p>
      <w:pPr>
        <w:spacing w:before="0" w:after="200" w:lineRule="auto" w:line="276"/>
      </w:pPr>
      <w:r>
        <w:rPr>
          <w:b/>
        </w:rPr>
        <w:t xml:space="preserve">Abstract (EN): </w:t>
      </w:r>
      <w:r>
        <w:t>Infrared (IR) detection using crystalline silicon or III‐V compounds is commonly utilized but often challenged by bulkiness and inefficiency. With the development of autonomous driving and machine vision, there is a growing need for IR technology to incorporate compact neural architectures. In this study, IR‐sensitive</w:t>
      </w:r>
      <w:r>
        <w:t xml:space="preserve"> </w:t>
      </w:r>
      <w:r>
        <w:t>p</w:t>
      </w:r>
      <w:r>
        <w:t xml:space="preserve"> </w:t>
      </w:r>
      <w:r>
        <w:t>‐type disordered tellurium sub‐oxides (TeO</w:t>
      </w:r>
      <w:r>
        <w:t xml:space="preserve"> </w:t>
      </w:r>
      <w:r>
        <w:t>x</w:t>
      </w:r>
      <w:r>
        <w:t xml:space="preserve"> </w:t>
      </w:r>
      <w:r>
        <w:t>) thin films are deposited via an inorganic blending strategy. By integrating a luminescent dielectric layer, synergistic charge transfer and photon‐induced secondary excitation endow TeO</w:t>
      </w:r>
      <w:r>
        <w:t xml:space="preserve"> </w:t>
      </w:r>
      <w:r>
        <w:t>x</w:t>
      </w:r>
      <w:r>
        <w:t xml:space="preserve"> </w:t>
      </w:r>
      <w:r>
        <w:t>‐based IR‐visible adaptive sensors (IVAS) with broadband detection and memory capabilities. The IR‐driven modulation of IVAS convolutional weights enables super‐resolution image reconstruction even under suboptimal conditions. This IVAS‐based system achieves a peak signal‐to‐noise ratio of 27.55 dB (compared to 26.85 dB conventionally), a structural similarity index measure of 0.94 (compared to 0.88 conventionally), and a 13.8% reduction in mean absolute error. These findings highlight TeO</w:t>
      </w:r>
      <w:r>
        <w:t xml:space="preserve"> </w:t>
      </w:r>
      <w:r>
        <w:t>x</w:t>
      </w:r>
      <w:r>
        <w:t xml:space="preserve"> </w:t>
      </w:r>
      <w:r>
        <w:t>‐based IVAS as a robust and adaptive solution for IR machine vision systems.</w:t>
      </w:r>
    </w:p>
    <w:p>
      <w:pPr>
        <w:spacing w:before="120" w:after="120"/>
      </w:pPr>
      <w:r>
        <w:rPr>
          <w:sz w:val="18"/>
        </w:rPr>
        <w:t>——————————————————————————————————————————————————————————————————————</w:t>
      </w:r>
    </w:p>
    <w:p>
      <w:pPr>
        <w:spacing w:before="160" w:after="40" w:line="240" w:lineRule="auto"/>
      </w:pPr>
      <w:r>
        <w:rPr>
          <w:b/>
        </w:rPr>
        <w:t xml:space="preserve">[490] </w:t>
      </w:r>
      <w:hyperlink r:id="rId867">
        <w:r>
          <w:rPr>
            <w:color w:val="1155CC"/>
            <w:u w:val="single"/>
          </w:rPr>
          <w:t>以水国条例通过甲苯实现的多元化为基础的固态氮热电</w:t>
        </w:r>
      </w:hyperlink>
    </w:p>
    <w:p>
      <w:pPr>
        <w:spacing w:before="0" w:after="80"/>
      </w:pPr>
      <w:r>
        <w:rPr>
          <w:i/>
          <w:sz w:val="20"/>
        </w:rPr>
        <w:t>EN: Solid‐State N‐Type Ionic Thermoelectric Based on Polyanions Enabled by Water State Regulation via MXenes</w:t>
      </w:r>
    </w:p>
    <w:p>
      <w:pPr>
        <w:spacing w:before="0" w:after="120"/>
      </w:pPr>
      <w:r>
        <w:rPr>
          <w:b/>
        </w:rPr>
        <w:t xml:space="preserve">Source: </w:t>
      </w:r>
      <w:r>
        <w:t>Wiley: Advanced Materials: Table of Contents</w:t>
      </w:r>
      <w:r>
        <w:t xml:space="preserve">    </w:t>
      </w:r>
      <w:r>
        <w:rPr>
          <w:b/>
        </w:rPr>
        <w:t xml:space="preserve">Pub date: </w:t>
      </w:r>
      <w:r>
        <w:t>2026-01-06 10:10:20+00:00</w:t>
      </w:r>
      <w:r>
        <w:t xml:space="preserve">    </w:t>
      </w:r>
      <w:r>
        <w:rPr>
          <w:b/>
        </w:rPr>
        <w:t xml:space="preserve">DOI: </w:t>
      </w:r>
      <w:hyperlink r:id="rId868">
        <w:r>
          <w:rPr>
            <w:color w:val="1155CC"/>
            <w:u w:val="single"/>
          </w:rPr>
          <w:t>10.1002/adma.202517406</w:t>
        </w:r>
      </w:hyperlink>
    </w:p>
    <w:p>
      <w:pPr>
        <w:spacing w:before="0" w:after="120"/>
      </w:pPr>
      <w:r>
        <w:rPr>
          <w:b/>
        </w:rPr>
        <w:t xml:space="preserve">Notes: </w:t>
      </w:r>
      <w:r>
        <w:t>abstract_source=crossref</w:t>
      </w:r>
    </w:p>
    <w:p>
      <w:pPr>
        <w:spacing w:before="0" w:after="80" w:lineRule="auto" w:line="276"/>
      </w:pPr>
      <w:r>
        <w:rPr>
          <w:b/>
        </w:rPr>
        <w:t xml:space="preserve">摘要（ZH）: </w:t>
      </w:r>
      <w:r>
        <w:t>ABSTACT ABSTACT 调整多电子化网络与移动阴离/电离/电离/电离/电弧之间的相互作用,通常用于开发离离热电材料(iTE),具有高离子热能和电导性,然而,n类型多电子化物的开发受到阻碍,因为电离通常显示热光性高于阴离子。在这里,我们通过利用甲基纳米表来调节氢化聚(4-苯乙烯硫酸)(PSSSH)网络的水状况,展示出一种基于多元电离的高性能、固态 n型iTE,并以此为基础,利用甲基纳米表调节水聚聚(4-苯乙烯硫酸)(PSSH)网络的水状况。</w:t>
      </w:r>
    </w:p>
    <w:p>
      <w:pPr>
        <w:spacing w:before="0" w:after="200" w:lineRule="auto" w:line="276"/>
      </w:pPr>
      <w:r>
        <w:rPr>
          <w:b/>
        </w:rPr>
        <w:t xml:space="preserve">Abstract (EN): </w:t>
      </w:r>
      <w:r>
        <w:t>Adjusting interactions between the polyelectrolyte network and mobile anions/cations is commonly used to develop ion thermoelectric (iTE) materials with a high ionic thermopower and ionic conductivity. However, the development of n‐type polyelectrolytes is hindered because cations usually exhibit higher thermophoretic mobility than anions. Here, we demonstrate a high‐performance, solid‐state n‐type iTE based on polyanions by utilizing MXene nanosheets to regulate the water state of the hydrated poly(4‐styrenesulfonic acid) (PSSH) network. MXene nanosheets featured negatively charged surfaces and positively charged edges, which allowed them to facilitate the transformation of bound water to intermediate water and promote the dissociation of protons from PSSH in the PSSH/MXene composite. Intermediate water with a low vaporization enthalpy readily evaporated on the hot side of the PSSH/MXene film, causing water and hydronium ions to flow from the cold side to the hot side. This polyanion‐based iTE film thus achieved a large thermopower of −15.55 mV/K and a high ionic conductivity of 39.03 S/m at a relative humidity of 40%, leading to a high power factor of 9.44 mW/m·K</w:t>
      </w:r>
      <w:r>
        <w:rPr>
          <w:vertAlign w:val="subscript"/>
        </w:rPr>
        <w:t>2</w:t>
      </w:r>
      <w:r>
        <w:t>at 298 K. Due to the high photothermal efficiency of MXene, a fully‐printed flexible device integrated with 30 legs of n‐type PSSH/MXene film in series generated a voltage of up to −1.64 V under 0.1 W/cm</w:t>
      </w:r>
      <w:r>
        <w:rPr>
          <w:vertAlign w:val="subscript"/>
        </w:rPr>
        <w:t>2</w:t>
      </w:r>
      <w:r>
        <w:t>simulated sunlight illumination, demonstrating its potential applications in photo‐thermoelectric devices. Our strategy of water state regulation presents a promising pathway for developing high‐performance n‐type iTE materials.</w:t>
      </w:r>
    </w:p>
    <w:p>
      <w:pPr>
        <w:spacing w:before="120" w:after="120"/>
      </w:pPr>
      <w:r>
        <w:rPr>
          <w:sz w:val="18"/>
        </w:rPr>
        <w:t>——————————————————————————————————————————————————————————————————————</w:t>
      </w:r>
    </w:p>
    <w:p>
      <w:pPr>
        <w:spacing w:before="160" w:after="40" w:line="240" w:lineRule="auto"/>
      </w:pPr>
      <w:r>
        <w:rPr>
          <w:b/>
        </w:rPr>
        <w:t xml:space="preserve">[491] </w:t>
      </w:r>
      <w:hyperlink r:id="rId869">
        <w:r>
          <w:rPr>
            <w:color w:val="1155CC"/>
            <w:u w:val="single"/>
          </w:rPr>
          <w:t>泰纳里Pt3(Co,Mn)1 用于强化减少氧氧反应的杂交金属纳米粒子</w:t>
        </w:r>
      </w:hyperlink>
    </w:p>
    <w:p>
      <w:pPr>
        <w:spacing w:before="0" w:after="80"/>
      </w:pPr>
      <w:r>
        <w:rPr>
          <w:i/>
          <w:sz w:val="20"/>
        </w:rPr>
        <w:t>EN: Tailoring Interfacial Oxygen Vacancy‐Mediated Ordering in Ternary Pt3(Co,Mn)1 Intermetallic Nanoparticles for Enhanced Oxygen Reduction Reaction</w:t>
      </w:r>
    </w:p>
    <w:p>
      <w:pPr>
        <w:spacing w:before="0" w:after="120"/>
      </w:pPr>
      <w:r>
        <w:rPr>
          <w:b/>
        </w:rPr>
        <w:t xml:space="preserve">Source: </w:t>
      </w:r>
      <w:r>
        <w:t>Wiley: Advanced Materials: Table of Contents</w:t>
      </w:r>
      <w:r>
        <w:t xml:space="preserve">    </w:t>
      </w:r>
      <w:r>
        <w:rPr>
          <w:b/>
        </w:rPr>
        <w:t xml:space="preserve">Pub date: </w:t>
      </w:r>
      <w:r>
        <w:t>2026-01-06 10:13:38+00:00</w:t>
      </w:r>
      <w:r>
        <w:t xml:space="preserve">    </w:t>
      </w:r>
      <w:r>
        <w:rPr>
          <w:b/>
        </w:rPr>
        <w:t xml:space="preserve">DOI: </w:t>
      </w:r>
      <w:hyperlink r:id="rId870">
        <w:r>
          <w:rPr>
            <w:color w:val="1155CC"/>
            <w:u w:val="single"/>
          </w:rPr>
          <w:t>10.1002/adma.202521036</w:t>
        </w:r>
      </w:hyperlink>
    </w:p>
    <w:p>
      <w:pPr>
        <w:spacing w:before="0" w:after="120"/>
      </w:pPr>
      <w:r>
        <w:rPr>
          <w:b/>
        </w:rPr>
        <w:t xml:space="preserve">Notes: </w:t>
      </w:r>
      <w:r>
        <w:t>abstract_source=crossref</w:t>
      </w:r>
    </w:p>
    <w:p>
      <w:pPr>
        <w:spacing w:before="0" w:after="80" w:lineRule="auto" w:line="276"/>
      </w:pPr>
      <w:r>
        <w:rPr>
          <w:b/>
        </w:rPr>
        <w:t xml:space="preserve">摘要（ZH）: </w:t>
      </w:r>
      <w:r>
        <w:t>阴极氧减少反应(ORR)的慢动动能和耐久性有限仍然是质子交换膜燃料电池(PEMFCs)广泛部署的主要障碍。 在这里,我们引入了低温间歇工程战略,以制造长性L1 2 corded Pt 3 (Co,Mn) 1 半金属纳米粒子。 Pt 3 Co 1 核心的符合性MNO 壳不仅抑制粒子凝聚,而且进行红氧化活化,以产生引发神经系统紊乱的气泡。</w:t>
      </w:r>
    </w:p>
    <w:p>
      <w:pPr>
        <w:spacing w:before="0" w:after="200" w:lineRule="auto" w:line="276"/>
      </w:pPr>
      <w:r>
        <w:rPr>
          <w:b/>
        </w:rPr>
        <w:t xml:space="preserve">Abstract (EN): </w:t>
      </w:r>
      <w:r>
        <w:t>The sluggish kinetics and limited durability of the oxygen reduction reaction (ORR) at the cathode remain a major barrier to the widespread deployment of proton exchange membrane fuel cells (PEMFCs). Here, we introduce a low‐temperature interfacial engineering strategy to construct ternary L1</w:t>
      </w:r>
      <w:r>
        <w:rPr>
          <w:vertAlign w:val="subscript"/>
        </w:rPr>
        <w:t>2</w:t>
      </w:r>
      <w:r>
        <w:t>‐ordered Pt</w:t>
      </w:r>
      <w:r>
        <w:rPr>
          <w:vertAlign w:val="subscript"/>
        </w:rPr>
        <w:t>3</w:t>
      </w:r>
      <w:r>
        <w:t>(Co,Mn)</w:t>
      </w:r>
      <w:r>
        <w:rPr>
          <w:vertAlign w:val="subscript"/>
        </w:rPr>
        <w:t>1</w:t>
      </w:r>
      <w:r>
        <w:t>intermetallic nanoparticles. A conformal MnO shell on Pt</w:t>
      </w:r>
      <w:r>
        <w:rPr>
          <w:vertAlign w:val="subscript"/>
        </w:rPr>
        <w:t>3</w:t>
      </w:r>
      <w:r>
        <w:t>Co</w:t>
      </w:r>
      <w:r>
        <w:rPr>
          <w:vertAlign w:val="subscript"/>
        </w:rPr>
        <w:t>1</w:t>
      </w:r>
      <w:r>
        <w:t>cores not only suppresses particle coalescence but also undergoes redox activation to generate interfacial oxygen vacancies that initiate the disorder‐to‐order transition. During thermal activation, these vacancies mediate Co–Mn atomic exchange across the core@shell interface, forming interfacial Co–O and intralattice Pt–Mn bonds that cooperatively stabilize the ordered framework. This oxygen‐vacancy‐driven interfacial evolution reconfigures the Pt electronic structure, downshifting the d‐band center, enriching electron density at Pt active sites, and optimizing oxygen‐intermediate adsorption. The resulting catalyst exhibits high intrinsic ORR activity and outstanding durability over extended accelerated cycling. When implemented into practical membrane‐electrode assemblies, it surpasses the U.S. Department of Energy (DOE) 2025 PEMFC benchmarks for both rated power density and durability, demonstrating its promise for real‐world fuel cell applications. More broadly, this work establishes redox‐active, confinement‐mediated interfacial engineering as a general paradigm for directing atomic ordering and electronic structure in complex multimetallic electrocatalysts.</w:t>
      </w:r>
    </w:p>
    <w:p>
      <w:pPr>
        <w:spacing w:before="120" w:after="120"/>
      </w:pPr>
      <w:r>
        <w:rPr>
          <w:sz w:val="18"/>
        </w:rPr>
        <w:t>——————————————————————————————————————————————————————————————————————</w:t>
      </w:r>
    </w:p>
    <w:p>
      <w:pPr>
        <w:spacing w:before="160" w:after="40" w:line="240" w:lineRule="auto"/>
      </w:pPr>
      <w:r>
        <w:rPr>
          <w:b/>
        </w:rPr>
        <w:t xml:space="preserve">[492] </w:t>
      </w:r>
      <w:hyperlink r:id="rId871">
        <w:r>
          <w:rPr>
            <w:color w:val="1155CC"/>
            <w:u w:val="single"/>
          </w:rPr>
          <w:t>改为“通过氧化液溶解对活细胞中硫磷脂甲醚进行定向检测”</w:t>
        </w:r>
      </w:hyperlink>
    </w:p>
    <w:p>
      <w:pPr>
        <w:spacing w:before="0" w:after="80"/>
      </w:pPr>
      <w:r>
        <w:rPr>
          <w:i/>
          <w:sz w:val="20"/>
        </w:rPr>
        <w:t>EN: Correction to “Targeted Detection of Phospholipid Aldehydes in Living Cells by Oxime Ligation”</w:t>
      </w:r>
    </w:p>
    <w:p>
      <w:pPr>
        <w:spacing w:before="0" w:after="120"/>
      </w:pPr>
      <w:r>
        <w:rPr>
          <w:b/>
        </w:rPr>
        <w:t xml:space="preserve">Source: </w:t>
      </w:r>
      <w:r>
        <w:t>Wiley: Angewandte Chemie International Edition: Table of Contents</w:t>
      </w:r>
      <w:r>
        <w:t xml:space="preserve">    </w:t>
      </w:r>
      <w:r>
        <w:rPr>
          <w:b/>
        </w:rPr>
        <w:t xml:space="preserve">Pub date: </w:t>
      </w:r>
      <w:r>
        <w:t>2026-01-06 11:28:40+00:00</w:t>
      </w:r>
      <w:r>
        <w:t xml:space="preserve">    </w:t>
      </w:r>
      <w:r>
        <w:rPr>
          <w:b/>
        </w:rPr>
        <w:t xml:space="preserve">DOI: </w:t>
      </w:r>
      <w:hyperlink r:id="rId872">
        <w:r>
          <w:rPr>
            <w:color w:val="1155CC"/>
            <w:u w:val="single"/>
          </w:rPr>
          <w:t>10.1002/anie.8150745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[493] </w:t>
      </w:r>
      <w:hyperlink r:id="rId873">
        <w:r>
          <w:rPr>
            <w:color w:val="1155CC"/>
            <w:u w:val="single"/>
          </w:rPr>
          <w:t>[ASAP] 磷酸盐基酶可采用比其原生国更稳定的地形失实的混合形式。</w:t>
        </w:r>
      </w:hyperlink>
    </w:p>
    <w:p>
      <w:pPr>
        <w:spacing w:before="0" w:after="80"/>
      </w:pPr>
      <w:r>
        <w:rPr>
          <w:i/>
          <w:sz w:val="20"/>
        </w:rPr>
        <w:t>EN: [ASAP] Phosphoglycerate Kinase Can Adopt Topologically Misfolded Forms That Are More Stable Than Its Native State</w:t>
      </w:r>
    </w:p>
    <w:p>
      <w:pPr>
        <w:spacing w:before="0" w:after="120"/>
      </w:pPr>
      <w:r>
        <w:rPr>
          <w:b/>
        </w:rPr>
        <w:t xml:space="preserve">Source: </w:t>
      </w:r>
      <w:r>
        <w:t>Journal of the American Chemical Society: Latest Articles (ACS Publications)</w:t>
      </w:r>
      <w:r>
        <w:t xml:space="preserve">    </w:t>
      </w:r>
      <w:r>
        <w:rPr>
          <w:b/>
        </w:rPr>
        <w:t xml:space="preserve">Pub date: </w:t>
      </w:r>
      <w:r>
        <w:t>2026-01-06 12:13:39+00:00</w:t>
      </w:r>
      <w:r>
        <w:t xml:space="preserve">    </w:t>
      </w:r>
      <w:r>
        <w:rPr>
          <w:b/>
        </w:rPr>
        <w:t xml:space="preserve">DOI: </w:t>
      </w:r>
      <w:hyperlink r:id="rId874">
        <w:r>
          <w:rPr>
            <w:color w:val="1155CC"/>
            <w:u w:val="single"/>
          </w:rPr>
          <w:t>10.1021/jacs.5c20740</w:t>
        </w:r>
      </w:hyperlink>
    </w:p>
    <w:p>
      <w:pPr>
        <w:spacing w:before="0" w:after="120"/>
      </w:pPr>
      <w:r>
        <w:rPr>
          <w:b/>
        </w:rPr>
        <w:t xml:space="preserve">Notes: </w:t>
      </w:r>
      <w:r>
        <w:t>abstract_source=pubmed</w:t>
      </w:r>
    </w:p>
    <w:p>
      <w:pPr>
        <w:spacing w:before="0" w:after="80" w:lineRule="auto" w:line="276"/>
      </w:pPr>
      <w:r>
        <w:rPr>
          <w:b/>
        </w:rPr>
        <w:t xml:space="preserve">摘要（ZH）: </w:t>
      </w:r>
      <w:r>
        <w:t>本地的球质蛋白质状态通常被视为各自蛋白可溶解的自由能源景观上最稳定的相容物。 这种被称为热动力假设的观点解释了为什么许多蛋白质在变色后可以反转。 我们在此报告一个令人感兴趣的反推实例。 当 E. coli 磷酸盐( PGK) 被允许在不饱和的稀释后进行翻转, 而不是返回其原状时, 它会散布一种不寻常的错误化成型, 一种单一的和本地相似的, 但它比原状更具有运动稳定性, 因为它对热力和感化作用引发的变异性变异性。 此外, 这种变异的形态即使在几天内也无法自我修正。 我们显示关键的结构特征是单一的, 并且比原状更加稳定, 因为它对热力和感官作用引发的变异性变。 此外, 这种变形无法自我修正, 甚至数日内都无法自我修正。</w:t>
      </w:r>
    </w:p>
    <w:p>
      <w:pPr>
        <w:spacing w:before="0" w:after="200" w:lineRule="auto" w:line="276"/>
      </w:pPr>
      <w:r>
        <w:rPr>
          <w:b/>
        </w:rPr>
        <w:t xml:space="preserve">Abstract (EN): </w:t>
      </w:r>
      <w:r>
        <w:t>The native states of globular proteins are typically viewed as being the most stable conformations on their respective proteins' soluble free energy landscapes. This view, known as the thermodynamic hypothesis, explains why many proteins can reversibly refold after being denatured. Here we report an intriguing counterexample to this paradigm. When E. coli phosphoglycerate kinase (PGK) is allowed to refold upon dilution from denaturant, instead of returning to its native state, it populates an unusual misfolded form that is monomeric and native-like, but which is even more kinetically stable than its native form, as based on its resistance to thermal and detergent-induced denaturation. Moreover, this misfolded form cannot self-correct, even for days. We show that the key structural feature of this misfolded form of PGK is topological in nature by demonstrating that kinetically stable misfolded forms do not form any longer if PGK is circularized, which prevents its termini from threading through other portions of the protein. Our findings demonstrate that a misfolded protein need not aggregate or form an amyloid to become stabilized with respect to the native state, and call attention to topologically misfolded proteins as a potential Achilles heel to the cellular proteostasis network.</w:t>
      </w:r>
    </w:p>
    <w:p>
      <w:pPr>
        <w:spacing w:before="120" w:after="120"/>
      </w:pPr>
      <w:r>
        <w:rPr>
          <w:sz w:val="18"/>
        </w:rPr>
        <w:t>——————————————————————————————————————————————————————————————————————</w:t>
      </w:r>
    </w:p>
    <w:p>
      <w:pPr>
        <w:spacing w:before="160" w:after="40" w:line="240" w:lineRule="auto"/>
      </w:pPr>
      <w:r>
        <w:rPr>
          <w:b/>
        </w:rPr>
        <w:t xml:space="preserve">[494] </w:t>
      </w:r>
      <w:hyperlink r:id="rId875">
        <w:r>
          <w:rPr>
            <w:color w:val="1155CC"/>
            <w:u w:val="single"/>
          </w:rPr>
          <w:t>[ASAP] 定型选择性常规化,以取代因埋积量而促成的多组奇拉尔酸</w:t>
        </w:r>
      </w:hyperlink>
    </w:p>
    <w:p>
      <w:pPr>
        <w:spacing w:before="0" w:after="80"/>
      </w:pPr>
      <w:r>
        <w:rPr>
          <w:i/>
          <w:sz w:val="20"/>
        </w:rPr>
        <w:t>EN: [ASAP] Stereoselective Generalizations over Diverse Sets of Chiral Acids Enabled by Buried Volume</w:t>
      </w:r>
    </w:p>
    <w:p>
      <w:pPr>
        <w:spacing w:before="0" w:after="120"/>
      </w:pPr>
      <w:r>
        <w:rPr>
          <w:b/>
        </w:rPr>
        <w:t xml:space="preserve">Source: </w:t>
      </w:r>
      <w:r>
        <w:t>Journal of the American Chemical Society: Latest Articles (ACS Publications)</w:t>
      </w:r>
      <w:r>
        <w:t xml:space="preserve">    </w:t>
      </w:r>
      <w:r>
        <w:rPr>
          <w:b/>
        </w:rPr>
        <w:t xml:space="preserve">Pub date: </w:t>
      </w:r>
      <w:r>
        <w:t>2026-01-06 13:00:49+00:00</w:t>
      </w:r>
      <w:r>
        <w:t xml:space="preserve">    </w:t>
      </w:r>
      <w:r>
        <w:rPr>
          <w:b/>
        </w:rPr>
        <w:t xml:space="preserve">DOI: </w:t>
      </w:r>
      <w:hyperlink r:id="rId876">
        <w:r>
          <w:rPr>
            <w:color w:val="1155CC"/>
            <w:u w:val="single"/>
          </w:rPr>
          <w:t>10.1021/jacs.5c20342</w:t>
        </w:r>
      </w:hyperlink>
    </w:p>
    <w:p>
      <w:pPr>
        <w:spacing w:before="0" w:after="120"/>
      </w:pPr>
      <w:r>
        <w:rPr>
          <w:b/>
        </w:rPr>
        <w:t xml:space="preserve">Notes: </w:t>
      </w:r>
      <w:r>
        <w:t>abstract_source=pubmed</w:t>
      </w:r>
    </w:p>
    <w:p>
      <w:pPr>
        <w:spacing w:before="0" w:after="80" w:lineRule="auto" w:line="276"/>
      </w:pPr>
      <w:r>
        <w:rPr>
          <w:b/>
        </w:rPr>
        <w:t xml:space="preserve">摘要（ZH）: </w:t>
      </w:r>
      <w:r>
        <w:t>立体选择性化学催化是复杂的范例,通过一系列具体但微弱的非共性互动,实现非对称诱导。 因此,结构-活动关系模拟立体选择性需要言语表达、高维度和(或)大型数据集,以提供生产趋势,妨碍其随后的可解释性和实用性。 我们在此报告,活跃的基于现场的埋藏量是布伦斯特酸性有机体分析家建造立体选择性模型的独特优势描述。 通过对近200个不同催化剂的50+数据集进行统计分析,我们认识到,基于现场的活性掩埋量是一种例外的代表性,既包含广泛的结构多样性(数据本身),也包含广泛的结构多样性(数据本身)。</w:t>
      </w:r>
    </w:p>
    <w:p>
      <w:pPr>
        <w:spacing w:before="0" w:after="200" w:lineRule="auto" w:line="276"/>
      </w:pPr>
      <w:r>
        <w:rPr>
          <w:b/>
        </w:rPr>
        <w:t xml:space="preserve">Abstract (EN): </w:t>
      </w:r>
      <w:r>
        <w:t>Stereoselective catalysis is a paradigm of complexity, navigating arrays of specific, yet weak, noncovalent interactions to achieve asymmetric induction. Accordingly, structure-activity relationships modeling stereoselectivity have required bespoke representations, high dimensionality, and/or large data sets to furnish productive trends, hampering their subsequent interpretability and utility. Here, we report that active site-based buried volume is a uniquely advantageous descriptor for the construction of models to stereoselectivity by Brønsted acid organocatalysts. Through statistical analyses of 50+ data sets across nearly 200 distinct catalysts, we realize active site-based buried volume is an exceptional representation, accommodating both extensive structural diversity (within data sets) and functional diversity (across data sets). We show that the descriptor's value likely relates to its surprising capacity to generalize beyond simple steric interactions and account for diverse stereoelectronic effects consequential to reported stereoselectivity. As such, we anticipate future modeling of stereoselectivity by Brønsted acid is greatly simplified via the concise representation, active site-based buried volume.</w:t>
      </w:r>
    </w:p>
    <w:p>
      <w:pPr>
        <w:spacing w:before="120" w:after="120"/>
      </w:pPr>
      <w:r>
        <w:rPr>
          <w:sz w:val="18"/>
        </w:rPr>
        <w:t>——————————————————————————————————————————————————————————————————————</w:t>
      </w:r>
    </w:p>
    <w:p>
      <w:pPr>
        <w:spacing w:before="160" w:after="40" w:line="240" w:lineRule="auto"/>
      </w:pPr>
      <w:r>
        <w:rPr>
          <w:b/>
        </w:rPr>
        <w:t xml:space="preserve">[495] </w:t>
      </w:r>
      <w:hyperlink r:id="rId877">
        <w:r>
          <w:rPr>
            <w:color w:val="1155CC"/>
            <w:u w:val="single"/>
          </w:rPr>
          <w:t>[ASAP]在Ru-Doped Mn3O4上用电化学形成一个MNO2 Nanofield,用于超常酸氧气进化催化</w:t>
        </w:r>
      </w:hyperlink>
    </w:p>
    <w:p>
      <w:pPr>
        <w:spacing w:before="0" w:after="80"/>
      </w:pPr>
      <w:r>
        <w:rPr>
          <w:i/>
          <w:sz w:val="20"/>
        </w:rPr>
        <w:t>EN: [ASAP] Electrochemical Formation of a MnO2 Nanoshield on Ru-Doped Mn3O4 for Ultrastable Acidic Oxygen Evolution Catalysis</w:t>
      </w:r>
    </w:p>
    <w:p>
      <w:pPr>
        <w:spacing w:before="0" w:after="120"/>
      </w:pPr>
      <w:r>
        <w:rPr>
          <w:b/>
        </w:rPr>
        <w:t xml:space="preserve">Source: </w:t>
      </w:r>
      <w:r>
        <w:t>Journal of the American Chemical Society: Latest Articles (ACS Publications)</w:t>
      </w:r>
      <w:r>
        <w:t xml:space="preserve">    </w:t>
      </w:r>
      <w:r>
        <w:rPr>
          <w:b/>
        </w:rPr>
        <w:t xml:space="preserve">Pub date: </w:t>
      </w:r>
      <w:r>
        <w:t>2026-01-06 13:16:23+00:00</w:t>
      </w:r>
      <w:r>
        <w:t xml:space="preserve">    </w:t>
      </w:r>
      <w:r>
        <w:rPr>
          <w:b/>
        </w:rPr>
        <w:t xml:space="preserve">DOI: </w:t>
      </w:r>
      <w:hyperlink r:id="rId878">
        <w:r>
          <w:rPr>
            <w:color w:val="1155CC"/>
            <w:u w:val="single"/>
          </w:rPr>
          <w:t>10.1021/jacs.5c18952</w:t>
        </w:r>
      </w:hyperlink>
    </w:p>
    <w:p>
      <w:pPr>
        <w:spacing w:before="0" w:after="120"/>
      </w:pPr>
      <w:r>
        <w:rPr>
          <w:b/>
        </w:rPr>
        <w:t xml:space="preserve">Notes: </w:t>
      </w:r>
      <w:r>
        <w:t>abstract_source=pubmed</w:t>
      </w:r>
    </w:p>
    <w:p>
      <w:pPr>
        <w:spacing w:before="0" w:after="80" w:lineRule="auto" w:line="276"/>
      </w:pPr>
      <w:r>
        <w:rPr>
          <w:b/>
        </w:rPr>
        <w:t xml:space="preserve">摘要（ZH）: </w:t>
      </w:r>
      <w:r>
        <w:t>质子交换膜(PEM)水电解是大规模氢生产的一项有希望的战略;然而,由于酸化环境中缺乏高度活跃和耐久的氧进化反应催化剂,其工业可行性受到阻碍。基于鲁氏催化剂的内在活性很高,但容易溶解和结构降解。为解决这一问题,本研究提出了电导“Nanoshield”战略。鲁单原子倾弃Mn3O4(Ru-Mn3O4)催化剂使得催化剂表面结构的原地自发重建成为可能。在一个电场下,Mn3O4晶体会发生层间滑动和极化旋转,从而导致催化剂表面多孔的MnO2纳米盾的生长,从而有效抑制了溶解。</w:t>
      </w:r>
    </w:p>
    <w:p>
      <w:pPr>
        <w:spacing w:before="0" w:after="200" w:lineRule="auto" w:line="276"/>
      </w:pPr>
      <w:r>
        <w:rPr>
          <w:b/>
        </w:rPr>
        <w:t xml:space="preserve">Abstract (EN): </w:t>
      </w:r>
      <w:r>
        <w:t>Proton exchange membrane (PEM) water electrolysis is a promising strategy for large-scale hydrogen production; however, its industrial feasibility is hampered by the lack of highly active and durable oxygen evolution reaction (OER) catalysts in acidic environments. Ru-based catalysts offer high intrinsic activity but are susceptible to dissolution and structural degradation. To address this, this study proposes an electrically induced "nanoshield" strategy. A Ru single atom-doped Mn3O4 (Ru-Mn3O4) catalyst enables the in situ spontaneous reconstruction of the catalyst surface structure. Under an electric field, Mn3O4 crystals undergo interlayer slip and polarization rotation, inducing the growth of a porous MnO2 nanoshield on the catalyst surface, that effectively inhibits the dissolution of Ru active sites without compromising reaction activity. The catalyst exhibits excellent OER performance, delivering 10 mA cmgeo-2 at an overpotential of only 176 mV in 0.5 M H2SO4, and remains stable for over a year (8800 h) at a current density of 50 mA cmgeo-2. The PEM electrolyzer based on Ru-Mn3O4 shows a decay rate of 0.15 mV h-1 at 1000 mA cmgeo-2 and only 0.06 mV h-1 at 500 mA cmgeo-2, outperforming commercial RuO2. This study provides a new path for the construction of high-performance acidic OER catalysts and demonstrates the great potential of the nanoshield strategy in electrocatalytic structural protection.</w:t>
      </w:r>
    </w:p>
    <w:p>
      <w:pPr>
        <w:spacing w:before="120" w:after="120"/>
      </w:pPr>
      <w:r>
        <w:rPr>
          <w:sz w:val="18"/>
        </w:rPr>
        <w:t>——————————————————————————————————————————————————————————————————————</w:t>
      </w:r>
    </w:p>
    <w:p>
      <w:pPr>
        <w:spacing w:before="160" w:after="40" w:line="240" w:lineRule="auto"/>
      </w:pPr>
      <w:r>
        <w:rPr>
          <w:b/>
        </w:rPr>
        <w:t xml:space="preserve">[496] </w:t>
      </w:r>
      <w:hyperlink r:id="rId879">
        <w:r>
          <w:rPr>
            <w:color w:val="1155CC"/>
            <w:u w:val="single"/>
          </w:rPr>
          <w:t>[ASAP]更正为“代号为Perovskite太阳能电池的奥利戈默斯分子设计:对晶化和载体动力学的促进协同控制”</w:t>
        </w:r>
      </w:hyperlink>
    </w:p>
    <w:p>
      <w:pPr>
        <w:spacing w:before="0" w:after="80"/>
      </w:pPr>
      <w:r>
        <w:rPr>
          <w:i/>
          <w:sz w:val="20"/>
        </w:rPr>
        <w:t>EN: [ASAP] Correction to “Molecular Design of Oligomers for Codeposited Perovskite Solar Cells: Enabling Synergistic Control of Crystallization and Carrier Dynamics”</w:t>
      </w:r>
    </w:p>
    <w:p>
      <w:pPr>
        <w:spacing w:before="0" w:after="120"/>
      </w:pPr>
      <w:r>
        <w:rPr>
          <w:b/>
        </w:rPr>
        <w:t xml:space="preserve">Source: </w:t>
      </w:r>
      <w:r>
        <w:t>ACS Energy Letters: Latest Articles (ACS Publications)</w:t>
      </w:r>
      <w:r>
        <w:t xml:space="preserve">    </w:t>
      </w:r>
      <w:r>
        <w:rPr>
          <w:b/>
        </w:rPr>
        <w:t xml:space="preserve">Pub date: </w:t>
      </w:r>
      <w:r>
        <w:t>2026-01-06 13:27:00+00:00</w:t>
      </w:r>
      <w:r>
        <w:t xml:space="preserve">    </w:t>
      </w:r>
      <w:r>
        <w:rPr>
          <w:b/>
        </w:rPr>
        <w:t xml:space="preserve">DOI: </w:t>
      </w:r>
      <w:hyperlink r:id="rId880">
        <w:r>
          <w:rPr>
            <w:color w:val="1155CC"/>
            <w:u w:val="single"/>
          </w:rPr>
          <w:t>10.1021/acsenergylett.5c04167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[497] </w:t>
      </w:r>
      <w:hyperlink r:id="rId881">
        <w:r>
          <w:rPr>
            <w:color w:val="1155CC"/>
            <w:u w:val="single"/>
          </w:rPr>
          <w:t>[ASAP]使用帕拉磁和生物核磁核磁共振共振光谱的模型氢酶的相互校正蛋泰因动力动力学和催化活动</w:t>
        </w:r>
      </w:hyperlink>
    </w:p>
    <w:p>
      <w:pPr>
        <w:spacing w:before="0" w:after="80"/>
      </w:pPr>
      <w:r>
        <w:rPr>
          <w:i/>
          <w:sz w:val="20"/>
        </w:rPr>
        <w:t>EN: [ASAP] Correlating Protein Dynamics and Catalytic Activity of a Model Hydrogenase Using Paramagnetic and Biological Nuclear Magnetic Resonance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2026-01-06 14:13:01+00:00</w:t>
      </w:r>
      <w:r>
        <w:t xml:space="preserve">    </w:t>
      </w:r>
      <w:r>
        <w:rPr>
          <w:b/>
        </w:rPr>
        <w:t xml:space="preserve">DOI: </w:t>
      </w:r>
      <w:hyperlink r:id="rId882">
        <w:r>
          <w:rPr>
            <w:color w:val="1155CC"/>
            <w:u w:val="single"/>
          </w:rPr>
          <w:t>10.1021/jacs.5c15958</w:t>
        </w:r>
      </w:hyperlink>
    </w:p>
    <w:p>
      <w:pPr>
        <w:spacing w:before="0" w:after="120"/>
      </w:pPr>
      <w:r>
        <w:rPr>
          <w:b/>
        </w:rPr>
        <w:t xml:space="preserve">Notes: </w:t>
      </w:r>
      <w:r>
        <w:t>abstract_source=pubmed</w:t>
      </w:r>
    </w:p>
    <w:p>
      <w:pPr>
        <w:spacing w:before="0" w:after="80" w:lineRule="auto" w:line="276"/>
      </w:pPr>
      <w:r>
        <w:rPr>
          <w:b/>
        </w:rPr>
        <w:t xml:space="preserve">摘要（ZH）: </w:t>
      </w:r>
      <w:r>
        <w:t>理性催化剂设计仍然是一项重大挑战,因为已知电子结构、静电和静电效应有助于活动,最近,动态被认为是影响催化的另一个因素,尽管查明和预测这些效应仍然遥不可及,但已认识到动态是影响催化的另一个因素,镍代代用润滑毒素(NiRd),一种以蛋白为基础的氢酶酶仿冒物,作为一种示范催化系统,可以对活动动态进行系统调查。虽然Nird的30多个次基因变异体已证明具有催化作用,但没有发现这些变异体的速率与催化超潜能或电子结构之间存在重大关联,从而引发了对调节活动的蛋白衍生因素的疑问。</w:t>
      </w:r>
    </w:p>
    <w:p>
      <w:pPr>
        <w:spacing w:before="0" w:after="200" w:lineRule="auto" w:line="276"/>
      </w:pPr>
      <w:r>
        <w:rPr>
          <w:b/>
        </w:rPr>
        <w:t xml:space="preserve">Abstract (EN): </w:t>
      </w:r>
      <w:r>
        <w:t>Rational catalyst design remains a significant challenge, with electronic structure, steric, and electrostatic effects known to contribute to activity. Recently, dynamics has been recognized as another factor that impacts catalysis, though identifying and predicting these effects have remained out of reach. Nickel-substituted rubredoxin (NiRd), a protein-based mimic of a hydrogenase enzyme, serves as a model catalytic system in which dynamics can be systematically investigated with respect to activity. While over 30 secondary-sphere mutants of NiRd have been shown to be catalytically active, no significant correlation has been observed between the rates and catalytic overpotential or electronic structure, prompting questions about the protein-derived factors that modulate activity. In this work, NMR spectroscopy was used to investigate the roles of substrate accessibility, protein dynamics, and protein stability in controlling catalysis. Significant paramagnetic effects from the nickel center (S = 1) isolate the methylene proton resonances of the metal-coordinating cysteine residues. The sensitivity of resonance positions and line widths to local environment offers an opportunity to study dynamic molecular changes around the metal center with high resolution. Machine learning algorithms were employed to identify correlations between the catalytic activity and the paramagnetic NMR spectra. These analyses revealed spectroscopic features of specific cysteine protons that report on catalytic overpotential and increased turnover rates, which are further supported by the results obtained using high-field NMR techniques. Collectively, these studies indicate the potential for multifrequency NMR techniques to resolve key contributors to catalytic activity and highlight the importance of local and outer-sphere dynamics.</w:t>
      </w:r>
    </w:p>
    <w:p>
      <w:pPr>
        <w:spacing w:before="120" w:after="120"/>
      </w:pPr>
      <w:r>
        <w:rPr>
          <w:sz w:val="18"/>
        </w:rPr>
        <w:t>——————————————————————————————————————————————————————————————————————</w:t>
      </w:r>
    </w:p>
    <w:p>
      <w:pPr>
        <w:spacing w:before="160" w:after="40" w:line="240" w:lineRule="auto"/>
      </w:pPr>
      <w:r>
        <w:rPr>
          <w:b/>
        </w:rPr>
        <w:t xml:space="preserve">[498] </w:t>
      </w:r>
      <w:hyperlink r:id="rId883">
        <w:r>
          <w:rPr>
            <w:color w:val="1155CC"/>
            <w:u w:val="single"/>
          </w:rPr>
          <w:t>[ASAP]热驱动的固态阶段一交换,用于从热柱-壳到合金纳米结构的西图过渡</w:t>
        </w:r>
      </w:hyperlink>
    </w:p>
    <w:p>
      <w:pPr>
        <w:spacing w:before="0" w:after="80"/>
      </w:pPr>
      <w:r>
        <w:rPr>
          <w:i/>
          <w:sz w:val="20"/>
        </w:rPr>
        <w:t>EN: [ASAP] Thermally Driven Solid-Phase Ion Exchange for In Situ Transition from Heterocore–Shell to Alloy Nanostructures</w:t>
      </w:r>
    </w:p>
    <w:p>
      <w:pPr>
        <w:spacing w:before="0" w:after="120"/>
      </w:pPr>
      <w:r>
        <w:rPr>
          <w:b/>
        </w:rPr>
        <w:t xml:space="preserve">Source: </w:t>
      </w:r>
      <w:r>
        <w:t>Journal of the American Chemical Society: Latest Articles (ACS Publications)</w:t>
      </w:r>
      <w:r>
        <w:t xml:space="preserve">    </w:t>
      </w:r>
      <w:r>
        <w:rPr>
          <w:b/>
        </w:rPr>
        <w:t xml:space="preserve">Pub date: </w:t>
      </w:r>
      <w:r>
        <w:t>2026-01-06 14:13:50+00:00</w:t>
      </w:r>
      <w:r>
        <w:t xml:space="preserve">    </w:t>
      </w:r>
      <w:r>
        <w:rPr>
          <w:b/>
        </w:rPr>
        <w:t xml:space="preserve">DOI: </w:t>
      </w:r>
      <w:hyperlink r:id="rId884">
        <w:r>
          <w:rPr>
            <w:color w:val="1155CC"/>
            <w:u w:val="single"/>
          </w:rPr>
          <w:t>10.1021/jacs.5c17945</w:t>
        </w:r>
      </w:hyperlink>
    </w:p>
    <w:p>
      <w:pPr>
        <w:spacing w:before="0" w:after="120"/>
      </w:pPr>
      <w:r>
        <w:rPr>
          <w:b/>
        </w:rPr>
        <w:t xml:space="preserve">Notes: </w:t>
      </w:r>
      <w:r>
        <w:t>abstract_source=pubmed</w:t>
      </w:r>
    </w:p>
    <w:p>
      <w:pPr>
        <w:spacing w:before="0" w:after="80" w:lineRule="auto" w:line="276"/>
      </w:pPr>
      <w:r>
        <w:rPr>
          <w:b/>
        </w:rPr>
        <w:t xml:space="preserve">摘要（ZH）: </w:t>
      </w:r>
      <w:r>
        <w:t>合理设计和精确控制离子交换反应是制造多元素纳米结构的基本先决条件,这些结构在纳米光电、半导体装置、光催化和电池等新兴应用中具有定制功能。在离子交换过程中,通过调节热力参数,包括温度、离子物种和离子体等,成功地合成了各种纳米结构。然而,在直接解决原子规模空间调整机制方面仍然存在重大差距,这就需要对动态离子交换行为和相关的微结构演变进行系统调查。我们利用现场电子显微镜在 heterrocore-shell n 中解析固态离子迁移路径。</w:t>
      </w:r>
    </w:p>
    <w:p>
      <w:pPr>
        <w:spacing w:before="0" w:after="200" w:lineRule="auto" w:line="276"/>
      </w:pPr>
      <w:r>
        <w:rPr>
          <w:b/>
        </w:rPr>
        <w:t xml:space="preserve">Abstract (EN): </w:t>
      </w:r>
      <w:r>
        <w:t>Rational design and precise control of ion exchange reactions constitute fundamental prerequisites for fabricating multielement nanostructures with tailored functionalities in emerging applications spanning nanophotonics, semiconductor devices, photocatalysis, and batteries. A variety of nanostructures have been successfully synthesized by regulating thermodynamic parameters, including temperature, ionic species, and ligands, during ion exchange processes. However, critical gaps persist in directly resolving the atomic-scale spatial rearrangement mechanism, which necessitates systematic investigation of dynamic ion exchange behavior and the correlated microstructure evolution. Herein, we employ in situ electron microscopy to decipher solid-state ion migration pathways in heterocore-shell nanowire systems, quantitatively analyzing formation processes and reaction kinetics under a uniform thermal field. Our findings demonstrate that thermal activation promotes Ag ion diffusion along TeXSey@Se core-shell NWs and the bulk diffusion of Te, enabling the formation of homogeneous Ag2SexTe1-x alloys through intracrystalline reorganization, differing from electron beam irradiation, which induces surface-dominated Ag ion diffusion, yielding dual-core-shell architectures. Phase-field simulations unambiguously reconstruct these divergent transport pathways and structural transformations. Besides, with a sufficient Ag supply, up to 5.5 mm migration distance can be achieved, resulting in a centimeter-scale nanofilm. This mechanistic understanding of solid-state ion kinetics and phase transition dynamics establishes a paradigm for intentional interconversion between multiphase heterostructures and monophasic systems, providing a design framework for next-generation functional nanomaterials.</w:t>
      </w:r>
    </w:p>
    <w:p>
      <w:pPr>
        <w:spacing w:before="120" w:after="120"/>
      </w:pPr>
      <w:r>
        <w:rPr>
          <w:sz w:val="18"/>
        </w:rPr>
        <w:t>——————————————————————————————————————————————————————————————————————</w:t>
      </w:r>
    </w:p>
    <w:p>
      <w:pPr>
        <w:spacing w:before="160" w:after="40" w:line="240" w:lineRule="auto"/>
      </w:pPr>
      <w:r>
        <w:rPr>
          <w:b/>
        </w:rPr>
        <w:t xml:space="preserve">[499] </w:t>
      </w:r>
      <w:hyperlink r:id="rId885">
        <w:r>
          <w:rPr>
            <w:color w:val="1155CC"/>
            <w:u w:val="single"/>
          </w:rPr>
          <w:t>[ASAP]通过双量一致性电流回旋共振方法检测在一种内在紊乱的蛋白质中突变-诱导的畸形变化</w:t>
        </w:r>
      </w:hyperlink>
    </w:p>
    <w:p>
      <w:pPr>
        <w:spacing w:before="0" w:after="80"/>
      </w:pPr>
      <w:r>
        <w:rPr>
          <w:i/>
          <w:sz w:val="20"/>
        </w:rPr>
        <w:t>EN: [ASAP] Detection of Mutation-Induced Conformational Changes in an Intrinsically Disordered Protein by Double Quantum Coherence Electron Spin Resonance Methodology</w:t>
      </w:r>
    </w:p>
    <w:p>
      <w:pPr>
        <w:spacing w:before="0" w:after="120"/>
      </w:pPr>
      <w:r>
        <w:rPr>
          <w:b/>
        </w:rPr>
        <w:t xml:space="preserve">Source: </w:t>
      </w:r>
      <w:r>
        <w:t>Journal of the American Chemical Society: Latest Articles (ACS Publications)</w:t>
      </w:r>
      <w:r>
        <w:t xml:space="preserve">    </w:t>
      </w:r>
      <w:r>
        <w:rPr>
          <w:b/>
        </w:rPr>
        <w:t xml:space="preserve">Pub date: </w:t>
      </w:r>
      <w:r>
        <w:t>2026-01-06 14:33:46+00:00</w:t>
      </w:r>
      <w:r>
        <w:t xml:space="preserve">    </w:t>
      </w:r>
      <w:r>
        <w:rPr>
          <w:b/>
        </w:rPr>
        <w:t xml:space="preserve">DOI: </w:t>
      </w:r>
      <w:hyperlink r:id="rId886">
        <w:r>
          <w:rPr>
            <w:color w:val="1155CC"/>
            <w:u w:val="single"/>
          </w:rPr>
          <w:t>10.1021/jacs.5c16298</w:t>
        </w:r>
      </w:hyperlink>
    </w:p>
    <w:p>
      <w:pPr>
        <w:spacing w:before="0" w:after="120"/>
      </w:pPr>
      <w:r>
        <w:rPr>
          <w:b/>
        </w:rPr>
        <w:t xml:space="preserve">Notes: </w:t>
      </w:r>
      <w:r>
        <w:t>abstract_source=pubmed</w:t>
      </w:r>
    </w:p>
    <w:p>
      <w:pPr>
        <w:spacing w:before="0" w:after="80" w:lineRule="auto" w:line="276"/>
      </w:pPr>
      <w:r>
        <w:rPr>
          <w:b/>
        </w:rPr>
        <w:t xml:space="preserve">摘要（ZH）: </w:t>
      </w:r>
      <w:r>
        <w:t>遗传障碍蛋白质是基本细胞功能的基础,通过突变引起的结构变化驱动神经退化性疾病,然而其异质性异质性往往逃避晶体学和冷冻-EM。 电子旋转共振(ESR)脉冲双极分光镜(PDS)决定了蛋白中一对旋转标签残留物之间的距离分布,可以提供与国内流离失所者的异质性相关的补充和有意义的信息。双量一致(DQC)是一个重要的 ESR PDS技术,能够测量很广的距离(10-至少80°),是一种可以轻易去除的单频率技术。这使得DQC成为探测国内流离失所者的理想选择。我们展示了一个完整的t。</w:t>
      </w:r>
    </w:p>
    <w:p>
      <w:pPr>
        <w:spacing w:before="0" w:after="200" w:lineRule="auto" w:line="276"/>
      </w:pPr>
      <w:r>
        <w:rPr>
          <w:b/>
        </w:rPr>
        <w:t xml:space="preserve">Abstract (EN): </w:t>
      </w:r>
      <w:r>
        <w:t>Intrinsically disordered proteins (IDPs) underlie essential cellular functions and drive neurodegenerative diseases through mutation-induced structural changes, yet their conformational heterogeneity often evades crystallography and cryo-EM. Electron spin resonance (ESR) pulsed dipolar spectroscopy (PDS), which determines distance distributions between a pair of spin-labeled residues in a protein, can provide complementary and meaningful information related to conformational heterogeneity in IDPs. Double quantum coherence (DQC) is an important ESR PDS technique, capable of measuring a wide range of distances (∼10 to at least 80 Å), and is a single-frequency technique with a small background that can be easily removed. This makes DQC an ideal candidate to probe IDPs. We present a complete theoretical framework for DQC data analysis, incorporating pseudosecular dipolar coupling and finite pulse effects, enabling rapid and accurate reconstruction of complex distance distributions in doubly nitroxide-labeled IDPs. We validate the method on rigid biradicals with known interspin distances. The application to a tau protein fragment (jR2R3) reveals distinct end-to-end distance distributions for the wild-type vs the disease-associated P301L mutant. The results expose differences in their conformational distributions, which likely govern their divergent aggregation propensities. This advance also establishes DQC ESR as a powerful, accessible tool for probing disorders in biomolecular systems.</w:t>
      </w:r>
    </w:p>
    <w:p>
      <w:pPr>
        <w:spacing w:before="120" w:after="120"/>
      </w:pPr>
      <w:r>
        <w:rPr>
          <w:sz w:val="18"/>
        </w:rPr>
        <w:t>——————————————————————————————————————————————————————————————————————</w:t>
      </w:r>
    </w:p>
    <w:p>
      <w:pPr>
        <w:spacing w:before="160" w:after="40" w:line="240" w:lineRule="auto"/>
      </w:pPr>
      <w:r>
        <w:rPr>
          <w:b/>
        </w:rPr>
        <w:t xml:space="preserve">[500] </w:t>
      </w:r>
      <w:hyperlink r:id="rId887">
        <w:r>
          <w:rPr>
            <w:color w:val="1155CC"/>
            <w:u w:val="single"/>
          </w:rPr>
          <w:t>[ASAP] 晶晶苯乙烯二极离子,通过中间光电化学分解,单电子传输链反应</w:t>
        </w:r>
      </w:hyperlink>
    </w:p>
    <w:p>
      <w:pPr>
        <w:spacing w:before="0" w:after="80"/>
      </w:pPr>
      <w:r>
        <w:rPr>
          <w:i/>
          <w:sz w:val="20"/>
        </w:rPr>
        <w:t>EN: [ASAP] Crystalline Thymine Dimers Splitting by an Interfacial Photomechanochemical Single Electron Transfer Chain Reaction</w:t>
      </w:r>
    </w:p>
    <w:p>
      <w:pPr>
        <w:spacing w:before="0" w:after="120"/>
      </w:pPr>
      <w:r>
        <w:rPr>
          <w:b/>
        </w:rPr>
        <w:t xml:space="preserve">Source: </w:t>
      </w:r>
      <w:r>
        <w:t>Journal of the American Chemical Society: Latest Articles (ACS Publications)</w:t>
      </w:r>
      <w:r>
        <w:t xml:space="preserve">    </w:t>
      </w:r>
      <w:r>
        <w:rPr>
          <w:b/>
        </w:rPr>
        <w:t xml:space="preserve">Pub date: </w:t>
      </w:r>
      <w:r>
        <w:t>2026-01-06 14:34:40+00:00</w:t>
      </w:r>
      <w:r>
        <w:t xml:space="preserve">    </w:t>
      </w:r>
      <w:r>
        <w:rPr>
          <w:b/>
        </w:rPr>
        <w:t xml:space="preserve">DOI: </w:t>
      </w:r>
      <w:hyperlink r:id="rId888">
        <w:r>
          <w:rPr>
            <w:color w:val="1155CC"/>
            <w:u w:val="single"/>
          </w:rPr>
          <w:t>10.1021/jacs.5c17553</w:t>
        </w:r>
      </w:hyperlink>
    </w:p>
    <w:p>
      <w:pPr>
        <w:spacing w:before="0" w:after="120"/>
      </w:pPr>
      <w:r>
        <w:rPr>
          <w:b/>
        </w:rPr>
        <w:t xml:space="preserve">Notes: </w:t>
      </w:r>
      <w:r>
        <w:t>abstract_source=pubmed</w:t>
      </w:r>
    </w:p>
    <w:p>
      <w:pPr>
        <w:spacing w:before="0" w:after="80" w:lineRule="auto" w:line="276"/>
      </w:pPr>
      <w:r>
        <w:rPr>
          <w:b/>
        </w:rPr>
        <w:t xml:space="preserve">摘要（ZH）: </w:t>
      </w:r>
      <w:r>
        <w:t>在固体状态下,可通过SET光化学反应与N、N、N、N-四甲基-1、4-苯二二胺(TMPD)作为光化学还原剂的合成合成SET光化学反应,在固体状态下将芯片、合金二甲基二甲基二硝胺(TDD)分解成薄膜(T),机械磨制使TMPD敏化剂能够统一沉淀在稀释表面,而这种固体-固体混合物(TD+TMPD)的光辐照在作为链反应传播到晶体大部分的固体-固体界面上触发电子转移,探讨的变量包括敏化剂装载和准备战略,其中包括固体-固体混合以及将光敏化剂从溶液中沉入TD表面,观察到了洁净的固体-固体转化,其产品产量高达95%。</w:t>
      </w:r>
    </w:p>
    <w:p>
      <w:pPr>
        <w:spacing w:before="0" w:after="200" w:lineRule="auto" w:line="276"/>
      </w:pPr>
      <w:r>
        <w:rPr>
          <w:b/>
        </w:rPr>
        <w:t xml:space="preserve">Abstract (EN): </w:t>
      </w:r>
      <w:r>
        <w:t>Splitting of the cis, syn thymine dimer (TD) into thymine (T) can be achieved in the solid state via an interfacial SET photomechanochemical reaction with N,N,N,N-tetramethyl-1,4-phenylenediamine (TMPD) as the photochemical reductant. Mechanical grinding enabled the uniform deposition of the TMPD sensitizer on the dimer surface, and photoirradiation of this solid-solid mixture (TD+TMPD) triggered electron transfer at the solid-solid interface that was propagated into the bulk of the crystal as a chain reaction. Variables explored included sensitizer loading and preparation strategies that included solid-solid mixing and the deposition of the photosensitizer onto the TD surface from solution. Clean solid-to-solid transformations were observed with product yields as high as ∼95%.</w:t>
      </w:r>
    </w:p>
    <w:p>
      <w:pPr>
        <w:spacing w:before="120" w:after="120"/>
      </w:pPr>
      <w:r>
        <w:rPr>
          <w:sz w:val="18"/>
        </w:rPr>
        <w:t>——————————————————————————————————————————————————————————————————————</w:t>
      </w:r>
    </w:p>
    <w:p>
      <w:pPr>
        <w:spacing w:before="160" w:after="40" w:line="240" w:lineRule="auto"/>
      </w:pPr>
      <w:r>
        <w:rPr>
          <w:b/>
        </w:rPr>
        <w:t xml:space="preserve">[501] </w:t>
      </w:r>
      <w:hyperlink r:id="rId889">
        <w:r>
          <w:rPr>
            <w:color w:val="1155CC"/>
            <w:u w:val="single"/>
          </w:rPr>
          <w:t>[ASAP] 由聚(氨酸)通过微微粒纤维放大作用诱导旁观者串联毒性星环毒性的调压选择自组网络</w:t>
        </w:r>
      </w:hyperlink>
    </w:p>
    <w:p>
      <w:pPr>
        <w:spacing w:before="0" w:after="80"/>
      </w:pPr>
      <w:r>
        <w:rPr>
          <w:i/>
          <w:sz w:val="20"/>
        </w:rPr>
        <w:t>EN: [ASAP] A Tumor-Selective Self-Assembling Network of Poly(amino acid) Induces Cascading Bystander Cytotoxicity through Microvesicle Fission Amplification</w:t>
      </w:r>
    </w:p>
    <w:p>
      <w:pPr>
        <w:spacing w:before="0" w:after="120"/>
      </w:pPr>
      <w:r>
        <w:rPr>
          <w:b/>
        </w:rPr>
        <w:t xml:space="preserve">Source: </w:t>
      </w:r>
      <w:r>
        <w:t>Journal of the American Chemical Society: Latest Articles (ACS Publications)</w:t>
      </w:r>
      <w:r>
        <w:t xml:space="preserve">    </w:t>
      </w:r>
      <w:r>
        <w:rPr>
          <w:b/>
        </w:rPr>
        <w:t xml:space="preserve">Pub date: </w:t>
      </w:r>
      <w:r>
        <w:t>2026-01-06 14:35:39+00:00</w:t>
      </w:r>
      <w:r>
        <w:t xml:space="preserve">    </w:t>
      </w:r>
      <w:r>
        <w:rPr>
          <w:b/>
        </w:rPr>
        <w:t xml:space="preserve">DOI: </w:t>
      </w:r>
      <w:hyperlink r:id="rId890">
        <w:r>
          <w:rPr>
            <w:color w:val="1155CC"/>
            <w:u w:val="single"/>
          </w:rPr>
          <w:t>10.1021/jacs.5c09790</w:t>
        </w:r>
      </w:hyperlink>
    </w:p>
    <w:p>
      <w:pPr>
        <w:spacing w:before="0" w:after="120"/>
      </w:pPr>
      <w:r>
        <w:rPr>
          <w:b/>
        </w:rPr>
        <w:t xml:space="preserve">Notes: </w:t>
      </w:r>
      <w:r>
        <w:t>abstract_source=pubmed</w:t>
      </w:r>
    </w:p>
    <w:p>
      <w:pPr>
        <w:spacing w:before="0" w:after="80" w:lineRule="auto" w:line="276"/>
      </w:pPr>
      <w:r>
        <w:rPr>
          <w:b/>
        </w:rPr>
        <w:t xml:space="preserve">摘要（ZH）: </w:t>
      </w:r>
      <w:r>
        <w:t>外细胞囊囊(EVs)已成为细胞间交流和治疗性提供的关键调解者,然而,目前依靠体外操纵的以EV为基础的战略遇到了重大限制,包括非特定生物分布、有限的肿瘤积累和减少生物活动,这突出表明了在肿瘤内局部生产治疗性EV的必要性。为了解决这个问题,正在开发一种合理设计的聚(D-氨酸)共聚(D-氨酸)共聚物、甲基氧聚(乙基甘醇)-聚(甲苯基)-聚(D-lysine10)-聚(O-phos-D-tyrosine5-co-D-alayn25)(EG45-D-K-D-pYA),这种聚氨酸磷酸酯(ALP)-催化自我安葬,以形成一种按肿瘤定位的、假定的聚物。</w:t>
      </w:r>
    </w:p>
    <w:p>
      <w:pPr>
        <w:spacing w:before="0" w:after="200" w:lineRule="auto" w:line="276"/>
      </w:pPr>
      <w:r>
        <w:rPr>
          <w:b/>
        </w:rPr>
        <w:t xml:space="preserve">Abstract (EN): </w:t>
      </w:r>
      <w:r>
        <w:t>Signal transduction is essential for tumor progression and therapeutic response. Extracellular vesicles (EVs) have emerged as critical mediators of intercellular communication and therapeutic delivery. However, current EV-based strategies that rely on ex vivo manipulation encounter significant limitations, including nonspecific biodistribution, limited tumor accumulation, and diminished biological activity, underscoring the need for the localized production of therapeutic EVs within tumors. To address this, a rationally designed poly(D-amino acid) copolymer, methoxy poly(ethylene glycol)-block-poly(D-lysine10)-block-poly(O-phospho-D-tyrosine5-co-D-alanine25) (EG45-D-K-D-pYA), is developed, which undergoes alkaline phosphatase (ALP)-catalyzed self-assembly to form a tumor-localized, positively charged network. This assembly triggers the formation of localized microvesicles (MVs) and initiates a self-sustaining fission cascade, amplifying the cytotoxic signaling. Upon ALP catalysis, 88.3% of the phosphate group in EG45-D-K-D-pYA is hydrolyzed within 24 h, shifting zeta potential from -4.95 to +25.0 mV and increasing β-sheet content from 4.0% to 46.0%, promoting a morphological transition from nanoparticle to network. EG45-D-K-D-pYA disrupts tumor cell membranes, mitochondria, and nuclei, inducing potent tumor-selective cytotoxicity (IC50 = 0.58 μM at 24 h) and in situ generation of positively charged MVs (ζ = +32.9 mV). These MVs, enriched with membrane fragments, poly(amino acid)s, and mitochondrial and nuclear components, further mediate tumor-selective cell death and sustain cytotoxic propagation across four MV generations (P0-P4), with cytotoxicity rates of 53.13%, 28.71%, 36.35%, 24.69%, and 7.05%, respectively. EG45-D-K-D-pYA achieves 90.1% tumor growth inhibition and markedly suppresses metastases by forming network in vivo. This study presents a tumor-selective therapeutic approach that integrates enzyme-triggered self-assembly with MV-driven fission amplification to induce robust bystander cytotoxicity and sustained tumor suppression.</w:t>
      </w:r>
    </w:p>
    <w:p>
      <w:pPr>
        <w:spacing w:before="120" w:after="120"/>
      </w:pPr>
      <w:r>
        <w:rPr>
          <w:sz w:val="18"/>
        </w:rPr>
        <w:t>——————————————————————————————————————————————————————————————————————</w:t>
      </w:r>
    </w:p>
    <w:p>
      <w:pPr>
        <w:spacing w:before="160" w:after="40" w:line="240" w:lineRule="auto"/>
      </w:pPr>
      <w:r>
        <w:rPr>
          <w:b/>
        </w:rPr>
        <w:t xml:space="preserve">[502] </w:t>
      </w:r>
      <w:hyperlink r:id="rId891">
        <w:r>
          <w:rPr>
            <w:color w:val="1155CC"/>
            <w:u w:val="single"/>
          </w:rPr>
          <w:t>[ASAP]在T-shaped Bi(NNN)综合体中进行非生物反应和可移植的甲基转移</w:t>
        </w:r>
      </w:hyperlink>
    </w:p>
    <w:p>
      <w:pPr>
        <w:spacing w:before="0" w:after="80"/>
      </w:pPr>
      <w:r>
        <w:rPr>
          <w:i/>
          <w:sz w:val="20"/>
        </w:rPr>
        <w:t>EN: [ASAP] Ambiphilic Reactivity and Switchable Methyl Transfer at a T-Shaped Bi(NNN) Complex Enabled by a Redox-Active Pincer Ligand</w:t>
      </w:r>
    </w:p>
    <w:p>
      <w:pPr>
        <w:spacing w:before="0" w:after="120"/>
      </w:pPr>
      <w:r>
        <w:rPr>
          <w:b/>
        </w:rPr>
        <w:t xml:space="preserve">Source: </w:t>
      </w:r>
      <w:r>
        <w:t>Journal of the American Chemical Society: Latest Articles (ACS Publications)</w:t>
      </w:r>
      <w:r>
        <w:t xml:space="preserve">    </w:t>
      </w:r>
      <w:r>
        <w:rPr>
          <w:b/>
        </w:rPr>
        <w:t xml:space="preserve">Pub date: </w:t>
      </w:r>
      <w:r>
        <w:t>2026-01-06 14:36:02+00:00</w:t>
      </w:r>
      <w:r>
        <w:t xml:space="preserve">    </w:t>
      </w:r>
      <w:r>
        <w:rPr>
          <w:b/>
        </w:rPr>
        <w:t xml:space="preserve">DOI: </w:t>
      </w:r>
      <w:hyperlink r:id="rId892">
        <w:r>
          <w:rPr>
            <w:color w:val="1155CC"/>
            <w:u w:val="single"/>
          </w:rPr>
          <w:t>10.1021/jacs.5c18955</w:t>
        </w:r>
      </w:hyperlink>
    </w:p>
    <w:p>
      <w:pPr>
        <w:spacing w:before="0" w:after="120"/>
      </w:pPr>
      <w:r>
        <w:rPr>
          <w:b/>
        </w:rPr>
        <w:t xml:space="preserve">Notes: </w:t>
      </w:r>
      <w:r>
        <w:t>abstract_source=pubmed</w:t>
      </w:r>
    </w:p>
    <w:p>
      <w:pPr>
        <w:spacing w:before="0" w:after="80" w:lineRule="auto" w:line="276"/>
      </w:pPr>
      <w:r>
        <w:rPr>
          <w:b/>
        </w:rPr>
        <w:t xml:space="preserve">摘要（ZH）: </w:t>
      </w:r>
      <w:r>
        <w:t>我们报告了一个几何限制的、双双双双(III)三相对称的三相交结合体的过渡-金属反应。Bi(III)中心的平化在与使用过的NNN Pincer ligand 加上双电氧化物的轻电极(alkyl Iodides和三相配)配合时释放出Bi-C债券的形成过程,并伴之以使用NNNNNNN(M)(NNNN)]+//-红氧化状态的全电子氧化。通过单晶X射线分解和X射线吸收光分光谱法加以确认,并用理论计算加以证实。氧化离子框架的递减顺序改变了生成的双米单元的再活动,使得能够有控制地获取甲基电离子、基和离子等。完整[Bi(M)(NNNN)]+//-Rox系列的特征是使用NMR和EPR光谱法以及光谱的完整特征。</w:t>
      </w:r>
    </w:p>
    <w:p>
      <w:pPr>
        <w:spacing w:before="0" w:after="200" w:lineRule="auto" w:line="276"/>
      </w:pPr>
      <w:r>
        <w:rPr>
          <w:b/>
        </w:rPr>
        <w:t xml:space="preserve">Abstract (EN): </w:t>
      </w:r>
      <w:r>
        <w:t>We report the transition-metal-like reactivity of a geometrically constrained, ambiphilic bismuth(III) trisamide. Planarization of the Bi(III) center unlocks Bi-C bond formation when reacted with mild electrophiles (alkyl iodides and triflates) accompanied by two-electron oxidation of the utilized NNN pincer ligand. The preservation of the bismuth oxidation state is confirmed by single-crystal X-ray diffraction and X-ray absorption spectroscopy and corroborated by theoretical calculations. Sequential reduction of the oxidized ligand framework alters the reactivity of a generated Bi-Me unit, enabling controlled access to methyl cation, radical, and anion equivalents. The full [Bi(Me)(NNN)]+/•/- redox series was comprehensively characterized using NMR and EPR spectroscopy as well as spectro-electrochemistry. This work represents the first example of ligand-assisted, redox-neutral C-X bond splitting at bismuth, establishing a new paradigm for synthetic bismuth chemistry.</w:t>
      </w:r>
    </w:p>
    <w:p>
      <w:pPr>
        <w:spacing w:before="120" w:after="120"/>
      </w:pPr>
      <w:r>
        <w:rPr>
          <w:sz w:val="18"/>
        </w:rPr>
        <w:t>——————————————————————————————————————————————————————————————————————</w:t>
      </w:r>
    </w:p>
    <w:p>
      <w:pPr>
        <w:spacing w:before="160" w:after="40" w:line="240" w:lineRule="auto"/>
      </w:pPr>
      <w:r>
        <w:rPr>
          <w:b/>
        </w:rPr>
        <w:t xml:space="preserve">[503] </w:t>
      </w:r>
      <w:hyperlink r:id="rId893">
        <w:r>
          <w:rPr>
            <w:color w:val="1155CC"/>
            <w:u w:val="single"/>
          </w:rPr>
          <w:t>[ASAP]在监测微塑料等离子体经检测降解的硅SERS中</w:t>
        </w:r>
      </w:hyperlink>
    </w:p>
    <w:p>
      <w:pPr>
        <w:spacing w:before="0" w:after="80"/>
      </w:pPr>
      <w:r>
        <w:rPr>
          <w:i/>
          <w:sz w:val="20"/>
        </w:rPr>
        <w:t>EN: [ASAP] In Situ SERS Monitoring of Plasmon-Mediated Degradation of Microplastics</w:t>
      </w:r>
    </w:p>
    <w:p>
      <w:pPr>
        <w:spacing w:before="0" w:after="120"/>
      </w:pPr>
      <w:r>
        <w:rPr>
          <w:b/>
        </w:rPr>
        <w:t xml:space="preserve">Source: </w:t>
      </w:r>
      <w:r>
        <w:t>Journal of the American Chemical Society: Latest Articles (ACS Publications)</w:t>
      </w:r>
      <w:r>
        <w:t xml:space="preserve">    </w:t>
      </w:r>
      <w:r>
        <w:rPr>
          <w:b/>
        </w:rPr>
        <w:t xml:space="preserve">Pub date: </w:t>
      </w:r>
      <w:r>
        <w:t>2026-01-06 14:58:56+00:00</w:t>
      </w:r>
      <w:r>
        <w:t xml:space="preserve">    </w:t>
      </w:r>
      <w:r>
        <w:rPr>
          <w:b/>
        </w:rPr>
        <w:t xml:space="preserve">DOI: </w:t>
      </w:r>
      <w:hyperlink r:id="rId894">
        <w:r>
          <w:rPr>
            <w:color w:val="1155CC"/>
            <w:u w:val="single"/>
          </w:rPr>
          <w:t>10.1021/jacs.5c18907</w:t>
        </w:r>
      </w:hyperlink>
    </w:p>
    <w:p>
      <w:pPr>
        <w:spacing w:before="0" w:after="120"/>
      </w:pPr>
      <w:r>
        <w:rPr>
          <w:b/>
        </w:rPr>
        <w:t xml:space="preserve">Notes: </w:t>
      </w:r>
      <w:r>
        <w:t>abstract_source=pubmed</w:t>
      </w:r>
    </w:p>
    <w:p>
      <w:pPr>
        <w:spacing w:before="0" w:after="80" w:lineRule="auto" w:line="276"/>
      </w:pPr>
      <w:r>
        <w:rPr>
          <w:b/>
        </w:rPr>
        <w:t xml:space="preserve">摘要（ZH）: </w:t>
      </w:r>
      <w:r>
        <w:t>微塑料是化学上稳定的、环境上持久性的污染物,在自然生态系统中积累,对环境和人类健康都构成潜在风险。尽管人们日益关切,但针对有辱人格的MP和解释其化学变异的有效战略仍然有限。在本研究中,我们展示了利用可见光辐照下的Au纳米粒子聚集(NPCs)的水溶液中聚乙烯(PE)微塑料的颗粒中流降解。在Au NPCs内部的Nanogaps作为颗粒热点,在退化过程中产生并使用热载体,而强化的电磁场则能够通过地表增强的拉曼散射(SERS)对化学变化进行表面敏感探测。</w:t>
      </w:r>
    </w:p>
    <w:p>
      <w:pPr>
        <w:spacing w:before="0" w:after="200" w:lineRule="auto" w:line="276"/>
      </w:pPr>
      <w:r>
        <w:rPr>
          <w:b/>
        </w:rPr>
        <w:t xml:space="preserve">Abstract (EN): </w:t>
      </w:r>
      <w:r>
        <w:t>Microplastics (MPs) are chemically stable and environmentally persistent pollutants that accumulate in natural ecosystems, posing potential risks to both environmental and human health. Despite growing concern, effective strategies for degrading MPs and elucidating their chemical transformations remain limited. In this study, we demonstrate plasmon-mediated degradation of polyethylene (PE) microplastics in aqueous solution using Au nanoparticle clusters (NPCs) under visible light irradiation. Nanogaps within the Au NPCs act as plasmonic hot spots, where hot carriers are generated and utilized in the degradation process, while the enhanced electromagnetic fields enable surface-sensitive detection of chemical changes via surface-enhanced Raman scattering (SERS). By leveraging the integrated catalytic and spectroscopic capabilities of Au NPCs, we conducted real-time SERS monitoring to reveal the plasmon-mediated degradation mechanism of PE MPs.</w:t>
      </w:r>
    </w:p>
    <w:p>
      <w:pPr>
        <w:spacing w:before="120" w:after="120"/>
      </w:pPr>
      <w:r>
        <w:rPr>
          <w:sz w:val="18"/>
        </w:rPr>
        <w:t>——————————————————————————————————————————————————————————————————————</w:t>
      </w:r>
    </w:p>
    <w:p>
      <w:pPr>
        <w:spacing w:before="160" w:after="40" w:line="240" w:lineRule="auto"/>
      </w:pPr>
      <w:r>
        <w:rPr>
          <w:b/>
        </w:rPr>
        <w:t xml:space="preserve">[504] </w:t>
      </w:r>
      <w:hyperlink r:id="rId895">
        <w:r>
          <w:rPr>
            <w:color w:val="1155CC"/>
            <w:u w:val="single"/>
          </w:rPr>
          <w:t>[ASAP] 用于玻璃热传导和高热电性能的AgMnSbPbTe4中中性AgMnSbPbTe4结构差异性</w:t>
        </w:r>
      </w:hyperlink>
    </w:p>
    <w:p>
      <w:pPr>
        <w:spacing w:before="0" w:after="80"/>
      </w:pPr>
      <w:r>
        <w:rPr>
          <w:i/>
          <w:sz w:val="20"/>
        </w:rPr>
        <w:t>EN: [ASAP] Structural Heterogeneity in Medium-Entropy AgMnSbPbTe4 for Glassy Thermal Transport and High Thermoelectric Performance</w:t>
      </w:r>
    </w:p>
    <w:p>
      <w:pPr>
        <w:spacing w:before="0" w:after="120"/>
      </w:pPr>
      <w:r>
        <w:rPr>
          <w:b/>
        </w:rPr>
        <w:t xml:space="preserve">Source: </w:t>
      </w:r>
      <w:r>
        <w:t>Journal of the American Chemical Society: Latest Articles (ACS Publications)</w:t>
      </w:r>
      <w:r>
        <w:t xml:space="preserve">    </w:t>
      </w:r>
      <w:r>
        <w:rPr>
          <w:b/>
        </w:rPr>
        <w:t xml:space="preserve">Pub date: </w:t>
      </w:r>
      <w:r>
        <w:t>2026-01-06 15:45:48+00:00</w:t>
      </w:r>
      <w:r>
        <w:t xml:space="preserve">    </w:t>
      </w:r>
      <w:r>
        <w:rPr>
          <w:b/>
        </w:rPr>
        <w:t xml:space="preserve">DOI: </w:t>
      </w:r>
      <w:hyperlink r:id="rId896">
        <w:r>
          <w:rPr>
            <w:color w:val="1155CC"/>
            <w:u w:val="single"/>
          </w:rPr>
          <w:t>10.1021/jacs.5c17198</w:t>
        </w:r>
      </w:hyperlink>
    </w:p>
    <w:p>
      <w:pPr>
        <w:spacing w:before="0" w:after="120"/>
      </w:pPr>
      <w:r>
        <w:rPr>
          <w:b/>
        </w:rPr>
        <w:t xml:space="preserve">Notes: </w:t>
      </w:r>
      <w:r>
        <w:t>abstract_source=pubmed</w:t>
      </w:r>
    </w:p>
    <w:p>
      <w:pPr>
        <w:spacing w:before="0" w:after="80" w:lineRule="auto" w:line="276"/>
      </w:pPr>
      <w:r>
        <w:rPr>
          <w:b/>
        </w:rPr>
        <w:t xml:space="preserve">摘要（ZH）: </w:t>
      </w:r>
      <w:r>
        <w:t>中有机有机半导体代表了一种独特的昆虫工程材料类别,在原子混合中具有相当程度的随机性,尽管这不足以最终实现单阶段结构稳定化,与高有机材料相比,这不足以最终实现单阶段结构稳定化,从而在形成不同阶段之间形成激烈竞争,这可能导致结构异质性。在这项工作中,我们在微缩识别的中有机有机物半导体AgMnSbPbTe4中发现了内税纳米沉降物。这些纳米沉降物最初在运动稳定的AgMnSbPTe4内立方相结晶(Fm3厘米),随后在热脉冲期间演变为热动力稳定的单球级(P21/c)。</w:t>
      </w:r>
    </w:p>
    <w:p>
      <w:pPr>
        <w:spacing w:before="0" w:after="200" w:lineRule="auto" w:line="276"/>
      </w:pPr>
      <w:r>
        <w:rPr>
          <w:b/>
        </w:rPr>
        <w:t xml:space="preserve">Abstract (EN): </w:t>
      </w:r>
      <w:r>
        <w:t>Medium-entropy semiconductors represent a unique category of entropy-engineered materials. They possess a considerable level of randomness in atomic mixing, although this is not sufficient to conclusively achieve single-phase structure stabilization, in contrast to high-entropy materials. This introduces strong competition between the formation of different phases, which can potentially lead to structural heterogeneity. In this work, we uncover endotaxial nanoprecipitates in the microscopically identified homogeneous medium-entropy semiconductor AgMnSbPbTe4. These nanoprecipitates initially crystallize in a cubic phase (Fm3̅m) within kinetically stabilized AgMnSbPbTe4, subsequently evolving into a thermodynamically stable monoclinic phase (P21/c) during thermal annealing while maintaining an endotaxial relationship with the matrix lattice. This nanophase segregation and the resultant lattice mismatch at interfaces introduce strain fluctuations up to 5% at intervals of 20 nm across the entire microstructure. Within the matrix phase, atomic displacement of up to 23 pm was observed. This structural heterogeneity results in glass-like thermal transport behavior, achieving an ultralow lattice thermal conductivity κL = 0.312 Wm-1 K-1 at 800 K, which is in accordance with the amorphous limit predicted by the Cahill model. The synergy of band convergence effect and well-maintained carrier mobility leads to a maximum ZT of 1.72 at 800 K and an average ZTavg of 1.02 over the temperature range of 300-825 K. This study highlights that the underexplored structural heterogeneity in medium-entropy semiconductors can potentially yield beneficial phenomena, such as the phonon-glass electron-crystal transport behavior in this case, which holds promise for advancing thermoelectric applications.</w:t>
      </w:r>
    </w:p>
    <w:p>
      <w:pPr>
        <w:spacing w:before="120" w:after="120"/>
      </w:pPr>
      <w:r>
        <w:rPr>
          <w:sz w:val="18"/>
        </w:rPr>
        <w:t>——————————————————————————————————————————————————————————————————————</w:t>
      </w:r>
    </w:p>
    <w:p>
      <w:pPr>
        <w:spacing w:before="160" w:after="40" w:line="240" w:lineRule="auto"/>
      </w:pPr>
      <w:r>
        <w:rPr>
          <w:b/>
        </w:rPr>
        <w:t xml:space="preserve">[505] </w:t>
      </w:r>
      <w:hyperlink r:id="rId897">
        <w:r>
          <w:rPr>
            <w:color w:val="1155CC"/>
            <w:u w:val="single"/>
          </w:rPr>
          <w:t>[ASAP] W3Re2C的超导性,具有等级结构</w:t>
        </w:r>
      </w:hyperlink>
    </w:p>
    <w:p>
      <w:pPr>
        <w:spacing w:before="0" w:after="80"/>
      </w:pPr>
      <w:r>
        <w:rPr>
          <w:i/>
          <w:sz w:val="20"/>
        </w:rPr>
        <w:t>EN: [ASAP] Superconductivity in W3Re2C with Chiral Structure</w:t>
      </w:r>
    </w:p>
    <w:p>
      <w:pPr>
        <w:spacing w:before="0" w:after="120"/>
      </w:pPr>
      <w:r>
        <w:rPr>
          <w:b/>
        </w:rPr>
        <w:t xml:space="preserve">Source: </w:t>
      </w:r>
      <w:r>
        <w:t>Journal of the American Chemical Society: Latest Articles (ACS Publications)</w:t>
      </w:r>
      <w:r>
        <w:t xml:space="preserve">    </w:t>
      </w:r>
      <w:r>
        <w:rPr>
          <w:b/>
        </w:rPr>
        <w:t xml:space="preserve">Pub date: </w:t>
      </w:r>
      <w:r>
        <w:t>2026-01-06 16:44:01+00:00</w:t>
      </w:r>
      <w:r>
        <w:t xml:space="preserve">    </w:t>
      </w:r>
      <w:r>
        <w:rPr>
          <w:b/>
        </w:rPr>
        <w:t xml:space="preserve">DOI: </w:t>
      </w:r>
      <w:hyperlink r:id="rId898">
        <w:r>
          <w:rPr>
            <w:color w:val="1155CC"/>
            <w:u w:val="single"/>
          </w:rPr>
          <w:t>10.1021/jacs.5c16623</w:t>
        </w:r>
      </w:hyperlink>
    </w:p>
    <w:p>
      <w:pPr>
        <w:spacing w:before="0" w:after="120"/>
      </w:pPr>
      <w:r>
        <w:rPr>
          <w:b/>
        </w:rPr>
        <w:t xml:space="preserve">Notes: </w:t>
      </w:r>
      <w:r>
        <w:t>abstract_source=pubmed</w:t>
      </w:r>
    </w:p>
    <w:p>
      <w:pPr>
        <w:spacing w:before="0" w:after="80" w:lineRule="auto" w:line="276"/>
      </w:pPr>
      <w:r>
        <w:rPr>
          <w:b/>
        </w:rPr>
        <w:t xml:space="preserve">摘要（ZH）: </w:t>
      </w:r>
      <w:r>
        <w:t>详细描述和分析显示,W3Re2C是一种二型BCS型散装超导体,具有完全的异向差距。此外,第一原则计算表明,电-光电联动主要来自W/Re 5d电子状态与其低频光谱之间的相互作用。此外,W3Re2C的反向对称性破碎促进了电子结构中Wyl点的出现。因此,W3Re2C可以作为一个很有希望的平台,用于调查手动结构对超导性和波段地形的影响。</w:t>
      </w:r>
    </w:p>
    <w:p>
      <w:pPr>
        <w:spacing w:before="0" w:after="200" w:lineRule="auto" w:line="276"/>
      </w:pPr>
      <w:r>
        <w:rPr>
          <w:b/>
        </w:rPr>
        <w:t xml:space="preserve">Abstract (EN): </w:t>
      </w:r>
      <w:r>
        <w:t>We discover superconductivity in cubic W3Re2C with chiral structure, and the superconducting transition temperature Tc is about 6.2 K. Detailed characterizations and analysis indicate that W3Re2C is a bulk type-II BCS superconductor with a fully isotropic gap. Moreover, first-principles calculations indicate that electron-phonon coupling primarily arises from interactions between W/Re 5d electronic states and their low-frequency phonons. Furthermore, the breaking of the inversion symmetry in W3Re2C facilitates the emergence of Weyl points in the electronic structure. Therefore, W3Re2C can serve as a promising platform for investigating the influences of the chiral structure on both superconductivity and band topology.</w:t>
      </w:r>
    </w:p>
    <w:p>
      <w:pPr>
        <w:spacing w:before="120" w:after="120"/>
      </w:pPr>
      <w:r>
        <w:rPr>
          <w:sz w:val="18"/>
        </w:rPr>
        <w:t>——————————————————————————————————————————————————————————————————————</w:t>
      </w:r>
    </w:p>
    <w:p>
      <w:pPr>
        <w:spacing w:before="160" w:after="40" w:line="240" w:lineRule="auto"/>
      </w:pPr>
      <w:r>
        <w:rPr>
          <w:b/>
        </w:rPr>
        <w:t xml:space="preserve">[506] </w:t>
      </w:r>
      <w:hyperlink r:id="rId899">
        <w:r>
          <w:rPr>
            <w:color w:val="1155CC"/>
            <w:u w:val="single"/>
          </w:rPr>
          <w:t>[ASAP] 由Ciral Disulfonimides通过Brønsted基础气解作用实际收益催化的2-Amino-6-arylpyridine催化的2-Amino-6-arylpyridine的亚特罗波选择性选择性碘化:综合实验、计算和机学研究</w:t>
        </w:r>
      </w:hyperlink>
    </w:p>
    <w:p>
      <w:pPr>
        <w:spacing w:before="0" w:after="80"/>
      </w:pPr>
      <w:r>
        <w:rPr>
          <w:i/>
          <w:sz w:val="20"/>
        </w:rPr>
        <w:t>EN: [ASAP] The Atroposelective Iodination of 2-Amino-6-arylpyridines Catalyzed by Chiral Disulfonimides Actually Proceeds via Brønsted Base Catalysis: A Combined Experimental, Computational, and Machine-Learning Study</w:t>
      </w:r>
    </w:p>
    <w:p>
      <w:pPr>
        <w:spacing w:before="0" w:after="120"/>
      </w:pPr>
      <w:r>
        <w:rPr>
          <w:b/>
        </w:rPr>
        <w:t xml:space="preserve">Source: </w:t>
      </w:r>
      <w:r>
        <w:t>Journal of the American Chemical Society: Latest Articles (ACS Publications)</w:t>
      </w:r>
      <w:r>
        <w:t xml:space="preserve">    </w:t>
      </w:r>
      <w:r>
        <w:rPr>
          <w:b/>
        </w:rPr>
        <w:t xml:space="preserve">Pub date: </w:t>
      </w:r>
      <w:r>
        <w:t>2026-01-06 17:17:16+00:00</w:t>
      </w:r>
      <w:r>
        <w:t xml:space="preserve">    </w:t>
      </w:r>
      <w:r>
        <w:rPr>
          <w:b/>
        </w:rPr>
        <w:t xml:space="preserve">DOI: </w:t>
      </w:r>
      <w:hyperlink r:id="rId900">
        <w:r>
          <w:rPr>
            <w:color w:val="1155CC"/>
            <w:u w:val="single"/>
          </w:rPr>
          <w:t>10.1021/jacs.5c10238</w:t>
        </w:r>
      </w:hyperlink>
    </w:p>
    <w:p>
      <w:pPr>
        <w:spacing w:before="0" w:after="120"/>
      </w:pPr>
      <w:r>
        <w:rPr>
          <w:b/>
        </w:rPr>
        <w:t xml:space="preserve">Notes: </w:t>
      </w:r>
      <w:r>
        <w:t>abstract_source=pubmed</w:t>
      </w:r>
    </w:p>
    <w:p>
      <w:pPr>
        <w:spacing w:before="0" w:after="80" w:lineRule="auto" w:line="276"/>
      </w:pPr>
      <w:r>
        <w:rPr>
          <w:b/>
        </w:rPr>
        <w:t xml:space="preserve">摘要（ZH）: </w:t>
      </w:r>
      <w:r>
        <w:t>对N-iodoscucnimide 2-imino-6-arylpyrpyridine 使用N-iodoscucnimide 进行脱硫(DSI) 催化氮化(DSI) 催化氮化(DSI) 的亚特罗亚选择性对硫化亚化亚化物的彻底机械性调查。 虽然最初假设通过激活新谢克尔通过Brønsted-酸催化法进行催化,但实验性证据使我们重新考虑DSI催化剂的可能功能。我们现在提出了一个前所未有的机制,在这个机制中,DSI作为Brønsted的基地,在速度和立体确定步骤中,涉及对Wheland中间体进行对应的选择性解剖。实验数据用于启动DFT对反应机制的探索,在对转型国家结构和反应协调进行透彻分析后,证实了我们的订正假设。</w:t>
      </w:r>
    </w:p>
    <w:p>
      <w:pPr>
        <w:spacing w:before="0" w:after="200" w:lineRule="auto" w:line="276"/>
      </w:pPr>
      <w:r>
        <w:rPr>
          <w:b/>
        </w:rPr>
        <w:t xml:space="preserve">Abstract (EN): </w:t>
      </w:r>
      <w:r>
        <w:t>A thorough mechanistic investigation into the disulfonimide (DSI)-catalyzed atroposelective iodination of 2-amino-6-arylpyridines with N-iodosuccinimide is described. While initially hypothesized to proceed via Brønsted-acid catalysis through activation of NIS, experimental evidence led us to reconsider the possible function of the DSI catalyst. We now propose an unprecedented mechanism in which the conjugate base of the DSI functions instead as a Brønsted-base, with the rate- and stereodetermining step involving an enantioselective deprotonation of a Wheland intermediate. The experimental data was used to initiate a DFT exploration of the reaction mechanism, which, after thorough analysis of the transition state structures and reaction coordinate, confirmed our revised hypothesis. The unique structural features of the highest-performing catalyst were explored further with a chemoinformatics-based workflow, leading to a detailed elucidation of those factors contributing to the origin of enantioselection.</w:t>
      </w:r>
    </w:p>
    <w:p>
      <w:pPr>
        <w:spacing w:before="120" w:after="120"/>
      </w:pPr>
      <w:r>
        <w:rPr>
          <w:sz w:val="18"/>
        </w:rPr>
        <w:t>——————————————————————————————————————————————————————————————————————</w:t>
      </w:r>
    </w:p>
    <w:p>
      <w:pPr>
        <w:spacing w:before="160" w:after="40" w:line="240" w:lineRule="auto"/>
      </w:pPr>
      <w:r>
        <w:rPr>
          <w:b/>
        </w:rPr>
        <w:t xml:space="preserve">[507] </w:t>
      </w:r>
      <w:hyperlink r:id="rId901">
        <w:r>
          <w:rPr>
            <w:color w:val="1155CC"/>
            <w:u w:val="single"/>
          </w:rPr>
          <w:t>[ASAP] 双环通天球中光化学土星-卡本邦德裂缝</w:t>
        </w:r>
      </w:hyperlink>
    </w:p>
    <w:p>
      <w:pPr>
        <w:spacing w:before="0" w:after="80"/>
      </w:pPr>
      <w:r>
        <w:rPr>
          <w:i/>
          <w:sz w:val="20"/>
        </w:rPr>
        <w:t>EN: [ASAP] Photochemical Tungsten–Carbon Bond Cleavage in Bicyclic Tungstacyclopentanes</w:t>
      </w:r>
    </w:p>
    <w:p>
      <w:pPr>
        <w:spacing w:before="0" w:after="120"/>
      </w:pPr>
      <w:r>
        <w:rPr>
          <w:b/>
        </w:rPr>
        <w:t xml:space="preserve">Source: </w:t>
      </w:r>
      <w:r>
        <w:t>Journal of the American Chemical Society: Latest Articles (ACS Publications)</w:t>
      </w:r>
      <w:r>
        <w:t xml:space="preserve">    </w:t>
      </w:r>
      <w:r>
        <w:rPr>
          <w:b/>
        </w:rPr>
        <w:t xml:space="preserve">Pub date: </w:t>
      </w:r>
      <w:r>
        <w:t>2026-01-06 17:18:03+00:00</w:t>
      </w:r>
      <w:r>
        <w:t xml:space="preserve">    </w:t>
      </w:r>
      <w:r>
        <w:rPr>
          <w:b/>
        </w:rPr>
        <w:t xml:space="preserve">DOI: </w:t>
      </w:r>
      <w:hyperlink r:id="rId902">
        <w:r>
          <w:rPr>
            <w:color w:val="1155CC"/>
            <w:u w:val="single"/>
          </w:rPr>
          <w:t>10.1021/jacs.5c19313</w:t>
        </w:r>
      </w:hyperlink>
    </w:p>
    <w:p>
      <w:pPr>
        <w:spacing w:before="0" w:after="120"/>
      </w:pPr>
      <w:r>
        <w:rPr>
          <w:b/>
        </w:rPr>
        <w:t xml:space="preserve">Notes: </w:t>
      </w:r>
      <w:r>
        <w:t>abstract_source=pubmed</w:t>
      </w:r>
    </w:p>
    <w:p>
      <w:pPr>
        <w:spacing w:before="0" w:after="80" w:lineRule="auto" w:line="276"/>
      </w:pPr>
      <w:r>
        <w:rPr>
          <w:b/>
        </w:rPr>
        <w:t xml:space="preserve">摘要（ZH）: </w:t>
      </w:r>
      <w:r>
        <w:t>W(NCPh3)(OSiPh3)(2,C7H12)(1)和W(NAd)(OSiPh3)(2,C7H12)(2)进行光化学α-氢抽取,以形成烷基元;中性吸收研究表明,在热α-氢抽取之前先有快速W-C同解;5,5-二甲基-1-丙烯基-N-氧化(DMPO)的激进捕捉实验支持在这些反应中形成烷基极;对1和2的模型进行DFT计算,也符合最终提取α-氢形成烷基元以形成烷基元的W(V)-alkyl-弧基中间体的形成;该研究为将不催化性 d0 环-N-N-N-NO(DDPO) 转换成代代谢性烷基的反作用反应中W-C链裂提供了证据。</w:t>
      </w:r>
    </w:p>
    <w:p>
      <w:pPr>
        <w:spacing w:before="0" w:after="200" w:lineRule="auto" w:line="276"/>
      </w:pPr>
      <w:r>
        <w:rPr>
          <w:b/>
        </w:rPr>
        <w:t xml:space="preserve">Abstract (EN): </w:t>
      </w:r>
      <w:r>
        <w:t>W(NCPh3)(OSiPh3)2(C7H12) (1) and W(NAd)(OSiPh3)2(C7H12) (2) undergo photochemical α-hydrogen abstraction to form alkylidenes. Transient absorption studies suggest that fast W-C homolysis precedes thermal α-hydrogen abstraction. Radical trapping experiments in the presence of 5,5-dimethyl-1-pyrroline-N-oxide (DMPO) support formation of an alkyl radical in these reactions. DFT calculations of models of 1 and 2 are also consistent with formation of W(V)-alkyl-radical intermediates that ultimately abstract an α-hydrogen to form the alkylidene. This study provides evidence for W-C bond cleavage in reactions that convert catalytically inactive d0 tungstacyclopentanes into metathesis-active alkylidenes.</w:t>
      </w:r>
    </w:p>
    <w:p>
      <w:pPr>
        <w:spacing w:before="120" w:after="120"/>
      </w:pPr>
      <w:r>
        <w:rPr>
          <w:sz w:val="18"/>
        </w:rPr>
        <w:t>——————————————————————————————————————————————————————————————————————</w:t>
      </w:r>
    </w:p>
    <w:p>
      <w:pPr>
        <w:spacing w:before="160" w:after="40" w:line="240" w:lineRule="auto"/>
      </w:pPr>
      <w:r>
        <w:rPr>
          <w:b/>
        </w:rPr>
        <w:t xml:space="preserve">[508] </w:t>
      </w:r>
      <w:hyperlink r:id="rId903">
        <w:r>
          <w:rPr>
            <w:color w:val="1155CC"/>
            <w:u w:val="single"/>
          </w:rPr>
          <w:t>[ASAP] 氨酸残留物-Driven Nanoparticle 瞄准蛋白物质:表层化学</w:t>
        </w:r>
      </w:hyperlink>
    </w:p>
    <w:p>
      <w:pPr>
        <w:spacing w:before="0" w:after="80"/>
      </w:pPr>
      <w:r>
        <w:rPr>
          <w:i/>
          <w:sz w:val="20"/>
        </w:rPr>
        <w:t>EN: [ASAP] Amino Acid Residue-Driven Nanoparticle Targeting of Protein Cavities: Surface Chemistry Dictates Binding Specificity beyond Size Complementarity</w:t>
      </w:r>
    </w:p>
    <w:p>
      <w:pPr>
        <w:spacing w:before="0" w:after="120"/>
      </w:pPr>
      <w:r>
        <w:rPr>
          <w:b/>
        </w:rPr>
        <w:t xml:space="preserve">Source: </w:t>
      </w:r>
      <w:r>
        <w:t>Journal of the American Chemical Society: Latest Articles (ACS Publications)</w:t>
      </w:r>
      <w:r>
        <w:t xml:space="preserve">    </w:t>
      </w:r>
      <w:r>
        <w:rPr>
          <w:b/>
        </w:rPr>
        <w:t xml:space="preserve">Pub date: </w:t>
      </w:r>
      <w:r>
        <w:t>2026-01-06 17:18:47+00:00</w:t>
      </w:r>
      <w:r>
        <w:t xml:space="preserve">    </w:t>
      </w:r>
      <w:r>
        <w:rPr>
          <w:b/>
        </w:rPr>
        <w:t xml:space="preserve">DOI: </w:t>
      </w:r>
      <w:hyperlink r:id="rId904">
        <w:r>
          <w:rPr>
            <w:color w:val="1155CC"/>
            <w:u w:val="single"/>
          </w:rPr>
          <w:t>10.1021/jacs.5c15860</w:t>
        </w:r>
      </w:hyperlink>
    </w:p>
    <w:p>
      <w:pPr>
        <w:spacing w:before="0" w:after="120"/>
      </w:pPr>
      <w:r>
        <w:rPr>
          <w:b/>
        </w:rPr>
        <w:t xml:space="preserve">Notes: </w:t>
      </w:r>
      <w:r>
        <w:t>abstract_source=pubmed</w:t>
      </w:r>
    </w:p>
    <w:p>
      <w:pPr>
        <w:spacing w:before="0" w:after="80" w:lineRule="auto" w:line="276"/>
      </w:pPr>
      <w:r>
        <w:rPr>
          <w:b/>
        </w:rPr>
        <w:t xml:space="preserve">摘要（ZH）: </w:t>
      </w:r>
      <w:r>
        <w:t>蛋白质-蛋白质互动界面的裂痕被认为是“不可药用”的,因为它们浅度或大度的地貌阻碍小分子稳定地捆绑小分子,克服这一限制对于开发新疗法至关重要。适合尺寸的氧化纳米粒子(CeO2NPs)可以占据SARS-COV-2峰值的5 nm中央腔,从而抑制感染。虽然尺寸兼容性能够让洞穴进入,但其他目标参数仍然不明确。S三重特征中和横向洞穴(直径为5 nm)可以容纳NPs。为了探索关于血管定位的因素,我们比较了尺寸相配的CeO2NPs和金NPs(ANPs),评估它们与微量孔的结合,并调查其选择性互动所依据的机制。</w:t>
      </w:r>
    </w:p>
    <w:p>
      <w:pPr>
        <w:spacing w:before="0" w:after="200" w:lineRule="auto" w:line="276"/>
      </w:pPr>
      <w:r>
        <w:rPr>
          <w:b/>
        </w:rPr>
        <w:t xml:space="preserve">Abstract (EN): </w:t>
      </w:r>
      <w:r>
        <w:t>Cavities at protein-protein interaction interfaces are considered "undruggable" because their shallow or large geometries hinder stable binding by small molecules. Overcoming this limitation is essential for developing new therapies. Cerium oxide nanoparticles (CeO2NPs) of a suitable size can occupy the 5 nm central cavity of the SARS-CoV-2 spike (S) trimer, thereby inhibiting infection. Although size compatibility enables cavity access, other targeting parameters remain unclear. The S trimer features central and lateral cavities, both ∼5 nm in diameter, that can accommodate NPs. To explore factors governing cavity targeting, we compared size-matched CeO2NPs and gold NPs (AuNPs), evaluating their binding to S-trimer cavities and investigating mechanisms underlying their selective interactions. Despite comparable antiviral activity, the two NPs exhibited different binding profiles. Biolayer interferometry confirmed strong binding of both NPs to the S trimer, while only CeO2NPs selectively targeted the receptor-binding domain (RBD). CeO2NPs preferentially occupied the central cavity enriched with Asp residues. However, AuNPs bind to the lateral cavities, including the S1/S2 cleavage site, where they interact with Arg-rich motifs for furin-mediated activation of the S protein. Mechanistically, CeO2NPs achieved stable binding by coordinating with Asp carboxyl groups in the central cavity, while AuNPs bound lateral cavities primarily via electrostatic attraction with Arg residues. These findings suggest that residue-level recognition governs NP binding among sterically accessible protein cavities, with size compatibility enabling access and surface-residue matching defining binding selectivity. The insight provides a strategy for designing NPs to engage recessed features on protein surfaces previously inaccessible, enabling selective functional modulation and broader biomedical applications.</w:t>
      </w:r>
    </w:p>
    <w:p>
      <w:pPr>
        <w:spacing w:before="120" w:after="120"/>
      </w:pPr>
      <w:r>
        <w:rPr>
          <w:sz w:val="18"/>
        </w:rPr>
        <w:t>——————————————————————————————————————————————————————————————————————</w:t>
      </w:r>
    </w:p>
    <w:p>
      <w:pPr>
        <w:spacing w:before="160" w:after="40" w:line="240" w:lineRule="auto"/>
      </w:pPr>
      <w:r>
        <w:rPr>
          <w:b/>
        </w:rPr>
        <w:t xml:space="preserve">[509] </w:t>
      </w:r>
      <w:hyperlink r:id="rId905">
        <w:r>
          <w:rPr>
            <w:color w:val="1155CC"/>
            <w:u w:val="single"/>
          </w:rPr>
          <w:t>[ASAP] 通过工程化国际能源转让自行吸收无 Perovskite X射线X射线散射器</w:t>
        </w:r>
      </w:hyperlink>
    </w:p>
    <w:p>
      <w:pPr>
        <w:spacing w:before="0" w:after="80"/>
      </w:pPr>
      <w:r>
        <w:rPr>
          <w:i/>
          <w:sz w:val="20"/>
        </w:rPr>
        <w:t>EN: [ASAP] Self-Absorption-Free Perovskite X-ray Scintillators via Engineered Interfacial Energy Transfer</w:t>
      </w:r>
    </w:p>
    <w:p>
      <w:pPr>
        <w:spacing w:before="0" w:after="120"/>
      </w:pPr>
      <w:r>
        <w:rPr>
          <w:b/>
        </w:rPr>
        <w:t xml:space="preserve">Source: </w:t>
      </w:r>
      <w:r>
        <w:t>ACS Energy Letters: Latest Articles (ACS Publications)</w:t>
      </w:r>
      <w:r>
        <w:t xml:space="preserve">    </w:t>
      </w:r>
      <w:r>
        <w:rPr>
          <w:b/>
        </w:rPr>
        <w:t xml:space="preserve">Pub date: </w:t>
      </w:r>
      <w:r>
        <w:t>2026-01-06 17:20:41+00:00</w:t>
      </w:r>
      <w:r>
        <w:t xml:space="preserve">    </w:t>
      </w:r>
      <w:r>
        <w:rPr>
          <w:b/>
        </w:rPr>
        <w:t xml:space="preserve">DOI: </w:t>
      </w:r>
      <w:hyperlink r:id="rId906">
        <w:r>
          <w:rPr>
            <w:color w:val="1155CC"/>
            <w:u w:val="single"/>
          </w:rPr>
          <w:t>10.1021/acsenergylett.5c03558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[510] </w:t>
      </w:r>
      <w:hyperlink r:id="rId907">
        <w:r>
          <w:rPr>
            <w:color w:val="1155CC"/>
            <w:u w:val="single"/>
          </w:rPr>
          <w:t>[ASAP] 用于安全高压-高温-高温-离子电池的分子定制深电离电解解槽</w:t>
        </w:r>
      </w:hyperlink>
    </w:p>
    <w:p>
      <w:pPr>
        <w:spacing w:before="0" w:after="80"/>
      </w:pPr>
      <w:r>
        <w:rPr>
          <w:i/>
          <w:sz w:val="20"/>
        </w:rPr>
        <w:t>EN: [ASAP] Molecularly Tailored Deep Eutectic Electrolytes for Safe Elevated-Temperature Sodium-Ion Batteries</w:t>
      </w:r>
    </w:p>
    <w:p>
      <w:pPr>
        <w:spacing w:before="0" w:after="120"/>
      </w:pPr>
      <w:r>
        <w:rPr>
          <w:b/>
        </w:rPr>
        <w:t xml:space="preserve">Source: </w:t>
      </w:r>
      <w:r>
        <w:t>ACS Energy Letters: Latest Articles (ACS Publications)</w:t>
      </w:r>
      <w:r>
        <w:t xml:space="preserve">    </w:t>
      </w:r>
      <w:r>
        <w:rPr>
          <w:b/>
        </w:rPr>
        <w:t xml:space="preserve">Pub date: </w:t>
      </w:r>
      <w:r>
        <w:t>2026-01-06 17:21:41+00:00</w:t>
      </w:r>
      <w:r>
        <w:t xml:space="preserve">    </w:t>
      </w:r>
      <w:r>
        <w:rPr>
          <w:b/>
        </w:rPr>
        <w:t xml:space="preserve">DOI: </w:t>
      </w:r>
      <w:hyperlink r:id="rId908">
        <w:r>
          <w:rPr>
            <w:color w:val="1155CC"/>
            <w:u w:val="single"/>
          </w:rPr>
          <w:t>10.1021/acsenergylett.5c03502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[511] </w:t>
      </w:r>
      <w:hyperlink r:id="rId909">
        <w:r>
          <w:rPr>
            <w:color w:val="1155CC"/>
            <w:u w:val="single"/>
          </w:rPr>
          <w:t>[ASAP] 说明各链际互动对聚乙烯中C-H债券催化恐吓的影响</w:t>
        </w:r>
      </w:hyperlink>
    </w:p>
    <w:p>
      <w:pPr>
        <w:spacing w:before="0" w:after="80"/>
      </w:pPr>
      <w:r>
        <w:rPr>
          <w:i/>
          <w:sz w:val="20"/>
        </w:rPr>
        <w:t>EN: [ASAP] Illuminating the Effects of Interchain Interactions on the Catalytic Amidation of C–H Bonds in Polyethylenes</w:t>
      </w:r>
    </w:p>
    <w:p>
      <w:pPr>
        <w:spacing w:before="0" w:after="120"/>
      </w:pPr>
      <w:r>
        <w:rPr>
          <w:b/>
        </w:rPr>
        <w:t xml:space="preserve">Source: </w:t>
      </w:r>
      <w:r>
        <w:t>Journal of the American Chemical Society: Latest Articles (ACS Publications)</w:t>
      </w:r>
      <w:r>
        <w:t xml:space="preserve">    </w:t>
      </w:r>
      <w:r>
        <w:rPr>
          <w:b/>
        </w:rPr>
        <w:t xml:space="preserve">Pub date: </w:t>
      </w:r>
      <w:r>
        <w:t>2026-01-06 18:23:05+00:00</w:t>
      </w:r>
      <w:r>
        <w:t xml:space="preserve">    </w:t>
      </w:r>
      <w:r>
        <w:rPr>
          <w:b/>
        </w:rPr>
        <w:t xml:space="preserve">DOI: </w:t>
      </w:r>
      <w:hyperlink r:id="rId910">
        <w:r>
          <w:rPr>
            <w:color w:val="1155CC"/>
            <w:u w:val="single"/>
          </w:rPr>
          <w:t>10.1021/jacs.5c13501</w:t>
        </w:r>
      </w:hyperlink>
    </w:p>
    <w:p>
      <w:pPr>
        <w:spacing w:before="0" w:after="120"/>
      </w:pPr>
      <w:r>
        <w:rPr>
          <w:b/>
        </w:rPr>
        <w:t xml:space="preserve">Notes: </w:t>
      </w:r>
      <w:r>
        <w:t>abstract_source=pubmed</w:t>
      </w:r>
    </w:p>
    <w:p>
      <w:pPr>
        <w:spacing w:before="0" w:after="80" w:lineRule="auto" w:line="276"/>
      </w:pPr>
      <w:r>
        <w:rPr>
          <w:b/>
        </w:rPr>
        <w:t xml:space="preserve">摘要（ZH）: </w:t>
      </w:r>
      <w:r>
        <w:t>聚乙烯转化成多用途材料,可带来新的、更可持续的应用。聚乙烯中C-H键的功能化产生具有重要特性的独特聚合物,但这一方法可以获取的材料范围因适合这些碳氢化合物聚合物的反应范围狭窄而受到限制。大型分子特有的特性,例如链条缠绕和高粘度,可能影响反应的相对速度和效率。更深入地了解聚乙烯催化转化与较短的烷的催化转化的起源,将有助于设计针对这些大型分子的新反应,并最终使获得新材料成为可能。我们在这里表明,非二次反应是非二次的。</w:t>
      </w:r>
    </w:p>
    <w:p>
      <w:pPr>
        <w:spacing w:before="0" w:after="200" w:lineRule="auto" w:line="276"/>
      </w:pPr>
      <w:r>
        <w:rPr>
          <w:b/>
        </w:rPr>
        <w:t xml:space="preserve">Abstract (EN): </w:t>
      </w:r>
      <w:r>
        <w:t>Transformations of polyethylenes into more versatile materials could lead to new, more sustainable applications. Functionalization of C-H bonds in polyethylenes creates unique polymers with important properties, but the range of materials accessible by this approach is confined by the narrow scope of reactions that are amenable to these hydrocarbon polymers. Properties unique to macromolecules, such as chain-entanglements and high viscosities, could affect the relative rates and efficiencies of reactions. A deeper understanding of the origin of the differences in the catalytic transformations of polyethylenes from those of shorter alkanes would inform the design of new reactions tailored to these macromolecules and ultimately enable access to new materials. Here we show that noncovalent interactions of functionalized polymer chains affect the efficiency of the catalytic amidation of polyethylenes, limiting the maximum level of functionalization. We found that these noncovalent interactions increase with increasing levels of amide incorporation on the polymer and that these interactions alter the reaction media as the reaction progresses, ultimately suppressing catalytic amidation at later time points. We show that these effects can be mitigated by running reactions with cosolvents and that this approach allows for the highest levels of amide incorporation (up to 7 mol %, relative to monomer units). At this previously inaccessible level of functionalization, the resulting materials possess newfound properties, including dynamic cross-links that toughen the material. Ultimately, this work demonstrates that small-molecule models provide only a partial view into reactions of polyolefins and that factors unique to macromolecules must be considered to develop reactions with them.</w:t>
      </w:r>
    </w:p>
    <w:p>
      <w:pPr>
        <w:spacing w:before="120" w:after="120"/>
      </w:pPr>
      <w:r>
        <w:rPr>
          <w:sz w:val="18"/>
        </w:rPr>
        <w:t>——————————————————————————————————————————————————————————————————————</w:t>
      </w:r>
    </w:p>
    <w:p>
      <w:pPr>
        <w:spacing w:before="160" w:after="40" w:line="240" w:lineRule="auto"/>
      </w:pPr>
      <w:r>
        <w:rPr>
          <w:b/>
        </w:rPr>
        <w:t xml:space="preserve">[512] </w:t>
      </w:r>
      <w:hyperlink r:id="rId911">
        <w:r>
          <w:rPr>
            <w:color w:val="1155CC"/>
            <w:u w:val="single"/>
          </w:rPr>
          <w:t>[ASAP]500多 WH千克-1-1 使用硅聚合电解液化电解液化电解液态金属电池,具有长电聚变稳定性的固态金属电池</w:t>
        </w:r>
      </w:hyperlink>
    </w:p>
    <w:p>
      <w:pPr>
        <w:spacing w:before="0" w:after="80"/>
      </w:pPr>
      <w:r>
        <w:rPr>
          <w:i/>
          <w:sz w:val="20"/>
        </w:rPr>
        <w:t>EN: [ASAP] Over 500 Wh kg–1 Solid-State Lithium Metal Batteries with Long Cycling Stability Using In Situ Polymerized Electrolyte</w:t>
      </w:r>
    </w:p>
    <w:p>
      <w:pPr>
        <w:spacing w:before="0" w:after="120"/>
      </w:pPr>
      <w:r>
        <w:rPr>
          <w:b/>
        </w:rPr>
        <w:t xml:space="preserve">Source: </w:t>
      </w:r>
      <w:r>
        <w:t>Journal of the American Chemical Society: Latest Articles (ACS Publications)</w:t>
      </w:r>
      <w:r>
        <w:t xml:space="preserve">    </w:t>
      </w:r>
      <w:r>
        <w:rPr>
          <w:b/>
        </w:rPr>
        <w:t xml:space="preserve">Pub date: </w:t>
      </w:r>
      <w:r>
        <w:t>2026-01-06 18:50:13+00:00</w:t>
      </w:r>
      <w:r>
        <w:t xml:space="preserve">    </w:t>
      </w:r>
      <w:r>
        <w:rPr>
          <w:b/>
        </w:rPr>
        <w:t xml:space="preserve">DOI: </w:t>
      </w:r>
      <w:hyperlink r:id="rId912">
        <w:r>
          <w:rPr>
            <w:color w:val="1155CC"/>
            <w:u w:val="single"/>
          </w:rPr>
          <w:t>10.1021/jacs.5c17294</w:t>
        </w:r>
      </w:hyperlink>
    </w:p>
    <w:p>
      <w:pPr>
        <w:spacing w:before="0" w:after="120"/>
      </w:pPr>
      <w:r>
        <w:rPr>
          <w:b/>
        </w:rPr>
        <w:t xml:space="preserve">Notes: </w:t>
      </w:r>
      <w:r>
        <w:t>abstract_source=pubmed</w:t>
      </w:r>
    </w:p>
    <w:p>
      <w:pPr>
        <w:spacing w:before="0" w:after="80" w:lineRule="auto" w:line="276"/>
      </w:pPr>
      <w:r>
        <w:rPr>
          <w:b/>
        </w:rPr>
        <w:t xml:space="preserve">摘要（ZH）: </w:t>
      </w:r>
      <w:r>
        <w:t>液态金属电池(LMBs)因其具有高能量密度的潜力,被视为下一代能源储存系统(LMBs)的“热裂体”,但是,在锂金属阳极上不受控制的锂脱脂增长导致循环不稳定性差,安全风险严重,阻碍其实际部署。在这里,我们设计了一种现场聚合的基于POSS的凝胶聚聚聚体电解解液(POSS-GPE),在室温下显示高离子传导性(3.04 mS厘米-1),极好的氧化稳定性(&gt;4.9 V vs Li+/Li),与各种电极材料的广泛兼容性,以及固有的阻燃性。POSS-GPE建立了一个富离子溶化环境,促进在阴极和阳极上形成坚固的、由电源产生的电极-电极间相。</w:t>
      </w:r>
    </w:p>
    <w:p>
      <w:pPr>
        <w:spacing w:before="0" w:after="200" w:lineRule="auto" w:line="276"/>
      </w:pPr>
      <w:r>
        <w:rPr>
          <w:b/>
        </w:rPr>
        <w:t xml:space="preserve">Abstract (EN): </w:t>
      </w:r>
      <w:r>
        <w:t>Lithium metal batteries (LMBs) are regarded as the "holy grail" of next-generation energy storage systems due to their potential for high energy density. However, uncontrolled lithium dendrite growth on lithium metal anodes leads to poor cycling stability and serious safety risks, hindering their practical deployment. Herein, we design an in situ polymerized POSS-based gel polymer electrolyte (POSS-GPE) that exhibits high ionic conductivity (3.04 mS cm-1 at room temperature), excellent oxidative stability (&gt;4.9 V vs Li+/Li), broad compatibility with diverse electrode materials, and intrinsic flame retardancy. The POSS-GPE establishes an anion-rich solvation environment that promotes the formation of robust, anion-derived electrode-electrolyte interphase on both the cathode and anode, thus mitigating interfacial degradation. As a result, LiNi0.8Co0.1Mn0.1O2|POSS-GPE|Li (50 μm) full cell delivers long-term cycling stability of 500 cycles with 87.3% capacity retention. Furthermore, a 6.08 Ah pouch cell with lean electrolyte (1.40 g Ah-1) achieves a remarkable energy density of 511.2 Wh kg-1 and cycles stably for 70 cycles at 4.6 V, representing the best balance between cycling performance and energy density for polymer-electrolyte-based LMBs. The high-energy-density pouch cells also demonstrate superior safety in nail-penetration tests. This work presents a promising strategy for developing practical high-energy-density and high-safety LMBs.</w:t>
      </w:r>
    </w:p>
    <w:p>
      <w:pPr>
        <w:spacing w:before="120" w:after="120"/>
      </w:pPr>
      <w:r>
        <w:rPr>
          <w:sz w:val="18"/>
        </w:rPr>
        <w:t>——————————————————————————————————————————————————————————————————————</w:t>
      </w:r>
    </w:p>
    <w:p>
      <w:pPr>
        <w:spacing w:before="160" w:after="40" w:line="240" w:lineRule="auto"/>
      </w:pPr>
      <w:r>
        <w:rPr>
          <w:b/>
        </w:rPr>
        <w:t xml:space="preserve">[513] </w:t>
      </w:r>
      <w:hyperlink r:id="rId913">
        <w:r>
          <w:rPr>
            <w:color w:val="1155CC"/>
            <w:u w:val="single"/>
          </w:rPr>
          <w:t>[ASAP]探索在电气接口上进行微滴爆炸的机制</w:t>
        </w:r>
      </w:hyperlink>
    </w:p>
    <w:p>
      <w:pPr>
        <w:spacing w:before="0" w:after="80"/>
      </w:pPr>
      <w:r>
        <w:rPr>
          <w:i/>
          <w:sz w:val="20"/>
        </w:rPr>
        <w:t>EN: [ASAP] Exploring the Mechanism of Microdroplet Explosion on an Electrified Interface</w:t>
      </w:r>
    </w:p>
    <w:p>
      <w:pPr>
        <w:spacing w:before="0" w:after="120"/>
      </w:pPr>
      <w:r>
        <w:rPr>
          <w:b/>
        </w:rPr>
        <w:t xml:space="preserve">Source: </w:t>
      </w:r>
      <w:r>
        <w:t>Journal of the American Chemical Society: Latest Articles (ACS Publications)</w:t>
      </w:r>
      <w:r>
        <w:t xml:space="preserve">    </w:t>
      </w:r>
      <w:r>
        <w:rPr>
          <w:b/>
        </w:rPr>
        <w:t xml:space="preserve">Pub date: </w:t>
      </w:r>
      <w:r>
        <w:t>2026-01-06 18:59:49+00:00</w:t>
      </w:r>
      <w:r>
        <w:t xml:space="preserve">    </w:t>
      </w:r>
      <w:r>
        <w:rPr>
          <w:b/>
        </w:rPr>
        <w:t xml:space="preserve">DOI: </w:t>
      </w:r>
      <w:hyperlink r:id="rId914">
        <w:r>
          <w:rPr>
            <w:color w:val="1155CC"/>
            <w:u w:val="single"/>
          </w:rPr>
          <w:t>10.1021/jacs.5c18741</w:t>
        </w:r>
      </w:hyperlink>
    </w:p>
    <w:p>
      <w:pPr>
        <w:spacing w:before="0" w:after="120"/>
      </w:pPr>
      <w:r>
        <w:rPr>
          <w:b/>
        </w:rPr>
        <w:t xml:space="preserve">Notes: </w:t>
      </w:r>
      <w:r>
        <w:t>abstract_source=pubmed</w:t>
      </w:r>
    </w:p>
    <w:p>
      <w:pPr>
        <w:spacing w:before="0" w:after="80" w:lineRule="auto" w:line="276"/>
      </w:pPr>
      <w:r>
        <w:rPr>
          <w:b/>
        </w:rPr>
        <w:t xml:space="preserve">摘要（ZH）: </w:t>
      </w:r>
      <w:r>
        <w:t>微粒子的重要性已成为科学的前沿:从催化到与生物相关的反应。许多技术被用于研究这些滴子,甚至在其工作流程中更多地使用:特别重要的是电吸管与质量光谱测量和小滴基微氟化物相结合。 特别是,微粒子的电化学显微镜最近揭示了物理化学现象,例如从催化到与生物相关的反应。这里,我们使用共同的ECL系统来观察在使用减小潜力时,有机微粒粒子在氧化锡(ITO)电极表面的爆炸。此外,我们提出了一个模型,表明这些事件是由电极表面的上升引起的。</w:t>
      </w:r>
    </w:p>
    <w:p>
      <w:pPr>
        <w:spacing w:before="0" w:after="200" w:lineRule="auto" w:line="276"/>
      </w:pPr>
      <w:r>
        <w:rPr>
          <w:b/>
        </w:rPr>
        <w:t xml:space="preserve">Abstract (EN): </w:t>
      </w:r>
      <w:r>
        <w:t>The importance of microdroplets has become a forefront of science: from catalysis to biologically relevant reactions. Many techniques are used to study these droplets, and even more use them in their workflow: of notable importance is electrospray coupled with mass spectrometry and droplet-based microfluidics. Particularly, electrochemiluminescence (ECL) microscopy of microdroplets has recently elucidated physicochemical phenomena such as interfacial tension and buoyancy forces of microdroplets adsorbed to the surface of an electrode. Here, we use a common ECL system to observe the explosion of an organic microdroplet on the surface of an indium tin oxide (ITO) electrode when a reducing potential is applied. Moreover, we propose a model in which these events are caused by an increase in coulombic repulsion forces from the reduction of benzoyl peroxide, combined with the in operando surface reduction and modification of the electrode. We show that one can modulate the wetting and increase the time to explosion by over 100×, or halt the process by using surfactants and interfacial chemistry. Furthermore, by using the metal oxide electrode, a 1000x less voltage is needed compared to that of traditional electrospray techniques. These results could have broad implications for fields that have been expanded by electrospray, such as geology, materials science, synthesis, and biology.</w:t>
      </w:r>
    </w:p>
    <w:p>
      <w:pPr>
        <w:spacing w:before="120" w:after="120"/>
      </w:pPr>
      <w:r>
        <w:rPr>
          <w:sz w:val="18"/>
        </w:rPr>
        <w:t>——————————————————————————————————————————————————————————————————————</w:t>
      </w:r>
    </w:p>
    <w:p>
      <w:pPr>
        <w:spacing w:before="160" w:after="40" w:line="240" w:lineRule="auto"/>
      </w:pPr>
      <w:r>
        <w:rPr>
          <w:b/>
        </w:rPr>
        <w:t xml:space="preserve">[514] </w:t>
      </w:r>
      <w:hyperlink r:id="rId915">
        <w:r>
          <w:rPr>
            <w:color w:val="1155CC"/>
            <w:u w:val="single"/>
          </w:rPr>
          <w:t>[ASAP]主机 — 相互控制控制地点选择地点主标 — C - H 芳香化合物的恒星</w:t>
        </w:r>
      </w:hyperlink>
    </w:p>
    <w:p>
      <w:pPr>
        <w:spacing w:before="0" w:after="80"/>
      </w:pPr>
      <w:r>
        <w:rPr>
          <w:i/>
          <w:sz w:val="20"/>
        </w:rPr>
        <w:t>EN: [ASAP] Host–Guest Interaction-Controlled Site-Selective C–H Borylation of Aromatic Compounds</w:t>
      </w:r>
    </w:p>
    <w:p>
      <w:pPr>
        <w:spacing w:before="0" w:after="120"/>
      </w:pPr>
      <w:r>
        <w:rPr>
          <w:b/>
        </w:rPr>
        <w:t xml:space="preserve">Source: </w:t>
      </w:r>
      <w:r>
        <w:t>Journal of the American Chemical Society: Latest Articles (ACS Publications)</w:t>
      </w:r>
      <w:r>
        <w:t xml:space="preserve">    </w:t>
      </w:r>
      <w:r>
        <w:rPr>
          <w:b/>
        </w:rPr>
        <w:t xml:space="preserve">Pub date: </w:t>
      </w:r>
      <w:r>
        <w:t>2026-01-06 19:26:13+00:00</w:t>
      </w:r>
      <w:r>
        <w:t xml:space="preserve">    </w:t>
      </w:r>
      <w:r>
        <w:rPr>
          <w:b/>
        </w:rPr>
        <w:t xml:space="preserve">DOI: </w:t>
      </w:r>
      <w:hyperlink r:id="rId916">
        <w:r>
          <w:rPr>
            <w:color w:val="1155CC"/>
            <w:u w:val="single"/>
          </w:rPr>
          <w:t>10.1021/jacs.5c21178</w:t>
        </w:r>
      </w:hyperlink>
    </w:p>
    <w:p>
      <w:pPr>
        <w:spacing w:before="0" w:after="120"/>
      </w:pPr>
      <w:r>
        <w:rPr>
          <w:b/>
        </w:rPr>
        <w:t xml:space="preserve">Notes: </w:t>
      </w:r>
      <w:r>
        <w:t>abstract_source=pubmed</w:t>
      </w:r>
    </w:p>
    <w:p>
      <w:pPr>
        <w:spacing w:before="0" w:after="80" w:lineRule="auto" w:line="276"/>
      </w:pPr>
      <w:r>
        <w:rPr>
          <w:b/>
        </w:rPr>
        <w:t xml:space="preserve">摘要（ZH）: </w:t>
      </w:r>
      <w:r>
        <w:t>在有机合成中,对芳香化合物进行现场选择性改造仍然是一项挑战。控制现场选择性的常规方法经常使用指导组,由于需要协调功能组,限制基质的可用性。在此,我们报告了一项战略,即催化剂的循环性能通过催化剂和基质之间的宿主-观众互动认识和困住基质,使催化活跃场能够优先接近理想的反应场,从而促成现场选择性反应。这种催化剂可用于控制缺乏功能组的基质的现场选择性,而功能组在常规方法中至关重要。这些结果有可能扩大基质范围,并提供新的含汞材料。</w:t>
      </w:r>
    </w:p>
    <w:p>
      <w:pPr>
        <w:spacing w:before="0" w:after="200" w:lineRule="auto" w:line="276"/>
      </w:pPr>
      <w:r>
        <w:rPr>
          <w:b/>
        </w:rPr>
        <w:t xml:space="preserve">Abstract (EN): </w:t>
      </w:r>
      <w:r>
        <w:t>The site-selective transformation of aromatic compounds remains a challenge in organic synthesis. Conventional methods for controlling site-selectivity often use directing groups, which limit substrate availability owing to the need for coordinating functional groups. Herein, we report a strategy in which the cyclic moiety of a catalyst recognizes and traps the substrate via host-guest interaction between the catalyst and substrate, allowing the catalytically active site to preferentially approach the desired reaction site, thereby enabling site-selective reactions. This catalyst can be used to control the site-selectivity of substrates that lack functional groups, which are essential in conventional methods. These results have the potential to extend the substrate scope and provide new catalyst designs for carbon-hydrogen bond transformations.</w:t>
      </w:r>
    </w:p>
    <w:p>
      <w:pPr>
        <w:spacing w:before="120" w:after="120"/>
      </w:pPr>
      <w:r>
        <w:rPr>
          <w:sz w:val="18"/>
        </w:rPr>
        <w:t>——————————————————————————————————————————————————————————————————————</w:t>
      </w:r>
    </w:p>
    <w:p>
      <w:pPr>
        <w:spacing w:before="160" w:after="40" w:line="240" w:lineRule="auto"/>
      </w:pPr>
      <w:r>
        <w:rPr>
          <w:b/>
        </w:rPr>
        <w:t xml:space="preserve">[515] </w:t>
      </w:r>
      <w:hyperlink r:id="rId917">
        <w:r>
          <w:rPr>
            <w:color w:val="1155CC"/>
            <w:u w:val="single"/>
          </w:rPr>
          <w:t>[ASAP] 用于增强光动力催化减少二氧化碳的定制的基于三维三维多元共振共振有机框架</w:t>
        </w:r>
      </w:hyperlink>
    </w:p>
    <w:p>
      <w:pPr>
        <w:spacing w:before="0" w:after="80"/>
      </w:pPr>
      <w:r>
        <w:rPr>
          <w:i/>
          <w:sz w:val="20"/>
        </w:rPr>
        <w:t>EN: [ASAP] Tailored Metalloporphyrin-Based Three-Dimensional Covalent Organic Frameworks for Enhanced Photocatalytic CO2 Reduction</w:t>
      </w:r>
    </w:p>
    <w:p>
      <w:pPr>
        <w:spacing w:before="0" w:after="120"/>
      </w:pPr>
      <w:r>
        <w:rPr>
          <w:b/>
        </w:rPr>
        <w:t xml:space="preserve">Source: </w:t>
      </w:r>
      <w:r>
        <w:t>Journal of the American Chemical Society: Latest Articles (ACS Publications)</w:t>
      </w:r>
      <w:r>
        <w:t xml:space="preserve">    </w:t>
      </w:r>
      <w:r>
        <w:rPr>
          <w:b/>
        </w:rPr>
        <w:t xml:space="preserve">Pub date: </w:t>
      </w:r>
      <w:r>
        <w:t>2026-01-06 20:19:40+00:00</w:t>
      </w:r>
      <w:r>
        <w:t xml:space="preserve">    </w:t>
      </w:r>
      <w:r>
        <w:rPr>
          <w:b/>
        </w:rPr>
        <w:t xml:space="preserve">DOI: </w:t>
      </w:r>
      <w:hyperlink r:id="rId918">
        <w:r>
          <w:rPr>
            <w:color w:val="1155CC"/>
            <w:u w:val="single"/>
          </w:rPr>
          <w:t>10.1021/jacs.5c17816</w:t>
        </w:r>
      </w:hyperlink>
    </w:p>
    <w:p>
      <w:pPr>
        <w:spacing w:before="0" w:after="120"/>
      </w:pPr>
      <w:r>
        <w:rPr>
          <w:b/>
        </w:rPr>
        <w:t xml:space="preserve">Notes: </w:t>
      </w:r>
      <w:r>
        <w:t>abstract_source=pubmed</w:t>
      </w:r>
    </w:p>
    <w:p>
      <w:pPr>
        <w:spacing w:before="0" w:after="80" w:lineRule="auto" w:line="276"/>
      </w:pPr>
      <w:r>
        <w:rPr>
          <w:b/>
        </w:rPr>
        <w:t xml:space="preserve">摘要（ZH）: </w:t>
      </w:r>
      <w:r>
        <w:t>开发高效的减少二氧化碳的光化催化器对于解决气候和能源问题至关重要,三维共价有机框架(3DCOF)已成为潜在的候选物;然而,合成和结构分析方面的挑战阻碍了高性能光化催化器的合理设计。在这里,我们报告了一系列高晶状金属卤素3DCOF(3D-MPor-COF,M = Co, Ni, Pt)的设计和合成,具有5倍的表层特征。光催化剂实验显示,金属中心对其活动产生了重大影响,3D-CoPor-COF的CO产量达到11.3毫米g-1h-1和91.9%的选择性。通过孔状增产3D-CoPor-Ph-COF进一步优化。</w:t>
      </w:r>
    </w:p>
    <w:p>
      <w:pPr>
        <w:spacing w:before="0" w:after="200" w:lineRule="auto" w:line="276"/>
      </w:pPr>
      <w:r>
        <w:rPr>
          <w:b/>
        </w:rPr>
        <w:t xml:space="preserve">Abstract (EN): </w:t>
      </w:r>
      <w:r>
        <w:t>The development of efficient photocatalysts for CO2 reduction is essential for addressing climate and energy issues. Three-dimensional covalent organic frameworks (3D COFs) have emerged as potential candidates; however, challenges in their synthesis and structural analysis have hindered the rational design of high-performance photocatalysts. Here, we report the design and synthesis of a series of highly crystalline metalloporphyrin-based 3D COFs (3D-MPor-COF, M = Co, Ni, Pt) featuring 5-fold pts topology. Photocatalytic experiments reveal that the metal center significantly affects their activity, with 3D-CoPor-COF achieving a CO production rate of ∼11.3 mmol g-1 h-1 and 91.9% selectivity. Further optimization through pore enlargement yields isoreticular 3D-CoPor-Ph-COF, which exhibits a substantially enhanced rate of ∼20.7 mmol g-1 h-1 and 95.4% selectivity. These results highlight the critical role of tailoring pore environments─including both catalytic site identity and pore size─to optimize 3D COFs for photocatalytic CO2 reduction, offering molecular-level insights for the development of COF-based photocatalysts in sustainable energy applications.</w:t>
      </w:r>
    </w:p>
    <w:p>
      <w:pPr>
        <w:spacing w:before="120" w:after="120"/>
      </w:pPr>
      <w:r>
        <w:rPr>
          <w:sz w:val="18"/>
        </w:rPr>
        <w:t>——————————————————————————————————————————————————————————————————————</w:t>
      </w:r>
    </w:p>
    <w:p>
      <w:pPr>
        <w:spacing w:before="160" w:after="40" w:line="240" w:lineRule="auto"/>
      </w:pPr>
      <w:r>
        <w:rPr>
          <w:b/>
        </w:rPr>
        <w:t xml:space="preserve">[516] </w:t>
      </w:r>
      <w:hyperlink r:id="rId919">
        <w:r>
          <w:rPr>
            <w:color w:val="1155CC"/>
            <w:u w:val="single"/>
          </w:rPr>
          <w:t>[ASAP] 照片-DAC:一个光基直接空中捕获</w:t>
        </w:r>
      </w:hyperlink>
    </w:p>
    <w:p>
      <w:pPr>
        <w:spacing w:before="0" w:after="80"/>
      </w:pPr>
      <w:r>
        <w:rPr>
          <w:i/>
          <w:sz w:val="20"/>
        </w:rPr>
        <w:t>EN: [ASAP] Photo-DAC: Light-Driven Ambient-Temperature Direct Air Capture by a Photobase</w:t>
      </w:r>
    </w:p>
    <w:p>
      <w:pPr>
        <w:spacing w:before="0" w:after="120"/>
      </w:pPr>
      <w:r>
        <w:rPr>
          <w:b/>
        </w:rPr>
        <w:t xml:space="preserve">Source: </w:t>
      </w:r>
      <w:r>
        <w:t>Journal of the American Chemical Society: Latest Articles (ACS Publications)</w:t>
      </w:r>
      <w:r>
        <w:t xml:space="preserve">    </w:t>
      </w:r>
      <w:r>
        <w:rPr>
          <w:b/>
        </w:rPr>
        <w:t xml:space="preserve">Pub date: </w:t>
      </w:r>
      <w:r>
        <w:t>2026-01-06 20:44:03+00:00</w:t>
      </w:r>
      <w:r>
        <w:t xml:space="preserve">    </w:t>
      </w:r>
      <w:r>
        <w:rPr>
          <w:b/>
        </w:rPr>
        <w:t xml:space="preserve">DOI: </w:t>
      </w:r>
      <w:hyperlink r:id="rId920">
        <w:r>
          <w:rPr>
            <w:color w:val="1155CC"/>
            <w:u w:val="single"/>
          </w:rPr>
          <w:t>10.1021/jacs.5c18831</w:t>
        </w:r>
      </w:hyperlink>
    </w:p>
    <w:p>
      <w:pPr>
        <w:spacing w:before="0" w:after="120"/>
      </w:pPr>
      <w:r>
        <w:rPr>
          <w:b/>
        </w:rPr>
        <w:t xml:space="preserve">Notes: </w:t>
      </w:r>
      <w:r>
        <w:t>abstract_source=pubmed</w:t>
      </w:r>
    </w:p>
    <w:p>
      <w:pPr>
        <w:spacing w:before="0" w:after="80" w:lineRule="auto" w:line="276"/>
      </w:pPr>
      <w:r>
        <w:rPr>
          <w:b/>
        </w:rPr>
        <w:t xml:space="preserve">摘要（ZH）: </w:t>
      </w:r>
      <w:r>
        <w:t>直接捕获空气(DAC)可能会将大气CO2浓度降低到工业化前的水平,但当前DAC技术所涉及的高能和高温阻碍了大规模部署。在水基CO2吸收剂的情况下,热驱动溶剂再生所需的取暖和沸水将受到高强度惩罚。这可以通过光化学驱动的pH 摇动(pH pH ) 来避免,包括光酸或光基,以及利用丰富的和可再生的太阳能,尽管在现实的多周期DAC进程中有效的溶剂再生和再循环仍然具有挑战性。</w:t>
      </w:r>
    </w:p>
    <w:p>
      <w:pPr>
        <w:spacing w:before="0" w:after="200" w:lineRule="auto" w:line="276"/>
      </w:pPr>
      <w:r>
        <w:rPr>
          <w:b/>
        </w:rPr>
        <w:t xml:space="preserve">Abstract (EN): </w:t>
      </w:r>
      <w:r>
        <w:t>Direct air capture (DAC) may reduce atmospheric CO2 concentrations to preindustrial levels, yet the high energies and temperatures involved in current DAC technologies hinder large-scale deployment. In the case of aqueous-based CO2 absorbents, a large energetic penalty is associated with heating and boiling off water, as required for thermally driven solvent regeneration. This could be avoided via photochemically driven pH swings involving photoacids or photobases, and harnessing abundant and renewable solar energy, though efficient solvent regeneration and recycling in a realistic multicycle DAC process remains challenging. Herein, we report a photochemically driven DAC process (photo-DAC) in which atmospheric CO2 capture by an aqueous glycylglycine (GlyGly) solution is enabled through a pH swing by a pyridine-substituted diiminoguanidine (PyDIG) photobase. Upon irradiation with UV light, the PyDIG photobase undergoes photoisomerization from the E,E to the Z,Z isomer, corresponding to a pKa increase of 2.8 units that activates GlyGly for DAC through deprotonation. After the GlyGly/PyDIG solvent is saturated with atmospheric carbon dioxide, leaving it in the dark under ambient conditions leads to the isomerization of PyDIG from the Z,Z back to the E,E isomer, which is accompanied by a pH drop and CO2 release. To demonstrate the recyclability of the GlyGly/PyDIG solvent, we have completed six consecutive DAC cycles, with a measured average cyclic capacity in the range of 0.21-0.26 mol CO2 per mol of GlyGly/PyDIG. These results open the prospect for energy-efficient DAC cycles completed entirely at ambient conditions, thereby avoiding the significant energy penalties associated with heating and boiling aqueous solvents.</w:t>
      </w:r>
    </w:p>
    <w:p>
      <w:pPr>
        <w:spacing w:before="120" w:after="120"/>
      </w:pPr>
      <w:r>
        <w:rPr>
          <w:sz w:val="18"/>
        </w:rPr>
        <w:t>——————————————————————————————————————————————————————————————————————</w:t>
      </w:r>
    </w:p>
    <w:p>
      <w:pPr>
        <w:spacing w:before="160" w:after="40" w:line="240" w:lineRule="auto"/>
      </w:pPr>
      <w:r>
        <w:rPr>
          <w:b/>
        </w:rPr>
        <w:t xml:space="preserve">[517] </w:t>
      </w:r>
      <w:hyperlink r:id="rId921">
        <w:r>
          <w:rPr>
            <w:color w:val="1155CC"/>
            <w:u w:val="single"/>
          </w:rPr>
          <w:t>[ASAP]三电导化学反应:连接机械能源和可持续化学</w:t>
        </w:r>
      </w:hyperlink>
    </w:p>
    <w:p>
      <w:pPr>
        <w:spacing w:before="0" w:after="80"/>
      </w:pPr>
      <w:r>
        <w:rPr>
          <w:i/>
          <w:sz w:val="20"/>
        </w:rPr>
        <w:t>EN: [ASAP] Triboelectrically Induced Chemical Reactions: Bridging Mechanical Energy and Sustainable Chemistry</w:t>
      </w:r>
    </w:p>
    <w:p>
      <w:pPr>
        <w:spacing w:before="0" w:after="120"/>
      </w:pPr>
      <w:r>
        <w:rPr>
          <w:b/>
        </w:rPr>
        <w:t xml:space="preserve">Source: </w:t>
      </w:r>
      <w:r>
        <w:t>ACS Energy Letters: Latest Articles (ACS Publications)</w:t>
      </w:r>
      <w:r>
        <w:t xml:space="preserve">    </w:t>
      </w:r>
      <w:r>
        <w:rPr>
          <w:b/>
        </w:rPr>
        <w:t xml:space="preserve">Pub date: </w:t>
      </w:r>
      <w:r>
        <w:t>2026-01-06 20:48:40+00:00</w:t>
      </w:r>
      <w:r>
        <w:t xml:space="preserve">    </w:t>
      </w:r>
      <w:r>
        <w:rPr>
          <w:b/>
        </w:rPr>
        <w:t xml:space="preserve">DOI: </w:t>
      </w:r>
      <w:hyperlink r:id="rId922">
        <w:r>
          <w:rPr>
            <w:color w:val="1155CC"/>
            <w:u w:val="single"/>
          </w:rPr>
          <w:t>10.1021/acsenergylett.5c03297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[518] </w:t>
      </w:r>
      <w:hyperlink r:id="rId923">
        <w:r>
          <w:rPr>
            <w:color w:val="1155CC"/>
            <w:u w:val="single"/>
          </w:rPr>
          <w:t>[ASAP] 海洋二氧化碳的清除和储存</w:t>
        </w:r>
      </w:hyperlink>
    </w:p>
    <w:p>
      <w:pPr>
        <w:spacing w:before="0" w:after="80"/>
      </w:pPr>
      <w:r>
        <w:rPr>
          <w:i/>
          <w:sz w:val="20"/>
        </w:rPr>
        <w:t>EN: [ASAP] Ocean Carbon Dioxide Removal and Storage</w:t>
      </w:r>
    </w:p>
    <w:p>
      <w:pPr>
        <w:spacing w:before="0" w:after="120"/>
      </w:pPr>
      <w:r>
        <w:rPr>
          <w:b/>
        </w:rPr>
        <w:t xml:space="preserve">Source: </w:t>
      </w:r>
      <w:r>
        <w:t>Chemical Reviews: Latest Articles (ACS Publications)</w:t>
      </w:r>
      <w:r>
        <w:t xml:space="preserve">    </w:t>
      </w:r>
      <w:r>
        <w:rPr>
          <w:b/>
        </w:rPr>
        <w:t xml:space="preserve">Pub date: </w:t>
      </w:r>
      <w:r>
        <w:t>2026-01-06 20:51:34+00:00</w:t>
      </w:r>
      <w:r>
        <w:t xml:space="preserve">    </w:t>
      </w:r>
      <w:r>
        <w:rPr>
          <w:b/>
        </w:rPr>
        <w:t xml:space="preserve">DOI: </w:t>
      </w:r>
      <w:hyperlink r:id="rId924">
        <w:r>
          <w:rPr>
            <w:color w:val="1155CC"/>
            <w:u w:val="single"/>
          </w:rPr>
          <w:t>10.1021/acs.chemrev.5c00433</w:t>
        </w:r>
      </w:hyperlink>
    </w:p>
    <w:p>
      <w:pPr>
        <w:spacing w:before="0" w:after="120"/>
      </w:pPr>
      <w:r>
        <w:rPr>
          <w:b/>
        </w:rPr>
        <w:t xml:space="preserve">Notes: </w:t>
      </w:r>
      <w:r>
        <w:t>abstract_source=pubmed</w:t>
      </w:r>
    </w:p>
    <w:p>
      <w:pPr>
        <w:spacing w:before="0" w:after="80" w:lineRule="auto" w:line="276"/>
      </w:pPr>
      <w:r>
        <w:rPr>
          <w:b/>
        </w:rPr>
        <w:t xml:space="preserve">摘要（ZH）: </w:t>
      </w:r>
      <w:r>
        <w:t>直接观测表明,全球海洋每年净碳吸收量为2.6-3.0兆兆吨碳,占人为二氧化碳排放量的近30%。本审查审查了海洋碳循环的两个主要领域。第一个领域是人为二氧化碳的自然吸收和储存,重点是海洋碳酸盐系统的反应和吸收碳的空间分布。第二个领域是新出现的海洋二氧化碳清除战略,特别是海洋碱性增强和大型藻类方法。海洋碱性增强的目的是提高海水缓冲法西利塔特的能力。</w:t>
      </w:r>
    </w:p>
    <w:p>
      <w:pPr>
        <w:spacing w:before="0" w:after="200" w:lineRule="auto" w:line="276"/>
      </w:pPr>
      <w:r>
        <w:rPr>
          <w:b/>
        </w:rPr>
        <w:t xml:space="preserve">Abstract (EN): </w:t>
      </w:r>
      <w:r>
        <w:t>The ocean, Earth's largest carbon reservoir, exerts a central role over atmospheric CO2 through its capacity to store carbon primarily as bicarbonate ions. Direct observations indicate that the global ocean has a net carbon uptake of 2.6-3.0 petagrams of carbon annually, representing nearly 30% of anthropogenic CO2 emissions. This review examines two principal domains of oceanic carbon cycling. The first concerns the natural uptake and storage of anthropogenic CO2, with emphasis on the response of the marine carbonate system and the spatial distribution of absorbed carbon. The second addresses emerging marine CO2 removal strategies, especially ocean alkalinity enhancement and macroalgae-based approaches. Ocean alkalinity enhancement aims to increase seawater buffering capacity to facilitate greater CO2 uptake, whereas macroalgae-based strategies rely on photosynthetic fixation and the subsequent storage of organic and inorganic carbon in various reservoirs. Effective implementation of these approaches necessitates rigorous monitoring, reporting, and verification frameworks to ensure their quantifiable efficacy and environmental integrity.</w:t>
      </w:r>
    </w:p>
    <w:p>
      <w:pPr>
        <w:spacing w:before="120" w:after="120"/>
      </w:pPr>
      <w:r>
        <w:rPr>
          <w:sz w:val="18"/>
        </w:rPr>
        <w:t>——————————————————————————————————————————————————————————————————————</w:t>
      </w:r>
    </w:p>
    <w:p>
      <w:pPr>
        <w:spacing w:before="160" w:after="40" w:line="240" w:lineRule="auto"/>
      </w:pPr>
      <w:r>
        <w:rPr>
          <w:b/>
        </w:rPr>
        <w:t xml:space="preserve">[519] </w:t>
      </w:r>
      <w:hyperlink r:id="rId925">
        <w:r>
          <w:rPr>
            <w:color w:val="1155CC"/>
            <w:u w:val="single"/>
          </w:rPr>
          <w:t>[ASAP] Anion-Exchange 膜燃料电池能用环境空气操作吗?</w:t>
        </w:r>
      </w:hyperlink>
    </w:p>
    <w:p>
      <w:pPr>
        <w:spacing w:before="0" w:after="80"/>
      </w:pPr>
      <w:r>
        <w:rPr>
          <w:i/>
          <w:sz w:val="20"/>
        </w:rPr>
        <w:t>EN: [ASAP] Can Anion-Exchange Membrane Fuel Cells Operate with Ambient Air?</w:t>
      </w:r>
    </w:p>
    <w:p>
      <w:pPr>
        <w:spacing w:before="0" w:after="120"/>
      </w:pPr>
      <w:r>
        <w:rPr>
          <w:b/>
        </w:rPr>
        <w:t xml:space="preserve">Source: </w:t>
      </w:r>
      <w:r>
        <w:t>ACS Energy Letters: Latest Articles (ACS Publications)</w:t>
      </w:r>
      <w:r>
        <w:t xml:space="preserve">    </w:t>
      </w:r>
      <w:r>
        <w:rPr>
          <w:b/>
        </w:rPr>
        <w:t xml:space="preserve">Pub date: </w:t>
      </w:r>
      <w:r>
        <w:t>2026-01-06 20:53:45+00:00</w:t>
      </w:r>
      <w:r>
        <w:t xml:space="preserve">    </w:t>
      </w:r>
      <w:r>
        <w:rPr>
          <w:b/>
        </w:rPr>
        <w:t xml:space="preserve">DOI: </w:t>
      </w:r>
      <w:hyperlink r:id="rId926">
        <w:r>
          <w:rPr>
            <w:color w:val="1155CC"/>
            <w:u w:val="single"/>
          </w:rPr>
          <w:t>10.1021/acsenergylett.5c03124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[520] </w:t>
      </w:r>
      <w:hyperlink r:id="rId927">
        <w:r>
          <w:rPr>
            <w:color w:val="1155CC"/>
            <w:u w:val="single"/>
          </w:rPr>
          <w:t>[ASAP] 电催化5-Hydroxy甲基硫磺(HMF)氧化为2,5-Furandicarboxyymerical酸(FDCA),与绿色H2生产结合:目前的挑战和未来途径</w:t>
        </w:r>
      </w:hyperlink>
    </w:p>
    <w:p>
      <w:pPr>
        <w:spacing w:before="0" w:after="80"/>
      </w:pPr>
      <w:r>
        <w:rPr>
          <w:i/>
          <w:sz w:val="20"/>
        </w:rPr>
        <w:t>EN: [ASAP] Electrocatalytic 5-Hydroxymethylfurfural (HMF) Oxidation to 2,5-Furandicarboxylic Acid (FDCA) Coupled to Green H2 Production: Current Challenges and Future Pathways</w:t>
      </w:r>
    </w:p>
    <w:p>
      <w:pPr>
        <w:spacing w:before="0" w:after="120"/>
      </w:pPr>
      <w:r>
        <w:rPr>
          <w:b/>
        </w:rPr>
        <w:t xml:space="preserve">Source: </w:t>
      </w:r>
      <w:r>
        <w:t>ACS Energy Letters: Latest Articles (ACS Publications)</w:t>
      </w:r>
      <w:r>
        <w:t xml:space="preserve">    </w:t>
      </w:r>
      <w:r>
        <w:rPr>
          <w:b/>
        </w:rPr>
        <w:t xml:space="preserve">Pub date: </w:t>
      </w:r>
      <w:r>
        <w:t>2026-01-06 20:54:34+00:00</w:t>
      </w:r>
      <w:r>
        <w:t xml:space="preserve">    </w:t>
      </w:r>
      <w:r>
        <w:rPr>
          <w:b/>
        </w:rPr>
        <w:t xml:space="preserve">DOI: </w:t>
      </w:r>
      <w:hyperlink r:id="rId928">
        <w:r>
          <w:rPr>
            <w:color w:val="1155CC"/>
            <w:u w:val="single"/>
          </w:rPr>
          <w:t>10.1021/acsenergylett.5c03733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[521] </w:t>
      </w:r>
      <w:hyperlink r:id="rId929">
        <w:r>
          <w:rPr>
            <w:color w:val="1155CC"/>
            <w:u w:val="single"/>
          </w:rPr>
          <w:t>[ASAP] 高排零排中中层排气阴极</w:t>
        </w:r>
      </w:hyperlink>
    </w:p>
    <w:p>
      <w:pPr>
        <w:spacing w:before="0" w:after="80"/>
      </w:pPr>
      <w:r>
        <w:rPr>
          <w:i/>
          <w:sz w:val="20"/>
        </w:rPr>
        <w:t>EN: [ASAP] High-Voltage Zero-Strain Mid-Mn Layered Cathode</w:t>
      </w:r>
    </w:p>
    <w:p>
      <w:pPr>
        <w:spacing w:before="0" w:after="120"/>
      </w:pPr>
      <w:r>
        <w:rPr>
          <w:b/>
        </w:rPr>
        <w:t xml:space="preserve">Source: </w:t>
      </w:r>
      <w:r>
        <w:t>ACS Energy Letters: Latest Articles (ACS Publications)</w:t>
      </w:r>
      <w:r>
        <w:t xml:space="preserve">    </w:t>
      </w:r>
      <w:r>
        <w:rPr>
          <w:b/>
        </w:rPr>
        <w:t xml:space="preserve">Pub date: </w:t>
      </w:r>
      <w:r>
        <w:t>2026-01-06 20:54:51+00:00</w:t>
      </w:r>
      <w:r>
        <w:t xml:space="preserve">    </w:t>
      </w:r>
      <w:r>
        <w:rPr>
          <w:b/>
        </w:rPr>
        <w:t xml:space="preserve">DOI: </w:t>
      </w:r>
      <w:hyperlink r:id="rId930">
        <w:r>
          <w:rPr>
            <w:color w:val="1155CC"/>
            <w:u w:val="single"/>
          </w:rPr>
          <w:t>10.1021/acsenergylett.5c03855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[522] </w:t>
      </w:r>
      <w:hyperlink r:id="rId931">
        <w:r>
          <w:rPr>
            <w:color w:val="1155CC"/>
            <w:u w:val="single"/>
          </w:rPr>
          <w:t>扩大候选人简记管理要素登记册</w:t>
        </w:r>
      </w:hyperlink>
    </w:p>
    <w:p>
      <w:pPr>
        <w:spacing w:before="0" w:after="80"/>
      </w:pPr>
      <w:r>
        <w:rPr>
          <w:i/>
          <w:sz w:val="20"/>
        </w:rPr>
        <w:t>EN: An expanded registry of candidate cis-regulatory elements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1. 在此之前,ENCODE财团绘制了数百个细胞类型和组织的生物化学信号,并综合了这些数据,以建立一个包含90万个人类和30万个鼠标候选精密调节元素(cCREs)的登记册,并附有潜在功能说明2。 我们在此扩大了登记册,将237万个人类和967,000个鼠标细胞控制要素包括在内,利用新的ENCODE数据集和强化的计算方法,扩大了登记册,涵盖数百个独特的细胞和组织类型,全面了解基因规范。</w:t>
      </w:r>
    </w:p>
    <w:p>
      <w:pPr>
        <w:spacing w:before="0" w:after="200" w:lineRule="auto" w:line="276"/>
      </w:pPr>
      <w:r>
        <w:rPr>
          <w:b/>
        </w:rPr>
        <w:t xml:space="preserve">Abstract (EN): </w:t>
      </w:r>
      <w:r>
        <w:t>Mammalian genomes contain millions of regulatory elements that control the complex patterns of gene expression1. Previously, the ENCODE consortium mapped biochemical signals across hundreds of cell types and tissues and integrated these data to develop a registry containing 0.9 million human and 300,000 mouse candidate cis-regulatory elements (cCREs) annotated with potential functions2. Here we have expanded the registry to include 2.37 million human and 967,000 mouse cCREs, leveraging new ENCODE datasets and enhanced computational methods. This expanded registry covers hundreds of unique cell and tissue types, providing a comprehensive understanding of gene regulation. Functional characterization data from assays such as STARR-seq3, massively parallel reporter assay4, CRISPR perturbation5,6 and transgenic mouse assays7 have profiled more than 90% of human cCREs, revealing complex regulatory functions. We identified thousands of novel silencer cCREs and demonstrated their dual enhancer and silencer roles in different cellular contexts. Integrating the registry with other ENCODE annotations facilitates genetic variation interpretation and trait-associated gene identification, exemplified by the identification of KLF1 as a novel causal gene for red blood cell traits. This expanded registry is a valuable resource for studying the regulatory genome and its impact on health and disease.</w:t>
      </w:r>
    </w:p>
    <w:p>
      <w:pPr>
        <w:spacing w:before="120" w:after="120"/>
      </w:pPr>
      <w:r>
        <w:rPr>
          <w:sz w:val="18"/>
        </w:rPr>
        <w:t>——————————————————————————————————————————————————————————————————————</w:t>
      </w:r>
    </w:p>
    <w:p>
      <w:pPr>
        <w:spacing w:before="160" w:after="40" w:line="240" w:lineRule="auto"/>
      </w:pPr>
      <w:r>
        <w:rPr>
          <w:b/>
        </w:rPr>
        <w:t xml:space="preserve">[523] </w:t>
      </w:r>
      <w:hyperlink r:id="rId932">
        <w:r>
          <w:rPr>
            <w:color w:val="1155CC"/>
            <w:u w:val="single"/>
          </w:rPr>
          <w:t>从摩洛哥的早期荷米尼人 拜萨到同族的世系</w:t>
        </w:r>
      </w:hyperlink>
    </w:p>
    <w:p>
      <w:pPr>
        <w:spacing w:before="0" w:after="80"/>
      </w:pPr>
      <w:r>
        <w:rPr>
          <w:i/>
          <w:sz w:val="20"/>
        </w:rPr>
        <w:t>EN: Early hominins from Morocco basal to the Homo sapiens lineage</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古代证据表明,现今人类、尼安德特人和杰尼索人最后共同的祖先大约在765-550万年前(ka) 1 。 然而,这些祖传人类的地理分布和形态仍然不确定。 西班牙阿塔普尔卡大多利纳Dolina TD6层950 ka至770 ka(ref.2)的智囊动物化石被提议为这一祖传人口的潜在候选物。 然而,在非洲或亚洲的入口处发现90 ka 之前,所有在90 ka 之前有可靠历史的智囊动物化石,都强烈暗示了我们物种的非洲起源而不是欧亚起源。 我们在这里描述了摩洛哥卡萨布兰卡Thomas Quarry I (THI-GH) 的Grotte à Hominidé新霍米迪斯化石,日期约773 ka。</w:t>
      </w:r>
    </w:p>
    <w:p>
      <w:pPr>
        <w:spacing w:before="0" w:after="200" w:lineRule="auto" w:line="276"/>
      </w:pPr>
      <w:r>
        <w:rPr>
          <w:b/>
        </w:rPr>
        <w:t xml:space="preserve">Abstract (EN): </w:t>
      </w:r>
      <w:r>
        <w:t>Palaeogenetic evidence suggests that the last common ancestor of present-day humans, Neanderthals and Denisovans lived around 765–550 thousand years ago (ka)1. However, both the geographical distribution and the morphology of these ancestral humans remain uncertain. The Homo antecessor fossils from the TD6 layer of Gran Dolina at Atapuerca, Spain, dated between 950 ka and 770 ka (ref. 2), have been proposed as potential candidates for this ancestral population3. However, all securely dated Homo sapiens fossils before 90 ka were found either in Africa or at the gateway to Asia, strongly suggesting an African rather than a Eurasian origin of our species. Here we describe new hominin fossils from the Grotte à Hominidés at Thomas Quarry I (ThI-GH) in Casablanca, Morocco, dated to around 773 ka. These fossils are similar in age to H. antecessor, yet are morphologically distinct, displaying a combination of primitive traits and of derived features reminiscent of later H. sapiens and Eurasian archaic hominins. The ThI-GH hominins provide insights into African populations predating the earliest H. sapiens individuals discovered at Jebel Irhoud in Morocco4 and provide strong evidence for an African lineage ancestral to our species. These fossils offer clues about the last common ancestor shared with Neanderthals and Denisovans.</w:t>
      </w:r>
    </w:p>
    <w:p>
      <w:pPr>
        <w:spacing w:before="120" w:after="120"/>
      </w:pPr>
      <w:r>
        <w:rPr>
          <w:sz w:val="18"/>
        </w:rPr>
        <w:t>——————————————————————————————————————————————————————————————————————</w:t>
      </w:r>
    </w:p>
    <w:p>
      <w:pPr>
        <w:spacing w:before="160" w:after="40" w:line="240" w:lineRule="auto"/>
      </w:pPr>
      <w:r>
        <w:rPr>
          <w:b/>
        </w:rPr>
        <w:t xml:space="preserve">[524] </w:t>
      </w:r>
      <w:hyperlink r:id="rId933">
        <w:r>
          <w:rPr>
            <w:color w:val="1155CC"/>
            <w:u w:val="single"/>
          </w:rPr>
          <w:t>通过共价有机框架从户外空气中快速和选择性捕获的CO2</w:t>
        </w:r>
      </w:hyperlink>
    </w:p>
    <w:p>
      <w:pPr>
        <w:spacing w:before="0" w:after="80"/>
      </w:pPr>
      <w:r>
        <w:rPr>
          <w:i/>
          <w:sz w:val="20"/>
        </w:rPr>
        <w:t>EN: Fast and selective CO2 capture from outdoor air by covalent organic frameworks</w:t>
      </w:r>
    </w:p>
    <w:p>
      <w:pPr>
        <w:spacing w:before="0" w:after="120"/>
      </w:pPr>
      <w:r>
        <w:rPr>
          <w:b/>
        </w:rPr>
        <w:t xml:space="preserve">Source: </w:t>
      </w:r>
      <w:r>
        <w:t>Nature Sustainability</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直接从环境空气中获取二氧化碳是管理碳水平和支持长期气候可持续性的必要条件,但是,目前直接空气吸收吸收的吸附和脱吸附动动能缓慢仍是一个主要限制,而较快的动能允许更快的二氧化碳吸收速度和更大的空气吞吐量,两者都对提高系统效率至关重要。在这项工作中,我们提出了一个具有快速动动能和高CO2吸收量的共价有机框架(COF),COF(称为COF-1000)在干燥条件下的CO2容量为1.31毫米醇g-1,在400 ppm CO2,其容量的一半在8.1分钟之内。在潮湿湿条件下(75%相对湿度),水进一步增强了吸收和动能,导致2.19 毫升-1的显著CO2能力,减少。</w:t>
      </w:r>
    </w:p>
    <w:p>
      <w:pPr>
        <w:spacing w:before="0" w:after="200" w:lineRule="auto" w:line="276"/>
      </w:pPr>
      <w:r>
        <w:rPr>
          <w:b/>
        </w:rPr>
        <w:t xml:space="preserve">Abstract (EN): </w:t>
      </w:r>
      <w:r>
        <w:t>Capturing CO2 directly from ambient air is necessary for managing carbon levels and supporting long-term climate sustainability. However, the slow adsorption and desorption kinetics of current direct air capture sorbents remain a major limitation, whereas faster kinetics allow for quicker CO2 uptake and greater air throughput—both are essential for enhancing system efficiency. In this work, we present a covalent organic framework (COF) with both fast kinetics and high CO2 uptake. The COF (termed COF-1000) exhibited a CO2 capacity of 1.31 mmol g−1 under dry conditions at 400 ppm CO2, reaching half of its capacity within 8.1 min. Under humid conditions (75% relative humidity), water further enhanced both uptake and kinetics, leading to a remarkable CO2 capacity of 2.19 mmol g−1 with a reduced half-capacity time of 6.8 min. The exceptionally fast kinetics observed for COF-1000 were further demonstrated by using outdoor air as the CO2 source, where 50 adsorption–desorption cycles were conducted within 3 days, yielding a CO2 uptake of 22.1 mmol g−1 d−1, a value exceeding the current state-of-the-art materials. These results highlight COF-1000’s potential to enable efficient, scalable direct air capture and promote sustainable carbon mitigation.</w:t>
      </w:r>
    </w:p>
    <w:p>
      <w:pPr>
        <w:spacing w:before="120" w:after="120"/>
      </w:pPr>
      <w:r>
        <w:rPr>
          <w:sz w:val="18"/>
        </w:rPr>
        <w:t>——————————————————————————————————————————————————————————————————————</w:t>
      </w:r>
    </w:p>
    <w:p>
      <w:pPr>
        <w:spacing w:before="160" w:after="40" w:line="240" w:lineRule="auto"/>
      </w:pPr>
      <w:r>
        <w:rPr>
          <w:b/>
        </w:rPr>
        <w:t xml:space="preserve">[525] </w:t>
      </w:r>
      <w:hyperlink r:id="rId934">
        <w:r>
          <w:rPr>
            <w:color w:val="1155CC"/>
            <w:u w:val="single"/>
          </w:rPr>
          <w:t>机械牵引器驱动单方细胞细胞</w:t>
        </w:r>
      </w:hyperlink>
    </w:p>
    <w:p>
      <w:pPr>
        <w:spacing w:before="0" w:after="80"/>
      </w:pPr>
      <w:r>
        <w:rPr>
          <w:i/>
          <w:sz w:val="20"/>
        </w:rPr>
        <w:t>EN: A mechanical ratchet drives unilateral cytokinesis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驱动细胞分裂的康纳机制包括形成和压缩一个合同性活性环1,2,2,3.3环。 然而,这一机制与许多脊椎动物的早期发育不相容,4,5,6,7,7,8,8,9.Yolk-ancroed胚胎通常不能在早期裂变分中形成完整的环状,但目前还不清楚的是,一个部分圆形环形和松散的尾端如何可以分割细胞。 此处,通过将细胞动脉带的激光振动带与活体的病理测量相结合,我们显示,通过间微囊网络的介质,成成的成体细胞图谱系通过在生长过程中固定其长度来稳定合同性带。 相反,随着细胞循环的推进,细胞图谱流化、缩小波段-细胞图层锚定和方便,我们发现,通过在细胞循环周期间微囊网络中进行调节,从而稳定了链状带。</w:t>
      </w:r>
    </w:p>
    <w:p>
      <w:pPr>
        <w:spacing w:before="0" w:after="200" w:lineRule="auto" w:line="276"/>
      </w:pPr>
      <w:r>
        <w:rPr>
          <w:b/>
        </w:rPr>
        <w:t xml:space="preserve">Abstract (EN): </w:t>
      </w:r>
      <w:r>
        <w:t>The canonical mechanism that drives cell division comprises the formation and constriction of a contractile actin ring1,2,3. However, this mechanism is not compatible with the early development of many vertebrates4,5,6,7,8,9. Yolk-anchored embryos typically cannot form a complete ring during early cleavage divisions, but it remains unclear how a partial circular arc with loose ends can divide the cell. Here, by combining laser ablation of the cytokinetic band with rheological measurements in vivo, we show that stiffening of the bulk cytoplasm, mediated by the interphase microtubule network, stabilizes the contractile band by anchoring it along its length during growth. Conversely, as the cell cycle progresses, the cytoplasm fluidizes, diminishing band–cytoplasmic anchoring and facilitating band ingression. This dynamic interplay between stability and growth versus instability and ingression repeats for several cell cycles until division is complete, resulting in a mechanical ratchet that drives cell division. Our study underscores the role of temporal control over cytoplasmic rheology as a key feature that drives unilateral cytokinesis in the absence of a closed actin ring.</w:t>
      </w:r>
    </w:p>
    <w:p>
      <w:pPr>
        <w:spacing w:before="120" w:after="120"/>
      </w:pPr>
      <w:r>
        <w:rPr>
          <w:sz w:val="18"/>
        </w:rPr>
        <w:t>——————————————————————————————————————————————————————————————————————</w:t>
      </w:r>
    </w:p>
    <w:p>
      <w:pPr>
        <w:spacing w:before="160" w:after="40" w:line="240" w:lineRule="auto"/>
      </w:pPr>
      <w:r>
        <w:rPr>
          <w:b/>
        </w:rPr>
        <w:t xml:space="preserve">[526] </w:t>
      </w:r>
      <w:hyperlink r:id="rId935">
        <w:r>
          <w:rPr>
            <w:color w:val="1155CC"/>
            <w:u w:val="single"/>
          </w:rPr>
          <w:t>在皮下疼痛电路中进行阿片止痛类阿片</w:t>
        </w:r>
      </w:hyperlink>
    </w:p>
    <w:p>
      <w:pPr>
        <w:spacing w:before="0" w:after="80"/>
      </w:pPr>
      <w:r>
        <w:rPr>
          <w:i/>
          <w:sz w:val="20"/>
        </w:rPr>
        <w:t>EN: Mimicking opioid analgesia in cortical pain circuits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在疼痛的感官和动力层面,前端的皮皮层是一个关键的大脑区域,涉及到疼痛的感官和动力层面,但阿片止痛剂如何调节这一皮下循环仍然不清楚。 1 掩盖阿片如何改变神经神经的感知动态以产生止痛缓解疼痛,对于发展更安全和更有针对性的慢性疼痛治疗方法至关重要。 这里我们显示,一组结膜神经成份将自发的疼痛相关行为编码起来,并且有选择地通过吗啡调节。 我们利用深刻的学习行为分析,加上小鼠的纵向神经记录,发现了神经损伤后皮下活动模式的持续变化,这反映了一种不愉快的、有影响的慢性疼痛状态的出现。 甲状腺逆转了这些神经病的神经神经动态。</w:t>
      </w:r>
    </w:p>
    <w:p>
      <w:pPr>
        <w:spacing w:before="0" w:after="200" w:lineRule="auto" w:line="276"/>
      </w:pPr>
      <w:r>
        <w:rPr>
          <w:b/>
        </w:rPr>
        <w:t xml:space="preserve">Abstract (EN): </w:t>
      </w:r>
      <w:r>
        <w:t>The anterior cingulate cortex is a key brain region involved in the affective and motivational dimensions of pain, but how opioid analgesics modulate this cortical circuit remains unclear1. Uncovering how opioids alter nociceptive neural dynamics to produce pain relief is essential for developing safer and more targeted treatments for chronic pain. Here we show that a population of cingulate neurons encodes spontaneous pain-related behaviours and is selectively modulated by morphine. Using deep learning behavioural analyses combined with longitudinal neural recordings in mice, we identified a persistent shift in cortical activity patterns following nerve injury that reflects the emergence of an unpleasant, affective chronic pain state. Morphine reversed these neuropathic neural dynamics and reduced affective–motivational behaviours without altering sensory detection or reflexive responses, mirroring how opioids alleviate pain unpleasantness in humans. Leveraging these findings, we built a biologically inspired chemogenetic gene therapy that targets opioid-sensitive neurons in the cingulate using a synthetic μ-opioid receptor promoter to drive inhibition2. This opioid-mimetic chemogenetic gene therapy recapitulated the analgesic effects of morphine during chronic neuropathic pain, thereby offering a new strategy for precision pain management that targets a key nociceptive cortical opioid circuit with safe, on-demand analgesia.</w:t>
      </w:r>
    </w:p>
    <w:p>
      <w:pPr>
        <w:spacing w:before="120" w:after="120"/>
      </w:pPr>
      <w:r>
        <w:rPr>
          <w:sz w:val="18"/>
        </w:rPr>
        <w:t>——————————————————————————————————————————————————————————————————————</w:t>
      </w:r>
    </w:p>
    <w:p>
      <w:pPr>
        <w:spacing w:before="160" w:after="40" w:line="240" w:lineRule="auto"/>
      </w:pPr>
      <w:r>
        <w:rPr>
          <w:b/>
        </w:rPr>
        <w:t xml:space="preserve">[527] </w:t>
      </w:r>
      <w:hyperlink r:id="rId936">
        <w:r>
          <w:rPr>
            <w:color w:val="1155CC"/>
            <w:u w:val="single"/>
          </w:rPr>
          <w:t>神经-住院电路促进感知汇合和肠道免疫</w:t>
        </w:r>
      </w:hyperlink>
    </w:p>
    <w:p>
      <w:pPr>
        <w:spacing w:before="0" w:after="80"/>
      </w:pPr>
      <w:r>
        <w:rPr>
          <w:i/>
          <w:sz w:val="20"/>
        </w:rPr>
        <w:t>EN: Neuro-epithelial circuits promote sensory convergence and intestinal immunity</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2型屏障表面2型发炎是一种渐进式的节能反应,它促进了对甲状腺寄生虫的免疫、过敏炎和组织修补1,2,3,4,4. 上皮细胞直接感测环境触发物引发2型发炎,神经元发出的信号可以调节免疫反应5,6,7,8. 然而,对上皮细胞、神经细胞和免疫细胞的不同感官投入是如何协调和整合的,仍然不清楚。在这里,我们发现TRPV1+疼痛感应鼻腔的共op-化学感应细胞会引发一系列组织反应,驱动2型发炎。TRPV1+ noceptions的化学循环或化学反应导致肠胃细胞和2型有缺陷的抗肝脏免疫。</w:t>
      </w:r>
    </w:p>
    <w:p>
      <w:pPr>
        <w:spacing w:before="0" w:after="200" w:lineRule="auto" w:line="276"/>
      </w:pPr>
      <w:r>
        <w:rPr>
          <w:b/>
        </w:rPr>
        <w:t xml:space="preserve">Abstract (EN): </w:t>
      </w:r>
      <w:r>
        <w:t>Type 2 inflammation at barrier surfaces is an evolutionarily conserved response that promotes immunity to helminth parasites, allergic inflammation and tissue repair1,2,3,4. Direct sensing of environmental triggers by epithelial cells initiates type 2 inflammation, and signals derived from neurons can modulate immune responses5,6,7,8. However, how diverse sensory inputs from epithelial, neuronal and immune cells are coordinated and integrated remains unclear. Here we identify that TRPV1+ pain-sensing nociceptors co-opt chemosensory epithelial tuft cells to initiate a cascade of tissue responses that drive type 2 inflammation. Chemogenetic silencing or chemical ablation of TRPV1+ nociceptors results in a significant reduction in intestinal tuft cells and defective anti-helminth type 2 immunity. By contrast, chemogenetic activation of TRPV1+ nociceptors leads to remodelling of CGRP+ nerve fibres, significantly increased CGRP expression, enhanced tuft cell accumulation and protective anti-helminth type 2 immunity. Using spatial transcriptomic and single-cell RNA sequencing analyses, we reveal that nociceptor activation promotes rapid epithelial progenitor cell proliferation and differentiation. Mechanistically, intestinal epithelial cell-intrinsic and tuft cell-intrinsic expression of CGRP receptor subunits are required for tuft cell responses and type 2 immunity to helminth infection. Together, these results identify sensory convergence of a neuronal–epithelial tuft cell circuit as a critical upstream determinant of type 2 immunity and tissue adaptation.</w:t>
      </w:r>
    </w:p>
    <w:p>
      <w:pPr>
        <w:spacing w:before="120" w:after="120"/>
      </w:pPr>
      <w:r>
        <w:rPr>
          <w:sz w:val="18"/>
        </w:rPr>
        <w:t>——————————————————————————————————————————————————————————————————————</w:t>
      </w:r>
    </w:p>
    <w:p>
      <w:pPr>
        <w:spacing w:before="160" w:after="40" w:line="240" w:lineRule="auto"/>
      </w:pPr>
      <w:r>
        <w:rPr>
          <w:b/>
        </w:rPr>
        <w:t xml:space="preserve">[528] </w:t>
      </w:r>
      <w:hyperlink r:id="rId937">
        <w:r>
          <w:rPr>
            <w:color w:val="1155CC"/>
            <w:u w:val="single"/>
          </w:rPr>
          <w:t>带有动态纹理和色控的软光光皮</w:t>
        </w:r>
      </w:hyperlink>
    </w:p>
    <w:p>
      <w:pPr>
        <w:spacing w:before="0" w:after="80"/>
      </w:pPr>
      <w:r>
        <w:rPr>
          <w:i/>
          <w:sz w:val="20"/>
        </w:rPr>
        <w:t>EN: Soft photonic skins with dynamic texture and colour control</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表面表面的视觉外观受到其颜色和纹理的影响。 虽然结构颜色的创造和调整已经通过纳米结构实现,1,2, 实现对视觉纹理的动态控制仍然具有挑战性。 受甲状腺皮肤5,6,6的动态调节的启发,我们开发了带有可编程表面纹理的聚合胶片。我们通过浸入不同液体,将这些纹理带来生命,导致可逆转的局部膨胀/合同化,其程度由电子波束辐照决定。我们展示了标准电子束图案工具如何在空间上编码可隐藏和按需要显示的任意纹理。 同样,通过调制光学法布里-Pérot 孔的地形,我们创造了可以持续保持的颜色模式。</w:t>
      </w:r>
    </w:p>
    <w:p>
      <w:pPr>
        <w:spacing w:before="0" w:after="200" w:lineRule="auto" w:line="276"/>
      </w:pPr>
      <w:r>
        <w:rPr>
          <w:b/>
        </w:rPr>
        <w:t xml:space="preserve">Abstract (EN): </w:t>
      </w:r>
      <w:r>
        <w:t>The visual appearances of surfaces are influenced by their colour and texture. Although the creation and tuning of structural colours has been realized with nanostructures1,2, achieving dynamic control over visual texture3,4 remains challenging. Inspired by dynamic modulation of cephalopod skin5,6, we develop polymer films with programmable surface textures. We bring these textures to life through immersion in different liquids that cause reversible local swelling/contraction to a degree that is determined by electron-beam irradiation. We show how standard electron-beam patterning tools can spatially encode arbitrary textures that can be hidden and shown on demand. Similarly, by modulating the topography of optical Fabry–Pérot cavities, we create colour patterns that can be continuously tuned with microfluidic control to achieve several distinct appearance states, allowing them to camouflage with different backgrounds. Finally, by creating multilayer devices, we demonstrate independent control of texture and colour in a single device, enabling a higher level of dynamic control over visual appearance.</w:t>
      </w:r>
    </w:p>
    <w:p>
      <w:pPr>
        <w:spacing w:before="120" w:after="120"/>
      </w:pPr>
      <w:r>
        <w:rPr>
          <w:sz w:val="18"/>
        </w:rPr>
        <w:t>——————————————————————————————————————————————————————————————————————</w:t>
      </w:r>
    </w:p>
    <w:p>
      <w:pPr>
        <w:spacing w:before="160" w:after="40" w:line="240" w:lineRule="auto"/>
      </w:pPr>
      <w:r>
        <w:rPr>
          <w:b/>
        </w:rPr>
        <w:t xml:space="preserve">[529] </w:t>
      </w:r>
      <w:hyperlink r:id="rId938">
        <w:r>
          <w:rPr>
            <w:color w:val="1155CC"/>
            <w:u w:val="single"/>
          </w:rPr>
          <w:t>电化学脱氟 Matteson 型电化学脱氟</w:t>
        </w:r>
      </w:hyperlink>
    </w:p>
    <w:p>
      <w:pPr>
        <w:spacing w:before="0" w:after="80"/>
      </w:pPr>
      <w:r>
        <w:rPr>
          <w:i/>
          <w:sz w:val="20"/>
        </w:rPr>
        <w:t>EN: Electrochemical defluorinative Matteson-type homologation</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1 这种多功能反应传统上需要三个步骤:碳气层形成、有机有机物添加核细胞生殖器以及热或刘素酸促进的阳性重新排列。这些过程往往需要严格条件,包括低温和对空气和湿度敏感的试剂的处理。 2,3 此处,我们报告马泰森型的同化,将这三个变异整合为一磅电化学过程。这种校正式方法将电解脱氟与阳性重新排列相结合,消除对有机硫化物试剂、低温条件或专门装置的需要。</w:t>
      </w:r>
    </w:p>
    <w:p>
      <w:pPr>
        <w:spacing w:before="0" w:after="200" w:lineRule="auto" w:line="276"/>
      </w:pPr>
      <w:r>
        <w:rPr>
          <w:b/>
        </w:rPr>
        <w:t xml:space="preserve">Abstract (EN): </w:t>
      </w:r>
      <w:r>
        <w:t>The Matteson homologation, first developed in 1980, elongates carbon chains by insertion into a C−B bond.1 This versatile reaction traditionally requires three steps: carbanion formation, nucleophilic addition to organoboron, and a thermo- or Lewis acid-promoted boronate rearrangement. These processes often demand exacting conditions, including cryogenic temperatures and handling of air- and moisture-sensitive reagents.2,3 Here, we report a Matteson-type homologation which integrates these three transformations into a one-pot electrochemical process. This proof-of-concept approach combines electroreductive defluorination with boronate rearrangement, eliminating the need for organolithium reagents, cryogenic conditions, or specialist setups. The available trifluoromethylarenes are employed as carbenoid precursors for the first time, expanding the scope of Matteson reaction. Comprehensive mechanistic studies, including identification of key reaction intermediates, DFT calculations, and electrochemical analysis, confirm the involvement of boronate formation and rearrangement in this “e-Matteson” homologation.</w:t>
      </w:r>
    </w:p>
    <w:p>
      <w:pPr>
        <w:spacing w:before="120" w:after="120"/>
      </w:pPr>
      <w:r>
        <w:rPr>
          <w:sz w:val="18"/>
        </w:rPr>
        <w:t>——————————————————————————————————————————————————————————————————————</w:t>
      </w:r>
    </w:p>
    <w:p>
      <w:pPr>
        <w:spacing w:before="160" w:after="40" w:line="240" w:lineRule="auto"/>
      </w:pPr>
      <w:r>
        <w:rPr>
          <w:b/>
        </w:rPr>
        <w:t xml:space="preserve">[530] </w:t>
      </w:r>
      <w:hyperlink r:id="rId939">
        <w:r>
          <w:rPr>
            <w:color w:val="1155CC"/>
            <w:u w:val="single"/>
          </w:rPr>
          <w:t>系统分析人类脂肪转移蛋白质的脂质动员</w:t>
        </w:r>
      </w:hyperlink>
    </w:p>
    <w:p>
      <w:pPr>
        <w:spacing w:before="0" w:after="80"/>
      </w:pPr>
      <w:r>
        <w:rPr>
          <w:i/>
          <w:sz w:val="20"/>
        </w:rPr>
        <w:t>EN: Systematic analyses of lipid mobilization by human lipid transfer proteins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利皮转移蛋白质(LTPs)保持了有机机体红外膜1,2. 在人类中,许多LTPs都与疾病有关,3 但多数情况下,便利转移的货物和辅助脂质仍然未知,我们采用了生化、脂质组和计算方法,系统地测定LTP-脂质复合体的特性,4 并测量LTP功能的增益如何影响细胞脂肪细胞。我们为所分析的100个LTP中约一半的捆绑脂物确定了确定已知的皮层,同时在大多数LTP家庭发现了新的脂质。LTP的收益影响到它们已知和新发现的脂质捆绑的细胞丰度,表明两组的功能相关性相当。我们使用结构性生物信息学,我们了解了结构性生物信息学。</w:t>
      </w:r>
    </w:p>
    <w:p>
      <w:pPr>
        <w:spacing w:before="0" w:after="200" w:lineRule="auto" w:line="276"/>
      </w:pPr>
      <w:r>
        <w:rPr>
          <w:b/>
        </w:rPr>
        <w:t xml:space="preserve">Abstract (EN): </w:t>
      </w:r>
      <w:r>
        <w:t>Lipid transfer proteins (LTPs) maintain the specialized lipid compositions of organellar membranes1,2. In humans, many LTPs are implicated in diseases3, but for the majority, the cargo and auxiliary lipids facilitating transfer remain unknown. We have combined biochemical, lipidomic and computational methods to systematically characterize LTP-lipid complexes4 and measure how LTP gains of function affect cellular lipidomes. We identified bound lipids for approximately half of the hundred LTPs analyzed, confirming known ligands, while discovering new ones across most LTP families. Gains in LTP function affected the cellular abundance of both their known and newly identified lipid ligands, indicating comparable functional relevance of the two ligand sets. Using structural bioinformatics, we have characterized mechanisms contributing to lipid selectivity, identifying preferences based on head group or acyl chain. We demonstrate some basic principles of how LTPs mobilise their ligands. They commonly interact with several classes of lipids and exhibit broad but selective preference, not only for particular head groups, but also for lipid species with shorter acyl chains containing one or two unsaturations, suggesting that only subsets of lipid species are efficiently mobilized. The datasets represent a resource for further analysis in different cell types and states, such as those associated with pathologies.</w:t>
      </w:r>
    </w:p>
    <w:p>
      <w:pPr>
        <w:spacing w:before="120" w:after="120"/>
      </w:pPr>
      <w:r>
        <w:rPr>
          <w:sz w:val="18"/>
        </w:rPr>
        <w:t>——————————————————————————————————————————————————————————————————————</w:t>
      </w:r>
    </w:p>
    <w:p>
      <w:pPr>
        <w:spacing w:before="160" w:after="40" w:line="240" w:lineRule="auto"/>
      </w:pPr>
      <w:r>
        <w:rPr>
          <w:b/>
        </w:rPr>
        <w:t xml:space="preserve">[531] </w:t>
      </w:r>
      <w:hyperlink r:id="rId940">
        <w:r>
          <w:rPr>
            <w:color w:val="1155CC"/>
            <w:u w:val="single"/>
          </w:rPr>
          <w:t>双向 CRISPR 屏幕解码依赖 GLIS3 的纤维细胞电路</w:t>
        </w:r>
      </w:hyperlink>
    </w:p>
    <w:p>
      <w:pPr>
        <w:spacing w:before="0" w:after="80"/>
      </w:pPr>
      <w:r>
        <w:rPr>
          <w:i/>
          <w:sz w:val="20"/>
        </w:rPr>
        <w:t>EN: Bidirectional CRISPR screens decode a GLIS3-dependent fibrotic cell circuit</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通过与免疫系统协调,在整个开始、放大和解决期间对炎症的发炎过程进行协调,电动细胞舱在保持组织足部保持组织足部状态方面发挥了中心作用。 慢性发炎可能阻碍对组织复原的分阶段调节,导致纤维化并发症的创伤。在炎症肠道疾病中,电动纤维纤维裂变与治疗-耐火性疾病和纤维化2,3 有关;然而,它们的激活机制仍未确定。通过对肠道炎病患者的肠组织进行综合的单细胞和空间剖面分析,我们发现了以炎症-与纤维化有关的纤维化为中心的一个病态细胞联系。这些纤维肿是由发炎性大型细胞(FCN1+IL1B+)诱发的。a</w:t>
      </w:r>
    </w:p>
    <w:p>
      <w:pPr>
        <w:spacing w:before="0" w:after="200" w:lineRule="auto" w:line="276"/>
      </w:pPr>
      <w:r>
        <w:rPr>
          <w:b/>
        </w:rPr>
        <w:t xml:space="preserve">Abstract (EN): </w:t>
      </w:r>
      <w:r>
        <w:t>The stromal cell compartment plays a central part in the maintenance of tissue homeostasis by coordinating with the immune system throughout inception, amplification and resolution of inflammation1. Chronic inflammation can impede the phased regulation of tissue restitution, resulting in the scarring complication of fibrosis. In inflammatory bowel disease, stromal fibroblasts have been implicated in treatment-refractory disease and fibrosis2,3; however, their mechanisms of activation have remained undefined. Through integrative single-cell and spatial profiling of intestinal tissues from patients with inflammatory bowel disease, we uncovered a pathological cell nexus centred on inflammation-associated fibroblasts. These fibroblasts were induced by proinflammatory macrophages (FCN1+IL1B+) and, in turn, produced profibrotic cytokine IL-11. We investigated the inflammation-associated fibroblast activation program at a mechanistic level using genome-wide CRISPR knockout and activation screens and identified the transcription factor GLIS3 as a key regulator of a gene regulatory network governing expression of inflammatory and fibrotic genes. We further demonstrated that the magnitude of the GLIS3 gene expression program in intestinal biopsies could be used to stratify patients with ulcerative colitis by disease severity, and that fibroblast-specific deletion of Glis3 in mice alleviated pathological features of chronic colitis. Taken together, our findings identify a critical immune–stromal cell circuit that functions as a central node in the inflammation–fibrosis cycle.</w:t>
      </w:r>
    </w:p>
    <w:p>
      <w:pPr>
        <w:spacing w:before="120" w:after="120"/>
      </w:pPr>
      <w:r>
        <w:rPr>
          <w:sz w:val="18"/>
        </w:rPr>
        <w:t>——————————————————————————————————————————————————————————————————————</w:t>
      </w:r>
    </w:p>
    <w:p>
      <w:pPr>
        <w:spacing w:before="160" w:after="40" w:line="240" w:lineRule="auto"/>
      </w:pPr>
      <w:r>
        <w:rPr>
          <w:b/>
        </w:rPr>
        <w:t xml:space="preserve">[532] </w:t>
      </w:r>
      <w:hyperlink r:id="rId941">
        <w:r>
          <w:rPr>
            <w:color w:val="1155CC"/>
            <w:u w:val="single"/>
          </w:rPr>
          <w:t>通过检查站降解相混合的抗原展示进行宫内疫苗接种</w:t>
        </w:r>
      </w:hyperlink>
    </w:p>
    <w:p>
      <w:pPr>
        <w:spacing w:before="0" w:after="80"/>
      </w:pPr>
      <w:r>
        <w:rPr>
          <w:i/>
          <w:sz w:val="20"/>
        </w:rPr>
        <w:t>EN: Intratumoural vaccination via checkpoint degradation-coupled antigen presentation</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抗原呈现细胞的交叉展示减少,导致肿瘤床内肿瘤反应性T细胞稀缺,使原位T细胞恢复活力,其方法是通过极可取的免疫性重组重新编程,但具有挑战性1,2,2,3。 我们在这里开发了肠内疫苗注射基甲菌(iVAC),将肿瘤细胞重新编程成抗原呈现状态(类似于PCPC型肿瘤细胞),恢复抗脉冲免疫。iVAC的Chimeras 构成一个共价设计的PD-L1降解器,与免疫性抗原相融合,可以缓解免疫性抑制,同时加强外源抗原的交叉展示。</w:t>
      </w:r>
    </w:p>
    <w:p>
      <w:pPr>
        <w:spacing w:before="0" w:after="200" w:lineRule="auto" w:line="276"/>
      </w:pPr>
      <w:r>
        <w:rPr>
          <w:b/>
        </w:rPr>
        <w:t xml:space="preserve">Abstract (EN): </w:t>
      </w:r>
      <w:r>
        <w:t>Decreased cross-presentation by antigen-presenting cells induces the scarcity of tumour-reactive T cells within the tumour bed, rendering in situ T cell rejuvenation through immunogenicity reprogramming highly desirable yet challenging1,2,3. Here we developed an intratumoural vaccination chimera (iVAC) to reprogram tumour cells into an antigen-presenting state (APC-like tumour cells) with restored anti-tumour immunity. The iVAC chimeras consist of a covalently engineered PD-L1 degrader conjugated to immunogenic antigens, which could relieve immune checkpoint inhibition while enforcing the cross-presentation of exogenous antigens. Functionally, the iVAC-induced antigen processing and presentation elicited potent tumour killing through reactivation of resident antigen-specific CD8+ T cells, which simultaneously remodelled the tumour microenvironment to promote durable tumour-specific immunity. Extending this strategy, we used iVAC with a cytomegalovirus (CMV)-derived antigen to activate CMV-specific T cells against breast cancer in vitro, in a humanized mouse model as well as in a patient-derived tumour model. This study establishes a foundation for chemically reprogramming cancer cells within tumour beds to endow APC-like functions, providing an avenue for stimulating anti-tumour immunity.</w:t>
      </w:r>
    </w:p>
    <w:p>
      <w:pPr>
        <w:spacing w:before="120" w:after="120"/>
      </w:pPr>
      <w:r>
        <w:rPr>
          <w:sz w:val="18"/>
        </w:rPr>
        <w:t>——————————————————————————————————————————————————————————————————————</w:t>
      </w:r>
    </w:p>
    <w:p>
      <w:pPr>
        <w:spacing w:before="160" w:after="40" w:line="240" w:lineRule="auto"/>
      </w:pPr>
      <w:r>
        <w:rPr>
          <w:b/>
        </w:rPr>
        <w:t xml:space="preserve">[533] </w:t>
      </w:r>
      <w:hyperlink r:id="rId942">
        <w:r>
          <w:rPr>
            <w:color w:val="1155CC"/>
            <w:u w:val="single"/>
          </w:rPr>
          <w:t>通过有针对性的PGAM5 SIRNA强化免疫疗法,改造KARS-LKB1非小型细胞肺肺癌混合体-非小型细胞肺癌免疫抑制微型环境</w:t>
        </w:r>
      </w:hyperlink>
    </w:p>
    <w:p>
      <w:pPr>
        <w:spacing w:before="0" w:after="80"/>
      </w:pPr>
      <w:r>
        <w:rPr>
          <w:i/>
          <w:sz w:val="20"/>
        </w:rPr>
        <w:t>EN: Remodeling the immunosuppressive microenvironment of KARS-LKB1 co-mutant non-small cell lung cancer via targeted PGAM5 siRNA delivery for enhanced immunotherapy</w:t>
      </w:r>
    </w:p>
    <w:p>
      <w:pPr>
        <w:spacing w:before="0" w:after="120"/>
      </w:pPr>
      <w:r>
        <w:rPr>
          <w:b/>
        </w:rPr>
        <w:t xml:space="preserve">Source: </w:t>
      </w:r>
      <w:r>
        <w:t>ScienceDirect Publication: Materials Today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[534] </w:t>
      </w:r>
      <w:hyperlink r:id="rId943">
        <w:r>
          <w:rPr>
            <w:color w:val="1155CC"/>
            <w:u w:val="single"/>
          </w:rPr>
          <w:t>人类大脑中独特的神经群结合了内容和背景</w:t>
        </w:r>
      </w:hyperlink>
    </w:p>
    <w:p>
      <w:pPr>
        <w:spacing w:before="0" w:after="80"/>
      </w:pPr>
      <w:r>
        <w:rPr>
          <w:i/>
          <w:sz w:val="20"/>
        </w:rPr>
        <w:t>EN: Distinct neuronal populations in the human brain combine content and context</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介质时间叶,特别是河马运动,已提议对上下文的物品进行编码,1,2。2 虽然河马运动的内存表现在3,4 老鼠3, 基本上视情而定,但人体内的概念细胞似乎视背景而异。5 但是,目前还不清楚的是,如何将物品和背景信息结合起来,形成或检索单中子水平的单中文本综合物品记忆。这里我们显示,不同神经神经群的协调活动支持了在文字中的物品记忆。在根据背景进行的图片比较工作中,我们记录了16个神经外科病人的3,109个神经元,确定了597个刺激调节(预筛选)和200个环境调整神经元(在amygdala为2.95%,在准脑骨架皮层为7.68%,在entorhin为5.68%)。</w:t>
      </w:r>
    </w:p>
    <w:p>
      <w:pPr>
        <w:spacing w:before="0" w:after="200" w:lineRule="auto" w:line="276"/>
      </w:pPr>
      <w:r>
        <w:rPr>
          <w:b/>
        </w:rPr>
        <w:t xml:space="preserve">Abstract (EN): </w:t>
      </w:r>
      <w:r>
        <w:t>The medial temporal lobe, and particularly the hippocampus, has been proposed to encode items in context1,2. Although hippocampal memory representations are largely context-dependent in rodents3,4, concept cells in humans appear to be context-invariant5. However, it remains unknown how item and context information are combined to form or retrieve integrated item-in-context memories at the single-neuron level in humans. Here we show that coordinated activity of distinct neuronal populations supports item-in-context memory. In a context-dependent picture-comparison task, we recorded 3,109 neurons from 16 neurosurgical patients, identifying 597 stimulus-modulated (pre-screened) and 200 context-modulated neurons (2.95% in the amygdala, 7.68% in the parahippocampal cortex, 5.68% in the entorhinal cortex and 9.42% in the hippocampus). Their co-firing combined different comparison questions (contexts) with two subsequent pictures (stimuli) through neuronal reinstatement of question contexts. Both populations were largely separate, generalized across the preferred dimension of each other, and covaried with behavioural performance. Following experimental pairing of stimuli and context, firing of entorhinal stimulus neurons predicted that of hippocampal context neurons after tens of milliseconds. Overall, synaptic modifications and co-firing of stimulus and context neurons could contribute to item-in-context memory, specify which stimulus memories need to be retrieved, and even generalize memories through mutual reinstatement of largely separate, orthogonal representations. By contrast, only 50 stimulus–context neurons represented specific picture–question combinations, consistent with limited pattern separation in the human medial temporal lobe, favouring flexible generalization over rigid conjunctive coding.</w:t>
      </w:r>
    </w:p>
    <w:p>
      <w:pPr>
        <w:spacing w:before="120" w:after="120"/>
      </w:pPr>
      <w:r>
        <w:rPr>
          <w:sz w:val="18"/>
        </w:rPr>
        <w:t>——————————————————————————————————————————————————————————————————————</w:t>
      </w:r>
    </w:p>
    <w:p>
      <w:pPr>
        <w:spacing w:before="160" w:after="40" w:line="240" w:lineRule="auto"/>
      </w:pPr>
      <w:r>
        <w:rPr>
          <w:b/>
        </w:rPr>
        <w:t xml:space="preserve">[535] </w:t>
      </w:r>
      <w:hyperlink r:id="rId944">
        <w:r>
          <w:rPr>
            <w:color w:val="1155CC"/>
            <w:u w:val="single"/>
          </w:rPr>
          <w:t>基于级联光电突触的神经形态成像仪</w:t>
        </w:r>
      </w:hyperlink>
    </w:p>
    <w:p>
      <w:pPr>
        <w:spacing w:before="0" w:after="80"/>
      </w:pPr>
      <w:r>
        <w:rPr>
          <w:i/>
          <w:sz w:val="20"/>
        </w:rPr>
        <w:t>EN: A neuromorphic imager based on a cascaded optoelectronic synapse</w:t>
      </w:r>
    </w:p>
    <w:p>
      <w:pPr>
        <w:spacing w:before="0" w:after="120"/>
      </w:pPr>
      <w:r>
        <w:rPr>
          <w:b/>
        </w:rPr>
        <w:t xml:space="preserve">Source: </w:t>
      </w:r>
      <w:r>
        <w:t>Nature Electronics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人类视网膜能为开发人造视觉系统光电子装置提供灵感。它特别为低光光异常成像提供了曲线几何学,并且能够进行信号预处理,部分原因是它具有高度的合成便利,然而,在机械软性、曲线成形因素和高级合成便利的情况下,建立人工合成装置仍然具有挑战性。我们在此报告一个级联的两阶段光电电池,利用硅光电电池调节钠-平衡式合成突变晶体体。光伏电池和一个电动双层电容器将初始光信号转换成门电压(第一阶段),然后控制合成转口通道的后发式电流。</w:t>
      </w:r>
    </w:p>
    <w:p>
      <w:pPr>
        <w:spacing w:before="0" w:after="200" w:lineRule="auto" w:line="276"/>
      </w:pPr>
      <w:r>
        <w:rPr>
          <w:b/>
        </w:rPr>
        <w:t xml:space="preserve">Abstract (EN): </w:t>
      </w:r>
      <w:r>
        <w:t>The human retina can provide inspiration for the development of optoelectronic devices for artificial vision systems. It has, in particular, a curved geometry for low optical aberration imaging and is capable of signal preprocessing, in part due to its high synaptic facilitation. However, it remains challenging to create artificial synaptic devices with mechanical softness, curvilinear form factors and superior synaptic facilitation. Here we report a cascaded two-stage optoelectronic synapse that uses silicon photovoltaic cells to modulate sodium-alginate-gated synaptic transistors. The photovoltaic cells and an electric double-layer capacitor convert the initial light signal into a gate voltage (stage one), which then controls the postsynaptic current in the channel of the synaptic transistor (stage two). This cascaded synaptic signal transmission mechanism results in high synaptic facilitation of the postsynaptic signal. The system exhibits stable and long-term linearly potentiated characteristics, enhancing the accuracy of pattern recognition. We use an array of the cascaded optoelectronic synapses to create a curvy, kirigami-structured neuromorphic imager, which mimics the curved geometry and neural signal transmission of the human retina and provides visual information sensing and preprocessing functions.</w:t>
      </w:r>
    </w:p>
    <w:p>
      <w:pPr>
        <w:spacing w:before="120" w:after="120"/>
      </w:pPr>
      <w:r>
        <w:rPr>
          <w:sz w:val="18"/>
        </w:rPr>
        <w:t>——————————————————————————————————————————————————————————————————————</w:t>
      </w:r>
    </w:p>
    <w:p>
      <w:pPr>
        <w:spacing w:before="160" w:after="40" w:line="240" w:lineRule="auto"/>
      </w:pPr>
      <w:r>
        <w:rPr>
          <w:b/>
        </w:rPr>
        <w:t xml:space="preserve">[536] </w:t>
      </w:r>
      <w:hyperlink r:id="rId945">
        <w:r>
          <w:rPr>
            <w:color w:val="1155CC"/>
            <w:u w:val="single"/>
          </w:rPr>
          <w:t>在一个多孔固体电解电解器反应堆中进行节能间接碳酸间接(双)碳酸酯电裁减</w:t>
        </w:r>
      </w:hyperlink>
    </w:p>
    <w:p>
      <w:pPr>
        <w:spacing w:before="0" w:after="80"/>
      </w:pPr>
      <w:r>
        <w:rPr>
          <w:i/>
          <w:sz w:val="20"/>
        </w:rPr>
        <w:t>EN: Energy-efficient indirect (bi)carbonate electroreduction in a porous solid electrolyte reactor</w:t>
      </w:r>
    </w:p>
    <w:p>
      <w:pPr>
        <w:spacing w:before="0" w:after="120"/>
      </w:pPr>
      <w:r>
        <w:rPr>
          <w:b/>
        </w:rPr>
        <w:t xml:space="preserve">Source: </w:t>
      </w:r>
      <w:r>
        <w:t>Nature Sustainability</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碳捕获、回收和转换通常通过三个不同的步骤进行,这明显增加了能源消耗和资本成本的总和。 我们在这里建议将碳酸盐(Bi)碳酸盐(即碱性碳捕获中富碳吸附剂)间接转换成一个多孔固态电解液(PSE)电化学减少CO2(CO2RRR)反应堆中的有价值的化学品,同时消除能源密集型CO2回收步骤。具体地说,将(Bi)碳酸盐直接注入PSE层,同时进行CO2R(Bi)碳酸盐在PSE室内同时进行CO2再生。 演示了惊人的电化学性能,在囚犯法拉达效率方面高达96%,95%的CO2回收效率以及86%的双碳酸盐-格式转换。 反应堆的多功能性能使我们得以获取t。</w:t>
      </w:r>
    </w:p>
    <w:p>
      <w:pPr>
        <w:spacing w:before="0" w:after="200" w:lineRule="auto" w:line="276"/>
      </w:pPr>
      <w:r>
        <w:rPr>
          <w:b/>
        </w:rPr>
        <w:t xml:space="preserve">Abstract (EN): </w:t>
      </w:r>
      <w:r>
        <w:t>Carbon capture, recovery and conversion are typically done by three separate steps, which notably increases the total energy consumption and capital costs. Here we propose to indirectly convert (bi)carbonates, which are carbon-rich sorbents in alkaline carbon capture, into valuable chemicals in a porous solid electrolyte (PSE) electrochemical CO2 reduction (CO2RR) reactor while eliminating the energy-intensive CO2 recovery step. Specifically, direct feeding of (bi)carbonates into the PSE layer while performing CO2RR allows simultaneous CO2 regeneration within the PSE chamber. Impressive electrochemical performance was demonstrated, with up to 96% formate Faradaic efficiency, 95% CO2 recovery efficiency and 86% bicarbonate-to-formate conversion. Reactor versatility allowed us to obtain up to 5.0 M formate, ~50% higher than bicarbonate solubility and C2+ products with 73% selectivity, setting the state of the art for bicarbonate-fed CO2RR. Operating for at least 100 hours at 100 mA cm−2 averaging 82% CO2 recovery and 89% Faradaic efficiencies, our reactor adds economic value to alkaline carbon capture and CO2 conversion, bringing both closer to practical implementation.</w:t>
      </w:r>
    </w:p>
    <w:p>
      <w:pPr>
        <w:spacing w:before="120" w:after="120"/>
      </w:pPr>
      <w:r>
        <w:rPr>
          <w:sz w:val="18"/>
        </w:rPr>
        <w:t>——————————————————————————————————————————————————————————————————————</w:t>
      </w:r>
    </w:p>
    <w:p>
      <w:pPr>
        <w:spacing w:before="160" w:after="40" w:line="240" w:lineRule="auto"/>
      </w:pPr>
      <w:r>
        <w:rPr>
          <w:b/>
        </w:rPr>
        <w:t xml:space="preserve">[537] </w:t>
      </w:r>
      <w:hyperlink r:id="rId946">
        <w:r>
          <w:rPr>
            <w:color w:val="1155CC"/>
            <w:u w:val="single"/>
          </w:rPr>
          <w:t>用于优化太阳能空气热暖器性能的扰动建模和机器学习:最新工艺和未来方向</w:t>
        </w:r>
      </w:hyperlink>
    </w:p>
    <w:p>
      <w:pPr>
        <w:spacing w:before="0" w:after="80"/>
      </w:pPr>
      <w:r>
        <w:rPr>
          <w:i/>
          <w:sz w:val="20"/>
        </w:rPr>
        <w:t>EN: Turbulence modeling and machine learning for performance optimization of solar air heaters: State-of-the-art and future directions</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[538] </w:t>
      </w:r>
      <w:hyperlink r:id="rId947">
        <w:r>
          <w:rPr>
            <w:color w:val="1155CC"/>
            <w:u w:val="single"/>
          </w:rPr>
          <w:t>探索在多时间规模能源管理下在离网可再生能源P2H系统下在离网可再生P2H系统进行电网格式化能源储存的最佳规模</w:t>
        </w:r>
      </w:hyperlink>
    </w:p>
    <w:p>
      <w:pPr>
        <w:spacing w:before="0" w:after="80"/>
      </w:pPr>
      <w:r>
        <w:rPr>
          <w:i/>
          <w:sz w:val="20"/>
        </w:rPr>
        <w:t>EN: Exploring the optimal size of grid-forming energy storage in an off-grid renewable P2H system under multi-timescale energy management</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[539] </w:t>
      </w:r>
      <w:hyperlink r:id="rId948">
        <w:r>
          <w:rPr>
            <w:color w:val="1155CC"/>
            <w:u w:val="single"/>
          </w:rPr>
          <w:t>用于低温等离子体运输的推进热塑性复合材料</w:t>
        </w:r>
      </w:hyperlink>
    </w:p>
    <w:p>
      <w:pPr>
        <w:spacing w:before="0" w:after="80"/>
      </w:pPr>
      <w:r>
        <w:rPr>
          <w:i/>
          <w:sz w:val="20"/>
        </w:rPr>
        <w:t>EN: Advancing thermoplastic composites for transportation with low-temperature plasma</w:t>
      </w:r>
    </w:p>
    <w:p>
      <w:pPr>
        <w:spacing w:before="0" w:after="120"/>
      </w:pPr>
      <w:r>
        <w:rPr>
          <w:b/>
        </w:rPr>
        <w:t xml:space="preserve">Source: </w:t>
      </w:r>
      <w:r>
        <w:t>Nature Reviews Clean Technology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[540] </w:t>
      </w:r>
      <w:hyperlink r:id="rId949">
        <w:r>
          <w:rPr>
            <w:color w:val="1155CC"/>
            <w:u w:val="single"/>
          </w:rPr>
          <w:t>对提供辅助服务的燃气涡轮机-电池混合发电厂的预测驱动控制</w:t>
        </w:r>
      </w:hyperlink>
    </w:p>
    <w:p>
      <w:pPr>
        <w:spacing w:before="0" w:after="80"/>
      </w:pPr>
      <w:r>
        <w:rPr>
          <w:i/>
          <w:sz w:val="20"/>
        </w:rPr>
        <w:t>EN: Prediction driven control of a gas turbine–battery hybrid power plant providing an ancillary service</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[541] </w:t>
      </w:r>
      <w:hyperlink r:id="rId950">
        <w:r>
          <w:rPr>
            <w:color w:val="1155CC"/>
            <w:u w:val="single"/>
          </w:rPr>
          <w:t>德国电池研究需要有针对性的长期供资战略</w:t>
        </w:r>
      </w:hyperlink>
    </w:p>
    <w:p>
      <w:pPr>
        <w:spacing w:before="0" w:after="80"/>
      </w:pPr>
      <w:r>
        <w:rPr>
          <w:i/>
          <w:sz w:val="20"/>
        </w:rPr>
        <w:t>EN: German battery research needs a targeted and long-lasting funding strategy</w:t>
      </w:r>
    </w:p>
    <w:p>
      <w:pPr>
        <w:spacing w:before="0" w:after="120"/>
      </w:pPr>
      <w:r>
        <w:rPr>
          <w:b/>
        </w:rPr>
        <w:t xml:space="preserve">Source: </w:t>
      </w:r>
      <w:r>
        <w:t>Nature Reviews Clean Technology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[542] </w:t>
      </w:r>
      <w:hyperlink r:id="rId951">
        <w:r>
          <w:rPr>
            <w:color w:val="1155CC"/>
            <w:u w:val="single"/>
          </w:rPr>
          <w:t>内通文学习强化大语言模型,以进行可靠的分配系统国家估算</w:t>
        </w:r>
      </w:hyperlink>
    </w:p>
    <w:p>
      <w:pPr>
        <w:spacing w:before="0" w:after="80"/>
      </w:pPr>
      <w:r>
        <w:rPr>
          <w:i/>
          <w:sz w:val="20"/>
        </w:rPr>
        <w:t>EN: In-context learning enhanced large language model for robust distribution system state estimation</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[543] </w:t>
      </w:r>
      <w:hyperlink r:id="rId952">
        <w:r>
          <w:rPr>
            <w:color w:val="1155CC"/>
            <w:u w:val="single"/>
          </w:rPr>
          <w:t>对差分扫描热量测定数据进行推进分析 - DSC和AI</w:t>
        </w:r>
      </w:hyperlink>
    </w:p>
    <w:p>
      <w:pPr>
        <w:spacing w:before="0" w:after="80"/>
      </w:pPr>
      <w:r>
        <w:rPr>
          <w:i/>
          <w:sz w:val="20"/>
        </w:rPr>
        <w:t>EN: Advancing analysis of differential scanning calorimetry data – Converging DSC and AI</w:t>
      </w:r>
    </w:p>
    <w:p>
      <w:pPr>
        <w:spacing w:before="0" w:after="120"/>
      </w:pPr>
      <w:r>
        <w:rPr>
          <w:b/>
        </w:rPr>
        <w:t xml:space="preserve">Source: </w:t>
      </w:r>
      <w:r>
        <w:t>ScienceDirect Publication: Materials Today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[544] </w:t>
      </w:r>
      <w:hyperlink r:id="rId953">
        <w:r>
          <w:rPr>
            <w:color w:val="1155CC"/>
            <w:u w:val="single"/>
          </w:rPr>
          <w:t>考虑到城市交通网络中的氢供应链安全,协调优化电力-氢能系统</w:t>
        </w:r>
      </w:hyperlink>
    </w:p>
    <w:p>
      <w:pPr>
        <w:spacing w:before="0" w:after="80"/>
      </w:pPr>
      <w:r>
        <w:rPr>
          <w:i/>
          <w:sz w:val="20"/>
        </w:rPr>
        <w:t>EN: Coordinated optimization of electricity-hydrogen system considering hydrogen supply chain safety in urban traffic network</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[545] </w:t>
      </w:r>
      <w:hyperlink r:id="rId954">
        <w:r>
          <w:rPr>
            <w:color w:val="1155CC"/>
            <w:u w:val="single"/>
          </w:rPr>
          <w:t>知识线索的前前神经神经几何学前神经几何学学线索指导有动机的行为</w:t>
        </w:r>
      </w:hyperlink>
    </w:p>
    <w:p>
      <w:pPr>
        <w:spacing w:before="0" w:after="80"/>
      </w:pPr>
      <w:r>
        <w:rPr>
          <w:i/>
          <w:sz w:val="20"/>
        </w:rPr>
        <w:t>EN: Prefrontal neural geometry of learned cues guides motivated behaviours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动物不断评估其周围环境,以决定是选择奖励机会还是避免潜在威胁; 对环境刺激给予适当重视,不仅对生存至关重要,而且也是各种物种之间共有的、目标导向行为的复杂形式的基础,包括人类1,2,3,4; 因此,了解大脑如何将这种感官信号转化为有动因的行为,是神经科学与心理学的核心; 前前额皮层(dmPFC)是连接有动因行为的相关环境刺激的关键结构。 相容性、价值和价值是决定刺激相关性的关键方面,但DMPFC过程和组织这种维度来驱动有动因行为的方式仍然不明确。</w:t>
      </w:r>
    </w:p>
    <w:p>
      <w:pPr>
        <w:spacing w:before="0" w:after="200" w:lineRule="auto" w:line="276"/>
      </w:pPr>
      <w:r>
        <w:rPr>
          <w:b/>
        </w:rPr>
        <w:t xml:space="preserve">Abstract (EN): </w:t>
      </w:r>
      <w:r>
        <w:t>Animals continuously evaluate their surroundings to decide whether to approach rewarding opportunities or avoid potential threats. Assigning the appropriate importance to environmental stimuli is not only crucial for survival but also underlies complex forms of goal-directed behaviour that are shared across species, including humans1,2,3,4. Understanding how the brain translates such sensory cues into motivated behaviours is, therefore, central to neuroscience and psychology. The dorsomedial prefrontal cortex (dmPFC) is a critical structure that bridges relevant environmental stimuli to goal-directed behaviour. Salience, valence and value are key dimensions defining stimulus relevance, but how the dmPFC processes and organizes such dimensions to drive motivated behaviour remains unclear. Here we monitored single-neuron populations in the dmPFC using calcium imaging in freely moving male mice while discriminating between stimuli predicting different reward or punishment outcomes, which enabled an unprecedented dissociation of salience, valence and value information. We found that dmPFC populations primarily encode appetitive and aversive values of learned stimuli and that subpopulations encode valence and salience along orthogonal information axes. Our results highlight a concurrent multifaceted population coding of value, salience and valence of stimuli during associative learning within dmPFC networks, such that the geometry of dmPFC neuronal representations dynamically shapes appetitive and aversive motivated behaviours.</w:t>
      </w:r>
    </w:p>
    <w:p>
      <w:pPr>
        <w:spacing w:before="120" w:after="120"/>
      </w:pPr>
      <w:r>
        <w:rPr>
          <w:sz w:val="18"/>
        </w:rPr>
        <w:t>——————————————————————————————————————————————————————————————————————</w:t>
      </w:r>
    </w:p>
    <w:p>
      <w:pPr>
        <w:spacing w:before="160" w:after="40" w:line="240" w:lineRule="auto"/>
      </w:pPr>
      <w:r>
        <w:rPr>
          <w:b/>
        </w:rPr>
        <w:t xml:space="preserve">[546] </w:t>
      </w:r>
      <w:hyperlink r:id="rId955">
        <w:r>
          <w:rPr>
            <w:color w:val="1155CC"/>
            <w:u w:val="single"/>
          </w:rPr>
          <w:t>高性能固体氧化碳燃料电池的先进电化学阻塞阻隔光谱仪:严格审查</w:t>
        </w:r>
      </w:hyperlink>
    </w:p>
    <w:p>
      <w:pPr>
        <w:spacing w:before="0" w:after="80"/>
      </w:pPr>
      <w:r>
        <w:rPr>
          <w:i/>
          <w:sz w:val="20"/>
        </w:rPr>
        <w:t>EN: Advanced electrochemical impedance spectroscopy for high-performance solid oxide fuel cells: A critical review</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[547] </w:t>
      </w:r>
      <w:hyperlink r:id="rId956">
        <w:r>
          <w:rPr>
            <w:color w:val="1155CC"/>
            <w:u w:val="single"/>
          </w:rPr>
          <w:t>使用智能计量数据校准城市建筑能源模型,以进行地区最高负荷预测</w:t>
        </w:r>
      </w:hyperlink>
    </w:p>
    <w:p>
      <w:pPr>
        <w:spacing w:before="0" w:after="80"/>
      </w:pPr>
      <w:r>
        <w:rPr>
          <w:i/>
          <w:sz w:val="20"/>
        </w:rPr>
        <w:t>EN: Calibration of urban building energy model using smart meter data for district peak load prediction</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[548] </w:t>
      </w:r>
      <w:hyperlink r:id="rId957">
        <w:r>
          <w:rPr>
            <w:color w:val="1155CC"/>
            <w:u w:val="single"/>
          </w:rPr>
          <w:t>未来同位素Ion电池阴极材料的实验和计算进步</w:t>
        </w:r>
      </w:hyperlink>
    </w:p>
    <w:p>
      <w:pPr>
        <w:spacing w:before="0" w:after="80"/>
      </w:pPr>
      <w:r>
        <w:rPr>
          <w:i/>
          <w:sz w:val="20"/>
        </w:rPr>
        <w:t>EN: Expression of concern: Experimental and computational advancement of cathode materials for futuristic Sodium Ion Batteries</w:t>
      </w:r>
    </w:p>
    <w:p>
      <w:pPr>
        <w:spacing w:before="0" w:after="120"/>
      </w:pPr>
      <w:r>
        <w:rPr>
          <w:b/>
        </w:rPr>
        <w:t xml:space="preserve">Source: </w:t>
      </w:r>
      <w:r>
        <w:t>ScienceDirect Publication: Materials Today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[549] </w:t>
      </w:r>
      <w:hyperlink r:id="rId958">
        <w:r>
          <w:rPr>
            <w:color w:val="1155CC"/>
            <w:u w:val="single"/>
          </w:rPr>
          <w:t>普罗夫斯基薄薄薄膜技术的最新进展:从太阳能电池到光电子设备</w:t>
        </w:r>
      </w:hyperlink>
    </w:p>
    <w:p>
      <w:pPr>
        <w:spacing w:before="0" w:after="80"/>
      </w:pPr>
      <w:r>
        <w:rPr>
          <w:i/>
          <w:sz w:val="20"/>
        </w:rPr>
        <w:t>EN: Recent advancements in perovskite thin film technology: From solar cells to optoelectronic devices</w:t>
      </w:r>
    </w:p>
    <w:p>
      <w:pPr>
        <w:spacing w:before="0" w:after="120"/>
      </w:pPr>
      <w:r>
        <w:rPr>
          <w:b/>
        </w:rPr>
        <w:t xml:space="preserve">Source: </w:t>
      </w:r>
      <w:r>
        <w:t>ScienceDirect Publication: Materials Today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[550] </w:t>
      </w:r>
      <w:hyperlink r:id="rId959">
        <w:r>
          <w:rPr>
            <w:color w:val="1155CC"/>
            <w:u w:val="single"/>
          </w:rPr>
          <w:t>使用迁移田和隧道流流在硅上的高功率毫米波开关</w:t>
        </w:r>
      </w:hyperlink>
    </w:p>
    <w:p>
      <w:pPr>
        <w:spacing w:before="0" w:after="80"/>
      </w:pPr>
      <w:r>
        <w:rPr>
          <w:i/>
          <w:sz w:val="20"/>
        </w:rPr>
        <w:t>EN: High-power millimetre-wave switches on silicon using displacement fields and tunnelling currents</w:t>
      </w:r>
    </w:p>
    <w:p>
      <w:pPr>
        <w:spacing w:before="0" w:after="120"/>
      </w:pPr>
      <w:r>
        <w:rPr>
          <w:b/>
        </w:rPr>
        <w:t xml:space="preserve">Source: </w:t>
      </w:r>
      <w:r>
        <w:t>Nature Electronics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现代通信和遥感技术依赖基于硅的辅助金属-氧化-半导体设备。 然而,由于短通道效应和接触阻力的短通道效应和阻力,继续通过晶体管的微型化来提高这些系统的能力越来越具有挑战性。 我们在这里报告基于零变化硅在隔热器工艺的开关,通过电控迁移场和多晶体线和散装硅界面的隧道流进行操作。 开关提供了0.75THz的截断频率和10倍于传统晶体管开关的电动处理,这些开关使用同样的硅线在隔热器工艺。 技术实现了30-30秒的无歇斯切换,而我们则实现了我们这个目标。</w:t>
      </w:r>
    </w:p>
    <w:p>
      <w:pPr>
        <w:spacing w:before="0" w:after="200" w:lineRule="auto" w:line="276"/>
      </w:pPr>
      <w:r>
        <w:rPr>
          <w:b/>
        </w:rPr>
        <w:t xml:space="preserve">Abstract (EN): </w:t>
      </w:r>
      <w:r>
        <w:t>Modern communication and sensing technologies rely on complementary metal–oxide–semiconductor devices based on silicon. However, continuing to improve the capabilities of such systems through the miniaturization of transistors is increasingly challenging due to short channel effects and contact resistances. Here we report switches that are based on a zero-change silicon-on-insulator process and operate through the electrical control of displacement fields and tunnelling currents in the interface between polycrystalline and bulk silicon. The switches offer a cut-off frequency of 0.75 THz and a power handling that is ten times higher than conventional transistor-based switches that use the same silicon-on-insulator process. The technology achieves sub-30-ps hysteresis-free switching, and we illustrate its capabilities in millimetre-wave transmitters with data rates exceeding 10 Gbps.</w:t>
      </w:r>
    </w:p>
    <w:p>
      <w:pPr>
        <w:spacing w:before="120" w:after="120"/>
      </w:pPr>
      <w:r>
        <w:rPr>
          <w:sz w:val="18"/>
        </w:rPr>
        <w:t>——————————————————————————————————————————————————————————————————————</w:t>
      </w:r>
    </w:p>
    <w:p>
      <w:pPr>
        <w:spacing w:before="160" w:after="40" w:line="240" w:lineRule="auto"/>
      </w:pPr>
      <w:r>
        <w:rPr>
          <w:b/>
        </w:rPr>
        <w:t xml:space="preserve">[551] </w:t>
      </w:r>
      <w:hyperlink r:id="rId960">
        <w:r>
          <w:rPr>
            <w:color w:val="1155CC"/>
            <w:u w:val="single"/>
          </w:rPr>
          <w:t>优化的LOHC设施规模化:将电解器降解和碳定价相结合</w:t>
        </w:r>
      </w:hyperlink>
    </w:p>
    <w:p>
      <w:pPr>
        <w:spacing w:before="0" w:after="80"/>
      </w:pPr>
      <w:r>
        <w:rPr>
          <w:i/>
          <w:sz w:val="20"/>
        </w:rPr>
        <w:t>EN: Optimal LOHC facility sizing: Integrating electrolyzer degradation and carbon pricing</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[552] </w:t>
      </w:r>
      <w:hyperlink r:id="rId961">
        <w:r>
          <w:rPr>
            <w:color w:val="1155CC"/>
            <w:u w:val="single"/>
          </w:rPr>
          <w:t>通过以数据驱动的部件防污化,改进大规模电池储存系统优化交易时间表的实际执行情况</w:t>
        </w:r>
      </w:hyperlink>
    </w:p>
    <w:p>
      <w:pPr>
        <w:spacing w:before="0" w:after="80"/>
      </w:pPr>
      <w:r>
        <w:rPr>
          <w:i/>
          <w:sz w:val="20"/>
        </w:rPr>
        <w:t>EN: Improving real-world execution of optimized trading schedules for large-scale battery storage systems through data-driven component parametrization</w:t>
      </w:r>
    </w:p>
    <w:p>
      <w:pPr>
        <w:spacing w:before="0" w:after="120"/>
      </w:pPr>
      <w:r>
        <w:rPr>
          <w:b/>
        </w:rPr>
        <w:t xml:space="preserve">Source: </w:t>
      </w:r>
      <w:r>
        <w:t>ScienceDirect Publication: Applied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[553] </w:t>
      </w:r>
      <w:hyperlink r:id="rId962">
        <w:r>
          <w:rPr>
            <w:color w:val="1155CC"/>
            <w:u w:val="single"/>
          </w:rPr>
          <w:t>4-含氟碘口服从先进的拉萨热中救出非人类灵长类动物</w:t>
        </w:r>
      </w:hyperlink>
    </w:p>
    <w:p>
      <w:pPr>
        <w:spacing w:before="0" w:after="80"/>
      </w:pPr>
      <w:r>
        <w:rPr>
          <w:i/>
          <w:sz w:val="20"/>
        </w:rPr>
        <w:t>EN: Oral 4′-fluorouridine rescues nonhuman primates from advanced Lassa fever</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在西非,估计每年造成100 000至300 000人感染和5 000人死亡的拉萨热没有经过核准治疗,1 。 最近,有证据表明,4-氟碘(又称EIDD-2749),一种口口口可得到的脊髓核克莱皮模拟物,在治疗推迟到临床病征发后,Lassa病毒的Josiah菌株被延后后,使鼠鼠鼠猪免于对Lassa病毒系列四类原型Josiah菌株的致命挑战。 3 我们在这里评估了使用当代和显然更多病源线七多哥拉萨病毒菌株的非洲拉萨热绿色猴子模型中4-氟丁的治疗效果,在Lassa病毒感染后6天,当猴子体弱和临床病后,每日4-氟丁治疗结果r。</w:t>
      </w:r>
    </w:p>
    <w:p>
      <w:pPr>
        <w:spacing w:before="0" w:after="200" w:lineRule="auto" w:line="276"/>
      </w:pPr>
      <w:r>
        <w:rPr>
          <w:b/>
        </w:rPr>
        <w:t xml:space="preserve">Abstract (EN): </w:t>
      </w:r>
      <w:r>
        <w:t>There are no approved treatments for Lassa fever, which is estimated to cause 100,000 to 300,000 infections and 5,000 deaths annually in West Africa1,2. Recently, it was shown that 4′-fluorouridine (also known as EIDD-2749), an orally available ribonucleoside analogue, protected guinea pigs from lethal challenge with the lineage IV prototype Josiah strain of Lassa virus when treatment was delayed beyond the onset of clinical signs of disease3. Here we assessed the therapeutic efficacy of 4′-fluorouridine in an African green monkey model of Lassa fever using the contemporary and apparently more pathogenic lineage VII Togo strain of Lassa virus. Daily treatment with 4′-fluorouridine beginning 6 days after Lassa virus infection, when the monkeys were viraemic and clinically ill, resulted in rapid and complete clearance of infectious virus in 4 out of 5 monkeys, and all treated monkeys survived to the pre-determined study end-point. Targeted transcriptomics showed that cellular responses and control of cytokinaemia contributed to the development of immunity. Our findings support the further development of 4′-fluorouridine both as a post-exposure prophylaxis to control outbreaks and as a therapeutic agent to treat symptomatic patients.</w:t>
      </w:r>
    </w:p>
    <w:p>
      <w:pPr>
        <w:spacing w:before="120" w:after="120"/>
      </w:pPr>
      <w:r>
        <w:rPr>
          <w:sz w:val="18"/>
        </w:rPr>
        <w:t>——————————————————————————————————————————————————————————————————————</w:t>
      </w:r>
    </w:p>
    <w:p>
      <w:pPr>
        <w:spacing w:before="160" w:after="40" w:line="240" w:lineRule="auto"/>
      </w:pPr>
      <w:r>
        <w:rPr>
          <w:b/>
        </w:rPr>
        <w:t xml:space="preserve">[554] </w:t>
      </w:r>
      <w:hyperlink r:id="rId963">
        <w:r>
          <w:rPr>
            <w:color w:val="1155CC"/>
            <w:u w:val="single"/>
          </w:rPr>
          <w:t>乳腺癌特定器官转移的营养要求</w:t>
        </w:r>
      </w:hyperlink>
    </w:p>
    <w:p>
      <w:pPr>
        <w:spacing w:before="0" w:after="80"/>
      </w:pPr>
      <w:r>
        <w:rPr>
          <w:i/>
          <w:sz w:val="20"/>
        </w:rPr>
        <w:t>EN: Nutrient requirements of organ-specific metastasis in breast cancer</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癌症转移是造成病人发病率和死亡率的主要原因,1 但决定癌症可以转移的器官的因素不完全被理解。在这里,我们量化小鼠多种组织中124种代谢物的绝对水平,并调查这与乳腺癌细胞在不同器官中生长的能力有何关系。我们改造了具有广泛代谢潜力的乳腺癌细胞,这些细胞对于特定营养物具有助养作用,并评估了它们殖民不同组织场所的能力。我们随后询问了不同组织肿瘤的生长与营养供应和肿瘤生物合成活动之间的关系。我们发现单项营养物质并不能单独确定乳腺癌细胞可以随着转移而生长的地点。此外,我们还确定了纯合成物。</w:t>
      </w:r>
    </w:p>
    <w:p>
      <w:pPr>
        <w:spacing w:before="0" w:after="200" w:lineRule="auto" w:line="276"/>
      </w:pPr>
      <w:r>
        <w:rPr>
          <w:b/>
        </w:rPr>
        <w:t xml:space="preserve">Abstract (EN): </w:t>
      </w:r>
      <w:r>
        <w:t>Cancer metastasis is a major contributor to patient morbidity and mortality1, yet the factors that determine the organs where cancers can metastasize are incompletely understood. Here we quantify the absolute levels of 124 metabolites in multiple tissues in mice and investigate how this relates to the ability of breast cancer cells to grow in different organs. We engineered breast cancer cells with broad metastatic potential to be auxotrophic for specific nutrients and assessed their ability to colonize different tissue sites. We then asked how tumour growth in different tissues relates to nutrient availability and tumour biosynthetic activity. We find that single nutrients alone do not define the sites where breast cancer cells can grow as metastases. In addition, we identify purine synthesis as a requirement for tumour growth and metastasis across many tissues and find that this phenotype is independent of tissue nucleotide availability or tumour de novo nucleotide synthesis activity. These data suggest that a complex interplay between multiple nutrients within the microenvironment dictates potential sites of metastatic cancer growth, and highlights the interdependence between extrinsic environmental factors and intrinsic cellular properties in influencing where breast cancer cells can grow as metastases.</w:t>
      </w:r>
    </w:p>
    <w:p>
      <w:pPr>
        <w:spacing w:before="120" w:after="120"/>
      </w:pPr>
      <w:r>
        <w:rPr>
          <w:sz w:val="18"/>
        </w:rPr>
        <w:t>——————————————————————————————————————————————————————————————————————</w:t>
      </w:r>
    </w:p>
    <w:p>
      <w:pPr>
        <w:spacing w:before="160" w:after="40" w:line="240" w:lineRule="auto"/>
      </w:pPr>
      <w:r>
        <w:rPr>
          <w:b/>
        </w:rPr>
        <w:t xml:space="preserve">[555] </w:t>
      </w:r>
      <w:hyperlink r:id="rId964">
        <w:r>
          <w:rPr>
            <w:color w:val="1155CC"/>
            <w:u w:val="single"/>
          </w:rPr>
          <w:t>通过干扰内生irg1/acod1跟踪所揭示的与mannerose-受体-受体-相关可塑性,破坏肌肉修复</w:t>
        </w:r>
      </w:hyperlink>
    </w:p>
    <w:p>
      <w:pPr>
        <w:spacing w:before="0" w:after="80"/>
      </w:pPr>
      <w:r>
        <w:rPr>
          <w:i/>
          <w:sz w:val="20"/>
        </w:rPr>
        <w:t>EN: Chronic macrophage activation derails muscle repair by disrupting mannose-receptor-linked plasticity revealed by endogenous irg1/acod1 tracking</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大型动物是慢性炎症的中心驱动因素,然而,长期的炎症状态如何改变其功能仍不清楚。使用GFP Knock-in zebrafish 来针对标有巨形活化标志的irg1/acod1 的斑马鱼,我们追踪在由 nlrc3l 基因突变引发的软体和慢性发炎条件下,大型动物在急性肌肉损伤期间的动态转变。在慢性炎症模型中,肌肉修复受损,曼诺斯受体受体MEX1c1b/cd206的表达方式以离子88为依存的方式严重下调。两种以细胞行为和单细胞定型剖析剖面、聚和肌肉放大为定义的对准宏观亚型亚型,其细胞行为和单细胞定型剖面、聚体和肌肉放大为定义的两种对准性大型大型动物的亚型,已经丢失。一种慢性感染模型重新刻出这些缺陷,强调与宏观的联系。</w:t>
      </w:r>
    </w:p>
    <w:p>
      <w:pPr>
        <w:spacing w:before="0" w:after="200" w:lineRule="auto" w:line="276"/>
      </w:pPr>
      <w:r>
        <w:rPr>
          <w:b/>
        </w:rPr>
        <w:t xml:space="preserve">Abstract (EN): </w:t>
      </w:r>
      <w:r>
        <w:t>Macrophages are central drivers of chronic inflammation, yet how a sustained inflammatory state alters their function remains unclear. Using GFP knock-in zebrafish targeting irg1/acod1 that marks macrophage activation, we track the dynamic transitions of macrophage states during acute muscle injury under homeostatic and chronically inflamed conditions, induced by genetic mutation of nlrc3l. In the chronic inflammation model, muscle repair is impaired and expression of the mannose receptor mrc1b/cd206 is severely downregulated in a myd88-dependent manner. Two reparative macrophage subtypes, defined by their cellular behavior and single-cell transcriptomics profile, clustering and muscle-encasing, are lost. A chronic infection model recapitulates these defects, underscoring the link to macrophage mrc1b repression. Depleting either mrc1b or macrophages impairs muscle repair. Reinstating normal macrophage states by restoring macrophage nlrc3l expression or ablating myd88-mediated inflammatory pathways rescues muscle repair in nlrc3l mutants. Contrary to conventional discrete states, we identify hybrid M1/M2 macrophage states post-injury. While transient during normal injury response, a pro-inflammatory hybrid state persists during chronic activation, which restricts macrophage heterogeneity, represses mrc1b, and inhibits intracellular cathepsin K accumulation, a hallmark of reparative subtypes. Thus, our study provides mechanistic insight into the dynamics of macrophage activation during muscle injury and repair, and how these processes are modulated under chronic inflammation.</w:t>
      </w:r>
    </w:p>
    <w:p>
      <w:pPr>
        <w:spacing w:before="120" w:after="120"/>
      </w:pPr>
      <w:r>
        <w:rPr>
          <w:sz w:val="18"/>
        </w:rPr>
        <w:t>——————————————————————————————————————————————————————————————————————</w:t>
      </w:r>
    </w:p>
    <w:p>
      <w:pPr>
        <w:spacing w:before="160" w:after="40" w:line="240" w:lineRule="auto"/>
      </w:pPr>
      <w:r>
        <w:rPr>
          <w:b/>
        </w:rPr>
        <w:t xml:space="preserve">[556] </w:t>
      </w:r>
      <w:hyperlink r:id="rId965">
        <w:r>
          <w:rPr>
            <w:color w:val="1155CC"/>
            <w:u w:val="single"/>
          </w:rPr>
          <w:t>AKAP95 冷凝凝结管调控转录,可以作为MLL-聚聚驱动的相聚目标。</w:t>
        </w:r>
      </w:hyperlink>
    </w:p>
    <w:p>
      <w:pPr>
        <w:spacing w:before="0" w:after="80"/>
      </w:pPr>
      <w:r>
        <w:rPr>
          <w:i/>
          <w:sz w:val="20"/>
        </w:rPr>
        <w:t>EN: AKAP95 condensates regulate transcription and can be targeted in MLL-fusion driven oncogenesis</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RNA 装配质蛋白可以通过调制RNA 聚合酶II在新生RNA的帮助下进行转录冷凝,但这一机制是否也有助于肿瘤的产生尚不得而知。在这里,我们表明MLL 重新排列后,需要RB AKAP95RP AKAP95来调节转录;AKAP95 调制质Pol II的阶段分离和RNA结合特性是AKAP95 进入基因组目标地点的凝结点。AKAP95 与MLL1 转出碎片及其部分合凝结导致AKAP95对MLL-AF9目标基因的更强的绑合融。AKAP95 大量减少MLL-AF9目标的表达方式,损害MLL-AF9 驱动的利化。AKAP95对于正常和再生性肝瘤不必要,使其成为理想的叶质。AKAP95 使AKAP95成为理想的目标。</w:t>
      </w:r>
    </w:p>
    <w:p>
      <w:pPr>
        <w:spacing w:before="0" w:after="200" w:lineRule="auto" w:line="276"/>
      </w:pPr>
      <w:r>
        <w:rPr>
          <w:b/>
        </w:rPr>
        <w:t xml:space="preserve">Abstract (EN): </w:t>
      </w:r>
      <w:r>
        <w:t>RNA binding proteins could regulate transcription through modulating RNA polymerase II involved transcriptional condensates with the aid of nascent RNA. However, whether this mechanism also contributes to tumorigenesis is still unknown. Here, we show the RBP AKAP95 is required for MLL rearranged leukemogenesis. Phase separation and RNA binding properties of AKAP95 modulate Pol II recruitment into condensates at genome-wide target sites. AKAP95 interact with MLL1 translocated fragment and their partial co-condensation leads to stronger AKAP95 binding towards MLL-AF9 target genes. Loss of AKAP95 significantly downregulates expression of MLL-AF9 targets and impairs MLL-AF9 driven leukemogenesis. AKAP95 is not essential for normal and regenerative hematopoiesis, rendering it an ideal target for leukemia therapeutics. As an endeavor for modifying condensates, we design a peptide JD-PI95 bridging AKAP95 to protein quality surveillance component HSP70. The peptide successfully impairs AKAP95 phase separation, attenuates gene transcription and inhibits MLLr leukemia cells proliferation. Our work demonstrates an important role of RBP condensates in tumorigenesis through regulation of transcription and a new method to perturb specific condensates for tumor inhibition.</w:t>
      </w:r>
    </w:p>
    <w:p>
      <w:pPr>
        <w:spacing w:before="120" w:after="120"/>
      </w:pPr>
      <w:r>
        <w:rPr>
          <w:sz w:val="18"/>
        </w:rPr>
        <w:t>——————————————————————————————————————————————————————————————————————</w:t>
      </w:r>
    </w:p>
    <w:p>
      <w:pPr>
        <w:spacing w:before="160" w:after="40" w:line="240" w:lineRule="auto"/>
      </w:pPr>
      <w:r>
        <w:rPr>
          <w:b/>
        </w:rPr>
        <w:t xml:space="preserve">[557] </w:t>
      </w:r>
      <w:hyperlink r:id="rId966">
        <w:r>
          <w:rPr>
            <w:color w:val="1155CC"/>
            <w:u w:val="single"/>
          </w:rPr>
          <w:t>利用可更新的催化表面,在CuO上进行动态氧气空缺工程,促进高效水净化</w:t>
        </w:r>
      </w:hyperlink>
    </w:p>
    <w:p>
      <w:pPr>
        <w:spacing w:before="0" w:after="80"/>
      </w:pPr>
      <w:r>
        <w:rPr>
          <w:i/>
          <w:sz w:val="20"/>
        </w:rPr>
        <w:t>EN: Dynamic oxygen vacancy engineering on CuO via refreshable catalytic surface for high-efficient water decontamination</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氧化金属表面的氧气空缺(Ov)显示,在废水净化过程中,激活过氧甲硫酸过氧化物(PMS)的催化活动具有很高的催化作用,然而,它们的就地再生仍是一项重大挑战,这项研究成功地通过简单的碱蚀刻,在不干扰污染物清除过程的情况下,在库O表面实现了Ov的实时再生。碱处理采用的表层氢氧基组将库O的形成能量从1.60 eV显著减少至0.38 eV。实验结果和密度功能理论计算都表明,库O的高活动依赖于表层氢化物组和Ov的协同作用。这种协同作用增加了Cu nea 的Fermi级以下抗冒状态和电旋密度。</w:t>
      </w:r>
    </w:p>
    <w:p>
      <w:pPr>
        <w:spacing w:before="0" w:after="200" w:lineRule="auto" w:line="276"/>
      </w:pPr>
      <w:r>
        <w:rPr>
          <w:b/>
        </w:rPr>
        <w:t xml:space="preserve">Abstract (EN): </w:t>
      </w:r>
      <w:r>
        <w:t>Oxygen vacancies (Ov) on metal oxide surfaces exhibit high catalytic activity for activating peroxymonosulfate (PMS) in wastewater decontamination, yet their in-situ regeneration remains a significant challenge. This study successfully achieves in-situ real-time regeneration of Ov on CuO surfaces through simple alkali etching without interrupting the contaminant removal process. The surface hydroxyl groups introduced by alkali treatment significantly reduce the formation energy of Ov on CuO surfaces from 1.60 eV to 0.38 eV. Both experimental results and density functional theory calculations reveal that the high activity of CuO relies on the synergy of surface hydroxyl groups and Ov. This synergy increases the antibonding states below the Fermi level and the electron spin density of Cu near Ov, thereby promoting electron transfer from CuO to PMS. As a result, by just adding an equimolar amount of alkali relative to PMS in CuO/PMS system, the degradation rate constant of sulfamethoxazole (SMX) greatly increases by 42 times. The primary reactive oxygen species in this system are sulfate radicals and hydroxyl radicals. Furthermore, OH-/CuO/PMS system exhibits a long-term stability (&gt; 300 h) for SMX removal in a real water matrix. This work provides a highly executable method to in-situ real-time regenerate Ov on CuO surfaces, representing significant progress in the critical yet underappreciated field of catalyst regeneration.</w:t>
      </w:r>
    </w:p>
    <w:p>
      <w:pPr>
        <w:spacing w:before="120" w:after="120"/>
      </w:pPr>
      <w:r>
        <w:rPr>
          <w:sz w:val="18"/>
        </w:rPr>
        <w:t>——————————————————————————————————————————————————————————————————————</w:t>
      </w:r>
    </w:p>
    <w:p>
      <w:pPr>
        <w:spacing w:before="160" w:after="40" w:line="240" w:lineRule="auto"/>
      </w:pPr>
      <w:r>
        <w:rPr>
          <w:b/>
        </w:rPr>
        <w:t xml:space="preserve">[558] </w:t>
      </w:r>
      <w:hyperlink r:id="rId967">
        <w:r>
          <w:rPr>
            <w:color w:val="1155CC"/>
            <w:u w:val="single"/>
          </w:rPr>
          <w:t>用于荧光终身成像的化学氟磷</w:t>
        </w:r>
      </w:hyperlink>
    </w:p>
    <w:p>
      <w:pPr>
        <w:spacing w:before="0" w:after="80"/>
      </w:pPr>
      <w:r>
        <w:rPr>
          <w:i/>
          <w:sz w:val="20"/>
        </w:rPr>
        <w:t>EN: Chemical fluorophores for fluorescence lifetime imaging</w:t>
      </w:r>
    </w:p>
    <w:p>
      <w:pPr>
        <w:spacing w:before="0" w:after="120"/>
      </w:pPr>
      <w:r>
        <w:rPr>
          <w:b/>
        </w:rPr>
        <w:t xml:space="preserve">Source: </w:t>
      </w:r>
      <w:r>
        <w:t>RSC - Chem. Soc. Rev. latest articles</w:t>
      </w:r>
      <w:r>
        <w:t xml:space="preserve">    </w:t>
      </w:r>
      <w:r>
        <w:rPr>
          <w:b/>
        </w:rPr>
        <w:t xml:space="preserve">Pub date: </w:t>
      </w:r>
      <w:r>
        <w:t>2026-01-07 00:00:00+00:00</w:t>
      </w:r>
    </w:p>
    <w:p>
      <w:pPr>
        <w:spacing w:before="0" w:after="120"/>
      </w:pPr>
      <w:r>
        <w:rPr>
          <w:b/>
        </w:rPr>
        <w:t xml:space="preserve">Notes: </w:t>
      </w:r>
      <w:r>
        <w:t>abstract_source=rsc_html</w:t>
      </w:r>
    </w:p>
    <w:p>
      <w:pPr>
        <w:spacing w:before="0" w:after="80" w:lineRule="auto" w:line="276"/>
      </w:pPr>
      <w:r>
        <w:rPr>
          <w:b/>
        </w:rPr>
        <w:t xml:space="preserve">摘要（ZH）: </w:t>
      </w:r>
      <w:r>
        <w:t>荧光寿命寿命量测量为生物过程提供了有力的洞察力,因为与密度测量相比,它们不太依赖于浓度和振动力;然而,荧光寿命寿命成像缺乏含氟磷,其寿命范围很广,而且对生物刺激反应迅速;这一缺陷促使设计了新的化学战略,以调整有机氟磷的光学特性及其在多轴活细胞成像中的应用,促进分子和细胞互动的可视化。</w:t>
      </w:r>
    </w:p>
    <w:p>
      <w:pPr>
        <w:spacing w:before="0" w:after="200" w:lineRule="auto" w:line="276"/>
      </w:pPr>
      <w:r>
        <w:rPr>
          <w:b/>
        </w:rPr>
        <w:t xml:space="preserve">Abstract (EN): </w:t>
      </w:r>
      <w:r>
        <w:t>Fluorescence lifetime imaging has emerged as a promising modality to extract molecular information from biological systems, providing detailed and semi-quantitative characterisation of subcellular microenvironments. Fluorescence lifetime measurements offer robust insights into biological processes as they are less dependent on concentration and excitation power than intensity-based measurements. However, fluorescence lifetime imaging suffers from a paucity of fluorophores with wide dynamic ranges of lifetimes and responsiveness to biostimuli. This shortcoming has prompted the design of new chemical strategies to tailor the optical properties of organic fluorophores and their application in multiplexed live-cell imaging for the visualisation of molecular and cellular interactions. This Review article covers advances – primarily from the last 5 years – in the chemical design of fluorescence lifetime probes that combine optical reporters and targeting groups (e.g., ligands, peptides, proteins), their applications in bioimaging and related computational-based innovations for data acquisition and analysis. The perspectives and challenges in the design and applications of fluorescence lifetime probes are discussed, bridging chemistry and bioimaging as well as providing strategic insights for advancing fluorescence lifetime imaging.</w:t>
      </w:r>
    </w:p>
    <w:p>
      <w:pPr>
        <w:spacing w:before="120" w:after="120"/>
      </w:pPr>
      <w:r>
        <w:rPr>
          <w:sz w:val="18"/>
        </w:rPr>
        <w:t>——————————————————————————————————————————————————————————————————————</w:t>
      </w:r>
    </w:p>
    <w:p>
      <w:pPr>
        <w:spacing w:before="160" w:after="40" w:line="240" w:lineRule="auto"/>
      </w:pPr>
      <w:r>
        <w:rPr>
          <w:b/>
        </w:rPr>
        <w:t xml:space="preserve">[559] </w:t>
      </w:r>
      <w:hyperlink r:id="rId968">
        <w:r>
          <w:rPr>
            <w:color w:val="1155CC"/>
            <w:u w:val="single"/>
          </w:rPr>
          <w:t>金属有机框架气体传感器:制造、装置和应用</w:t>
        </w:r>
      </w:hyperlink>
    </w:p>
    <w:p>
      <w:pPr>
        <w:spacing w:before="0" w:after="80"/>
      </w:pPr>
      <w:r>
        <w:rPr>
          <w:i/>
          <w:sz w:val="20"/>
        </w:rPr>
        <w:t>EN: Metal–organic framework-based gas sensors: fabrication, mechanisms, and applications</w:t>
      </w:r>
    </w:p>
    <w:p>
      <w:pPr>
        <w:spacing w:before="0" w:after="120"/>
      </w:pPr>
      <w:r>
        <w:rPr>
          <w:b/>
        </w:rPr>
        <w:t xml:space="preserve">Source: </w:t>
      </w:r>
      <w:r>
        <w:t>RSC - Chem. Soc. Rev. latest articles</w:t>
      </w:r>
      <w:r>
        <w:t xml:space="preserve">    </w:t>
      </w:r>
      <w:r>
        <w:rPr>
          <w:b/>
        </w:rPr>
        <w:t xml:space="preserve">Pub date: </w:t>
      </w:r>
      <w:r>
        <w:t>2026-01-07 00:00:00+00:00</w:t>
      </w:r>
    </w:p>
    <w:p>
      <w:pPr>
        <w:spacing w:before="0" w:after="120"/>
      </w:pPr>
      <w:r>
        <w:rPr>
          <w:b/>
        </w:rPr>
        <w:t xml:space="preserve">Notes: </w:t>
      </w:r>
      <w:r>
        <w:t>abstract_source=rsc_html</w:t>
      </w:r>
    </w:p>
    <w:p>
      <w:pPr>
        <w:spacing w:before="0" w:after="80" w:lineRule="auto" w:line="276"/>
      </w:pPr>
      <w:r>
        <w:rPr>
          <w:b/>
        </w:rPr>
        <w:t xml:space="preserve">摘要（ZH）: </w:t>
      </w:r>
      <w:r>
        <w:t>气体遥感技术通过跟踪隐形和瞬时分子信息,便利了未来意外事件的早期探测和预测。 隐形和瞬时分子信息对农业、医药、化学过程控制和环境监测的应用至关重要。 金属-机体框架(MOFs)的近期进步,其特点是地表面积大、孔隙丰富、金枪鱼孔径大小和地貌特征以及独特的地表化学特性,为下一代气体传感器的发展铺平了道路。 MOF在气体传感器中的型号和功能已经取得了显著进步,特别是在低运行温度、高敏感度和选择性方面。 然而,系统分析与转换器相关的是系统性分析。</w:t>
      </w:r>
    </w:p>
    <w:p>
      <w:pPr>
        <w:spacing w:before="0" w:after="200" w:lineRule="auto" w:line="276"/>
      </w:pPr>
      <w:r>
        <w:rPr>
          <w:b/>
        </w:rPr>
        <w:t xml:space="preserve">Abstract (EN): </w:t>
      </w:r>
      <w:r>
        <w:t>Gas-sensing technologies facilitate the early detection and prediction of unforeseen future events by tracking surrounding invisible and instantaneous molecular information, which is critical for applications in agriculture, medicine, chemical process control, and environmental monitoring. Recent advancements in metal–organic frameworks (MOFs), which are characterized by large surface areas, rich porosity, tunable pore sizes and geometries, and distinctive surface chemical properties, have paved the way for the development of next-generation gas sensors. The types and functions of MOFs in gas sensors have undergone significant advancements, particularly in terms of low operating temperatures, high sensitivity, and selectivity. However, a systematic analysis correlating the transduction mechanism and morphological structures of various MOF-based gas sensors is still lacking, in addition to a comprehensive summary of the most recent MOF-based gas sensors. This review provides a comprehensive overview of the latest advancements in MOF-based gas sensors, with a focus on their fabrication strategies, sensing mechanisms, and applications. Examples of MOF-based sensors include chemiresistive, field-effect transistor, Kelvin probe, capacitive, and optical gas sensors. Moreover, MOF-based gas sensors have been extensively investigated for applications in chiral recognition and flexible devices. Furthermore, we discuss the limitations of various MOF-based gas sensors developed to date and the corresponding solutions. Finally, we present our perspectives on the challenges and opportunities encountered in the advancement and practical applications of MOF-based gas sensors.</w:t>
      </w:r>
    </w:p>
    <w:p>
      <w:pPr>
        <w:spacing w:before="120" w:after="120"/>
      </w:pPr>
      <w:r>
        <w:rPr>
          <w:sz w:val="18"/>
        </w:rPr>
        <w:t>——————————————————————————————————————————————————————————————————————</w:t>
      </w:r>
    </w:p>
    <w:p>
      <w:pPr>
        <w:spacing w:before="160" w:after="40" w:line="240" w:lineRule="auto"/>
      </w:pPr>
      <w:r>
        <w:rPr>
          <w:b/>
        </w:rPr>
        <w:t xml:space="preserve">[560] </w:t>
      </w:r>
      <w:hyperlink r:id="rId969">
        <w:r>
          <w:rPr>
            <w:color w:val="1155CC"/>
            <w:u w:val="single"/>
          </w:rPr>
          <w:t>在多孔单晶晶体硝基氧化氮单石块中,由金属-氧化界面在多孔单晶晶体中促进催化活动</w:t>
        </w:r>
      </w:hyperlink>
    </w:p>
    <w:p>
      <w:pPr>
        <w:spacing w:before="0" w:after="80"/>
      </w:pPr>
      <w:r>
        <w:rPr>
          <w:i/>
          <w:sz w:val="20"/>
        </w:rPr>
        <w:t>EN: Boosted catalytic activity by metal-oxide interface in porous single-crystalline niobium oxide monoliths</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在氧化物支持材料的层层中引入并稳定氧氧缺漏是一个巨大的挑战,可以推动红氧化反应中的催化活动。在这里,我们制造了厘米尺度的多孔单晶晶体Nb2O5单石块,然后我们通过减少处理和稳定定购的层状板的氧缺氧缺氧,在氧化物支持材料的层层中引入并稳定氧缺氧缺漏。然后,我们把Pt聚集层放在多孔微结构的表面,以构建一个跨式系统,我们展示了显著增强的地表氧交换系数。作为案例研究,我们展示了火星-凡-克雷韦伦机制之后,空气中的二氧化碳氧化值为110°C和30,000毫升/升克-1赫-1条件,在连续运行~500之后,没有明显地进行衰减。</w:t>
      </w:r>
    </w:p>
    <w:p>
      <w:pPr>
        <w:spacing w:before="0" w:after="200" w:lineRule="auto" w:line="276"/>
      </w:pPr>
      <w:r>
        <w:rPr>
          <w:b/>
        </w:rPr>
        <w:t xml:space="preserve">Abstract (EN): </w:t>
      </w:r>
      <w:r>
        <w:t>Introducing and stabilizing oxygen vacancies in the lattice of oxide support materials has been a huge challenge to boost the catalytic activity in redox reaction. Herein, we fabricate porous single-crystalline Nb2O5 monoliths at the centimeter scale, then we introduce the oxygen vacancies in lattice by reduction treatment and stabilize the oxygen vacancy defects by the ordered lattice. We then deposit Pt clusters at surface in the porous microstructures to construct an interfacial system and we show the significantly enhanced surface oxygen exchange coefficient. As a case study, we demonstrate the complete CO oxidation with air at 110 °C and 30,000 mL g-1 h-1 conditions, following the Mars-van Krevelen mechanism, with no visible performance attenuation after a continuous operation of ~500 h. At 60,000 mL g-1 h-1 and 110 °C, the CO conversion rate decreases to 83.8% and ultimately remains 76.3% after 185 h of long-term operation.</w:t>
      </w:r>
    </w:p>
    <w:p>
      <w:pPr>
        <w:spacing w:before="120" w:after="120"/>
      </w:pPr>
      <w:r>
        <w:rPr>
          <w:sz w:val="18"/>
        </w:rPr>
        <w:t>——————————————————————————————————————————————————————————————————————</w:t>
      </w:r>
    </w:p>
    <w:p>
      <w:pPr>
        <w:spacing w:before="160" w:after="40" w:line="240" w:lineRule="auto"/>
      </w:pPr>
      <w:r>
        <w:rPr>
          <w:b/>
        </w:rPr>
        <w:t xml:space="preserve">[561] </w:t>
      </w:r>
      <w:hyperlink r:id="rId970">
        <w:r>
          <w:rPr>
            <w:color w:val="1155CC"/>
            <w:u w:val="single"/>
          </w:rPr>
          <w:t>Behçet综合症(一种随机的、安慰剂控制的、双盲的、第2阶段临床试验)低剂量内红素2的功效和安全性</w:t>
        </w:r>
      </w:hyperlink>
    </w:p>
    <w:p>
      <w:pPr>
        <w:spacing w:before="0" w:after="80"/>
      </w:pPr>
      <w:r>
        <w:rPr>
          <w:i/>
          <w:sz w:val="20"/>
        </w:rPr>
        <w:t>EN: Efficacy and safety of low-dose interleukin 2 for Behçet’s syndrome: a randomized, placebo-controlled, double-blind, phase 2 clinical trial</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Behçet的慢性血管炎综合症(BS)是一种慢性血管炎,导致经常口服溃疡,严重影响生活质量。在这里,我们报告了一种随机、双盲、安慰剂控制的试验(NCT04065672)的结果,以评价BS病人低剂量内红素-2(LD-IL-2)的功效和安全性。60名口腔溃疡活跃的参与者被随机指定接受LD-IL-2或安慰剂。主要的终点是第12周的口服溃疡计数。LD-IL-2组口服溃疡明显少于安慰剂组(0.69  1.05 = 1.57  0.90,P=0.001),在溃疡疼痛、疾病活动和生活质量方面有了更大的改善。在这两个组中,没有观察到感染或严重不良事件。LD-IL-2组扩大管制T(Treg)细胞,降低了T效应细胞的比率。</w:t>
      </w:r>
    </w:p>
    <w:p>
      <w:pPr>
        <w:spacing w:before="0" w:after="200" w:lineRule="auto" w:line="276"/>
      </w:pPr>
      <w:r>
        <w:rPr>
          <w:b/>
        </w:rPr>
        <w:t xml:space="preserve">Abstract (EN): </w:t>
      </w:r>
      <w:r>
        <w:t>Behçet’s syndrome (BS), a chronic vasculitis, leads to recurrent oral ulcers, severely impacting quality of life. Here we report the results of a randomized, double-blind, placebo-controlled trial (NCT04065672) to evaluate the efficacy and safety of low-dose interleukin-2 (LD-IL-2) in BS patients. 60 participants with active oral ulcers are randomly assigned to receive LD-IL-2 or placebo. The primary endpoint is the oral ulcer count at week 12. The LD-IL-2 group has significantly fewer oral ulcers than the placebo group (0.69 ± 1.05 vs. 1.57 ± 0.90, P = 0.001) with greater improvements in ulcer pain, disease activity, and quality of life. No infections or severe adverse events are observed in either group. LD-IL-2 expands regulatory T (Treg) cells and decreased the ratio of effector T cell to Treg cells. Thus, LD-IL-2 therapy might be an effective and safe treatment in BS patients and is associated with the modulation of CD4 + T cell populations.</w:t>
      </w:r>
    </w:p>
    <w:p>
      <w:pPr>
        <w:spacing w:before="120" w:after="120"/>
      </w:pPr>
      <w:r>
        <w:rPr>
          <w:sz w:val="18"/>
        </w:rPr>
        <w:t>——————————————————————————————————————————————————————————————————————</w:t>
      </w:r>
    </w:p>
    <w:p>
      <w:pPr>
        <w:spacing w:before="160" w:after="40" w:line="240" w:lineRule="auto"/>
      </w:pPr>
      <w:r>
        <w:rPr>
          <w:b/>
        </w:rPr>
        <w:t xml:space="preserve">[562] </w:t>
      </w:r>
      <w:hyperlink r:id="rId971">
        <w:r>
          <w:rPr>
            <w:color w:val="1155CC"/>
            <w:u w:val="single"/>
          </w:rPr>
          <w:t>抗溶剂喷溶剂工程 增强高活性液体流动的热电池,具有用于低级别热收集的强大电密度</w:t>
        </w:r>
      </w:hyperlink>
    </w:p>
    <w:p>
      <w:pPr>
        <w:spacing w:before="0" w:after="80"/>
      </w:pPr>
      <w:r>
        <w:rPr>
          <w:i/>
          <w:sz w:val="20"/>
        </w:rPr>
        <w:t>EN: Antisolvent engineering enhanced high-entropy liquid flow thermocells with giant power density for low-grade heat harvesting</w:t>
      </w:r>
    </w:p>
    <w:p>
      <w:pPr>
        <w:spacing w:before="0" w:after="120"/>
      </w:pPr>
      <w:r>
        <w:rPr>
          <w:b/>
        </w:rPr>
        <w:t xml:space="preserve">Source: </w:t>
      </w:r>
      <w:r>
        <w:t>RSC - Energy Environ. Sci. latest articles</w:t>
      </w:r>
      <w:r>
        <w:t xml:space="preserve">    </w:t>
      </w:r>
      <w:r>
        <w:rPr>
          <w:b/>
        </w:rPr>
        <w:t xml:space="preserve">Pub date: </w:t>
      </w:r>
      <w:r>
        <w:t>2026-01-07 00:00:00+00:00</w:t>
      </w:r>
    </w:p>
    <w:p>
      <w:pPr>
        <w:spacing w:before="0" w:after="120"/>
      </w:pPr>
      <w:r>
        <w:rPr>
          <w:b/>
        </w:rPr>
        <w:t xml:space="preserve">Notes: </w:t>
      </w:r>
      <w:r>
        <w:t>abstract_source=rsc_html</w:t>
      </w:r>
    </w:p>
    <w:p>
      <w:pPr>
        <w:spacing w:before="0" w:after="80" w:lineRule="auto" w:line="276"/>
      </w:pPr>
      <w:r>
        <w:rPr>
          <w:b/>
        </w:rPr>
        <w:t xml:space="preserve">摘要（ZH）: </w:t>
      </w:r>
      <w:r>
        <w:t>具有高热电性能的液流离离离子体热电池(LiTCs)是低级废物热收集的可行选择,但是,由于红氧化离子的溶解性酶增增量有限,低的标准化最大电能密度(Pmax/T2)大大阻碍了这种热电极的低标准(Pmax/T2),在此,通过抗溶剂工程,提出了提高红氧化离子溶性激化增生的成本效益和便捷战略,这大大改善了LiTCs的离子热电性能。</w:t>
      </w:r>
    </w:p>
    <w:p>
      <w:pPr>
        <w:spacing w:before="0" w:after="200" w:lineRule="auto" w:line="276"/>
      </w:pPr>
      <w:r>
        <w:rPr>
          <w:b/>
        </w:rPr>
        <w:t xml:space="preserve">Abstract (EN): </w:t>
      </w:r>
      <w:r>
        <w:t>Liquid-flow ionic thermocells (LiTCs) with high thermoelectric performance are promising candidates for low-grade waste heat harvesting. However, it is significantly hindered by the low normalized maximum power density (Pmax/∆T2) due to the limited solvation entropy increase of redox ions. Herein, a cost-effective and facile strategy for enhancing the solvation entropy increase of redox ions was proposed through antisolvent engineering, which significantly improved ionic thermoelectric performance of LiTCs. An antisolvent (ethanol) of redox ions was introduced into the equimolar aqueous solutions of reductant and oxidant (K4Fe(CN)6/K3Fe(CN)6) flowed separately within the Y-shaped channel of LiTCs. The presence of the antisolvent would induce the agglomeration of Fe(CN)64- ions due to the competitive effect of antisolvent molecules with low polarity parameters, thereby reducing the interfacial free energy with water molecules and increasing the disorder within its solvation shell. This process would enhance the solvation entropy increase of redox ions through the intercalation of an ethanol molecule into the first solvation shell of Fe(CN)64- at certain ethanol content, thus significantly promoting the thermogalvanic effect. As a result, the antisolvent engineering can reach the giant ionic thermopower of -58.8 mV K-1 and Pmax/∆T2 of 64.5 mW m-2 K-2, which is ca. 100 times that of conventional ionic thermocells. Consequently, the Carnot-relative efficiency was the highest value of 11.8% until now, and significantly exceeded the predicted commercialization threshold (~5%). The high-entropy LiTCs with competitive cost-performance metric (1.01 $ W-1) and low temperature resistance (</w:t>
      </w:r>
    </w:p>
    <w:p>
      <w:pPr>
        <w:spacing w:before="120" w:after="120"/>
      </w:pPr>
      <w:r>
        <w:rPr>
          <w:sz w:val="18"/>
        </w:rPr>
        <w:t>——————————————————————————————————————————————————————————————————————</w:t>
      </w:r>
    </w:p>
    <w:p>
      <w:pPr>
        <w:spacing w:before="160" w:after="40" w:line="240" w:lineRule="auto"/>
      </w:pPr>
      <w:r>
        <w:rPr>
          <w:b/>
        </w:rPr>
        <w:t xml:space="preserve">[563] </w:t>
      </w:r>
      <w:hyperlink r:id="rId972">
        <w:r>
          <w:rPr>
            <w:color w:val="1155CC"/>
            <w:u w:val="single"/>
          </w:rPr>
          <w:t>CAF 传送带带磁-光学陷阱</w:t>
        </w:r>
      </w:hyperlink>
    </w:p>
    <w:p>
      <w:pPr>
        <w:spacing w:before="0" w:after="80"/>
      </w:pPr>
      <w:r>
        <w:rPr>
          <w:i/>
          <w:sz w:val="20"/>
        </w:rPr>
        <w:t>EN: A conveyor-belt magneto-optical trap of CaF</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实现激光冷却分子的高密度样本是推进精确度测量、超冷化学和量子科学应用的关键一步。我们报告对高密度传送带磁-光学捕捉单氟化钙分子的实验性发现。获得的高压云的平均半径为64(5)微米,峰值密度为3.6(5)×1010厘米-3,比传统红调的CAFMOT和迄今观测到的最稠密分子MOT增加了600倍。这些分子随后装入一个光学二极管捕捉器,在14(2)千K的温度下最多可达到2.6×104个被困分子,最高级空间密度为~2.4×10-6。这为利用高密度的多种应用提供了新的可能性。</w:t>
      </w:r>
    </w:p>
    <w:p>
      <w:pPr>
        <w:spacing w:before="0" w:after="200" w:lineRule="auto" w:line="276"/>
      </w:pPr>
      <w:r>
        <w:rPr>
          <w:b/>
        </w:rPr>
        <w:t xml:space="preserve">Abstract (EN): </w:t>
      </w:r>
      <w:r>
        <w:t>Achieving high-density samples of laser-cooled molecules is a critical step toward advancing applications in precision measurements, ultracold chemistry and quantum science. We report the experimental realization of a high-density conveyor-belt magneto-optical trap for calcium monofluoride (CaF) molecules. The obtained highly-compressed cloud has a mean radius of 64(5) μm and a peak number density of 3.6(5) × 1010 cm−3, a 600-fold increase over the conventional red-detuned MOTs of CaF, and the densest molecular MOT observed to date. Subsequent loading of these molecules into an optical dipole trap yields up to 2.6 × 104 trapped molecules at a temperature of 14(2) μK with a peak phase-space density of ~ 2.4 × 10−6. This opens new possibilities for a range of applications utilizing high-density, optically trapped ultracold molecules.</w:t>
      </w:r>
    </w:p>
    <w:p>
      <w:pPr>
        <w:spacing w:before="120" w:after="120"/>
      </w:pPr>
      <w:r>
        <w:rPr>
          <w:sz w:val="18"/>
        </w:rPr>
        <w:t>——————————————————————————————————————————————————————————————————————</w:t>
      </w:r>
    </w:p>
    <w:p>
      <w:pPr>
        <w:spacing w:before="160" w:after="40" w:line="240" w:lineRule="auto"/>
      </w:pPr>
      <w:r>
        <w:rPr>
          <w:b/>
        </w:rPr>
        <w:t xml:space="preserve">[564] </w:t>
      </w:r>
      <w:hyperlink r:id="rId973">
        <w:r>
          <w:rPr>
            <w:color w:val="1155CC"/>
            <w:u w:val="single"/>
          </w:rPr>
          <w:t>1-60°C 超长长和高度稳定的锂电池的溶剂浓度极化</w:t>
        </w:r>
      </w:hyperlink>
    </w:p>
    <w:p>
      <w:pPr>
        <w:spacing w:before="0" w:after="80"/>
      </w:pPr>
      <w:r>
        <w:rPr>
          <w:i/>
          <w:sz w:val="20"/>
        </w:rPr>
        <w:t>EN: Combating Solvent Concentration Polarization for Ultrafast and Highly Stable Lithium Batteries at −60 oC</w:t>
      </w:r>
    </w:p>
    <w:p>
      <w:pPr>
        <w:spacing w:before="0" w:after="120"/>
      </w:pPr>
      <w:r>
        <w:rPr>
          <w:b/>
        </w:rPr>
        <w:t xml:space="preserve">Source: </w:t>
      </w:r>
      <w:r>
        <w:t>RSC - Energy Environ. Sci. latest articles</w:t>
      </w:r>
      <w:r>
        <w:t xml:space="preserve">    </w:t>
      </w:r>
      <w:r>
        <w:rPr>
          <w:b/>
        </w:rPr>
        <w:t xml:space="preserve">Pub date: </w:t>
      </w:r>
      <w:r>
        <w:t>2026-01-07 00:00:00+00:00</w:t>
      </w:r>
    </w:p>
    <w:p>
      <w:pPr>
        <w:spacing w:before="0" w:after="120"/>
      </w:pPr>
      <w:r>
        <w:rPr>
          <w:b/>
        </w:rPr>
        <w:t xml:space="preserve">Notes: </w:t>
      </w:r>
      <w:r>
        <w:t>abstract_source=rsc_html</w:t>
      </w:r>
    </w:p>
    <w:p>
      <w:pPr>
        <w:spacing w:before="0" w:after="80" w:lineRule="auto" w:line="276"/>
      </w:pPr>
      <w:r>
        <w:rPr>
          <w:b/>
        </w:rPr>
        <w:t xml:space="preserve">摘要（ZH）: </w:t>
      </w:r>
      <w:r>
        <w:t>在极低温条件下对可靠的锂电池的迫切需要重新唤醒了对有机电极的兴趣,然而,由于严重的电极溶解和缓慢的李氏溶解动力学,这些电极的实际部署受到挫败。在这里,我们发现了电电双层(EDL)和散装电解解液之间的溶剂浓度两极化,这是迄今为止人们所熟视但决定性的降解机制。这种极化将电离层重塑成一个富溶剂的领域,提升溶解屏障,扩大溶剂与电极的相互作用,加剧溶剂与电极的溶解作用,从而加剧溶解。在这种洞见的指引下,我们设计出一种极分解溶剂,抑制了EDL溶剂的溶剂集集,并将溶解结构从溶剂控制的溶液结构改造成电离浓缩。</w:t>
      </w:r>
    </w:p>
    <w:p>
      <w:pPr>
        <w:spacing w:before="0" w:after="200" w:lineRule="auto" w:line="276"/>
      </w:pPr>
      <w:r>
        <w:rPr>
          <w:b/>
        </w:rPr>
        <w:t xml:space="preserve">Abstract (EN): </w:t>
      </w:r>
      <w:r>
        <w:t>The imperative for reliable lithium batteries under extreme low-temperature (LT) conditions has revived interest in organic electrodes, yet their practical deployment is frustrated by severe electrode dissolution and sluggish Li+ desolvation kinetics. Here, we uncover solvent concentration polarization between the electric double layer (EDL) and bulk electrolyte as a hitherto-overlooked but decisive degradation mechanism. This polarization reshapes the EDL into a solvent-rich domain, elevating the desolvation barrier and amplifying solvent-electrode interactions that exacerbate dissolution. Guided by this insight, we engineer a highly depolarized solvent that suppresses EDL solvent aggregation and restructures the solvation structure from solvent-dominated to anion-enriched. The resulting electrolyte achieves an exceptional ionic conductivity of 0.51 mS cm−1 at −60 oC and a high Li+ transference number of 0.65, while fostering a robust, inorganic-rich electrode|electrolyte interphase that mitigates dissolution. Consequently, even at −60 oC, the Li||DSR (Disodium rhodizonate) cell affords an outstanding capacity of 184.3 mAh g−1 and remarkable cycling stability over 2000 cycles with an ultralow decay rate of only 0.0057% per cycle. This strategy proves generalizable to other organic electrodes, establishing the combating of solvent concentration polarization as a guiding principle for ultrafast-cycling and long-life lithium batteries under extreme LT conditions.</w:t>
      </w:r>
    </w:p>
    <w:p>
      <w:pPr>
        <w:spacing w:before="120" w:after="120"/>
      </w:pPr>
      <w:r>
        <w:rPr>
          <w:sz w:val="18"/>
        </w:rPr>
        <w:t>——————————————————————————————————————————————————————————————————————</w:t>
      </w:r>
    </w:p>
    <w:p>
      <w:pPr>
        <w:spacing w:before="160" w:after="40" w:line="240" w:lineRule="auto"/>
      </w:pPr>
      <w:r>
        <w:rPr>
          <w:b/>
        </w:rPr>
        <w:t xml:space="preserve">[565] </w:t>
      </w:r>
      <w:hyperlink r:id="rId974">
        <w:r>
          <w:rPr>
            <w:color w:val="1155CC"/>
            <w:u w:val="single"/>
          </w:rPr>
          <w:t>对GLP-1受控者激励器综合评估:多重疾病临床结果总体审查</w:t>
        </w:r>
      </w:hyperlink>
    </w:p>
    <w:p>
      <w:pPr>
        <w:spacing w:before="0" w:after="80"/>
      </w:pPr>
      <w:r>
        <w:rPr>
          <w:i/>
          <w:sz w:val="20"/>
        </w:rPr>
        <w:t>EN: Comprehensive evaluation of GLP-1 receptor agonists: an umbrella review of clinical outcomes across multiple diseases</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2类糖尿病受体激素(GLP-1 RAs)最初被批准为2类糖尿病受体激动剂(GLP-1 RAs),最近的证据表明,这些受体在各种疾病中具有治疗潜力,尽管其效力和安全性仍然不完全为人们所理解。在这里,我们进行了一项总括性审查,包括涵盖5617篇文章中464项结果的123项元分析,以全面评估GLP-1 RAs在不同结果中的效果和不利事件。 GLP-1 RAs显示,内分泌和代谢、心血管、肾脏和呼吸机能、认知功能的改善趋势,有可能降低骨折风险和某些人群中所有原因的死亡率。然而,某些受体的受体风险增加,包括糖尿病复健、心酸、胃硬化、胃平衡。</w:t>
      </w:r>
    </w:p>
    <w:p>
      <w:pPr>
        <w:spacing w:before="0" w:after="200" w:lineRule="auto" w:line="276"/>
      </w:pPr>
      <w:r>
        <w:rPr>
          <w:b/>
        </w:rPr>
        <w:t xml:space="preserve">Abstract (EN): </w:t>
      </w:r>
      <w:r>
        <w:t>Glucagon-like peptide-1 receptor agonists (GLP-1 RAs) were initially approved for type 2 diabetes mellitus. Recent evidence suggests their therapeutic potential in various diseases, though their efficacy and safety remain incompletely understood. Here, we conduct an umbrella review including 123 meta-analyses covering 464 outcomes from 5617 articles to comprehensively assess the effectiveness and adverse events (AEs) of GLP-1 RAs across diverse outcomes. GLP-1 RAs showed trends toward improvements in endocrine and metabolic, cardiovascular, renal, and respiratory outcomes, cognitive function, with a potential reduction in fracture risk and all-cause mortality in certain populations. However, increased risks of certain AEs, including diabetic retinopathy, ketoacidosis, gastrointestinal events, and treatment discontinuation, were also observed. AMSTAR 2 assessments indicate that the existing evidence is limited by methodological shortcomings, including incomplete reporting of excluded studies, suboptimal literature search strategies, and insufficient evaluation of how bias in primary studies may influence meta-analytic estimates. Some outcomes did not reach statistical significance in all populations, highlighting the need for further high-quality clinical research. Careful consideration of potential benefits and risks is essential for optimizing treatment outcomes and ensuring patient safety when using GLP-1 RAs in clinical practice.</w:t>
      </w:r>
    </w:p>
    <w:p>
      <w:pPr>
        <w:spacing w:before="120" w:after="120"/>
      </w:pPr>
      <w:r>
        <w:rPr>
          <w:sz w:val="18"/>
        </w:rPr>
        <w:t>——————————————————————————————————————————————————————————————————————</w:t>
      </w:r>
    </w:p>
    <w:p>
      <w:pPr>
        <w:spacing w:before="160" w:after="40" w:line="240" w:lineRule="auto"/>
      </w:pPr>
      <w:r>
        <w:rPr>
          <w:b/>
        </w:rPr>
        <w:t xml:space="preserve">[566] </w:t>
      </w:r>
      <w:hyperlink r:id="rId975">
        <w:r>
          <w:rPr>
            <w:color w:val="1155CC"/>
            <w:u w:val="single"/>
          </w:rPr>
          <w:t>压力控制着异异异异血色质通过h3 直方H3 万象传承的传承。</w:t>
        </w:r>
      </w:hyperlink>
    </w:p>
    <w:p>
      <w:pPr>
        <w:spacing w:before="0" w:after="80"/>
      </w:pPr>
      <w:r>
        <w:rPr>
          <w:i/>
          <w:sz w:val="20"/>
        </w:rPr>
        <w:t>EN: Stress controls heterochromatin inheritance via histone H3 ubiquitylation</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以H3淋巴素9甲基甲基化为标志的乙酸色色素通过细胞分解1、2、3、保持基因抑制以保持细胞特性并能适应环境挑战,2、3、4、5、6。 有关Schizosaccharoomyces pombe的研究显示,乙酸色色素的传播取决于读写机制,在这个机制中,H3K9M3经过H3改良的核素的足够密度,通过胸膜脱氧素稳定,在染色素上浓缩Clr4SUV39H,以进一步促进H3K9甲基化物的沉积,7、8、9。 其他机制是否控制异色色素通过Cr4SUV39H(E3 Ubiquitin ligase IIcrC10、11、12)的子单位传播。我们在这里发现了一个以直基丁为依附的雌激素的雌激素染色素调控管中心。</w:t>
      </w:r>
    </w:p>
    <w:p>
      <w:pPr>
        <w:spacing w:before="0" w:after="200" w:lineRule="auto" w:line="276"/>
      </w:pPr>
      <w:r>
        <w:rPr>
          <w:b/>
        </w:rPr>
        <w:t xml:space="preserve">Abstract (EN): </w:t>
      </w:r>
      <w:r>
        <w:t>Heterochromatin, marked by histone H3 lysine 9 methylation, can be epigenetically inherited through cell division1,2,3, maintaining gene repression that preserves cell identity and enables adaptation to environmental challenges2,3,4,5,6. Studies on Schizosaccharomyces pombe have shown that heterochromatin propagation depends on the read–write mechanism, wherein a sufficient density of H3K9me3-modified nucleosomes, stabilized by histone deacetylases, concentrates Clr4SUV39H on chromatin to promote further deposition of H3K9 methylation7,8,9. Whether other mechanisms control heterochromatin propagation by means of Clr4SUV39H, a subunit of the E3 ubiquitin ligase complex ClrC10,11,12, was unknown. Here we uncover a ubiquitin-dependent heterochromatin heritability regulatory hub (HRH) that broadly governs heterochromatin propagation, even without histone deacetylase activity. The HRH is tuned by the limiting factor Raf1DDB2, a substrate receptor for the ClrC ubiquitin ligase. In addition to linking Clr4SUV39H to other ClrC components on chromatin, Raf1DDB2 acts in a dosage-dependent manner to promote ubiquitination of histone H3 at lysine 14 (H3K14ub), which is critical for heterochromatin self-propagation. HRH is intricately linked to environmentally responsive pathways, including nonsense-mediated decay (NMD) and target of rapamycin (TOR) signalling, enabling cells to adapt to changing conditions. By modulating heterochromatin propagation, cells leverage the HRH to gain resistance to antifungal agents and adapt to high temperature. Thus, heterochromatin self-propagation is actively regulated by means of H3K14ub in response to external stimuli, with broad implications for understanding mechanisms governing rapid changes in the epigenetic landscape in physiology and disease.</w:t>
      </w:r>
    </w:p>
    <w:p>
      <w:pPr>
        <w:spacing w:before="120" w:after="120"/>
      </w:pPr>
      <w:r>
        <w:rPr>
          <w:sz w:val="18"/>
        </w:rPr>
        <w:t>——————————————————————————————————————————————————————————————————————</w:t>
      </w:r>
    </w:p>
    <w:p>
      <w:pPr>
        <w:spacing w:before="160" w:after="40" w:line="240" w:lineRule="auto"/>
      </w:pPr>
      <w:r>
        <w:rPr>
          <w:b/>
        </w:rPr>
        <w:t xml:space="preserve">[567] </w:t>
      </w:r>
      <w:hyperlink r:id="rId976">
        <w:r>
          <w:rPr>
            <w:color w:val="1155CC"/>
            <w:u w:val="single"/>
          </w:rPr>
          <w:t>每日简报:400年的鲨鱼如何保持其视力敏锐</w:t>
        </w:r>
      </w:hyperlink>
    </w:p>
    <w:p>
      <w:pPr>
        <w:spacing w:before="0" w:after="80"/>
      </w:pPr>
      <w:r>
        <w:rPr>
          <w:i/>
          <w:sz w:val="20"/>
        </w:rPr>
        <w:t>EN: Daily briefing: How 400-year-old sharks keep their vision sharp</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[568] </w:t>
      </w:r>
      <w:hyperlink r:id="rId977">
        <w:r>
          <w:rPr>
            <w:color w:val="1155CC"/>
            <w:u w:val="single"/>
          </w:rPr>
          <w:t>一个神秘的古代指纹和一个柠檬状的行星——你错过的故事</w:t>
        </w:r>
      </w:hyperlink>
    </w:p>
    <w:p>
      <w:pPr>
        <w:spacing w:before="0" w:after="80"/>
      </w:pPr>
      <w:r>
        <w:rPr>
          <w:i/>
          <w:sz w:val="20"/>
        </w:rPr>
        <w:t>EN: A mysterious ancient fingerprint and a lemon-shaped planet — the stories you’ve missed</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[569] </w:t>
      </w:r>
      <w:hyperlink r:id="rId978">
        <w:r>
          <w:rPr>
            <w:color w:val="1155CC"/>
            <w:u w:val="single"/>
          </w:rPr>
          <w:t>由八花启发的“合成皮肤”根据需求改变颜色和质地</w:t>
        </w:r>
      </w:hyperlink>
    </w:p>
    <w:p>
      <w:pPr>
        <w:spacing w:before="0" w:after="80"/>
      </w:pPr>
      <w:r>
        <w:rPr>
          <w:i/>
          <w:sz w:val="20"/>
        </w:rPr>
        <w:t>EN: Octopus-inspired ‘synthetic skin’ changes colour and texture on demand</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[570] </w:t>
      </w:r>
      <w:hyperlink r:id="rId979">
        <w:r>
          <w:rPr>
            <w:color w:val="1155CC"/>
            <w:u w:val="single"/>
          </w:rPr>
          <w:t>古老的已知毒箭 展示石器时代人类的技术才华</w:t>
        </w:r>
      </w:hyperlink>
    </w:p>
    <w:p>
      <w:pPr>
        <w:spacing w:before="0" w:after="80"/>
      </w:pPr>
      <w:r>
        <w:rPr>
          <w:i/>
          <w:sz w:val="20"/>
        </w:rPr>
        <w:t>EN: Oldest known poison arrows show Stone Age humans’ technological talents</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[571] </w:t>
      </w:r>
      <w:hyperlink r:id="rId980">
        <w:r>
          <w:rPr>
            <w:color w:val="1155CC"/>
            <w:u w:val="single"/>
          </w:rPr>
          <w:t>科学家们在AI时代就抛弃了实地工作。</w:t>
        </w:r>
      </w:hyperlink>
    </w:p>
    <w:p>
      <w:pPr>
        <w:spacing w:before="0" w:after="80"/>
      </w:pPr>
      <w:r>
        <w:rPr>
          <w:i/>
          <w:sz w:val="20"/>
        </w:rPr>
        <w:t>EN: ‘I rarely get outside’: scientists ditch fieldwork in the age of AI</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[572] </w:t>
      </w:r>
      <w:hyperlink r:id="rId981">
        <w:r>
          <w:rPr>
            <w:color w:val="1155CC"/>
            <w:u w:val="single"/>
          </w:rPr>
          <w:t>一张通往你平板行星的 排除故障指南</w:t>
        </w:r>
      </w:hyperlink>
    </w:p>
    <w:p>
      <w:pPr>
        <w:spacing w:before="0" w:after="80"/>
      </w:pPr>
      <w:r>
        <w:rPr>
          <w:i/>
          <w:sz w:val="20"/>
        </w:rPr>
        <w:t>EN: A troubleshooting guide to your flat-pack planet</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[573] </w:t>
      </w:r>
      <w:hyperlink r:id="rId982">
        <w:r>
          <w:rPr>
            <w:color w:val="1155CC"/>
            <w:u w:val="single"/>
          </w:rPr>
          <w:t>在石墨中看到的外表准粒子</w:t>
        </w:r>
      </w:hyperlink>
    </w:p>
    <w:p>
      <w:pPr>
        <w:spacing w:before="0" w:after="80"/>
      </w:pPr>
      <w:r>
        <w:rPr>
          <w:i/>
          <w:sz w:val="20"/>
        </w:rPr>
        <w:t>EN: Exotic quasiparticles glimpsed in graphene</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[574] </w:t>
      </w:r>
      <w:hyperlink r:id="rId983">
        <w:r>
          <w:rPr>
            <w:color w:val="1155CC"/>
            <w:u w:val="single"/>
          </w:rPr>
          <w:t>确定基因-贸易协会的生物基础的方法</w:t>
        </w:r>
      </w:hyperlink>
    </w:p>
    <w:p>
      <w:pPr>
        <w:spacing w:before="0" w:after="80"/>
      </w:pPr>
      <w:r>
        <w:rPr>
          <w:i/>
          <w:sz w:val="20"/>
        </w:rPr>
        <w:t>EN: A way to identify the biological basis of gene–trait associations</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[575] </w:t>
      </w:r>
      <w:hyperlink r:id="rId984">
        <w:r>
          <w:rPr>
            <w:color w:val="1155CC"/>
            <w:u w:val="single"/>
          </w:rPr>
          <w:t>病毒性 RNA 是如何逃离控制翻译的东道机机制的</w:t>
        </w:r>
      </w:hyperlink>
    </w:p>
    <w:p>
      <w:pPr>
        <w:spacing w:before="0" w:after="80"/>
      </w:pPr>
      <w:r>
        <w:rPr>
          <w:i/>
          <w:sz w:val="20"/>
        </w:rPr>
        <w:t>EN: How viral RNAs escape a host mechanism that controls translation</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[576] </w:t>
      </w:r>
      <w:hyperlink r:id="rId985">
        <w:r>
          <w:rPr>
            <w:color w:val="1155CC"/>
            <w:u w:val="single"/>
          </w:rPr>
          <w:t>营养素在癌症传播中的复杂作用</w:t>
        </w:r>
      </w:hyperlink>
    </w:p>
    <w:p>
      <w:pPr>
        <w:spacing w:before="0" w:after="80"/>
      </w:pPr>
      <w:r>
        <w:rPr>
          <w:i/>
          <w:sz w:val="20"/>
        </w:rPr>
        <w:t>EN: The complex role of nutrients in cancer spread</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[577] </w:t>
      </w:r>
      <w:hyperlink r:id="rId986">
        <w:r>
          <w:rPr>
            <w:color w:val="1155CC"/>
            <w:u w:val="single"/>
          </w:rPr>
          <w:t>将感官和情感经历脱钩,可以减轻慢性疼痛。</w:t>
        </w:r>
      </w:hyperlink>
    </w:p>
    <w:p>
      <w:pPr>
        <w:spacing w:before="0" w:after="80"/>
      </w:pPr>
      <w:r>
        <w:rPr>
          <w:i/>
          <w:sz w:val="20"/>
        </w:rPr>
        <w:t>EN: Chronic pain could be eased by uncoupling the sensory and emotional experiences</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[578] </w:t>
      </w:r>
      <w:hyperlink r:id="rId987">
        <w:r>
          <w:rPr>
            <w:color w:val="1155CC"/>
            <w:u w:val="single"/>
          </w:rPr>
          <w:t>在所有的采石场中:卡萨布兰卡化石 揭示了非洲人类的祖先</w:t>
        </w:r>
      </w:hyperlink>
    </w:p>
    <w:p>
      <w:pPr>
        <w:spacing w:before="0" w:after="80"/>
      </w:pPr>
      <w:r>
        <w:rPr>
          <w:i/>
          <w:sz w:val="20"/>
        </w:rPr>
        <w:t>EN: Of all the quarries: Casablanca fossils reveal African ancestors of Homo sapiens</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[579] </w:t>
      </w:r>
      <w:hyperlink r:id="rId988">
        <w:r>
          <w:rPr>
            <w:color w:val="1155CC"/>
            <w:u w:val="single"/>
          </w:rPr>
          <w:t>血液蛋白质抑制致命的真菌病</w:t>
        </w:r>
      </w:hyperlink>
    </w:p>
    <w:p>
      <w:pPr>
        <w:spacing w:before="0" w:after="80"/>
      </w:pPr>
      <w:r>
        <w:rPr>
          <w:i/>
          <w:sz w:val="20"/>
        </w:rPr>
        <w:t>EN: Blood protein thwarts deadly fungal disease</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[580] </w:t>
      </w:r>
      <w:hyperlink r:id="rId989">
        <w:r>
          <w:rPr>
            <w:color w:val="1155CC"/>
            <w:u w:val="single"/>
          </w:rPr>
          <w:t>在年轻恒星周围观测到的超低密度外行星</w:t>
        </w:r>
      </w:hyperlink>
    </w:p>
    <w:p>
      <w:pPr>
        <w:spacing w:before="0" w:after="80"/>
      </w:pPr>
      <w:r>
        <w:rPr>
          <w:i/>
          <w:sz w:val="20"/>
        </w:rPr>
        <w:t>EN: Ultra-low-density exoplanets observed around a young star</w:t>
      </w:r>
    </w:p>
    <w:p>
      <w:pPr>
        <w:spacing w:before="0" w:after="120"/>
      </w:pPr>
      <w:r>
        <w:rPr>
          <w:b/>
        </w:rPr>
        <w:t xml:space="preserve">Source: </w:t>
      </w:r>
      <w:r>
        <w:t>Nature</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[581] </w:t>
      </w:r>
      <w:hyperlink r:id="rId990">
        <w:r>
          <w:rPr>
            <w:color w:val="1155CC"/>
            <w:u w:val="single"/>
          </w:rPr>
          <w:t>管理大气氧化能力是协同空气质量和气候收益的关键</w:t>
        </w:r>
      </w:hyperlink>
    </w:p>
    <w:p>
      <w:pPr>
        <w:spacing w:before="0" w:after="80"/>
      </w:pPr>
      <w:r>
        <w:rPr>
          <w:i/>
          <w:sz w:val="20"/>
        </w:rPr>
        <w:t>EN: Governing atmospheric oxidation capacity is the key to synergistic air quality and climate gains</w:t>
      </w:r>
    </w:p>
    <w:p>
      <w:pPr>
        <w:spacing w:before="0" w:after="120"/>
      </w:pPr>
      <w:r>
        <w:rPr>
          <w:b/>
        </w:rPr>
        <w:t xml:space="preserve">Source: </w:t>
      </w:r>
      <w:r>
        <w:t>One Earth</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[582] </w:t>
      </w:r>
      <w:hyperlink r:id="rId991">
        <w:r>
          <w:rPr>
            <w:color w:val="1155CC"/>
            <w:u w:val="single"/>
          </w:rPr>
          <w:t>全球野火产生的汞排放比现有估算值低三倍</w:t>
        </w:r>
      </w:hyperlink>
    </w:p>
    <w:p>
      <w:pPr>
        <w:spacing w:before="0" w:after="80"/>
      </w:pPr>
      <w:r>
        <w:rPr>
          <w:i/>
          <w:sz w:val="20"/>
        </w:rPr>
        <w:t>EN: Global mercury emissions from wildfires are three times lower than existing estimates</w:t>
      </w:r>
    </w:p>
    <w:p>
      <w:pPr>
        <w:spacing w:before="0" w:after="120"/>
      </w:pPr>
      <w:r>
        <w:rPr>
          <w:b/>
        </w:rPr>
        <w:t xml:space="preserve">Source: </w:t>
      </w:r>
      <w:r>
        <w:t>One Earth</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[583] </w:t>
      </w:r>
      <w:hyperlink r:id="rId992">
        <w:r>
          <w:rPr>
            <w:color w:val="1155CC"/>
            <w:u w:val="single"/>
          </w:rPr>
          <w:t>防雷光稳定剂阻力使百草枯太阳能电池的稳定增强</w:t>
        </w:r>
      </w:hyperlink>
    </w:p>
    <w:p>
      <w:pPr>
        <w:spacing w:before="0" w:after="80"/>
      </w:pPr>
      <w:r>
        <w:rPr>
          <w:i/>
          <w:sz w:val="20"/>
        </w:rPr>
        <w:t>EN: Stability enhancement of perovskite solar cells enabled by hindered amine photostabilizers</w:t>
      </w:r>
    </w:p>
    <w:p>
      <w:pPr>
        <w:spacing w:before="0" w:after="120"/>
      </w:pPr>
      <w:r>
        <w:rPr>
          <w:b/>
        </w:rPr>
        <w:t xml:space="preserve">Source: </w:t>
      </w:r>
      <w:r>
        <w:t>ScienceDirect Publication: Materials Today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[584] </w:t>
      </w:r>
      <w:hyperlink r:id="rId993">
        <w:r>
          <w:rPr>
            <w:color w:val="1155CC"/>
            <w:u w:val="single"/>
          </w:rPr>
          <w:t>AMFR的O-GlcNAclation O-GlcNAclate 稳定 TSPAN4 稳定 TSPAN4 以调节偏头痛形成以释放病毒</w:t>
        </w:r>
      </w:hyperlink>
    </w:p>
    <w:p>
      <w:pPr>
        <w:spacing w:before="0" w:after="80"/>
      </w:pPr>
      <w:r>
        <w:rPr>
          <w:i/>
          <w:sz w:val="20"/>
        </w:rPr>
        <w:t>EN: O-GlcNAcylation of AMFR stabilizes TSPAN4 to regulate migrasome formation for viral release</w:t>
      </w:r>
    </w:p>
    <w:p>
      <w:pPr>
        <w:spacing w:before="0" w:after="120"/>
      </w:pPr>
      <w:r>
        <w:rPr>
          <w:b/>
        </w:rPr>
        <w:t xml:space="preserve">Source: </w:t>
      </w:r>
      <w:r>
        <w:t>Nature Communications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微生物是依赖移徙的有机物,作为传送袋,用来调解细胞图象内装物的释放。Tetraspanin 4 (TSPAN4) 4 (TSPAN4) 充当偏头痛的标记,是形成它们的关键,然而,TSPAN4 以偏头痛为媒介的偏头痛生物产生及其生理功能的监管机制仍有待于阐明。在这里,我们确认了ER居民E3 ligase AMFR,通过催化与K48相连的TSPAN4 混合降解来调节偏头痛的形成。此外,OGT在9 643 节期间对AMFR-TSPAN4 的O-GlcNAlNAL4相互作用,从而稳定了TSPAN4 并促进偏头痛的形成。此外,病毒动态调节了通过调控AMFR O-GLNAL和 TSPAN4 紫外作用来调节偏头痛的形成。</w:t>
      </w:r>
    </w:p>
    <w:p>
      <w:pPr>
        <w:spacing w:before="0" w:after="200" w:lineRule="auto" w:line="276"/>
      </w:pPr>
      <w:r>
        <w:rPr>
          <w:b/>
        </w:rPr>
        <w:t xml:space="preserve">Abstract (EN): </w:t>
      </w:r>
      <w:r>
        <w:t>Migrasomes are migration-dependent organelles, serving as delivery packets to mediate release of cytoplasmic contents. Tetraspanin 4 (TSPAN4) acts as a marker for migrasomes and is essential for their formation. However, the regulatory mechanism(s) underlying TSPAN4-mediated migrasome biogenesis and its physiological functions remain to be elucidated. Here, we identified AMFR, an ER-resident E3 ligase, regulates migrasome formation through catalyzing the K48-linked polyubiquitination of TSPAN4 for degradation. Further, O-GlcNAcylation of AMFR by OGT at threonine 643 disrupts AMFR-TSPAN4 interactions, thereby stabilizing TSPAN4 and promoting migrasome formation. Additionally, viruses dynamically regulate migrasome formation by modulating AMFR O-GlcNAcylation and TSPAN4 ubiquitination. During the early stages of VSV or HSV-1 infection, viruses enhance migrasome formation and exploit these structures to spread among neighboring cells, whereas abolish migrasome formation during the late stages of infection. Our findings reveal a negatively regulatory mechanism governing migrasome biogenesis, and highlight how VSV and HSV-1 manipulate this process to facilitate their release.</w:t>
      </w:r>
    </w:p>
    <w:p>
      <w:pPr>
        <w:spacing w:before="120" w:after="120"/>
      </w:pPr>
      <w:r>
        <w:rPr>
          <w:sz w:val="18"/>
        </w:rPr>
        <w:t>——————————————————————————————————————————————————————————————————————</w:t>
      </w:r>
    </w:p>
    <w:p>
      <w:pPr>
        <w:spacing w:before="160" w:after="40" w:line="240" w:lineRule="auto"/>
      </w:pPr>
      <w:r>
        <w:rPr>
          <w:b/>
        </w:rPr>
        <w:t xml:space="preserve">[585] </w:t>
      </w:r>
      <w:hyperlink r:id="rId994">
        <w:r>
          <w:rPr>
            <w:color w:val="1155CC"/>
            <w:u w:val="single"/>
          </w:rPr>
          <w:t>在过渡性金属协调中,生物相兼容的悬离和平衡平衡使良性细胞蛋白质相互调节成为可能。</w:t>
        </w:r>
      </w:hyperlink>
    </w:p>
    <w:p>
      <w:pPr>
        <w:spacing w:before="0" w:after="80"/>
      </w:pPr>
      <w:r>
        <w:rPr>
          <w:i/>
          <w:sz w:val="20"/>
        </w:rPr>
        <w:t>EN: Biocompatible ligand balancing in transition metal coordination enables benign in-cell protein arylation</w:t>
      </w:r>
    </w:p>
    <w:p>
      <w:pPr>
        <w:spacing w:before="0" w:after="120"/>
      </w:pPr>
      <w:r>
        <w:rPr>
          <w:b/>
        </w:rPr>
        <w:t xml:space="preserve">Source: </w:t>
      </w:r>
      <w:r>
        <w:t>Nature Chemistry</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金属中间化学现在发现,在体外生物分子的改变中,金属中间化学应用日益加强,然而,某些金属的认知和潜在毒性限制了有机金属试剂在更复杂的生物环境(如活细胞内部)中的应用,在调节转动性和过渡性金属的可用性方面,诱导剂发挥着关键作用。在这里,我们发现,有机水力中间化学能够容忍与生物兼容的离心机的灵活切合,而不会破坏相应的内分泌试剂的化学反应,从而能够创建安全、现场选择性的C-S-波状的气态变形元体。这些平衡系统证明对在体外和活体的蛋白基质子细胞和活体的蛋白质和蛋白质细胞使用十分友好。</w:t>
      </w:r>
    </w:p>
    <w:p>
      <w:pPr>
        <w:spacing w:before="0" w:after="200" w:lineRule="auto" w:line="276"/>
      </w:pPr>
      <w:r>
        <w:rPr>
          <w:b/>
        </w:rPr>
        <w:t xml:space="preserve">Abstract (EN): </w:t>
      </w:r>
      <w:r>
        <w:t>Metal-mediated chemistries now find increasing application in in vitro biomolecule modification. However, the perceived and potential toxicity of some metals has limited the application of organometallic reagents in more complex biological settings such as inside living cells. Ligands play a crucial role in modulating both the reactivity and availability of transition metals. Here we reveal that organonickel-mediated S-arylation tolerates flexible chelation with biocompatible ligands without destroying the chemical reactivity of corresponding aryl-nickel reagents, enabling the creation of safe, site-selective C–S-bond-forming arylation manifolds. These balanced systems prove sufficiently benign for use on diverse protein substrates in vitro and in living prokaryotic and eukaryotic cells. This, in turn, enables deep chemical surveys of reactive cysteines in human cells with sensitivity sufficient to detect covalently targetable proteins from emerging intracellular viral and bacterial pathogens. Biocompatible ligand balancing thus offers a path to the broader use of transition metals in living systems.</w:t>
      </w:r>
    </w:p>
    <w:p>
      <w:pPr>
        <w:spacing w:before="120" w:after="120"/>
      </w:pPr>
      <w:r>
        <w:rPr>
          <w:sz w:val="18"/>
        </w:rPr>
        <w:t>——————————————————————————————————————————————————————————————————————</w:t>
      </w:r>
    </w:p>
    <w:p>
      <w:pPr>
        <w:spacing w:before="160" w:after="40" w:line="240" w:lineRule="auto"/>
      </w:pPr>
      <w:r>
        <w:rPr>
          <w:b/>
        </w:rPr>
        <w:t xml:space="preserve">[586] </w:t>
      </w:r>
      <w:hyperlink r:id="rId995">
        <w:r>
          <w:rPr>
            <w:color w:val="1155CC"/>
            <w:u w:val="single"/>
          </w:rPr>
          <w:t>磷脂裁缝 mRNA 脂脂脂纳米粒子交付效力和免疫力</w:t>
        </w:r>
      </w:hyperlink>
    </w:p>
    <w:p>
      <w:pPr>
        <w:spacing w:before="0" w:after="80"/>
      </w:pPr>
      <w:r>
        <w:rPr>
          <w:i/>
          <w:sz w:val="20"/>
        </w:rPr>
        <w:t>EN: Phospholipids tailor mRNA lipid nanoparticle delivery efficacy and immunogenicity</w:t>
      </w:r>
    </w:p>
    <w:p>
      <w:pPr>
        <w:spacing w:before="0" w:after="120"/>
      </w:pPr>
      <w:r>
        <w:rPr>
          <w:b/>
        </w:rPr>
        <w:t xml:space="preserve">Source: </w:t>
      </w:r>
      <w:r>
        <w:t>ScienceDirect Publication: Materials Today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[587] </w:t>
      </w:r>
      <w:hyperlink r:id="rId996">
        <w:r>
          <w:rPr>
            <w:color w:val="1155CC"/>
            <w:u w:val="single"/>
          </w:rPr>
          <w:t>解决养护方面的种族和相关不公平现象的框架</w:t>
        </w:r>
      </w:hyperlink>
    </w:p>
    <w:p>
      <w:pPr>
        <w:spacing w:before="0" w:after="80"/>
      </w:pPr>
      <w:r>
        <w:rPr>
          <w:i/>
          <w:sz w:val="20"/>
        </w:rPr>
        <w:t>EN: A framework for addressing racial and related inequities in conservation</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2020年,与 " 黑生命物质 " 运动相关的全球行动主义的激增促使科学家们发起了一场学术性的`打击'运动,提请人们注意解决系统性种族主义的道德责任。 这催生了在保护方面的辩论,增加了数十年关于边缘化奖学金的紧迫性。 从这个角度看,我们审视了这一文献,并审视了在保护方面的排斥现象是如何从地方到全球的种族、阶级、城乡差异、民族和权力动态交汇而来的。 我们强调边缘化和`其他'不成比例地影响黑人、土著人和肤色群体,特别是在全球南部。 保护区的扩大以及将个体动物生命置于人类福祉之上的先后顺序,可以加剧。</w:t>
      </w:r>
    </w:p>
    <w:p>
      <w:pPr>
        <w:spacing w:before="0" w:after="200" w:lineRule="auto" w:line="276"/>
      </w:pPr>
      <w:r>
        <w:rPr>
          <w:b/>
        </w:rPr>
        <w:t xml:space="preserve">Abstract (EN): </w:t>
      </w:r>
      <w:r>
        <w:t>In 2020, a global surge of activism linked to the Black Lives Matter movement prompted scientists to stage an academic ‘strike’, drawing attention to the ethical responsibility of addressing systemic racism. This catalysed debate in conservation, adding urgency to decades of scholarship on marginalization. In this Perspective, we review this literature and examine how exclusion in conservation persists across intersections of race, class, urban–rural divides, nationality and power dynamics from local to global levels. We highlight how marginalization and ‘othering’ disproportionately affect Black, Indigenous and people of colour (BIPOC) communities, especially in the Global South. Expansion of protected areas and the prioritization of individual animal lives over human well-being can intensify such inequities. We propose a framework for more inclusive conservation: recognizing and supporting human rights, ensuring local community agency, challenging entrenched norms in BIPOC engagement, and fostering educational opportunities led by and for BIPOC communities. Amid shifting global politics, including reduced US federal support for social and conservation issues, this framework provides guidance to counter racism and exclusion. By rethinking conservation practice, it seeks to build long-lasting, equitable and inclusive approaches that respect both people and nature.</w:t>
      </w:r>
    </w:p>
    <w:p>
      <w:pPr>
        <w:spacing w:before="120" w:after="120"/>
      </w:pPr>
      <w:r>
        <w:rPr>
          <w:sz w:val="18"/>
        </w:rPr>
        <w:t>——————————————————————————————————————————————————————————————————————</w:t>
      </w:r>
    </w:p>
    <w:p>
      <w:pPr>
        <w:spacing w:before="160" w:after="40" w:line="240" w:lineRule="auto"/>
      </w:pPr>
      <w:r>
        <w:rPr>
          <w:b/>
        </w:rPr>
        <w:t xml:space="preserve">[588] </w:t>
      </w:r>
      <w:hyperlink r:id="rId997">
        <w:r>
          <w:rPr>
            <w:color w:val="1155CC"/>
            <w:u w:val="single"/>
          </w:rPr>
          <w:t>气候变化变化 北太平洋暴风雨的轨道 向两极倾斜</w:t>
        </w:r>
      </w:hyperlink>
    </w:p>
    <w:p>
      <w:pPr>
        <w:spacing w:before="0" w:after="80"/>
      </w:pPr>
      <w:r>
        <w:rPr>
          <w:i/>
          <w:sz w:val="20"/>
        </w:rPr>
        <w:t>EN: Climate change shifts the North Pacific storm track polewards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在整个北太平洋,中纬纬度风暴轨道占了进入北极和北美西部的大部分热量和湿湿度向北极和北美西部的交通量,对区域降水和温度模式产生了重大影响,1 2。 到本世纪末,北太平洋冬季风暴轨道预计将向极向3,4,5,6,6,6,6,对海洋生态系统和陆基水供应量有重大影响,1 7。 尽管大气再分析显示风暴轨道7,8,9,9,10,11,12,但由于缺乏观测到的风速记录,因此无法确定风暴轨道转移是否在最近几十年中发生,气候变化在确定风暴轨道位置方面起什么作用。</w:t>
      </w:r>
    </w:p>
    <w:p>
      <w:pPr>
        <w:spacing w:before="0" w:after="200" w:lineRule="auto" w:line="276"/>
      </w:pPr>
      <w:r>
        <w:rPr>
          <w:b/>
        </w:rPr>
        <w:t xml:space="preserve">Abstract (EN): </w:t>
      </w:r>
      <w:r>
        <w:t>Across the North Pacific Ocean, the mid-latitude storm track accounts for most of the heat and moisture transport into the Arctic and western North America, considerably influencing regional precipitation and temperature patterns1,2. By the end of this century, the winter North Pacific storm track is projected to shift polewards3,4,5,6, with substantial implications for oceanic ecosystems and land-based water availability1,7. Although atmospheric reanalyses suggest a polewards shift of the storm track7,8,9,10,11,12, the lack of an observed wind record has left it uncertain whether the storm-track shift has occurred in recent decades, and what role climate change plays in determining the storm-track position. Here we derive an observational constraint for mid-latitude storm tracks and show that the winter North Pacific storm track has shifted substantially polewards, emerging from natural variability. A polewards shift of storm track-induced heat and moisture flux is also evident over western North America, implying regional impacts on precipitation and temperature patterns. Our analysis further reveals that climate models underestimate the polewards shift of the storm track in recent decades, suggesting that the future human-induced impacts on both the North Pacific ecosystem and western North America might be larger than in current predictions.</w:t>
      </w:r>
    </w:p>
    <w:p>
      <w:pPr>
        <w:spacing w:before="120" w:after="120"/>
      </w:pPr>
      <w:r>
        <w:rPr>
          <w:sz w:val="18"/>
        </w:rPr>
        <w:t>——————————————————————————————————————————————————————————————————————</w:t>
      </w:r>
    </w:p>
    <w:p>
      <w:pPr>
        <w:spacing w:before="160" w:after="40" w:line="240" w:lineRule="auto"/>
      </w:pPr>
      <w:r>
        <w:rPr>
          <w:b/>
        </w:rPr>
        <w:t xml:space="preserve">[589] </w:t>
      </w:r>
      <w:hyperlink r:id="rId998">
        <w:r>
          <w:rPr>
            <w:color w:val="1155CC"/>
            <w:u w:val="single"/>
          </w:rPr>
          <w:t>IP RRCC 特性防止光在白天移动 SCN 时钟</w:t>
        </w:r>
      </w:hyperlink>
    </w:p>
    <w:p>
      <w:pPr>
        <w:spacing w:before="0" w:after="80"/>
      </w:pPr>
      <w:r>
        <w:rPr>
          <w:i/>
          <w:sz w:val="20"/>
        </w:rPr>
        <w:t>EN: ipRGC properties prevent light from shifting the SCN clock during daytime</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中环环心起搏器(SCN)是中环环心起搏器,它只从内在的对光敏感的视网膜交织细胞(IPRGC)中接收光化输入物,1,2。然而,光在夜间主要改变SCN时钟,3,4,5。 我们利用化学或紫色光来激活鼠白天SCN时钟。我们的数据显示,在大多数动物中无法通过光诱发日间轮班不仅像几十年的建议那样归因于SCN,而且还需要限制IPRRC通过极化区点发射。</w:t>
      </w:r>
    </w:p>
    <w:p>
      <w:pPr>
        <w:spacing w:before="0" w:after="200" w:lineRule="auto" w:line="276"/>
      </w:pPr>
      <w:r>
        <w:rPr>
          <w:b/>
        </w:rPr>
        <w:t xml:space="preserve">Abstract (EN): </w:t>
      </w:r>
      <w:r>
        <w:t>The suprachiasmatic nucleus (SCN), the central circadian pacemaker, receives photic input exclusively from intrinsically photosensitive retinal ganglion cells (ipRGCs)1,2. However, light mainly shifts the SCN clock during night-time3,4,5. Here we induced phase shifts in the SCN clock during the daytime in mice by activating ipRGCs using chemogenetics or violet light. Our data reveal that the inability to induce daytime shifts with light in most animals is not only attributed to the SCN, as has been proposed for decades, but also requires the limitation of ipRGC firing via depolarization block. Chemogenetic activation of ipRGCs induces large shifts during both night-time and daytime, but daytime shifts require brain circuits and neuropeptide transmitters that are dispensable for night-time shifts. Thus, propensity of ipRGCs for depolarization block not only prevents daytime shifts in mice, but also limits the magnitude of night-time shifts, suggesting that ipRGC inputs to SCN act as an integrated pacemaker across the circadian cycle.</w:t>
      </w:r>
    </w:p>
    <w:p>
      <w:pPr>
        <w:spacing w:before="120" w:after="120"/>
      </w:pPr>
      <w:r>
        <w:rPr>
          <w:sz w:val="18"/>
        </w:rPr>
        <w:t>——————————————————————————————————————————————————————————————————————</w:t>
      </w:r>
    </w:p>
    <w:p>
      <w:pPr>
        <w:spacing w:before="160" w:after="40" w:line="240" w:lineRule="auto"/>
      </w:pPr>
      <w:r>
        <w:rPr>
          <w:b/>
        </w:rPr>
        <w:t xml:space="preserve">[590] </w:t>
      </w:r>
      <w:hyperlink r:id="rId999">
        <w:r>
          <w:rPr>
            <w:color w:val="1155CC"/>
            <w:u w:val="single"/>
          </w:rPr>
          <w:t>Aharonov-Bohm 干涉持平者分量子大厅州</w:t>
        </w:r>
      </w:hyperlink>
    </w:p>
    <w:p>
      <w:pPr>
        <w:spacing w:before="0" w:after="80"/>
      </w:pPr>
      <w:r>
        <w:rPr>
          <w:i/>
          <w:sz w:val="20"/>
        </w:rPr>
        <w:t>EN: Aharonov–Bohm interference in even-denominator fractional quantum Hall states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非亚伯利安外壳位置交换以地形保护的方式影响其系统的量子状态。 1 它们预期在均位分分量大厅(FQH)系统中的表征为直接研究干扰实验中的独特统计特性提供了机会。 2 在这里,我们用Fabry-Pérot干涉测量技术,在高流动性双层基范德瓦尔(VdW)外壳结构中观察到了Aharonov-Bohm对两个均位顶点国家的一致干扰。 在连续干扰循环中,我们观察到一个与两个通量夸特相对应的振动期,即=20,干扰不带有非亚伯利统计的特征。</w:t>
      </w:r>
    </w:p>
    <w:p>
      <w:pPr>
        <w:spacing w:before="0" w:after="200" w:lineRule="auto" w:line="276"/>
      </w:pPr>
      <w:r>
        <w:rPr>
          <w:b/>
        </w:rPr>
        <w:t xml:space="preserve">Abstract (EN): </w:t>
      </w:r>
      <w:r>
        <w:t>Position exchange of non-Abelian anyons affects the quantum state of their system in a topologically protected way1. Their expected manifestations in even-denominator fractional quantum Hall (FQH) systems offer the opportunity to directly study their unique statistical properties in interference experiments2. Here we present the observation of coherent Aharonov–Bohm interference at two even-denominator states in high-mobility bilayer-graphene-based van der Waals (vdW) heterostructures by using the Fabry–Pérot interferometry technique. Operating the interferometer at a constant filling factor, we observe an oscillation period corresponding to two flux quanta inside the interference loop, ΔΦ = 2Φ0, at which the interference does not carry signatures of non-Abelian statistics. The absence of the expected periodicity of ΔΦ = 4Φ0 may indicate that the interfering quasiparticles carry the charge e&amp;#x2217;=12e" role="presentation"&gt;e∗=12e{e}^{* }=\frac{1}{2}e or that interference of e&amp;#x2217;=14e" role="presentation"&gt;e∗=14e{e}^{* }=\frac{1}{4}e quasiparticles is thermally smeared. Notably, at two hole-conjugate states, we also observe oscillation periods of half the expected value, indicating interference of e&amp;#x2217;=23e" role="presentation"&gt;e∗=23e{e}^{* }=\frac{2}{3}e quasiparticles instead of e&amp;#x2217;=13e" role="presentation"&gt;e∗=13e{e}^{* }=\frac{1}{3}e. To investigate statistical phase contributions, we operated the Fabry–Pérot interferometer (FPI) with controlled deviations of the filling factor, thereby introducing fractional quasiparticles inside the interference loop. The resulting changes to the interference patterns at both half-filled states indicate that the extra bulk quasiparticles carry the fundamental charge e&amp;#x2217;=14e" role="presentation"&gt;e∗=14e{e}^{* }=\frac{1}{4}e, as expected for non-Abelian anyons.</w:t>
      </w:r>
    </w:p>
    <w:p>
      <w:pPr>
        <w:spacing w:before="120" w:after="120"/>
      </w:pPr>
      <w:r>
        <w:rPr>
          <w:sz w:val="18"/>
        </w:rPr>
        <w:t>——————————————————————————————————————————————————————————————————————</w:t>
      </w:r>
    </w:p>
    <w:p>
      <w:pPr>
        <w:spacing w:before="160" w:after="40" w:line="240" w:lineRule="auto"/>
      </w:pPr>
      <w:r>
        <w:rPr>
          <w:b/>
        </w:rPr>
        <w:t xml:space="preserve">[591] </w:t>
      </w:r>
      <w:hyperlink r:id="rId1000">
        <w:r>
          <w:rPr>
            <w:color w:val="1155CC"/>
            <w:u w:val="single"/>
          </w:rPr>
          <w:t>从紫外线到近红外线光子集成导致类似纤维的损耗</w:t>
        </w:r>
      </w:hyperlink>
    </w:p>
    <w:p>
      <w:pPr>
        <w:spacing w:before="0" w:after="80"/>
      </w:pPr>
      <w:r>
        <w:rPr>
          <w:i/>
          <w:sz w:val="20"/>
        </w:rPr>
        <w:t>EN: Towards fibre-like loss for photonic integration from violet to near-infrared</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在过去几十年里,在减少电信波段1、2、3、4、4的光感集集电(PICs)损失方面取得了显著进展,为低噪音光学5和微波合成6的低噪音光学5和微波合成6的芯片应用向Lidar7和光感人人工智能引擎提供了便利。 然而,由于材料吸收和散落损失明显增加,以更短波长9,10 造成材料吸收和散落损失明显增加,在可见和接近可见的频谱中提高了电力要求并限制了性能。在这里,我们展示了一个以光纤光纤维特别性能所需的材料即细菌-硅为基础的超低损失石化石化石化石化平台,但通过完全CMOS构造兼容的工艺而实现,这些石化石化石化公司实现了超过1.8亿的共振系数。</w:t>
      </w:r>
    </w:p>
    <w:p>
      <w:pPr>
        <w:spacing w:before="0" w:after="200" w:lineRule="auto" w:line="276"/>
      </w:pPr>
      <w:r>
        <w:rPr>
          <w:b/>
        </w:rPr>
        <w:t xml:space="preserve">Abstract (EN): </w:t>
      </w:r>
      <w:r>
        <w:t>Over the past decades, remarkable progress has been made in reducing the loss of photonic integrated circuits (PICs) within the telecom band1,2,3,4, facilitating on-chip applications spanning low-noise optical5 and microwave synthesis6, to lidar7 and photonic artificial intelligence engines8. However, several obstacles arise from the marked increase in material absorption and scattering losses at shorter wavelengths9,10, which prominently elevate power requirements and limit performance in the visible and near-visible spectrum. Here we present an ultralow-loss PIC platform based on germano-silicate—the material underlying the extraordinary performance of optical fibre—but realized by a fully CMOS-foundry-compatible process. These PICs achieve resonator Q factors surpassing 180 million from violet to telecom wavelengths. They also attain a 10-dB higher quality factor without thermal treatment in the telecom band, expanding opportunities for heterogeneous integration with active components11. Other features of this platform include readily engineered waveguide dispersion, acoustic mode confinement and large-mode-area-induced thermal stability—each demonstrated by soliton microcomb generation, stimulated Brillouin lasing and low-frequency-noise self-injection locking, respectively. The success of these germano-silicate PICs can ultimately enable fibre-like loss onto a chip, leading to an additional 20-dB improvement in waveguide loss over the current highest performance photonic platforms. Moreover, the performance abilities demonstrated here bridge ultralow-loss PIC technology to optical clocks12, precision navigation systems13 and quantum sensors14.</w:t>
      </w:r>
    </w:p>
    <w:p>
      <w:pPr>
        <w:spacing w:before="120" w:after="120"/>
      </w:pPr>
      <w:r>
        <w:rPr>
          <w:sz w:val="18"/>
        </w:rPr>
        <w:t>——————————————————————————————————————————————————————————————————————</w:t>
      </w:r>
    </w:p>
    <w:p>
      <w:pPr>
        <w:spacing w:before="160" w:after="40" w:line="240" w:lineRule="auto"/>
      </w:pPr>
      <w:r>
        <w:rPr>
          <w:b/>
        </w:rPr>
        <w:t xml:space="preserve">[592] </w:t>
      </w:r>
      <w:hyperlink r:id="rId1001">
        <w:r>
          <w:rPr>
            <w:color w:val="1155CC"/>
            <w:u w:val="single"/>
          </w:rPr>
          <w:t>俄罗斯征服雅库提亚的古代DNA视角</w:t>
        </w:r>
      </w:hyperlink>
    </w:p>
    <w:p>
      <w:pPr>
        <w:spacing w:before="0" w:after="80"/>
      </w:pPr>
      <w:r>
        <w:rPr>
          <w:i/>
          <w:sz w:val="20"/>
        </w:rPr>
        <w:t>EN: An ancient DNA perspective on the Russian conquest of Yakutia</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西伯利亚东北部的雅库特人社区居住着地球上一些最寒冷的环境,保存着非凡的考古记录,其历史被俄罗斯征服深深地重塑,俄罗斯征服从1632年开始引入了谷物、病原体和基督教(参见1,2,3,4,4,5 5),然而,这些转变的生物学影响仍不得而知。我们在此生成了广泛的古代DNA数据,以阐明雅库特人基因多样性和口授微生物的当代变化。我们发现雅库特人起源追溯到随着大蒙古帝国的扩张而迁移的跨拜科尔人群体所混合的当地人口。尽管俄罗斯征服,雅库特人基因库和口授微生物似乎基本稳定,尽管小天花株不同于欧元所记载的菌种。</w:t>
      </w:r>
    </w:p>
    <w:p>
      <w:pPr>
        <w:spacing w:before="0" w:after="200" w:lineRule="auto" w:line="276"/>
      </w:pPr>
      <w:r>
        <w:rPr>
          <w:b/>
        </w:rPr>
        <w:t xml:space="preserve">Abstract (EN): </w:t>
      </w:r>
      <w:r>
        <w:t>Yakut communities from northeastern Siberia inhabit some of the coldest environments on Earth, preserving an extraordinary archaeological record. Their history was profoundly reshaped by the Russian conquest, which introduced cereals, pathogens and Christianity beginning in 1632 (refs. 1,2,3,4,5). However, the biological impact of these transformations remains unknown. Here we generated extensive ancient DNA data to elucidate contemporary changes in Yakut genomic diversity and oral microbiomes. We found Yakut origins tracing back to local populations that admixed with Trans-Baikal groups migrating as the Great Mongol Empire spread. Despite the Russian conquest, the Yakut gene pool and oral microbiomes appeared largely stable, although smallpox strains distinct from those documented in Europe by approximately 1650 circulated. Marital practices generally maintained low consanguinity, with the exception of one female bearing the latest markers of traditional shamanism, who was the daughter of second-degree relatives.</w:t>
      </w:r>
    </w:p>
    <w:p>
      <w:pPr>
        <w:spacing w:before="120" w:after="120"/>
      </w:pPr>
      <w:r>
        <w:rPr>
          <w:sz w:val="18"/>
        </w:rPr>
        <w:t>——————————————————————————————————————————————————————————————————————</w:t>
      </w:r>
    </w:p>
    <w:p>
      <w:pPr>
        <w:spacing w:before="160" w:after="40" w:line="240" w:lineRule="auto"/>
      </w:pPr>
      <w:r>
        <w:rPr>
          <w:b/>
        </w:rPr>
        <w:t xml:space="preserve">[593] </w:t>
      </w:r>
      <w:hyperlink r:id="rId1002">
        <w:r>
          <w:rPr>
            <w:color w:val="1155CC"/>
            <w:u w:val="single"/>
          </w:rPr>
          <w:t>在斑马鱼罗环球神经元中锚定的塑料里程碑</w:t>
        </w:r>
      </w:hyperlink>
    </w:p>
    <w:p>
      <w:pPr>
        <w:spacing w:before="0" w:after="80"/>
      </w:pPr>
      <w:r>
        <w:rPr>
          <w:i/>
          <w:sz w:val="20"/>
        </w:rPr>
        <w:t>EN: Plastic landmark anchoring in zebrafish compass neurons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视野可以告知动物在环境中行走时的视野。 陆界标记可以用来保持航向, 光流可以整合以估计转动。 虽然已经表明各种物种的头方向(HD)神经元使用这些视觉提示1, 2, 脊椎动物中这一过程背后的电路机制仍然不为人所知。 在这里,我们询问在幼虫斑马3 3 中最近发现的HD细胞是最小的脊椎动物模型之一, 是否以及如何纳入视觉信息。 通过将两磷显微镜与全景虚拟现实设置相结合, 我们证明斑马鱼的HD细胞可以可靠地跟踪多个视觉场景的方向, 利用视觉标志和光流提示。 里程碑提示和标题估计之间的绘图是 idi 。</w:t>
      </w:r>
    </w:p>
    <w:p>
      <w:pPr>
        <w:spacing w:before="0" w:after="200" w:lineRule="auto" w:line="276"/>
      </w:pPr>
      <w:r>
        <w:rPr>
          <w:b/>
        </w:rPr>
        <w:t xml:space="preserve">Abstract (EN): </w:t>
      </w:r>
      <w:r>
        <w:t>Vision can inform animals as they navigate their environment. Landmarks can be used to maintain heading, while optic flow can be integrated to estimate turning. Although it has been shown that head direction (HD) neurons in various species use these visual cues1,2, the circuit mechanisms underlying this process in vertebrates remain unknown. Here we asked whether and how the recently identified HD cells in the larval zebrafish3, one of the smallest vertebrate models, incorporate visual information. By combining two-photon microscopy with a panoramic virtual reality setup, we demonstrate that the zebrafish HD cells can reliably track the orientation of multiple visual scenes, exploiting both visual landmarks and optic flow cues. The mapping between landmark cues and heading estimates is idiosyncratic across fish and experience dependent. Furthermore, we show that landmark tracking requires the lateralized projection from the habenula to the interpeduncular nucleus4, a structure innervated by HD neuron processes3. The physiological and morphological parallels suggest that a Hebbian mechanism similar to the fly ring neurons5,6 is at work in the habenula axons. Overall, our observation that hindbrain HD cells of larval zebrafish can utilize the visual cues despite the lack of an elaborate visual telencephalon sheds new light on the evolution of navigation circuitry in vertebrates.</w:t>
      </w:r>
    </w:p>
    <w:p>
      <w:pPr>
        <w:spacing w:before="120" w:after="120"/>
      </w:pPr>
      <w:r>
        <w:rPr>
          <w:sz w:val="18"/>
        </w:rPr>
        <w:t>——————————————————————————————————————————————————————————————————————</w:t>
      </w:r>
    </w:p>
    <w:p>
      <w:pPr>
        <w:spacing w:before="160" w:after="40" w:line="240" w:lineRule="auto"/>
      </w:pPr>
      <w:r>
        <w:rPr>
          <w:b/>
        </w:rPr>
        <w:t xml:space="preserve">[594] </w:t>
      </w:r>
      <w:hyperlink r:id="rId1003">
        <w:r>
          <w:rPr>
            <w:color w:val="1155CC"/>
            <w:u w:val="single"/>
          </w:rPr>
          <w:t>在900,000名生物库参与者中,对DNA的深入观察重复扩展</w:t>
        </w:r>
      </w:hyperlink>
    </w:p>
    <w:p>
      <w:pPr>
        <w:spacing w:before="0" w:after="80"/>
      </w:pPr>
      <w:r>
        <w:rPr>
          <w:i/>
          <w:sz w:val="20"/>
        </w:rPr>
        <w:t>EN: Insights into DNA repeat expansions among 900,000 biobank participants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DNA串联的扩展和收缩在人类和人体组织中产生基因变异。一些扩大的重复造成遗传性疾病,有些也是身体不稳定1,2。我们在这里分析了来自联合王国生物库和全我们研究方案的900,000多名参与者的DNA测序数据,利用计算方法来识别、测量和从DNA-重复的不稳定性中学习。不同地方的重复表现出在生殖线和血液中发生变异的不同组织特有的倾向。TCF4和ADGRE2的重复性常见异象在血液中表现出高比例的长度模式化,表明大多数人类基因组含有随着我们老龄化而扩大的重复性元素。</w:t>
      </w:r>
    </w:p>
    <w:p>
      <w:pPr>
        <w:spacing w:before="0" w:after="200" w:lineRule="auto" w:line="276"/>
      </w:pPr>
      <w:r>
        <w:rPr>
          <w:b/>
        </w:rPr>
        <w:t xml:space="preserve">Abstract (EN): </w:t>
      </w:r>
      <w:r>
        <w:t>Expansions and contractions of tandem DNA repeats generate genetic variation in human populations and in human tissues. Some expanded repeats cause inherited disorders and some are also somatically unstable1,2. Here we analysed DNA sequencing data from over 900,000 participants in the UK Biobank and the All of Us Research Program using computational approaches to recognize, measure and learn from DNA-repeat instability. Repeats at different loci exhibited widely variable tissue-specific propensities to mutate in the germline and blood. Common alleles of repeats in TCF4 and ADGRE2 exhibited high rates of length mosaicism in the blood, demonstrating that most human genomes contain repeat elements that expand as we age. Genome-wide association analyses of the extent of somatic expansion of unstable repeat alleles identified 29 loci at which inherited variants increased expansion of one or more DNA repeats in blood (P = 5 × 10−8 to 2.5 × 10−1,438). These genetic modifiers exhibited strong collective effects on repeat instability: at one repeat, somatic expansion rates varied fourfold between individuals with the highest and lowest 5% of polygenic scores. Modifier alleles at several DNA-repair genes exhibited opposite effects on the blood instability of the TCF4 repeat compared with other DNA repeats. Expanded repeats in the 5′ untranslated region of the glutaminase (GLS) gene associated with stage 5 chronic kidney disease (odds ratio (OR) = 14.0 (5.7–34.3, 95% confidence interval (CI))) and liver diseases (OR = 3.0 (1.5–5.9, 95% CI)). These results point to complex dynamics of DNA repeats in human populations and across the human lifespan.</w:t>
      </w:r>
    </w:p>
    <w:p>
      <w:pPr>
        <w:spacing w:before="120" w:after="120"/>
      </w:pPr>
      <w:r>
        <w:rPr>
          <w:sz w:val="18"/>
        </w:rPr>
        <w:t>——————————————————————————————————————————————————————————————————————</w:t>
      </w:r>
    </w:p>
    <w:p>
      <w:pPr>
        <w:spacing w:before="160" w:after="40" w:line="240" w:lineRule="auto"/>
      </w:pPr>
      <w:r>
        <w:rPr>
          <w:b/>
        </w:rPr>
        <w:t xml:space="preserve">[595] </w:t>
      </w:r>
      <w:hyperlink r:id="rId1004">
        <w:r>
          <w:rPr>
            <w:color w:val="1155CC"/>
            <w:u w:val="single"/>
          </w:rPr>
          <w:t>从夹层皮层积累的经验和观测中积累的证据</w:t>
        </w:r>
      </w:hyperlink>
    </w:p>
    <w:p>
      <w:pPr>
        <w:spacing w:before="0" w:after="80"/>
      </w:pPr>
      <w:r>
        <w:rPr>
          <w:i/>
          <w:sz w:val="20"/>
        </w:rPr>
        <w:t>EN: Evidence accumulation from experience and observation in the cingulate cortex</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我们用我们的经验来形成和更新关于世界隐蔽状态的信念,1,2,3,3。如果可能的话,我们也通过观察他人来收集证据。然而,我们不明白大脑如何融合实验和观察证据。我们研究了证据融入与变化无常的隐藏状态的双人游戏的证据动态。人类和猴子在玩游戏和观察其伴侣的同时成功地更新了他们的信仰,尽管观察时效率较低。动物的电生理记录显示,前卵巢皮层将独立的实验和观察证据来源整合为对环境状态动态信念的一致神经表征。人口活动的几何测量显示,人口活动的构造显示,环境环境的特征和特征都与人类不同。</w:t>
      </w:r>
    </w:p>
    <w:p>
      <w:pPr>
        <w:spacing w:before="0" w:after="200" w:lineRule="auto" w:line="276"/>
      </w:pPr>
      <w:r>
        <w:rPr>
          <w:b/>
        </w:rPr>
        <w:t xml:space="preserve">Abstract (EN): </w:t>
      </w:r>
      <w:r>
        <w:t>We use our experiences to form and update beliefs about the hidden states of the world1,2,3. When possible, we also gather evidence by observing others. However, how the brain integrates experiential and observational evidence is not understood. We studied the dynamics of evidence integration in a two-player game with volatile hidden states. Both humans and monkeys successfully updated their beliefs while playing the game and observing their partner, although less effectively when observing. Electrophysiological recordings in animals revealed that the anterior cingulate cortex integrates independent sources of experiential and observational evidence into a coherent neural representation of dynamic belief about the environment’s state. The geometry of population activity revealed the computational architecture of this integration and provided a neural account of the behavioural asymmetry between experiential and observational evidence accumulation. This work lays the groundwork for understanding the neural mechanisms underlying evidence accumulation in social contexts in the primate brain.</w:t>
      </w:r>
    </w:p>
    <w:p>
      <w:pPr>
        <w:spacing w:before="120" w:after="120"/>
      </w:pPr>
      <w:r>
        <w:rPr>
          <w:sz w:val="18"/>
        </w:rPr>
        <w:t>——————————————————————————————————————————————————————————————————————</w:t>
      </w:r>
    </w:p>
    <w:p>
      <w:pPr>
        <w:spacing w:before="160" w:after="40" w:line="240" w:lineRule="auto"/>
      </w:pPr>
      <w:r>
        <w:rPr>
          <w:b/>
        </w:rPr>
        <w:t xml:space="preserve">[596] </w:t>
      </w:r>
      <w:hyperlink r:id="rId1005">
        <w:r>
          <w:rPr>
            <w:color w:val="1155CC"/>
            <w:u w:val="single"/>
          </w:rPr>
          <w:t>搭配天然宿主防御机制,防止肌肉硬化</w:t>
        </w:r>
      </w:hyperlink>
    </w:p>
    <w:p>
      <w:pPr>
        <w:spacing w:before="0" w:after="80"/>
      </w:pPr>
      <w:r>
        <w:rPr>
          <w:i/>
          <w:sz w:val="20"/>
        </w:rPr>
        <w:t>EN: Albumin orchestrates a natural host defence mechanism against mucormycosis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Mucormycosis 是一种新兴的、威胁生命的人类感染,由菌菌菌1,2,3,3引起的真菌1,3,3,代谢性疾病是一种威胁生命的人类感染。 代谢性疾病通过不易理解的机制1,2,4,5,特别容易使不断扩大的病人群体通过不易理解的机理而出现肌肉硬化,从而导致肌肉硬化。 这表明未经定性的宿主代谢性代谢作用可能给予这种感染的保护性豁免。 在这里,我们发现了专辑在通过调制真菌致病来防范肌肉硬化方面的主导管制作用。 我们的初步研究发现,严重的皮细胞性低血症是一种显著的代谢性异常现象,并且是三组的肌肉硬化病人之间导致的肌肉硬化结果的独立生物标志。 值得注意的是,经过精化的专辑化的单质抑制了一系列病原体和分解性消化的肌肉生长。</w:t>
      </w:r>
    </w:p>
    <w:p>
      <w:pPr>
        <w:spacing w:before="0" w:after="200" w:lineRule="auto" w:line="276"/>
      </w:pPr>
      <w:r>
        <w:rPr>
          <w:b/>
        </w:rPr>
        <w:t xml:space="preserve">Abstract (EN): </w:t>
      </w:r>
      <w:r>
        <w:t>Mucormycosis is an emerging, life-threatening human infection caused by Mucorales fungi1,2,3. Metabolic disorders uniquely predispose an ever-expanding group of patients to mucormycosis through poorly understood mechanisms1,2,4,5, suggesting that uncharacterized host metabolic effectors may confer protective immunity against this infection. Here we uncover a master regulatory role of albumin in host defence against Mucorales through the modulation of fungal pathogenicity. Our initial studies identified severe hypoalb uminaemia as a prominent metabolic abnormality and an independent biomarker of poor mucormycosis outcome across three distinct cohorts of patients with mucormycosis. Notably, purified albumin selectively inhibits Mucorales growth among a range of pathogens, and albumin-deficient mice display susceptibility specifically to mucormycosis. The antifungal activity of albumin is mediated by the release of bound free fatty acids (FFAs). Albumin prevents FFA oxidation, which otherwise abolishes their antifungal properties, and sera from patients with mucormycosis display high levels of oxidized FFAs. Physiologically, albumin-bound FFAs suppress the expression of key virulence factors by inhibiting protein synthesis, the reby rendering Mucorales avirulent in vivo. Overall, we identify a host defence mechanism that directs the pathogen to suppress its pathogenicity program in response to unfavourable metabolic cues regulated by albumin. These findings have major implications for the pathogenesis and management of mucormycosis.</w:t>
      </w:r>
    </w:p>
    <w:p>
      <w:pPr>
        <w:spacing w:before="120" w:after="120"/>
      </w:pPr>
      <w:r>
        <w:rPr>
          <w:sz w:val="18"/>
        </w:rPr>
        <w:t>——————————————————————————————————————————————————————————————————————</w:t>
      </w:r>
    </w:p>
    <w:p>
      <w:pPr>
        <w:spacing w:before="160" w:after="40" w:line="240" w:lineRule="auto"/>
      </w:pPr>
      <w:r>
        <w:rPr>
          <w:b/>
        </w:rPr>
        <w:t xml:space="preserve">[597] </w:t>
      </w:r>
      <w:hyperlink r:id="rId1006">
        <w:r>
          <w:rPr>
            <w:color w:val="1155CC"/>
            <w:u w:val="single"/>
          </w:rPr>
          <w:t>海洋酵母中的单卵性与多细胞性之间的遗传转换</w:t>
        </w:r>
      </w:hyperlink>
    </w:p>
    <w:p>
      <w:pPr>
        <w:spacing w:before="0" w:after="80"/>
      </w:pPr>
      <w:r>
        <w:rPr>
          <w:i/>
          <w:sz w:val="20"/>
        </w:rPr>
        <w:t>EN: Genetic switch between unicellularity and multicellularity in marine yeasts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多细胞的进化被认为是地球生命史上的重大转变。 1 在从单细胞到强制多细胞的进化过程中,多细胞的进化过程可能构成一种中间状态,在这种状态中,单细胞扩散和多细胞的多细胞生长是可转换的,2,3,4,4;然而,对转换机制知之甚少。在这里,我们确定了多硫代米茨两种黑原种中营养适应性运动的遗传和细胞细胞性多细胞性多细胞性的基础。在奥尔塔韦亚Werneckii5,5,6的10种基因中,任何一种基因的去化都会导致接近固化的单细胞性或多细胞性。这些基因中有六种是结合菌菌菌菌菌的调控者。</w:t>
      </w:r>
    </w:p>
    <w:p>
      <w:pPr>
        <w:spacing w:before="0" w:after="200" w:lineRule="auto" w:line="276"/>
      </w:pPr>
      <w:r>
        <w:rPr>
          <w:b/>
        </w:rPr>
        <w:t xml:space="preserve">Abstract (EN): </w:t>
      </w:r>
      <w:r>
        <w:t>The evolution of multicellularity is considered to be a major transition in the history of life on Earth1. In the evolution from unicellularity to obligate multicellularity, facultative clonal multicellularity may constitute an intermediate state, in which unicellular proliferation and clonal multicellular growth are switchable2,3,4. However, little is known about the mechanisms of switching. Here we identify the genetic and cellular basis of nutrition-responsive facultative clonal multicellularity in two black-yeast species of Dothideomycetes. Deletion of any one of ten genes in Hortaea werneckii5,6 results in near-obligate unicellularity or multicellularity. Six of these genes encode regulators of conidiation (asexual sporulation) in filamentous fungi7, despite conidiation not being observed in H. werneckii. Second-site mutations often restore or reverse the phenotype, revealing genetic flexibility underlying facultative multicellularity. A Myb protein functions as a switch-like regulator of state transitions in H. werneckii; its expression and degradation are coupled to nutrient conditions, stabilizing unicellular or multicellular growth. However, while conidiation regulators are similarly co-opted to enable facultative multicellularity, the Myb gene is dispensable in the related species Neodothiora pruni8, further highlighting molecular diversity in plasticity regulation. Ecologically, multicellular-prone H. werneckii ecotypes are isolated from sponges, and sponge-conditioned medium induces multicellularity. This study establishes a tractable model system for dissecting facultative clonal multicellularity across genetic, cellular and ecological scales, and outlines genetic and cellular strategies to gain, lose and regain multicellularity and, more broadly, phenotypic plasticity.</w:t>
      </w:r>
    </w:p>
    <w:p>
      <w:pPr>
        <w:spacing w:before="120" w:after="120"/>
      </w:pPr>
      <w:r>
        <w:rPr>
          <w:sz w:val="18"/>
        </w:rPr>
        <w:t>——————————————————————————————————————————————————————————————————————</w:t>
      </w:r>
    </w:p>
    <w:p>
      <w:pPr>
        <w:spacing w:before="160" w:after="40" w:line="240" w:lineRule="auto"/>
      </w:pPr>
      <w:r>
        <w:rPr>
          <w:b/>
        </w:rPr>
        <w:t xml:space="preserve">[598] </w:t>
      </w:r>
      <w:hyperlink r:id="rId1007">
        <w:r>
          <w:rPr>
            <w:color w:val="1155CC"/>
            <w:u w:val="single"/>
          </w:rPr>
          <w:t>脉冲加热和胶片增强加热 分阶段变化热电池充电</w:t>
        </w:r>
      </w:hyperlink>
    </w:p>
    <w:p>
      <w:pPr>
        <w:spacing w:before="0" w:after="80"/>
      </w:pPr>
      <w:r>
        <w:rPr>
          <w:i/>
          <w:sz w:val="20"/>
        </w:rPr>
        <w:t>EN: Pulse heating and slip enhance charging of phase-change thermal batteries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用于可再生能源储存和废物热回收的分阶段更换热电池用于可再生能源储存和废物热回收,要求高能源密度和快电1,2,3,4,4,5,这是相互排斥的,因为具有高熔融的分阶段交换材料通常为低热导体6,7,8 8 收费率可以通过下列方法提高:使复合分阶段交换材料(CPPCM)增加热导率9 和(或)施加外部力量以实现近距离熔化10,11,12. 然而,这些方法不可避免地导致能源密度损失和(或)额外的能源消耗。</w:t>
      </w:r>
    </w:p>
    <w:p>
      <w:pPr>
        <w:spacing w:before="0" w:after="200" w:lineRule="auto" w:line="276"/>
      </w:pPr>
      <w:r>
        <w:rPr>
          <w:b/>
        </w:rPr>
        <w:t xml:space="preserve">Abstract (EN): </w:t>
      </w:r>
      <w:r>
        <w:t>Phase-change thermal batteries for renewable energy storage and waste heat recovery demand high energy density and fast charging1,2,3,4,5, which are mutually exclusive because phase-change materials (PCMs) with high melting enthalpy are usually poor heat conductors6,7,8. The charging rate can be improved by making composite phase-change materials (CPCMs) with increased thermal conductivity9 and/or by exerting an external force to realize close-contact melting (CCM)10,11,12. However, these methods inevitably result in energy density losses and/or extra energy consumption. Here we report a strategy to boost the charging rates without sacrificing energy density, based on a rational design of a composite coating that enables slip-enhanced close-contact melting (sCCM) inside sealed thermal batteries. Using organic PCMs, we demonstrate a record-high power density of 1,100 ± 2% kW m−3 in a prototype. Our coating design integrates a pulse-heated (PH) layer that premelts the PCM to initiate CCM, together with a liquid-like slip surface that ensures unimpeded sinking of the remaining solid and sustains the sCCM mode throughout charging. We develop a model to explain how the slip surface enhances the charging rate. With high cycling life, adaptability and scalability, this strategy is generalizable to diverse PCMs, enabling high-performance thermal energy storage over a wide range of temperatures.</w:t>
      </w:r>
    </w:p>
    <w:p>
      <w:pPr>
        <w:spacing w:before="120" w:after="120"/>
      </w:pPr>
      <w:r>
        <w:rPr>
          <w:sz w:val="18"/>
        </w:rPr>
        <w:t>——————————————————————————————————————————————————————————————————————</w:t>
      </w:r>
    </w:p>
    <w:p>
      <w:pPr>
        <w:spacing w:before="160" w:after="40" w:line="240" w:lineRule="auto"/>
      </w:pPr>
      <w:r>
        <w:rPr>
          <w:b/>
        </w:rPr>
        <w:t xml:space="preserve">[599] </w:t>
      </w:r>
      <w:hyperlink r:id="rId1008">
        <w:r>
          <w:rPr>
            <w:color w:val="1155CC"/>
            <w:u w:val="single"/>
          </w:rPr>
          <w:t>高压无阳极无阴极钠-硫电池</w:t>
        </w:r>
      </w:hyperlink>
    </w:p>
    <w:p>
      <w:pPr>
        <w:spacing w:before="0" w:after="80"/>
      </w:pPr>
      <w:r>
        <w:rPr>
          <w:i/>
          <w:sz w:val="20"/>
        </w:rPr>
        <w:t>EN: High-voltage anode-free sodium–sulfur batteries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室温钠-硫(Na-S)电池为常规锂(Li)基系统提供了可持续的能源储存解决方案,1,2,3,由于元素丰度高和理论电化学性能,4,5。 然而,由于排放电压低和需要大量超量的纳金属阳极6,787,8 室温钠-硫(Na-S)电池为常规锂(Li)基系统提供了可持续的能源储存解决方案,1,2,3,3。我们表明,二氰胺钠(NaDCA)可同时释放可逆的S/SCl4转换和在非易燃的氯光电解器中进行电镀/脱光,这种设计使最大能量和能量密度达到1,198 Whk-1和23,773 Wk-1。</w:t>
      </w:r>
    </w:p>
    <w:p>
      <w:pPr>
        <w:spacing w:before="0" w:after="200" w:lineRule="auto" w:line="276"/>
      </w:pPr>
      <w:r>
        <w:rPr>
          <w:b/>
        </w:rPr>
        <w:t xml:space="preserve">Abstract (EN): </w:t>
      </w:r>
      <w:r>
        <w:t>Room-temperature sodium–sulfur (Na–S) batteries offer a sustainable energy storage solution to conventional lithium (Li)-based systems1,2,3, owing to the high element abundances and theoretical electrochemical performance4,5. However, their practical applications have been severely hindered by the low discharge voltages and the need for largely excessive Na metal anode6,7,8. Here we report a 3.6 V class Na–S battery featuring a high-valence sulfur/sulfur tetrachloride (S/SCl4) cathode chemistry and anode-free configuration. We show that sodium dicyanamide (NaDCA) can simultaneously unlock reversible S/SCl4 conversion and Na plating/stripping in a non-flammable chloroaluminate electrolyte. This design enables the maximum energy and power densities of 1,198 Wh kg−1 and 23,773 W kg−1, respectively, calculated on the basis of the total electrode mass including both the cathode and the anode. Also, we demonstrate facilitated S/SCl4 conversion by incorporating a bismuth-coordinated covalent organic framework (Bi-COF) catalyst (8 wt% loading) into the S cathode, which realizes an impressive discharge capacity of 1,206 mAh g(sulfur+catalyst)−1, contributing to a maximum energy density of 2,021 Wh kg−1 calculated on the basis of the total electrode mass. With an estimated cost of US$5.03 per kWh and excellent scalability, our anode-free Na–S battery shows promise in grid energy storage and wearable electronics.</w:t>
      </w:r>
    </w:p>
    <w:p>
      <w:pPr>
        <w:spacing w:before="120" w:after="120"/>
      </w:pPr>
      <w:r>
        <w:rPr>
          <w:sz w:val="18"/>
        </w:rPr>
        <w:t>——————————————————————————————————————————————————————————————————————</w:t>
      </w:r>
    </w:p>
    <w:p>
      <w:pPr>
        <w:spacing w:before="160" w:after="40" w:line="240" w:lineRule="auto"/>
      </w:pPr>
      <w:r>
        <w:rPr>
          <w:b/>
        </w:rPr>
        <w:t xml:space="preserve">[600] </w:t>
      </w:r>
      <w:hyperlink r:id="rId1009">
        <w:r>
          <w:rPr>
            <w:color w:val="1155CC"/>
            <w:u w:val="single"/>
          </w:rPr>
          <w:t>用于远距离和广角遥感的软生物降解植入器</w:t>
        </w:r>
      </w:hyperlink>
    </w:p>
    <w:p>
      <w:pPr>
        <w:spacing w:before="0" w:after="80"/>
      </w:pPr>
      <w:r>
        <w:rPr>
          <w:i/>
          <w:sz w:val="20"/>
        </w:rPr>
        <w:t>EN: Soft biodegradable implants for long-distance and wide-angle sensing</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监测内部生理信号对于有效的医疗护理至关重要,1 然而,目前大多数技术依赖于外部测量或成像系统,这些测量或成像系统无法捕捉足够的深层组织动态动态,2,3,4,56.6. 植入装置提供了一种解决办法,但常规设计往往需要电池或磁铁7,8,9,10,11,在清除过程中带有风险,而现有的基于被动吸收器的生物降解感应器-电容器电路由于短距离和不稳定的通信问题而受到限制。12,13,14,15,16,16,17,18,19。这里我们描述一个软的、生物降解的无线感应装置,能够监测长距离(高达16厘米)的压力、温度和压力,保持不同位置和角度的准确性。</w:t>
      </w:r>
    </w:p>
    <w:p>
      <w:pPr>
        <w:spacing w:before="0" w:after="200" w:lineRule="auto" w:line="276"/>
      </w:pPr>
      <w:r>
        <w:rPr>
          <w:b/>
        </w:rPr>
        <w:t xml:space="preserve">Abstract (EN): </w:t>
      </w:r>
      <w:r>
        <w:t>Monitoring internal physiological signals is essential for effective medical care1, yet most current technologies rely on external measurements or imaging systems that cannot capture enough deep-tissue dynamics2,3,4,5,6. Implantable devices offer a solution, but conventional designs often require batteries or magnets7,8,9,10,11, which carry risks during removal, and existing biodegradable sensors based on passive inductor–capacitor circuits are limited by short readout distances and unstable communication issues12,13,14,15,16,17,18,19. Here we describe a soft, biodegradable, wireless sensing device that can monitor pressure, temperature and strain over long distances (up to 16 cm), maintaining accuracy across varying positions and angles. This is achieved through a ‘pole-moving sweeping’ readout system combined with a folded structure that integrates mechanical flexibility with electromagnetic function. In vivo tests in the abdominal cavity of horses reliably captured deep-tissue pressure and temperature, and ex vivo measurements demonstrated accurate strain monitoring without strict positional control. The long-distance and wide-angle readout of soft biodegradable implants holds translational promise for accessing deep-tissue physiological signals.</w:t>
      </w:r>
    </w:p>
    <w:p>
      <w:pPr>
        <w:spacing w:before="120" w:after="120"/>
      </w:pPr>
      <w:r>
        <w:rPr>
          <w:sz w:val="18"/>
        </w:rPr>
        <w:t>——————————————————————————————————————————————————————————————————————</w:t>
      </w:r>
    </w:p>
    <w:p>
      <w:pPr>
        <w:spacing w:before="160" w:after="40" w:line="240" w:lineRule="auto"/>
      </w:pPr>
      <w:r>
        <w:rPr>
          <w:b/>
        </w:rPr>
        <w:t xml:space="preserve">[601] </w:t>
      </w:r>
      <w:hyperlink r:id="rId1010">
        <w:r>
          <w:rPr>
            <w:color w:val="1155CC"/>
            <w:u w:val="single"/>
          </w:rPr>
          <w:t>小规模持续湿润森林清理造成热带森林生物量损失</w:t>
        </w:r>
      </w:hyperlink>
    </w:p>
    <w:p>
      <w:pPr>
        <w:spacing w:before="0" w:after="80"/>
      </w:pPr>
      <w:r>
        <w:rPr>
          <w:i/>
          <w:sz w:val="20"/>
        </w:rPr>
        <w:t>EN: Small persistent humid forest clearings drive tropical forest biomass losses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热带森林储存了全球森林地面上碳1 的一半左右的全球森林,但广大地区却受到动乱的影响,例如农业扩张的毁林、2、3和火灾的退化、选择性伐木、5和边缘效应4、选择性伐木、5和6、7、7等,但随着时间的推移,受破坏的森林可以恢复、逐步恢复碳储量和生态功能。 然而,恢复率如何随扰动大小、类型和地点的变化而变化,其数量仍然很少。 我们在这里使用一个记账方法,用空间清晰的植被恢复曲线来量化1990-2020年期间扰动热带森林中受扰动的植被恢复动态。 我们发现,受扰动的热带干燥林仍然是碳中性森林,而受扰动的热带潮湿润林则经历了15.6 + 3.7 PgC的净损失,主要是小块驱动的15.6 + 3.7 PgC。</w:t>
      </w:r>
    </w:p>
    <w:p>
      <w:pPr>
        <w:spacing w:before="0" w:after="200" w:lineRule="auto" w:line="276"/>
      </w:pPr>
      <w:r>
        <w:rPr>
          <w:b/>
        </w:rPr>
        <w:t xml:space="preserve">Abstract (EN): </w:t>
      </w:r>
      <w:r>
        <w:t>Tropical forests store about half of the global forest aboveground carbon (AGC)1, yet extensive areas are affected by disturbances, such as deforestation from agricultural expansion2,3 and degradation from fires4, selective logging5, and edge effects6,7. Over time, disturbed forests can recover, gradually restoring carbon stocks and ecological functions8. However, how recovery rates vary with disturbance size, type and location remains poorly quantified. Here we use a bookkeeping approach with spatially explicit vegetation recovery curves to quantify AGC dynamics in disturbed tropical forests during 1990–2020. We find that disturbed tropical dry forests remained carbon neutral, whereas disturbed tropical humid forests experienced a net AGC loss of 15.6 ± 3.7 PgC, primarily driven by small but persistent deforestation clearings. Despite affecting only about 5% of the disturbed area, these small-size (less than 2 ha) deforestation events accounted for about 56% of carbon losses, owing to persistent land-use conversion without forest regrowth. By contrast, large fire-induced carbon losses were offset by the long-term post-fire recovery. Over time, deforestation expanded into humid forests with higher carbon stock density, intensifying AGC losses per unit area. These findings highlight the disproportionate impact of small clearings on tropical carbon losses, suggesting the need to curb land-use changes and protect young and recovering forests.</w:t>
      </w:r>
    </w:p>
    <w:p>
      <w:pPr>
        <w:spacing w:before="120" w:after="120"/>
      </w:pPr>
      <w:r>
        <w:rPr>
          <w:sz w:val="18"/>
        </w:rPr>
        <w:t>——————————————————————————————————————————————————————————————————————</w:t>
      </w:r>
    </w:p>
    <w:p>
      <w:pPr>
        <w:spacing w:before="160" w:after="40" w:line="240" w:lineRule="auto"/>
      </w:pPr>
      <w:r>
        <w:rPr>
          <w:b/>
        </w:rPr>
        <w:t xml:space="preserve">[602] </w:t>
      </w:r>
      <w:hyperlink r:id="rId1011">
        <w:r>
          <w:rPr>
            <w:color w:val="1155CC"/>
            <w:u w:val="single"/>
          </w:rPr>
          <w:t>原E3 KLHDC3 原E3 KLHDC3 单价伪天然产品IDO1的附加降解</w:t>
        </w:r>
      </w:hyperlink>
    </w:p>
    <w:p>
      <w:pPr>
        <w:spacing w:before="0" w:after="80"/>
      </w:pPr>
      <w:r>
        <w:rPr>
          <w:i/>
          <w:sz w:val="20"/>
        </w:rPr>
        <w:t>EN: Monovalent pseudo-natural products supercharge degradation of IDO1 by its native E3 KLHDC3</w:t>
      </w:r>
    </w:p>
    <w:p>
      <w:pPr>
        <w:spacing w:before="0" w:after="120"/>
      </w:pPr>
      <w:r>
        <w:rPr>
          <w:b/>
        </w:rPr>
        <w:t xml:space="preserve">Source: </w:t>
      </w:r>
      <w:r>
        <w:t>Nature Chemistry</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目标蛋白降解调制器在抑制酶活性或蛋白蛋白-蛋白相互作用之外还具有蛋白功能。 多数降解药物通过直接介合新基体和被劫持的E3液酶之间的近距离而发挥作用。 在这里,我们识别了来自(-)-迈尔坦醇的假天然产品,称为iDegs,它们抑制并诱导通过一种独特的机制使免疫分子酶Indolemoine-2、3-二氧基酶1(IDO1)退化。 iDegs 推动IDO1 的IDO1 存在和退化, 由Cullin-ring E3 ligase CRL2KLHDC3 进行, 我们确定该物质是本地介介介的IDO1 。 因此, iDegs 增加了IDO1 使用本地蛋白途径的IDO1 变换。 与临床探索 IDO1 抑制剂相比, iDegs 减少了九的形成。</w:t>
      </w:r>
    </w:p>
    <w:p>
      <w:pPr>
        <w:spacing w:before="0" w:after="200" w:lineRule="auto" w:line="276"/>
      </w:pPr>
      <w:r>
        <w:rPr>
          <w:b/>
        </w:rPr>
        <w:t xml:space="preserve">Abstract (EN): </w:t>
      </w:r>
      <w:r>
        <w:t>Targeted protein degradation modulates protein function beyond the inhibition of enzyme activity or protein–protein interactions. Most degrader drugs function by directly mediating the proximity between a neosubstrate and a hijacked E3 ligase. Here we identify pseudo-natural products derived from (−)-myrtanol, termed iDegs, that inhibit and induce degradation of the immunomodulatory enzyme indoleamine-2,3-dioxygenase 1 (IDO1) by a distinct mechanism. iDegs boost IDO1 ubiquitination and degradation by the cullin-RING E3 ligase CRL2KLHDC3, which we identified to natively mediate ubiquitin-mediated degradation of IDO1. Therefore, iDegs increase IDO1 turnover using the native proteolytic pathway. In contrast to clinically explored IDO1 inhibitors, iDegs reduce the formation of kynurenine by both inhibition and induced degradation of the enzyme and thus also modulate the non-enzymatic functions of IDO1. This unique mechanism of action may open up alternative therapeutic opportunities for the treatment of cancer beyond classical inhibition of IDO1.</w:t>
      </w:r>
    </w:p>
    <w:p>
      <w:pPr>
        <w:spacing w:before="120" w:after="120"/>
      </w:pPr>
      <w:r>
        <w:rPr>
          <w:sz w:val="18"/>
        </w:rPr>
        <w:t>——————————————————————————————————————————————————————————————————————</w:t>
      </w:r>
    </w:p>
    <w:p>
      <w:pPr>
        <w:spacing w:before="160" w:after="40" w:line="240" w:lineRule="auto"/>
      </w:pPr>
      <w:r>
        <w:rPr>
          <w:b/>
        </w:rPr>
        <w:t xml:space="preserve">[603] </w:t>
      </w:r>
      <w:hyperlink r:id="rId1012">
        <w:r>
          <w:rPr>
            <w:color w:val="1155CC"/>
            <w:u w:val="single"/>
          </w:rPr>
          <w:t>RNA 触发的 Cas12a3 切开 tRNA 尾部以实施细菌豁免</w:t>
        </w:r>
      </w:hyperlink>
    </w:p>
    <w:p>
      <w:pPr>
        <w:spacing w:before="0" w:after="80"/>
      </w:pPr>
      <w:r>
        <w:rPr>
          <w:i/>
          <w:sz w:val="20"/>
        </w:rPr>
        <w:t>EN: RNA-triggered Cas12a3 cleaves tRNA tails to execute bacterial immunity</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在所有生活领域,tRNAs对基因信息从 mRNAs向蛋白质的转移进行调解。tRNAs的耗竭抑制了基因信息翻译,因而也抑制了病毒复制,因此,tRNAs代表了长期和日益公认的原免疫目标1,2,3,4,5。 我们在这里报告了V CRISP-Cas适应性免疫系统在细菌中从V CRISPR-Cas适应性免疫系统中释放的Cas12a3 影响核素,这些细菌在确认目标RNA后优先切除tRNAs。 Cas12a3 圆形属于两个先前未报告的核素圆环之一,它们展示了RNA非目标的外核素,并且不同于所有其他已知的V型系统。 通过细胞基和生物化学分析以及直接RNA测序,我们证明CRIPRRNA对一个补充性目标RNA的承认触发了Cas12a3到Cela。</w:t>
      </w:r>
    </w:p>
    <w:p>
      <w:pPr>
        <w:spacing w:before="0" w:after="200" w:lineRule="auto" w:line="276"/>
      </w:pPr>
      <w:r>
        <w:rPr>
          <w:b/>
        </w:rPr>
        <w:t xml:space="preserve">Abstract (EN): </w:t>
      </w:r>
      <w:r>
        <w:t>In all domains of life, tRNAs mediate the transfer of genetic information from mRNAs to proteins. As their depletion suppresses translation and, consequently, viral replication, tRNAs represent long-standing and increasingly recognized targets of innate immunity1,2,3,4,5. Here we report Cas12a3 effector nucleases from type V CRISPR–Cas adaptive immune systems in bacteria that preferentially cleave tRNAs after recognition of target RNA. Cas12a3 orthologues belong to one of two previously unreported nuclease clades that exhibit RNA-mediated cleavage of non-target RNA, and are distinct from all other known type V systems. Through cell-based and biochemical assays and direct RNA sequencing, we demonstrate that recognition of a complementary target RNA by the CRISPR RNA triggers Cas12a3 to cleave the conserved 5′-CCA-3′ tail of diverse tRNAs to drive growth arrest and anti-phage defence. Cryogenic electron microscopy structures further revealed a distinct tRNA-loading domain that positions the tRNA tail in the RuvC active site of the nuclease. By designing synthetic reporters that mimic the tRNA acceptor stem and tail, we expanded the capacity of current CRISPR-based diagnostics for multiplexed RNA detection. Overall, these findings reveal widespread tRNA inactivation as a previously unrecognized CRISPR-based immune strategy that broadens the application space of the existing CRISPR toolbox.</w:t>
      </w:r>
    </w:p>
    <w:p>
      <w:pPr>
        <w:spacing w:before="120" w:after="120"/>
      </w:pPr>
      <w:r>
        <w:rPr>
          <w:sz w:val="18"/>
        </w:rPr>
        <w:t>——————————————————————————————————————————————————————————————————————</w:t>
      </w:r>
    </w:p>
    <w:p>
      <w:pPr>
        <w:spacing w:before="160" w:after="40" w:line="240" w:lineRule="auto"/>
      </w:pPr>
      <w:r>
        <w:rPr>
          <w:b/>
        </w:rPr>
        <w:t xml:space="preserve">[604] </w:t>
      </w:r>
      <w:hyperlink r:id="rId1013">
        <w:r>
          <w:rPr>
            <w:color w:val="1155CC"/>
            <w:u w:val="single"/>
          </w:rPr>
          <w:t>银河系中最常用行星系统的年轻后代</w:t>
        </w:r>
      </w:hyperlink>
    </w:p>
    <w:p>
      <w:pPr>
        <w:spacing w:before="0" w:after="80"/>
      </w:pPr>
      <w:r>
        <w:rPr>
          <w:i/>
          <w:sz w:val="20"/>
        </w:rPr>
        <w:t>EN: A young progenitor for the most common planetary systems in the Galaxy</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银河系最常见的已知行星系统在紧凑轨道上有几颗从地球到内普图纳大小的行星。 1 在小型轨道分离中,较大的行星在数量上比较小的行星群少得多。 年轻的恒星V1298 Tau拥有一个这样的紧凑行星系统,尽管有四颗异常大的行星(5至10个地球半径)2 。 这些行星形成一连串近共振反应,导致几小时的中转动力变化。 在这里,我们提出一个多年运动,用中转动力变化来描述这个系统,一种对恒星密集磁活动不敏感的方法。我们首先通过定向观测解决了最远行星先前未知的轨道周期(5至10个地球半径)2 。</w:t>
      </w:r>
    </w:p>
    <w:p>
      <w:pPr>
        <w:spacing w:before="0" w:after="200" w:lineRule="auto" w:line="276"/>
      </w:pPr>
      <w:r>
        <w:rPr>
          <w:b/>
        </w:rPr>
        <w:t xml:space="preserve">Abstract (EN): </w:t>
      </w:r>
      <w:r>
        <w:t>The Galaxy’s most common known planetary systems have several Earth-to-Neptune-size planets in compact orbits1. At small orbital separations, larger planets are less common than their smaller counterparts by an order of magnitude. The young star V1298 Tau hosts one such compact planetary system, albeit with four planets that are uncommonly large (5 to 10 Earth radii)2,3. The planets form a chain of near-resonances that result in transit-timing variations of several hours. Here we present a multi-year campaign to characterize this system with transit-timing variations, a method insensitive to the intense magnetic activity of the star. Through targeted observations, we first resolved the previously unknown orbital period of the outermost planet. The full 9-year baseline from these and archival data then enabled robust determination of the masses and orbital parameters for all four planets. We find the planets have low, sub-Neptune masses and nearly circular orbits, implying a dynamically tranquil history. Their low masses and large radii indicate that the inner planets underwent a period of rapid cooling immediately after dispersal of the protoplanetary disk. Still, they are much less dense than mature planets of comparable size. We predict the planets will contract to 1.5–4.0 Earth radii and join the population of super-Earths and sub-Neptunes that nature produces in abundance.</w:t>
      </w:r>
    </w:p>
    <w:p>
      <w:pPr>
        <w:spacing w:before="120" w:after="120"/>
      </w:pPr>
      <w:r>
        <w:rPr>
          <w:sz w:val="18"/>
        </w:rPr>
        <w:t>——————————————————————————————————————————————————————————————————————</w:t>
      </w:r>
    </w:p>
    <w:p>
      <w:pPr>
        <w:spacing w:before="160" w:after="40" w:line="240" w:lineRule="auto"/>
      </w:pPr>
      <w:r>
        <w:rPr>
          <w:b/>
        </w:rPr>
        <w:t xml:space="preserve">[605] </w:t>
      </w:r>
      <w:hyperlink r:id="rId1014">
        <w:r>
          <w:rPr>
            <w:color w:val="1155CC"/>
            <w:u w:val="single"/>
          </w:rPr>
          <w:t>从Glia到神经元的米托昆德里氏转移保护防止外围神经病</w:t>
        </w:r>
      </w:hyperlink>
    </w:p>
    <w:p>
      <w:pPr>
        <w:spacing w:before="0" w:after="80"/>
      </w:pPr>
      <w:r>
        <w:rPr>
          <w:i/>
          <w:sz w:val="20"/>
        </w:rPr>
        <w:t>EN: Mitochondrial transfer from glia to neurons protects against peripheral neuropathy</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2. 然而,初级感官神经元保持其线粒子体供应的机制仍然不清楚。DRG内嵌入感官神经元的卫星毛球细胞(SGCs)控制神经活动和疼痛3。 我们在这里表明,SGCs能够通过形成用SGC衍生的近地线10(MYO10)对纳米管进行隧道式的纳米管,在体外、体外和体外的DRG感官神经元中向DRG传感性神经元体转移米托乔因体,通过形成以SGC衍生的近地线菌10(MYO10)扫描和传输显像超导管的显像SGCs和感官神经元体在老鼠和人类DRG之间的显像纳米管式超结构。</w:t>
      </w:r>
    </w:p>
    <w:p>
      <w:pPr>
        <w:spacing w:before="0" w:after="200" w:lineRule="auto" w:line="276"/>
      </w:pPr>
      <w:r>
        <w:rPr>
          <w:b/>
        </w:rPr>
        <w:t xml:space="preserve">Abstract (EN): </w:t>
      </w:r>
      <w:r>
        <w:t>Primary sensory neurons in dorsal root ganglia (DRG) have long axons and a high demand for mitochondria, and mitochondrial dysfunction has been implicated in peripheral neuropathy after diabetes and chemotherapy1,2. However, the mechanisms by which primary sensory neurons maintain their mitochondrial supply remain unclear. Satellite glial cells (SGCs) in DRG encircle sensory neurons and regulate neuronal activity and pain3. Here we show that SGCs are capable of transferring mitochondria to DRG sensory neurons in vitro, ex vivo and in vivo by the formation of tunnelling nanotubes with SGC-derived myosin 10 (MYO10). Scanning and transmission electron microscopy revealed tunnelling nanotube-like ultrastructures between SGCs and sensory neurons in mouse and human DRG. Blockade of mitochondrial transfer in naive mice leads to nerve degeneration and neuropathic pain. Single-nucleus RNA sequencing and in situ hybridization revealed that MYO10 is highly expressed in human SGCs. Furthermore, SGCs from DRG of people with diabetes exhibit reduced MYO10 expression and mitochondrial transfer to neurons. Adoptive transfer of human SGCs into the mouse DRG provides MYO10-dependent protection against peripheral neuropathy. This study uncovers a previously unrecognized role of peripheral glia and provides insights into small fibre neuropathy in diabetes, offering new therapeutic strategies for the management of neuropathic pain.</w:t>
      </w:r>
    </w:p>
    <w:p>
      <w:pPr>
        <w:spacing w:before="120" w:after="120"/>
      </w:pPr>
      <w:r>
        <w:rPr>
          <w:sz w:val="18"/>
        </w:rPr>
        <w:t>——————————————————————————————————————————————————————————————————————</w:t>
      </w:r>
    </w:p>
    <w:p>
      <w:pPr>
        <w:spacing w:before="160" w:after="40" w:line="240" w:lineRule="auto"/>
      </w:pPr>
      <w:r>
        <w:rPr>
          <w:b/>
        </w:rPr>
        <w:t xml:space="preserve">[606] </w:t>
      </w:r>
      <w:hyperlink r:id="rId1015">
        <w:r>
          <w:rPr>
            <w:color w:val="1155CC"/>
            <w:u w:val="single"/>
          </w:rPr>
          <w:t>单烷二功能化</w:t>
        </w:r>
      </w:hyperlink>
    </w:p>
    <w:p>
      <w:pPr>
        <w:spacing w:before="0" w:after="80"/>
      </w:pPr>
      <w:r>
        <w:rPr>
          <w:i/>
          <w:sz w:val="20"/>
        </w:rPr>
        <w:t>EN: Homologative alkene difunctionalization</w:t>
      </w:r>
    </w:p>
    <w:p>
      <w:pPr>
        <w:spacing w:before="0" w:after="120"/>
      </w:pPr>
      <w:r>
        <w:rPr>
          <w:b/>
        </w:rPr>
        <w:t xml:space="preserve">Source: </w:t>
      </w:r>
      <w:r>
        <w:t>Nature Chemistry</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对同系物序列的系统评估在合成化学和药用化学中发挥着关键作用。尽管同族体的结构相似,但编制同族体往往需要针对不同前体和反应进行单独的合成规划。我们在此引入了一种战略,将单碳插入纳入既定方法,具体地将烷-苯乙烯双功能化转向直接用于1,3分解的产品的直接途径。这种转变是由设计出来的甲酸乙酸试剂,即硫二甲基硫二苯乙烯盐促成的,它有助于将阿尔卑斯制成1,3-二乙基中间体进行光催化剂化转化,从而能够无缝地将核素在分解位置上结合。机械学研究表明,这种反应表明,这种反应是有效的。</w:t>
      </w:r>
    </w:p>
    <w:p>
      <w:pPr>
        <w:spacing w:before="0" w:after="200" w:lineRule="auto" w:line="276"/>
      </w:pPr>
      <w:r>
        <w:rPr>
          <w:b/>
        </w:rPr>
        <w:t xml:space="preserve">Abstract (EN): </w:t>
      </w:r>
      <w:r>
        <w:t>Systematic evaluation of homologous series plays a pivotal role in synthetic and medicinal chemistry. Despite their structural resemblance, the preparation of homologues often requires individual synthetic planning tailored to distinct precursors and reactions. Here we introduce a strategy that integrates single-carbon insertion into established methods, specifically redirecting alkene vicinal difunctionalization towards direct routes for 1,3-difunctionalized products. This transformation is enabled by a designer methylene dication reagent, iodomethylthianthrenium salt, which facilitates the photocatalytic conversion of alkenes into linchpin 1,3-dielectrophilic intermediates, allowing seamless incorporation of nucleophiles at distal positions. Mechanistic studies suggest that the reaction proceeds via an α-thianthrenium methyl radical with unusual ambiphilic reactivity governed by multiple stereoelectronic effects. This approach shows high compatibility in pharmaceutical and late-stage settings, providing broad access to diverse 1,3-difunctionalized products, including azetidines, 1,3-diazides and 1,3-dihalides. This work establishes ‘homologative alkene difunctionalization’ as a powerful platform for repurposing ubiquitous alkenes as meritorious synthetic intermediates to unveil heretofore unknown 1,3-substitution patterns.</w:t>
      </w:r>
    </w:p>
    <w:p>
      <w:pPr>
        <w:spacing w:before="120" w:after="120"/>
      </w:pPr>
      <w:r>
        <w:rPr>
          <w:sz w:val="18"/>
        </w:rPr>
        <w:t>——————————————————————————————————————————————————————————————————————</w:t>
      </w:r>
    </w:p>
    <w:p>
      <w:pPr>
        <w:spacing w:before="160" w:after="40" w:line="240" w:lineRule="auto"/>
      </w:pPr>
      <w:r>
        <w:rPr>
          <w:b/>
        </w:rPr>
        <w:t xml:space="preserve">[607] </w:t>
      </w:r>
      <w:hyperlink r:id="rId1016">
        <w:r>
          <w:rPr>
            <w:color w:val="1155CC"/>
            <w:u w:val="single"/>
          </w:rPr>
          <w:t>后白鲸时代欧洲 一种隐藏的 千变万化的白龙恐龙种类繁多</w:t>
        </w:r>
      </w:hyperlink>
    </w:p>
    <w:p>
      <w:pPr>
        <w:spacing w:before="0" w:after="80"/>
      </w:pPr>
      <w:r>
        <w:rPr>
          <w:i/>
          <w:sz w:val="20"/>
        </w:rPr>
        <w:t>EN: A hidden diversity of ceratopsian dinosaurs in Late Cretaceous Europe</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已故的白龙欧洲是一个具有恐龙动物群落的群岛,其特点是具有岛屿效应,例如多样性低、古老主义和孤立的矮星群1。 其恐龙群包括典型的劳拉西亚人或贡德瓦南人近亲和独特地方病的独特组合。 后者中的主要为rhabdodontids, 被认为是早期生长的海马诺登人,具有不寻常的牙科和后天性特征,并来自丰富的但非常不完整的化石遗骸2。 相形之下,角形恐龙(塞拉图斯人)的确凿证据令人费解地缺乏4,尽管它们在亚洲和北美洲的当代生态系统中普遍存在。 匈牙利的晚白鲸的Ajkaceratatos被描述为来自欧洲的首个确定化石5,但这一面被描述为来自欧洲的首个确定化石5。</w:t>
      </w:r>
    </w:p>
    <w:p>
      <w:pPr>
        <w:spacing w:before="0" w:after="200" w:lineRule="auto" w:line="276"/>
      </w:pPr>
      <w:r>
        <w:rPr>
          <w:b/>
        </w:rPr>
        <w:t xml:space="preserve">Abstract (EN): </w:t>
      </w:r>
      <w:r>
        <w:t>Late Cretaceous Europe was an archipelago with a dinosaur fauna characterized by island effects such as low diversity, relictualism and insular dwarfism1. Its dinosaur communities include a unique mix of groups with typical Laurasian or Gondwanan affinities and distinctive endemics1. Chief among the latter are rhabdodontids, considered to be early-branching iguanodontians characterized by unusual dental and postcranial features and known from abundant but very incomplete fossil remains2,3. By contrast, unequivocal evidence of horned dinosaurs (ceratopsians) is puzzlingly absent4, despite their ubiquitous occurrence in contemporary ecosystems of Asia and North America. Ajkaceratops from the Late Cretaceous of Hungary was described as the first definite ceratopsian from Europe5, but this identification has been strongly disputed4. Here we describe new material of Ajkaceratops and conduct phylogenetic analyses that support its ceratopsian affinities. Our results unexpectedly demonstrate that some ‘rhabdodontid’ taxa are not, in fact, iguanodontians but actually ceratopsians. This suggests a substantial but previously hidden diversity and evolutionary history of European horned dinosaurs, and co-occurrence of iguanodontians and ceratopsians indicates greater similarity than previously appreciated to other Laurasian ecosystems. Our results challenge conventional understanding of ornithischian dinosaur evolution and indicate the need for a fundamental re-evaluation of the Late Cretaceous herbivorous dinosaur assemblages of Europe.</w:t>
      </w:r>
    </w:p>
    <w:p>
      <w:pPr>
        <w:spacing w:before="120" w:after="120"/>
      </w:pPr>
      <w:r>
        <w:rPr>
          <w:sz w:val="18"/>
        </w:rPr>
        <w:t>——————————————————————————————————————————————————————————————————————</w:t>
      </w:r>
    </w:p>
    <w:p>
      <w:pPr>
        <w:spacing w:before="160" w:after="40" w:line="240" w:lineRule="auto"/>
      </w:pPr>
      <w:r>
        <w:rPr>
          <w:b/>
        </w:rPr>
        <w:t xml:space="preserve">[608] </w:t>
      </w:r>
      <w:hyperlink r:id="rId1017">
        <w:r>
          <w:rPr>
            <w:color w:val="1155CC"/>
            <w:u w:val="single"/>
          </w:rPr>
          <w:t>地面优化管理有形网络的当地设计</w:t>
        </w:r>
      </w:hyperlink>
    </w:p>
    <w:p>
      <w:pPr>
        <w:spacing w:before="0" w:after="80"/>
      </w:pPr>
      <w:r>
        <w:rPr>
          <w:i/>
          <w:sz w:val="20"/>
        </w:rPr>
        <w:t>EN: Surface optimization governs the local design of physical networks</w:t>
      </w:r>
    </w:p>
    <w:p>
      <w:pPr>
        <w:spacing w:before="0" w:after="120"/>
      </w:pPr>
      <w:r>
        <w:rPr>
          <w:b/>
        </w:rPr>
        <w:t xml:space="preserve">Source: </w:t>
      </w:r>
      <w:r>
        <w:t>Nature</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大脑连接1,2,3和血管系统4是物理网络的例子,其有形性质影响其结构、布局和最终功能。 建设和维护这些网络所需的物质资源激励了数十年的电线经济研究,提供了对其预期结构和组织的可测试的预测。 在这里,我们实证地探索了各种物理网络的局部分支几何,发现系统违反长期预测的电线最小化。 这导致一种假设,即预测物理网络的真正物质成本需要我们为其三维的完整几何进行核算,从而导致一个基本上难以解决的优化问题。</w:t>
      </w:r>
    </w:p>
    <w:p>
      <w:pPr>
        <w:spacing w:before="0" w:after="200" w:lineRule="auto" w:line="276"/>
      </w:pPr>
      <w:r>
        <w:rPr>
          <w:b/>
        </w:rPr>
        <w:t xml:space="preserve">Abstract (EN): </w:t>
      </w:r>
      <w:r>
        <w:t>The brain’s connectome1,2,3 and the vascular system4 are examples of physical networks whose tangible nature influences their structure, layout and, ultimately, their function. The material resources required to build and maintain these networks have inspired decades of research into wiring economy, offering testable predictions about their expected architecture and organization. Here we empirically explore the local branching geometry of a wide range of physical networks, uncovering systematic violations of the long-standing predictions of wiring minimization. This leads to the hypothesis that predicting the true material cost of physical networks requires us to account for their full three-dimensional geometry, resulting in a largely intractable optimization problem. We discover, however, an exact mapping of surface minimization onto high-dimensional Feynman diagrams in string theory5,6,7, predicting that, with increasing link thickness, a locally tree-like network undergoes a transition into configurations that can no longer be explained by length minimization. Specifically, surface minimization predicts the emergence of trifurcations and branching angles in excellent agreement with the local tree organization of physical networks across a wide range of application domains. Finally, we predict the existence of stable orthogonal sprouts, which are not only prevalent in real networks but also play a key functional role, improving synapse formation in the brain and nutrient access in plants and fungi.</w:t>
      </w:r>
    </w:p>
    <w:p>
      <w:pPr>
        <w:spacing w:before="120" w:after="120"/>
      </w:pPr>
      <w:r>
        <w:rPr>
          <w:sz w:val="18"/>
        </w:rPr>
        <w:t>——————————————————————————————————————————————————————————————————————</w:t>
      </w:r>
    </w:p>
    <w:p>
      <w:pPr>
        <w:spacing w:before="160" w:after="40" w:line="240" w:lineRule="auto"/>
      </w:pPr>
      <w:r>
        <w:rPr>
          <w:b/>
        </w:rPr>
        <w:t xml:space="preserve">[609] </w:t>
      </w:r>
      <w:hyperlink r:id="rId1018">
        <w:r>
          <w:rPr>
            <w:color w:val="1155CC"/>
            <w:u w:val="single"/>
          </w:rPr>
          <w:t>设计用于塑料塑料化学回收利用的锌化石催化剂</w:t>
        </w:r>
      </w:hyperlink>
    </w:p>
    <w:p>
      <w:pPr>
        <w:spacing w:before="0" w:after="80"/>
      </w:pPr>
      <w:r>
        <w:rPr>
          <w:i/>
          <w:sz w:val="20"/>
        </w:rPr>
        <w:t>EN: Designing zeolite catalysts for chemical recycling of plastics</w:t>
      </w:r>
    </w:p>
    <w:p>
      <w:pPr>
        <w:spacing w:before="0" w:after="120"/>
      </w:pPr>
      <w:r>
        <w:rPr>
          <w:b/>
        </w:rPr>
        <w:t xml:space="preserve">Source: </w:t>
      </w:r>
      <w:r>
        <w:t>Nature Reviews Materials</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[610] </w:t>
      </w:r>
      <w:hyperlink r:id="rId1019">
        <w:r>
          <w:rPr>
            <w:color w:val="1155CC"/>
            <w:u w:val="single"/>
          </w:rPr>
          <w:t>用电子方式在手力磁铁中 写出磁性 heliknonton</w:t>
        </w:r>
      </w:hyperlink>
    </w:p>
    <w:p>
      <w:pPr>
        <w:spacing w:before="0" w:after="80"/>
      </w:pPr>
      <w:r>
        <w:rPr>
          <w:i/>
          <w:sz w:val="20"/>
        </w:rPr>
        <w:t>EN: Electrically writing a magnetic heliknoton in a chiral magnet</w:t>
      </w:r>
    </w:p>
    <w:p>
      <w:pPr>
        <w:spacing w:before="0" w:after="120"/>
      </w:pPr>
      <w:r>
        <w:rPr>
          <w:b/>
        </w:rPr>
        <w:t xml:space="preserve">Source: </w:t>
      </w:r>
      <w:r>
        <w:t>Nature Materials</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磁 heliknononon 是二维磁性天空的三维对应方, 并且是将表层磁磁性扩大到三个维度的关键顶尖的表层线条。 然而, 它的实验实现仍然难以实现 。 我们在这里报告了通过纳米级流脉振动, 以零磁场实现的手式磁磁磁 FeGe 磁场磁性螺旋球磁性核控制核化。 我们通过将依靠角的定量电子传动与微磁性模拟相结合, 解决了 helikontononton 的三维旋转质质质。 特别是, Heliknonton 展示了无大会堂效应的当前驱动的共线运动。 我们的发现为进一步探索三维表层建立了一个方便的实验平台。 我们的发现为进一步探索三维表层建立了一个方便的实验平台。</w:t>
      </w:r>
    </w:p>
    <w:p>
      <w:pPr>
        <w:spacing w:before="0" w:after="200" w:lineRule="auto" w:line="276"/>
      </w:pPr>
      <w:r>
        <w:rPr>
          <w:b/>
        </w:rPr>
        <w:t xml:space="preserve">Abstract (EN): </w:t>
      </w:r>
      <w:r>
        <w:t>A magnetic heliknoton is the three-dimensional counterpart to the two-dimensional magnetic skyrmion, and serves as a pivotal topological soliton for extending topological magnetism into three dimensions. However, its experimental realization remains elusive. Here we report the controlled nucleation of a magnetic heliknoton in the chiral magnet FeGe at zero magnetic field, achieved through nanoscale current-pulse excitation. By combining angle-dependent quantitative electron holography with micromagnetic simulations, we resolve the three-dimensional spin texture of the heliknoton. In particular, the heliknoton exhibits current-driven collinear motion without the Hall effect. Our findings establish a readily accessible experimental platform for further exploration of three-dimensional topological solitons and highlight their potential for practical applications.</w:t>
      </w:r>
    </w:p>
    <w:p>
      <w:pPr>
        <w:spacing w:before="120" w:after="120"/>
      </w:pPr>
      <w:r>
        <w:rPr>
          <w:sz w:val="18"/>
        </w:rPr>
        <w:t>——————————————————————————————————————————————————————————————————————</w:t>
      </w:r>
    </w:p>
    <w:p>
      <w:pPr>
        <w:spacing w:before="160" w:after="40" w:line="240" w:lineRule="auto"/>
      </w:pPr>
      <w:r>
        <w:rPr>
          <w:b/>
        </w:rPr>
        <w:t xml:space="preserve">[611] </w:t>
      </w:r>
      <w:hyperlink r:id="rId1020">
        <w:r>
          <w:rPr>
            <w:color w:val="1155CC"/>
            <w:u w:val="single"/>
          </w:rPr>
          <w:t>重新思考公私营财务支助支助框架的可持续途径</w:t>
        </w:r>
      </w:hyperlink>
    </w:p>
    <w:p>
      <w:pPr>
        <w:spacing w:before="0" w:after="80"/>
      </w:pPr>
      <w:r>
        <w:rPr>
          <w:i/>
          <w:sz w:val="20"/>
        </w:rPr>
        <w:t>EN: Rethinking sustainable pathways for PFAS</w:t>
      </w:r>
    </w:p>
    <w:p>
      <w:pPr>
        <w:spacing w:before="0" w:after="120"/>
      </w:pPr>
      <w:r>
        <w:rPr>
          <w:b/>
        </w:rPr>
        <w:t xml:space="preserve">Source: </w:t>
      </w:r>
      <w:r>
        <w:t>Nature Chemistry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[612] </w:t>
      </w:r>
      <w:hyperlink r:id="rId1021">
        <w:r>
          <w:rPr>
            <w:color w:val="1155CC"/>
            <w:u w:val="single"/>
          </w:rPr>
          <w:t>点击两位数</w:t>
        </w:r>
      </w:hyperlink>
    </w:p>
    <w:p>
      <w:pPr>
        <w:spacing w:before="0" w:after="80"/>
      </w:pPr>
      <w:r>
        <w:rPr>
          <w:i/>
          <w:sz w:val="20"/>
        </w:rPr>
        <w:t>EN: Selenium hits double digits</w:t>
      </w:r>
    </w:p>
    <w:p>
      <w:pPr>
        <w:spacing w:before="0" w:after="120"/>
      </w:pPr>
      <w:r>
        <w:rPr>
          <w:b/>
        </w:rPr>
        <w:t xml:space="preserve">Source: </w:t>
      </w:r>
      <w:r>
        <w:t>Nature Energy</w:t>
      </w:r>
      <w:r>
        <w:t xml:space="preserve">    </w:t>
      </w:r>
      <w:r>
        <w:rPr>
          <w:b/>
        </w:rPr>
        <w:t xml:space="preserve">Pub date: </w:t>
      </w:r>
      <w:r>
        <w:t>2026-01-07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[613] </w:t>
      </w:r>
      <w:hyperlink r:id="rId1022">
        <w:r>
          <w:rPr>
            <w:color w:val="1155CC"/>
            <w:u w:val="single"/>
          </w:rPr>
          <w:t>光化辅助助肛neating使开放电路电压超过1V且效率超过10%的锂太阳能电池得以使用</w:t>
        </w:r>
      </w:hyperlink>
    </w:p>
    <w:p>
      <w:pPr>
        <w:spacing w:before="0" w:after="80"/>
      </w:pPr>
      <w:r>
        <w:rPr>
          <w:i/>
          <w:sz w:val="20"/>
        </w:rPr>
        <w:t>EN: Illumination-assisted annealing enables selenium solar cells with open-circuit voltage over 1 V and efficiency exceeding 10%</w:t>
      </w:r>
    </w:p>
    <w:p>
      <w:pPr>
        <w:spacing w:before="0" w:after="120"/>
      </w:pPr>
      <w:r>
        <w:rPr>
          <w:b/>
        </w:rPr>
        <w:t xml:space="preserve">Source: </w:t>
      </w:r>
      <w:r>
        <w:t>Nature Energy</w:t>
      </w:r>
      <w:r>
        <w:t xml:space="preserve">    </w:t>
      </w:r>
      <w:r>
        <w:rPr>
          <w:b/>
        </w:rPr>
        <w:t xml:space="preserve">Pub date: </w:t>
      </w:r>
      <w:r>
        <w:t>2026-01-07 00:00:00+00:00</w:t>
      </w:r>
    </w:p>
    <w:p>
      <w:pPr>
        <w:spacing w:before="0" w:after="120"/>
      </w:pPr>
      <w:r>
        <w:rPr>
          <w:b/>
        </w:rPr>
        <w:t xml:space="preserve">Notes: </w:t>
      </w:r>
      <w:r>
        <w:t>abstract_source=nature_html</w:t>
      </w:r>
    </w:p>
    <w:p>
      <w:pPr>
        <w:spacing w:before="0" w:after="80" w:lineRule="auto" w:line="276"/>
      </w:pPr>
      <w:r>
        <w:rPr>
          <w:b/>
        </w:rPr>
        <w:t xml:space="preserve">摘要（ZH）: </w:t>
      </w:r>
      <w:r>
        <w:t>世界上最古老的光电材料Senium (Se) 正在引起人们的兴趣回升,因为其内在宽幅幅幅幅大约为1.9 eV,因此它成为同步太阳能电池和室内光电中顶部电池的理想光化吸收器。 然而,由于常规热导阴性Se薄膜的颗粒大小小(~500纳米)造成严重的非放射性再浓缩损失,Se太阳能电池的功率转换效率仍然受到限制。 我们在这里报告了一种光化辅助肛门战略,它使光源引发的在环境温度下晶化,同时抑制调湿,随后又进行热净化,以便用大粒子(~2.7微米)、低陷阱密度(6.9×1014厘米-3)和长载体寿命(22.9毫西)制造出薄膜(~2.7微米 ), 低陷阱密度(6.9× 1014厘米-3) 和长载体寿命(22.9毫西) 。</w:t>
      </w:r>
    </w:p>
    <w:p>
      <w:pPr>
        <w:spacing w:before="0" w:after="200" w:lineRule="auto" w:line="276"/>
      </w:pPr>
      <w:r>
        <w:rPr>
          <w:b/>
        </w:rPr>
        <w:t xml:space="preserve">Abstract (EN): </w:t>
      </w:r>
      <w:r>
        <w:t>Selenium (Se), the world’s oldest photovoltaic material, is experiencing a resurgence in interest due to its intrinsic wide bandgap of approximately 1.9 eV, making it an ideal photoabsorber for the top cell in tandem solar cells and for indoor photovoltaics. However, the power conversion efficiency of Se solar cells remains constrained by severe non-radiative recombination losses caused by the small grain size (~500 nm) of conventionally thermally annealed Se films. Here we report an illumination-assisted annealing strategy that enables photo-induced crystallization at ambient temperature while suppressing dewetting, followed by subsequent thermal annealing, to fabricate Se films with large grains (~2.7 μm), a low trap-state density (6.9 × 10¹⁴ cm⁻³) and a long carrier lifetime (22.9 ns). The resultant Se solar cells achieve a certified power conversion efficiency of 10.3% with a 1.03 V open-circuit voltage. Unencapsulated devices exhibit negligible performance loss after 1,000 h under maximum power point tracking in ambient conditions.</w:t>
      </w:r>
    </w:p>
    <w:p>
      <w:pPr>
        <w:spacing w:before="120" w:after="120"/>
      </w:pPr>
      <w:r>
        <w:rPr>
          <w:sz w:val="18"/>
        </w:rPr>
        <w:t>——————————————————————————————————————————————————————————————————————</w:t>
      </w:r>
    </w:p>
    <w:p>
      <w:pPr>
        <w:spacing w:before="160" w:after="40" w:line="240" w:lineRule="auto"/>
      </w:pPr>
      <w:r>
        <w:rPr>
          <w:b/>
        </w:rPr>
        <w:t xml:space="preserve">[614] </w:t>
      </w:r>
      <w:hyperlink r:id="rId1023">
        <w:r>
          <w:rPr>
            <w:color w:val="1155CC"/>
            <w:u w:val="single"/>
          </w:rPr>
          <w:t>高稳定无烟溶解无烟电池的微粒经改进的铜收集器</w:t>
        </w:r>
      </w:hyperlink>
    </w:p>
    <w:p>
      <w:pPr>
        <w:spacing w:before="0" w:after="80"/>
      </w:pPr>
      <w:r>
        <w:rPr>
          <w:i/>
          <w:sz w:val="20"/>
        </w:rPr>
        <w:t>EN: Grain‐Optimized Copper Current Collectors for Highly Stable Anode‐Free Sodium Batteries</w:t>
      </w:r>
    </w:p>
    <w:p>
      <w:pPr>
        <w:spacing w:before="0" w:after="120"/>
      </w:pPr>
      <w:r>
        <w:rPr>
          <w:b/>
        </w:rPr>
        <w:t xml:space="preserve">Source: </w:t>
      </w:r>
      <w:r>
        <w:t>Wiley: Advanced Materials: Table of Contents</w:t>
      </w:r>
      <w:r>
        <w:t xml:space="preserve">    </w:t>
      </w:r>
      <w:r>
        <w:rPr>
          <w:b/>
        </w:rPr>
        <w:t xml:space="preserve">Pub date: </w:t>
      </w:r>
      <w:r>
        <w:t>2026-01-07 05:16:48+00:00</w:t>
      </w:r>
      <w:r>
        <w:t xml:space="preserve">    </w:t>
      </w:r>
      <w:r>
        <w:rPr>
          <w:b/>
        </w:rPr>
        <w:t xml:space="preserve">DOI: </w:t>
      </w:r>
      <w:hyperlink r:id="rId1024">
        <w:r>
          <w:rPr>
            <w:color w:val="1155CC"/>
            <w:u w:val="single"/>
          </w:rPr>
          <w:t>10.1002/adma.202522541</w:t>
        </w:r>
      </w:hyperlink>
    </w:p>
    <w:p>
      <w:pPr>
        <w:spacing w:before="0" w:after="120"/>
      </w:pPr>
      <w:r>
        <w:rPr>
          <w:b/>
        </w:rPr>
        <w:t xml:space="preserve">Notes: </w:t>
      </w:r>
      <w:r>
        <w:t>abstract_source=crossref</w:t>
      </w:r>
    </w:p>
    <w:p>
      <w:pPr>
        <w:spacing w:before="0" w:after="80" w:lineRule="auto" w:line="276"/>
      </w:pPr>
      <w:r>
        <w:rPr>
          <w:b/>
        </w:rPr>
        <w:t xml:space="preserve">摘要（ZH）: </w:t>
      </w:r>
      <w:r>
        <w:t>提高自行车稳定性和保持能力是发展高能密度和低价无阴极无钠电池的关键,然而,不稳定的电镀/剥离和不受控制的固态电解相相干(SEI)的演化仍然阻碍其实际应用。在这项工作中,我们调查了库基底的谷物密度对亚基基体的性能的影响。结果显示,较高的谷边密度Cu对钠具有更强的亲和性,可以降低钠核聚能壁垒,为形成高度晶体和密集的钠矿床提供便利。此外,粮界的高地表能加强了离子吸附,导致离子吸收。</w:t>
      </w:r>
    </w:p>
    <w:p>
      <w:pPr>
        <w:spacing w:before="0" w:after="200" w:lineRule="auto" w:line="276"/>
      </w:pPr>
      <w:r>
        <w:rPr>
          <w:b/>
        </w:rPr>
        <w:t xml:space="preserve">Abstract (EN): </w:t>
      </w:r>
      <w:r>
        <w:t>Improving cycling stability and capacity retention is critical for the development of high‐energy‐density and low‐cost anode‐free sodium batteries (AFSBs). However, unstable Na plating/stripping and uncontrolled solid electrolyte interphase (SEI) evolution still hinder their practical application. In this work, we investigate the impact of grain‐boundary density in the Cu substrate on the performance of AFSBs. The results reveal that higher grain‐boundary density Cu exhibits a stronger affinity for sodium and can lower the sodium nucleation energy barriers, facilitating the formation of highly crystalline and densely packed sodium deposits. Moreover, the high surface energy at grain‐boundaries strengthens anion adsorption, leading to an anion‐rich interfacial solvation structure, which results in the formation of a thin, NaF‐rich stable SEI film. Anode‐free cells constructed with ultrahigh‐grain‐boundary density Cu (UGB‐Cu) and Na</w:t>
      </w:r>
      <w:r>
        <w:rPr>
          <w:vertAlign w:val="subscript"/>
        </w:rPr>
        <w:t>3</w:t>
      </w:r>
      <w:r>
        <w:t>V</w:t>
      </w:r>
      <w:r>
        <w:rPr>
          <w:vertAlign w:val="subscript"/>
        </w:rPr>
        <w:t>2</w:t>
      </w:r>
      <w:r>
        <w:t>(PO</w:t>
      </w:r>
      <w:r>
        <w:rPr>
          <w:vertAlign w:val="subscript"/>
        </w:rPr>
        <w:t>4</w:t>
      </w:r>
      <w:r>
        <w:t>)</w:t>
      </w:r>
      <w:r>
        <w:rPr>
          <w:vertAlign w:val="subscript"/>
        </w:rPr>
        <w:t>3</w:t>
      </w:r>
      <w:r>
        <w:t>(NVP) cathode achieved stable cycling for 800 cycles at 5C with an average coulombic efficiency (CE) of 99.97%. This work elucidates the dual role of grain‐boundary in improving both substrate‐sodium affinity and interfacial SEI chemistry, highlighting grain‐boundary engineering of Cu foils as a practical and scalable pathway toward high‐performance AFSBs.</w:t>
      </w:r>
    </w:p>
    <w:p>
      <w:pPr>
        <w:spacing w:before="120" w:after="120"/>
      </w:pPr>
      <w:r>
        <w:rPr>
          <w:sz w:val="18"/>
        </w:rPr>
        <w:t>——————————————————————————————————————————————————————————————————————</w:t>
      </w:r>
    </w:p>
    <w:p>
      <w:pPr>
        <w:spacing w:before="160" w:after="40" w:line="240" w:lineRule="auto"/>
      </w:pPr>
      <w:r>
        <w:rPr>
          <w:b/>
        </w:rPr>
        <w:t xml:space="preserve">[615] </w:t>
      </w:r>
      <w:hyperlink r:id="rId1025">
        <w:r>
          <w:rPr>
            <w:color w:val="1155CC"/>
            <w:u w:val="single"/>
          </w:rPr>
          <w:t>由稳定锌金属电池的Anionphilic Nanofifiber Pollymer 电解器进行自定义的离子运输</w:t>
        </w:r>
      </w:hyperlink>
    </w:p>
    <w:p>
      <w:pPr>
        <w:spacing w:before="0" w:after="80"/>
      </w:pPr>
      <w:r>
        <w:rPr>
          <w:i/>
          <w:sz w:val="20"/>
        </w:rPr>
        <w:t>EN: Customizing Ion Transport by Anionphilic Nanofiber‐Polymer Electrolyte for Stable Zinc Metal Batteries</w:t>
      </w:r>
    </w:p>
    <w:p>
      <w:pPr>
        <w:spacing w:before="0" w:after="120"/>
      </w:pPr>
      <w:r>
        <w:rPr>
          <w:b/>
        </w:rPr>
        <w:t xml:space="preserve">Source: </w:t>
      </w:r>
      <w:r>
        <w:t>Wiley: Advanced Materials: Table of Contents</w:t>
      </w:r>
      <w:r>
        <w:t xml:space="preserve">    </w:t>
      </w:r>
      <w:r>
        <w:rPr>
          <w:b/>
        </w:rPr>
        <w:t xml:space="preserve">Pub date: </w:t>
      </w:r>
      <w:r>
        <w:t>2026-01-07 05:17:00+00:00</w:t>
      </w:r>
      <w:r>
        <w:t xml:space="preserve">    </w:t>
      </w:r>
      <w:r>
        <w:rPr>
          <w:b/>
        </w:rPr>
        <w:t xml:space="preserve">DOI: </w:t>
      </w:r>
      <w:hyperlink r:id="rId1026">
        <w:r>
          <w:rPr>
            <w:color w:val="1155CC"/>
            <w:u w:val="single"/>
          </w:rPr>
          <w:t>10.1002/adma.202519057</w:t>
        </w:r>
      </w:hyperlink>
    </w:p>
    <w:p>
      <w:pPr>
        <w:spacing w:before="0" w:after="120"/>
      </w:pPr>
      <w:r>
        <w:rPr>
          <w:b/>
        </w:rPr>
        <w:t xml:space="preserve">Notes: </w:t>
      </w:r>
      <w:r>
        <w:t>abstract_source=crossref</w:t>
      </w:r>
    </w:p>
    <w:p>
      <w:pPr>
        <w:spacing w:before="0" w:after="80" w:lineRule="auto" w:line="276"/>
      </w:pPr>
      <w:r>
        <w:rPr>
          <w:b/>
        </w:rPr>
        <w:t xml:space="preserve">摘要（ZH）: </w:t>
      </w:r>
      <w:r>
        <w:t>在可再充电锌金属电池(RZMBs)中,锌金属离层和电解侧反应的形成与电解解液中的离子传输密切相关。在盐的聚合聚合电解解液中,聚合极度可用于控制离子传输。这里,我们报告的是具有正相对阴离子亲亲和的阴离子电解液。通过引入一个聚合脊柱,吸收氯化物较弱,另一个聚合链,吸收强烈的离子吸附,削弱了Zn 2+的cation-dipole协调,从而能够促进盐分解并限制离子的迁移。聚合电解构概念通过使用聚丙烯酸和芳香纳米得到证明。</w:t>
      </w:r>
    </w:p>
    <w:p>
      <w:pPr>
        <w:spacing w:before="0" w:after="200" w:lineRule="auto" w:line="276"/>
      </w:pPr>
      <w:r>
        <w:rPr>
          <w:b/>
        </w:rPr>
        <w:t xml:space="preserve">Abstract (EN): </w:t>
      </w:r>
      <w:r>
        <w:t>The formation of zinc metal dendrites and electrolyte side reactions in rechargeable zinc‐metal batteries (RZMBs) is closely related to ion transport within the electrolyte. In salt‐doped polymer electrolytes, polymer polarity can be used to control ion transport. Here, we report an anionphilic polymer electrolyte with positive relative anion affinity. By introducing a polymer backbone with weak adsorption of cations and another polymer chain with strong adsorption of anions, weakened the cation‐dipole coordination for Zn</w:t>
      </w:r>
      <w:r>
        <w:t xml:space="preserve"> </w:t>
      </w:r>
      <w:r>
        <w:t>2+</w:t>
      </w:r>
      <w:r>
        <w:t xml:space="preserve"> </w:t>
      </w:r>
      <w:r>
        <w:t>, which enables promote the dissociation of salt and restrict the migration of anions. The polymer electrolyte‐design concept is demonstrated by using polyacrylamide and aramid nanofibers. Prepared anionphilic polymer hydrogel electrolytes effectively inhibited the hydrogen evolution reaction, forming conformal and adherent inorganic‐rich solid electrolyte interphase. The anionphilic polymer electrolytes also exhibit high Zn</w:t>
      </w:r>
      <w:r>
        <w:t xml:space="preserve"> </w:t>
      </w:r>
      <w:r>
        <w:t>2+</w:t>
      </w:r>
      <w:r>
        <w:t xml:space="preserve"> </w:t>
      </w:r>
      <w:r>
        <w:t>transference number (0.71), enabling Zn</w:t>
      </w:r>
      <w:r>
        <w:t xml:space="preserve"> </w:t>
      </w:r>
      <w:r>
        <w:t>0.25</w:t>
      </w:r>
      <w:r>
        <w:t xml:space="preserve"> </w:t>
      </w:r>
      <w:r>
        <w:t>V</w:t>
      </w:r>
      <w:r>
        <w:rPr>
          <w:vertAlign w:val="subscript"/>
        </w:rPr>
        <w:t>2</w:t>
      </w:r>
      <w:r>
        <w:t>O</w:t>
      </w:r>
      <w:r>
        <w:rPr>
          <w:vertAlign w:val="subscript"/>
        </w:rPr>
        <w:t>5</w:t>
      </w:r>
      <w:r>
        <w:t>ǀǀZn (30 µm) pouch cells (4.9 mAh cm</w:t>
      </w:r>
      <w:r>
        <w:t xml:space="preserve"> </w:t>
      </w:r>
      <w:r>
        <w:t>−2</w:t>
      </w:r>
      <w:r>
        <w:t xml:space="preserve"> </w:t>
      </w:r>
      <w:r>
        <w:t>) to achieve high reversibility over 270 cycles.</w:t>
      </w:r>
    </w:p>
    <w:p>
      <w:pPr>
        <w:spacing w:before="120" w:after="120"/>
      </w:pPr>
      <w:r>
        <w:rPr>
          <w:sz w:val="18"/>
        </w:rPr>
        <w:t>——————————————————————————————————————————————————————————————————————</w:t>
      </w:r>
    </w:p>
    <w:p>
      <w:pPr>
        <w:spacing w:before="160" w:after="40" w:line="240" w:lineRule="auto"/>
      </w:pPr>
      <w:r>
        <w:rPr>
          <w:b/>
        </w:rPr>
        <w:t xml:space="preserve">[616] </w:t>
      </w:r>
      <w:hyperlink r:id="rId1027">
        <w:r>
          <w:rPr>
            <w:color w:val="1155CC"/>
            <w:u w:val="single"/>
          </w:rPr>
          <w:t>用于选择性甘油酚电氧化剂溶解剂的单子铜聚氨酯催化剂分子底部设计</w:t>
        </w:r>
      </w:hyperlink>
    </w:p>
    <w:p>
      <w:pPr>
        <w:spacing w:before="0" w:after="80"/>
      </w:pPr>
      <w:r>
        <w:rPr>
          <w:i/>
          <w:sz w:val="20"/>
        </w:rPr>
        <w:t>EN: Molecular Bottom‐Up Design of Single‐Site Copper‐Palladium Catalysts for Selective Glycerol Electro‐Oxidation</w:t>
      </w:r>
    </w:p>
    <w:p>
      <w:pPr>
        <w:spacing w:before="0" w:after="120"/>
      </w:pPr>
      <w:r>
        <w:rPr>
          <w:b/>
        </w:rPr>
        <w:t xml:space="preserve">Source: </w:t>
      </w:r>
      <w:r>
        <w:t>Wiley: Advanced Energy Materials: Table of Contents</w:t>
      </w:r>
      <w:r>
        <w:t xml:space="preserve">    </w:t>
      </w:r>
      <w:r>
        <w:rPr>
          <w:b/>
        </w:rPr>
        <w:t xml:space="preserve">Pub date: </w:t>
      </w:r>
      <w:r>
        <w:t>2026-01-07 05:18:48+00:00</w:t>
      </w:r>
      <w:r>
        <w:t xml:space="preserve">    </w:t>
      </w:r>
      <w:r>
        <w:rPr>
          <w:b/>
        </w:rPr>
        <w:t xml:space="preserve">DOI: </w:t>
      </w:r>
      <w:hyperlink r:id="rId1028">
        <w:r>
          <w:rPr>
            <w:color w:val="1155CC"/>
            <w:u w:val="single"/>
          </w:rPr>
          <w:t>10.1002/aenm.202504456</w:t>
        </w:r>
      </w:hyperlink>
    </w:p>
    <w:p>
      <w:pPr>
        <w:spacing w:before="0" w:after="120"/>
      </w:pPr>
      <w:r>
        <w:rPr>
          <w:b/>
        </w:rPr>
        <w:t xml:space="preserve">Notes: </w:t>
      </w:r>
      <w:r>
        <w:t>abstract_source=crossref</w:t>
      </w:r>
    </w:p>
    <w:p>
      <w:pPr>
        <w:spacing w:before="0" w:after="80" w:lineRule="auto" w:line="276"/>
      </w:pPr>
      <w:r>
        <w:rPr>
          <w:b/>
        </w:rPr>
        <w:t xml:space="preserve">摘要（ZH）: </w:t>
      </w:r>
      <w:r>
        <w:t>混合水电解是产生氢,同时以具有选择性甘油氧化反应(GOR)等经济上可行的替代品取代具有挑战性和浪费性的氧进化反应(OER)的一个很有希望的途径,迄今为止,高度活跃和选择性的GOR电动催化器的开发仍然是一个重大挑战,因为对反应性、选择性和稳定性的同步控制是困难的。在这里,我们报告了一种双金属CuPd单体催化剂(SSC),用于甘油的选择性和高效电氧化。催化剂的特征是CuN 4/PdN 4 微米中的单矿铜和原子。催化剂显示高高的GOR。</w:t>
      </w:r>
    </w:p>
    <w:p>
      <w:pPr>
        <w:spacing w:before="0" w:after="200" w:lineRule="auto" w:line="276"/>
      </w:pPr>
      <w:r>
        <w:rPr>
          <w:b/>
        </w:rPr>
        <w:t xml:space="preserve">Abstract (EN): </w:t>
      </w:r>
      <w:r>
        <w:t>Hybrid water electrolysis is a promising route to generate hydrogen while replacing the challenging and wasteful oxygen evolution reaction (OER) with economically viable alternatives such as the selective glycerol oxidation reaction (GOR). To date, the development of highly active and selective GOR electrocatalysts remains a major challenge because the simultaneous control of reactivity, selectivity, and stability is difficult. Herein, we report a bimetallic Cu‐Pd single‐site catalyst (SSC) for the selective and efficient electrooxidation of glycerol. The catalyst features single‐site copper and palladium atoms in CuN</w:t>
      </w:r>
      <w:r>
        <w:rPr>
          <w:vertAlign w:val="subscript"/>
        </w:rPr>
        <w:t>4</w:t>
      </w:r>
      <w:r>
        <w:t>/PdN</w:t>
      </w:r>
      <w:r>
        <w:rPr>
          <w:vertAlign w:val="subscript"/>
        </w:rPr>
        <w:t>4</w:t>
      </w:r>
      <w:r>
        <w:t>moieties. The catalyst shows high GOR performance with a Faradaic efficiency (FE) for formate of 83% and C3 products (lactate, glycolate, glycerate) of 16% at 1.0 V vs the reversible hydrogen electrode (RHE), as well as long‐term stability (144 h at</w:t>
      </w:r>
      <w:r>
        <w:t xml:space="preserve"> </w:t>
      </w:r>
      <w:r>
        <w:t>j</w:t>
      </w:r>
      <w:r>
        <w:t xml:space="preserve"> </w:t>
      </w:r>
      <w:r>
        <w:t>= 50 mA cm</w:t>
      </w:r>
      <w:r>
        <w:t xml:space="preserve"> </w:t>
      </w:r>
      <w:r>
        <w:t>−2</w:t>
      </w:r>
      <w:r>
        <w:t xml:space="preserve"> </w:t>
      </w:r>
      <w:r>
        <w:t>). Mechanistic studies combining DFT and</w:t>
      </w:r>
      <w:r>
        <w:t xml:space="preserve"> </w:t>
      </w:r>
      <w:r>
        <w:t>operando</w:t>
      </w:r>
      <w:r>
        <w:t xml:space="preserve"> </w:t>
      </w:r>
      <w:r>
        <w:t>spectroscopy revealed that Pd sites facilitate the adsorption of hydroxyl (C‐OH) species which prevents C‐C bond cleavage and thus the formation of catalyst poisons such as CO or CO</w:t>
      </w:r>
      <w:r>
        <w:rPr>
          <w:vertAlign w:val="subscript"/>
        </w:rPr>
        <w:t>3</w:t>
      </w:r>
      <w:r>
        <w:t>2−</w:t>
      </w:r>
      <w:r>
        <w:t>. This work sheds light on the adsorption modulation mechanism of a single‐site catalyst and provides a promising electrocatalytic system for the production of value‐added C1 and C3 products in aqueous solution.</w:t>
      </w:r>
    </w:p>
    <w:p>
      <w:pPr>
        <w:spacing w:before="120" w:after="120"/>
      </w:pPr>
      <w:r>
        <w:rPr>
          <w:sz w:val="18"/>
        </w:rPr>
        <w:t>——————————————————————————————————————————————————————————————————————</w:t>
      </w:r>
    </w:p>
    <w:p>
      <w:pPr>
        <w:spacing w:before="160" w:after="40" w:line="240" w:lineRule="auto"/>
      </w:pPr>
      <w:r>
        <w:rPr>
          <w:b/>
        </w:rPr>
        <w:t xml:space="preserve">[617] </w:t>
      </w:r>
      <w:hyperlink r:id="rId1029">
        <w:r>
          <w:rPr>
            <w:color w:val="1155CC"/>
            <w:u w:val="single"/>
          </w:rPr>
          <w:t>与用于电生理监测的电磁电极共成的垂直有机电化学晶体</w:t>
        </w:r>
      </w:hyperlink>
    </w:p>
    <w:p>
      <w:pPr>
        <w:spacing w:before="0" w:after="80"/>
      </w:pPr>
      <w:r>
        <w:rPr>
          <w:i/>
          <w:sz w:val="20"/>
        </w:rPr>
        <w:t>EN: Conformal Vertical Organic Electrochemical Transistors With Ion‐Permeable Electrodes for Electrophysiological Monitoring</w:t>
      </w:r>
    </w:p>
    <w:p>
      <w:pPr>
        <w:spacing w:before="0" w:after="120"/>
      </w:pPr>
      <w:r>
        <w:rPr>
          <w:b/>
        </w:rPr>
        <w:t xml:space="preserve">Source: </w:t>
      </w:r>
      <w:r>
        <w:t>Wiley: Advanced Materials: Table of Contents</w:t>
      </w:r>
      <w:r>
        <w:t xml:space="preserve">    </w:t>
      </w:r>
      <w:r>
        <w:rPr>
          <w:b/>
        </w:rPr>
        <w:t xml:space="preserve">Pub date: </w:t>
      </w:r>
      <w:r>
        <w:t>2026-01-07 05:18:50+00:00</w:t>
      </w:r>
      <w:r>
        <w:t xml:space="preserve">    </w:t>
      </w:r>
      <w:r>
        <w:rPr>
          <w:b/>
        </w:rPr>
        <w:t xml:space="preserve">DOI: </w:t>
      </w:r>
      <w:hyperlink r:id="rId1030">
        <w:r>
          <w:rPr>
            <w:color w:val="1155CC"/>
            <w:u w:val="single"/>
          </w:rPr>
          <w:t>10.1002/adma.202511945</w:t>
        </w:r>
      </w:hyperlink>
    </w:p>
    <w:p>
      <w:pPr>
        <w:spacing w:before="0" w:after="120"/>
      </w:pPr>
      <w:r>
        <w:rPr>
          <w:b/>
        </w:rPr>
        <w:t xml:space="preserve">Notes: </w:t>
      </w:r>
      <w:r>
        <w:t>abstract_source=crossref</w:t>
      </w:r>
    </w:p>
    <w:p>
      <w:pPr>
        <w:spacing w:before="0" w:after="80" w:lineRule="auto" w:line="276"/>
      </w:pPr>
      <w:r>
        <w:rPr>
          <w:b/>
        </w:rPr>
        <w:t xml:space="preserve">摘要（ZH）: </w:t>
      </w:r>
      <w:r>
        <w:t>ABSTACT 以纺织品为基础的有机电化学晶体管(OECTs)为可磨损的健康监测提供了独特的优势,但它们的性能往往受到相对缓慢的离子动力的制约。在这里,我们通过开发一个通过电镀制造的相容、纳米纤维垂直OECT(NFVOECT)平台克服了这一限制。该设备将垂直堆叠的半导体通道与关键的离子-渗透式纳米纤维电极结合起来。这些多孔电极促进了与活性层的直接垂直电离子交换,使高效的频道调节能够保持良好的呼吸能力和机械适应性。由此形成的NFVECTs展示了高达57.5mS的高转导,快速反应时间为11.7ms和稳定的低挥发性。</w:t>
      </w:r>
    </w:p>
    <w:p>
      <w:pPr>
        <w:spacing w:before="0" w:after="200" w:lineRule="auto" w:line="276"/>
      </w:pPr>
      <w:r>
        <w:rPr>
          <w:b/>
        </w:rPr>
        <w:t xml:space="preserve">Abstract (EN): </w:t>
      </w:r>
      <w:r>
        <w:t>Textile‐based organic electrochemical transistors (OECTs) offer unique advantages for wearable health monitoring, yet their performance is often limited by relatively slow ion dynamics. Here, we overcome this limitation by developing a conformal, nanofibrous vertical OECT (NF‐vOECT) platform fabricated via electrospinning. The device integrates vertically stacked semiconductor channels with, critically, ion‐permeable nanofiber electrodes. These porous electrodes facilitate direct vertical ionic exchange with the active layer, enabling highly efficient channel modulation while maintaining excellent breathability and mechanical adaptability. The resulting NF‐vOECTs exhibit a high transconductance of up to 57.5 mS, a fast response time of 11.7 ms, and stable low‐voltage operation, alongside robust mechanical and electrochemical durability. This architecture's amplification and frequency‐selective response contribute to an improved signal‐to‐noise ratio during real‐time electrophysiological signal acquisition. This work establishes a new platform for high‐performance, breathable OECTs, advancing the development of soft bioelectronics for next‐generation wearable applications.</w:t>
      </w:r>
    </w:p>
    <w:p>
      <w:pPr>
        <w:spacing w:before="120" w:after="120"/>
      </w:pPr>
      <w:r>
        <w:rPr>
          <w:sz w:val="18"/>
        </w:rPr>
        <w:t>——————————————————————————————————————————————————————————————————————</w:t>
      </w:r>
    </w:p>
    <w:p>
      <w:pPr>
        <w:spacing w:before="160" w:after="40" w:line="240" w:lineRule="auto"/>
      </w:pPr>
      <w:r>
        <w:rPr>
          <w:b/>
        </w:rPr>
        <w:t xml:space="preserve">[618] </w:t>
      </w:r>
      <w:hyperlink r:id="rId1031">
        <w:r>
          <w:rPr>
            <w:color w:val="1155CC"/>
            <w:u w:val="single"/>
          </w:rPr>
          <w:t>在 LiS 电池中触发快速反毒转换的单一原子FeS3MO站点</w:t>
        </w:r>
      </w:hyperlink>
    </w:p>
    <w:p>
      <w:pPr>
        <w:spacing w:before="0" w:after="80"/>
      </w:pPr>
      <w:r>
        <w:rPr>
          <w:i/>
          <w:sz w:val="20"/>
        </w:rPr>
        <w:t>EN: Single‐Atomic Fe‐S3‐Mo Sites Triggered Fast Redox Conversion in Li‐S Batteries</w:t>
      </w:r>
    </w:p>
    <w:p>
      <w:pPr>
        <w:spacing w:before="0" w:after="120"/>
      </w:pPr>
      <w:r>
        <w:rPr>
          <w:b/>
        </w:rPr>
        <w:t xml:space="preserve">Source: </w:t>
      </w:r>
      <w:r>
        <w:t>Wiley: Advanced Energy Materials: Table of Contents</w:t>
      </w:r>
      <w:r>
        <w:t xml:space="preserve">    </w:t>
      </w:r>
      <w:r>
        <w:rPr>
          <w:b/>
        </w:rPr>
        <w:t xml:space="preserve">Pub date: </w:t>
      </w:r>
      <w:r>
        <w:t>2026-01-07 05:19:44+00:00</w:t>
      </w:r>
      <w:r>
        <w:t xml:space="preserve">    </w:t>
      </w:r>
      <w:r>
        <w:rPr>
          <w:b/>
        </w:rPr>
        <w:t xml:space="preserve">DOI: </w:t>
      </w:r>
      <w:hyperlink r:id="rId1032">
        <w:r>
          <w:rPr>
            <w:color w:val="1155CC"/>
            <w:u w:val="single"/>
          </w:rPr>
          <w:t>10.1002/aenm.202506699</w:t>
        </w:r>
      </w:hyperlink>
    </w:p>
    <w:p>
      <w:pPr>
        <w:spacing w:before="0" w:after="120"/>
      </w:pPr>
      <w:r>
        <w:rPr>
          <w:b/>
        </w:rPr>
        <w:t xml:space="preserve">Notes: </w:t>
      </w:r>
      <w:r>
        <w:t>abstract_source=crossref</w:t>
      </w:r>
    </w:p>
    <w:p>
      <w:pPr>
        <w:spacing w:before="0" w:after="80" w:lineRule="auto" w:line="276"/>
      </w:pPr>
      <w:r>
        <w:rPr>
          <w:b/>
        </w:rPr>
        <w:t xml:space="preserve">摘要（ZH）: </w:t>
      </w:r>
      <w:r>
        <w:t>ABSTACT 锂硫(LiS)电池由于其高理论能量密度(2600 wh wg -1),成本效益和环保性强,被广泛公认为最有希望的下一代能源储存技术之一,然而,由于电化学反应动力缓慢和锂聚硫化物(LiPS)的有害穿梭效应,这些电池的实际应用受到严重阻碍。 以近100%的原子利用和高催化剂活动为特点的单原子催化剂(SACs)在硫磺化石化石中进行了广泛调查,以加速硫磺再氧化反应,然而,单个单原子场通常在多步骤的催化效果方面有限。</w:t>
      </w:r>
    </w:p>
    <w:p>
      <w:pPr>
        <w:spacing w:before="0" w:after="200" w:lineRule="auto" w:line="276"/>
      </w:pPr>
      <w:r>
        <w:rPr>
          <w:b/>
        </w:rPr>
        <w:t xml:space="preserve">Abstract (EN): </w:t>
      </w:r>
      <w:r>
        <w:t>Lithium‐sulfur (Li‐S) batteries are widely recognized as one of the most promising next‐generation energy storage technologies owing to their high theoretical energy density (∼2600 Wh kg</w:t>
      </w:r>
      <w:r>
        <w:t xml:space="preserve"> </w:t>
      </w:r>
      <w:r>
        <w:t>−1</w:t>
      </w:r>
      <w:r>
        <w:t xml:space="preserve"> </w:t>
      </w:r>
      <w:r>
        <w:t>), cost‐effectiveness, and environmental friendliness. However, their practical application is severely hindered by slow electrochemical reaction kinetics and the detrimental shuttle effect of lithium polysulfides (LiPSs). Single‐atom catalysts (SACs), characterized by nearly 100% atomic utilization and high catalytic activity, have been extensively investigated in sulfur cathodes to accelerate sulfur redox reactions. Nevertheless, individual single‐atom sites usually exhibit limited catalytic efficacy for multi‐step sulfur conversion processes, leading to suboptimal practical performance. Herein, we construct a structure comprising atomically dispersed Fe single atoms anchored on MoS</w:t>
      </w:r>
      <w:r>
        <w:rPr>
          <w:vertAlign w:val="subscript"/>
        </w:rPr>
        <w:t>2</w:t>
      </w:r>
      <w:r>
        <w:t>nanosheets (FeSA‐MoS</w:t>
      </w:r>
      <w:r>
        <w:rPr>
          <w:vertAlign w:val="subscript"/>
        </w:rPr>
        <w:t>2</w:t>
      </w:r>
      <w:r>
        <w:t>@NC), with Fe atoms stabilized at Mo‐top sites via Fe‐S</w:t>
      </w:r>
      <w:r>
        <w:rPr>
          <w:vertAlign w:val="subscript"/>
        </w:rPr>
        <w:t>3</w:t>
      </w:r>
      <w:r>
        <w:t>coordination. This Fe‐S</w:t>
      </w:r>
      <w:r>
        <w:rPr>
          <w:vertAlign w:val="subscript"/>
        </w:rPr>
        <w:t>3</w:t>
      </w:r>
      <w:r>
        <w:t>‐Mo interfacial coupling induces electronic redistribution and enhances host‐guest interactions, thereby significantly boosting both catalytic and adsorption capabilities compared to single‐component systems. As a result, the S/FeSA‐MoS</w:t>
      </w:r>
      <w:r>
        <w:rPr>
          <w:vertAlign w:val="subscript"/>
        </w:rPr>
        <w:t>2</w:t>
      </w:r>
      <w:r>
        <w:t>@NC cathode exhibits superior electrochemical performance, enabling lean‐electrolyte pouch cells to achieve a discharge capacity of 1.72 Ah with an energy density of 302 Wh kg</w:t>
      </w:r>
      <w:r>
        <w:t xml:space="preserve"> </w:t>
      </w:r>
      <w:r>
        <w:t>−1</w:t>
      </w:r>
      <w:r>
        <w:t xml:space="preserve"> </w:t>
      </w:r>
      <w:r>
        <w:t>based on the total cell mass. This work provides a novel strategy for engineering single‐atom catalysts and offers valuable insights into the advancement of high‐performance Li‐S batteries.</w:t>
      </w:r>
    </w:p>
    <w:p>
      <w:pPr>
        <w:spacing w:before="120" w:after="120"/>
      </w:pPr>
      <w:r>
        <w:rPr>
          <w:sz w:val="18"/>
        </w:rPr>
        <w:t>——————————————————————————————————————————————————————————————————————</w:t>
      </w:r>
    </w:p>
    <w:p>
      <w:pPr>
        <w:spacing w:before="160" w:after="40" w:line="240" w:lineRule="auto"/>
      </w:pPr>
      <w:r>
        <w:rPr>
          <w:b/>
        </w:rPr>
        <w:t xml:space="preserve">[619] </w:t>
      </w:r>
      <w:hyperlink r:id="rId1033">
        <w:r>
          <w:rPr>
            <w:color w:val="1155CC"/>
            <w:u w:val="single"/>
          </w:rPr>
          <w:t>Lewis酸基分子通过氧氧气空缺进行分子分解,使光膜能够超常和高活性膜,用于碱水电解</w:t>
        </w:r>
      </w:hyperlink>
    </w:p>
    <w:p>
      <w:pPr>
        <w:spacing w:before="0" w:after="80"/>
      </w:pPr>
      <w:r>
        <w:rPr>
          <w:i/>
          <w:sz w:val="20"/>
        </w:rPr>
        <w:t>EN: Lewis Acid‐Base Molecular Anchoring Through Oxygen Vacancies Enables Ultrastable and High‐Conductivity Membranes for Alkaline Water Electrolysis</w:t>
      </w:r>
    </w:p>
    <w:p>
      <w:pPr>
        <w:spacing w:before="0" w:after="120"/>
      </w:pPr>
      <w:r>
        <w:rPr>
          <w:b/>
        </w:rPr>
        <w:t xml:space="preserve">Source: </w:t>
      </w:r>
      <w:r>
        <w:t>Wiley: Advanced Energy Materials: Table of Contents</w:t>
      </w:r>
      <w:r>
        <w:t xml:space="preserve">    </w:t>
      </w:r>
      <w:r>
        <w:rPr>
          <w:b/>
        </w:rPr>
        <w:t xml:space="preserve">Pub date: </w:t>
      </w:r>
      <w:r>
        <w:t>2026-01-07 05:19:46+00:00</w:t>
      </w:r>
      <w:r>
        <w:t xml:space="preserve">    </w:t>
      </w:r>
      <w:r>
        <w:rPr>
          <w:b/>
        </w:rPr>
        <w:t xml:space="preserve">DOI: </w:t>
      </w:r>
      <w:hyperlink r:id="rId1034">
        <w:r>
          <w:rPr>
            <w:color w:val="1155CC"/>
            <w:u w:val="single"/>
          </w:rPr>
          <w:t>10.1002/aenm.202506172</w:t>
        </w:r>
      </w:hyperlink>
    </w:p>
    <w:p>
      <w:pPr>
        <w:spacing w:before="0" w:after="120"/>
      </w:pPr>
      <w:r>
        <w:rPr>
          <w:b/>
        </w:rPr>
        <w:t xml:space="preserve">Notes: </w:t>
      </w:r>
      <w:r>
        <w:t>abstract_source=crossref</w:t>
      </w:r>
    </w:p>
    <w:p>
      <w:pPr>
        <w:spacing w:before="0" w:after="80" w:lineRule="auto" w:line="276"/>
      </w:pPr>
      <w:r>
        <w:rPr>
          <w:b/>
        </w:rPr>
        <w:t xml:space="preserve">摘要（ZH）: </w:t>
      </w:r>
      <w:r>
        <w:t>用于绿色氢生产碱水电解的性能严重依赖膜,而膜的性能往往受到离子传导性与气渗透性之间的平衡制约。这里,这一挑战通过以金属氧化纳米粒子为核心的普遍缺陷工程战略来克服。我们通过在zirconic(ZrO 2)中制造高密度的氧气空隙,将纳米粒子转化成有威力的刘易斯酸场地。这个双重功能工程工程师聚合填充器接口为快速OH-运输创造持续、低持久性路径,同时建立强大的刘易斯酸基“分子锚定” t。</w:t>
      </w:r>
    </w:p>
    <w:p>
      <w:pPr>
        <w:spacing w:before="0" w:after="200" w:lineRule="auto" w:line="276"/>
      </w:pPr>
      <w:r>
        <w:rPr>
          <w:b/>
        </w:rPr>
        <w:t xml:space="preserve">Abstract (EN): </w:t>
      </w:r>
      <w:r>
        <w:t>The performance of alkaline water electrolysis for green hydrogen production is critically dependent on membrane, which is often constrained by a trade‐off between ionic conductivity and gas impermeability. Here, this challenge is overcome through a universal defect engineering strategy centered on metal oxide nanoparticles. By creating a high density of oxygen vacancies in zirconia (ZrO</w:t>
      </w:r>
      <w:r>
        <w:rPr>
          <w:vertAlign w:val="subscript"/>
        </w:rPr>
        <w:t>2</w:t>
      </w:r>
      <w:r>
        <w:t>), we transform the nanoparticles into potent Lewis acid sites. This dual functionality engineers the polymer‐filler interface to create continuous, low‐resistance pathways for rapid OH</w:t>
      </w:r>
      <w:r>
        <w:t xml:space="preserve"> </w:t>
      </w:r>
      <w:r>
        <w:t>−</w:t>
      </w:r>
      <w:r>
        <w:t>transport, while simultaneously establishing strong Lewis acid‐base “molecular anchoring” to the polymer matrix and support mesh. This robust interfacial cohesion yields a thin composite membrane (≈190 µm) with an ultralow area resistance (0.08 Ω cm</w:t>
      </w:r>
      <w:r>
        <w:rPr>
          <w:vertAlign w:val="subscript"/>
        </w:rPr>
        <w:t>2</w:t>
      </w:r>
      <w:r>
        <w:t>) and a remarkable bubble point pressure (5.6 bar). Consequently, an AWE cell achieves an relevant current density of 2 A cm</w:t>
      </w:r>
      <w:r>
        <w:t xml:space="preserve"> </w:t>
      </w:r>
      <w:r>
        <w:t>−2</w:t>
      </w:r>
      <w:r>
        <w:t xml:space="preserve"> </w:t>
      </w:r>
      <w:r>
        <w:t>at only 1.82 V and demonstrates exceptional durability over 730 h. This vacancy‐mediated interfacial engineering paradigm, proven effective for TiO</w:t>
      </w:r>
      <w:r>
        <w:rPr>
          <w:vertAlign w:val="subscript"/>
        </w:rPr>
        <w:t>2</w:t>
      </w:r>
      <w:r>
        <w:t>and CeO</w:t>
      </w:r>
      <w:r>
        <w:rPr>
          <w:vertAlign w:val="subscript"/>
        </w:rPr>
        <w:t>2</w:t>
      </w:r>
      <w:r>
        <w:t>as well, offers a powerful and broadly applicable strategy for developing advanced membranes for electrochemical energy systems.</w:t>
      </w:r>
    </w:p>
    <w:p>
      <w:pPr>
        <w:spacing w:before="120" w:after="120"/>
      </w:pPr>
      <w:r>
        <w:rPr>
          <w:sz w:val="18"/>
        </w:rPr>
        <w:t>——————————————————————————————————————————————————————————————————————</w:t>
      </w:r>
    </w:p>
    <w:p>
      <w:pPr>
        <w:spacing w:before="160" w:after="40" w:line="240" w:lineRule="auto"/>
      </w:pPr>
      <w:r>
        <w:rPr>
          <w:b/>
        </w:rPr>
        <w:t xml:space="preserve">[620] </w:t>
      </w:r>
      <w:hyperlink r:id="rId1035">
        <w:r>
          <w:rPr>
            <w:color w:val="1155CC"/>
            <w:u w:val="single"/>
          </w:rPr>
          <w:t>Perovskite 地表硫化和电传连接连接,以高效和稳定地倒置 Perovskite太阳能电池</w:t>
        </w:r>
      </w:hyperlink>
    </w:p>
    <w:p>
      <w:pPr>
        <w:spacing w:before="0" w:after="80"/>
      </w:pPr>
      <w:r>
        <w:rPr>
          <w:i/>
          <w:sz w:val="20"/>
        </w:rPr>
        <w:t>EN: Resonance‐Hybridized Molecule Driven Perovskite Surface Sulfidation and Electron‐Transport Bridging for Efficient and Stable Inverted Perovskite Solar Cells</w:t>
      </w:r>
    </w:p>
    <w:p>
      <w:pPr>
        <w:spacing w:before="0" w:after="120"/>
      </w:pPr>
      <w:r>
        <w:rPr>
          <w:b/>
        </w:rPr>
        <w:t xml:space="preserve">Source: </w:t>
      </w:r>
      <w:r>
        <w:t>Wiley: Advanced Energy Materials: Table of Contents</w:t>
      </w:r>
      <w:r>
        <w:t xml:space="preserve">    </w:t>
      </w:r>
      <w:r>
        <w:rPr>
          <w:b/>
        </w:rPr>
        <w:t xml:space="preserve">Pub date: </w:t>
      </w:r>
      <w:r>
        <w:t>2026-01-07 05:21:00+00:00</w:t>
      </w:r>
      <w:r>
        <w:t xml:space="preserve">    </w:t>
      </w:r>
      <w:r>
        <w:rPr>
          <w:b/>
        </w:rPr>
        <w:t xml:space="preserve">DOI: </w:t>
      </w:r>
      <w:hyperlink r:id="rId1036">
        <w:r>
          <w:rPr>
            <w:color w:val="1155CC"/>
            <w:u w:val="single"/>
          </w:rPr>
          <w:t>10.1002/aenm.202505418</w:t>
        </w:r>
      </w:hyperlink>
    </w:p>
    <w:p>
      <w:pPr>
        <w:spacing w:before="0" w:after="120"/>
      </w:pPr>
      <w:r>
        <w:rPr>
          <w:b/>
        </w:rPr>
        <w:t xml:space="preserve">Notes: </w:t>
      </w:r>
      <w:r>
        <w:t>abstract_source=crossref</w:t>
      </w:r>
    </w:p>
    <w:p>
      <w:pPr>
        <w:spacing w:before="0" w:after="80" w:lineRule="auto" w:line="276"/>
      </w:pPr>
      <w:r>
        <w:rPr>
          <w:b/>
        </w:rPr>
        <w:t xml:space="preserve">摘要（ZH）: </w:t>
      </w:r>
      <w:r>
        <w:t>在倒转的百草枯太阳能电池(PSCs)中,ABSTACT Inverd perovskite太阳能电池(PSCs)的中间和散装问题限制了它们的性能和稳定性,同时制定解决这些问题的监管条例仍然具有挑战性。 这里,基于共振-氢合二氢异丙基硫尿衍生物的简单多功能散装/界面监管战略(1(3(1-Himidazol-1)丙基)3(3⁄4-dimephythoxyoxy苯基)thiourea,HP3T)将同时解决这些问题。 该战略利用HP3T的再感应重新配置和能量水平来实现成熟的渗透地表阻裂,在渗透地表面/草地边界形成稳定的Pb-Spidation,同时为在渗透层和(6,6)苯(C)之间进行光源载运的运输建造分子桥通道。</w:t>
      </w:r>
    </w:p>
    <w:p>
      <w:pPr>
        <w:spacing w:before="0" w:after="200" w:lineRule="auto" w:line="276"/>
      </w:pPr>
      <w:r>
        <w:rPr>
          <w:b/>
        </w:rPr>
        <w:t xml:space="preserve">Abstract (EN): </w:t>
      </w:r>
      <w:r>
        <w:t>Interfacial and bulk issues in inverted perovskite solar cells (PSCs) limit their performance and stability, and simultaneous regulation to address these issues remains challenging. Here, a simple multifunctional bulk/interface regulation strategy based on a resonance‐hybridized thiourea derivative (1‐(3‐(1H‐imidazol‐1‐yl)propyl)‐3‐(3,4‐dimethoxyphenyl)thiourea, HP3T) is proposed to simultaneously address these issues. This strategy leverages HP3T resonance rearrangement and energy levels to realize mature perovskite surface sulfidation, forming stable Pb–S passivation on the perovskite surface/grain boundaries while constructing a molecular bridge channel for photogenerated carrier transport between the perovskite and (6,6)‐phenyl‐C</w:t>
      </w:r>
      <w:r>
        <w:rPr>
          <w:vertAlign w:val="subscript"/>
        </w:rPr>
        <w:t>61</w:t>
      </w:r>
      <w:r>
        <w:t>butyric acid methyl ester (PCBM). Meanwhile, this post‐treatment improves perovskite film quality/hydrophobicity, constructs an n–n junction on it, enhances PCBM's film‐forming quality, and alleviates residual stress in the perovskite film. Benefiting from HP3T's multifunctional regulation, the carrier transport dynamics of the device improved, greatly enhancing the performance. As a result, 25.97% and 24.67% efficiencies for rigid and flexible devices were achieved, respectively, ranking these devices among the best‐performing inverted PSCs fabricated using thiourea‐derived or simple interface‐passivation strategies. Furthermore, HP3T significantly enhanced the mechanical stability of the device. After aging (3840 h in N</w:t>
      </w:r>
      <w:r>
        <w:rPr>
          <w:vertAlign w:val="subscript"/>
        </w:rPr>
        <w:t>2</w:t>
      </w:r>
      <w:r>
        <w:t>, 1200 h in air, and 565 h under maximum power‐point tracking), the device retained ∼90% of its initial efficiency.</w:t>
      </w:r>
    </w:p>
    <w:p>
      <w:pPr>
        <w:spacing w:before="120" w:after="120"/>
      </w:pPr>
      <w:r>
        <w:rPr>
          <w:sz w:val="18"/>
        </w:rPr>
        <w:t>——————————————————————————————————————————————————————————————————————</w:t>
      </w:r>
    </w:p>
    <w:p>
      <w:pPr>
        <w:spacing w:before="160" w:after="40" w:line="240" w:lineRule="auto"/>
      </w:pPr>
      <w:r>
        <w:rPr>
          <w:b/>
        </w:rPr>
        <w:t xml:space="preserve">[621] </w:t>
      </w:r>
      <w:hyperlink r:id="rId1037">
        <w:r>
          <w:rPr>
            <w:color w:val="1155CC"/>
            <w:u w:val="single"/>
          </w:rPr>
          <w:t>实现减少电气废物</w:t>
        </w:r>
      </w:hyperlink>
    </w:p>
    <w:p>
      <w:pPr>
        <w:spacing w:before="0" w:after="80"/>
      </w:pPr>
      <w:r>
        <w:rPr>
          <w:i/>
          <w:sz w:val="20"/>
        </w:rPr>
        <w:t>EN: Full‐Textile Electrostimulation Realizing Electrical Waste Reduction</w:t>
      </w:r>
    </w:p>
    <w:p>
      <w:pPr>
        <w:spacing w:before="0" w:after="120"/>
      </w:pPr>
      <w:r>
        <w:rPr>
          <w:b/>
        </w:rPr>
        <w:t xml:space="preserve">Source: </w:t>
      </w:r>
      <w:r>
        <w:t>Wiley: Advanced Energy Materials: Table of Contents</w:t>
      </w:r>
      <w:r>
        <w:t xml:space="preserve">    </w:t>
      </w:r>
      <w:r>
        <w:rPr>
          <w:b/>
        </w:rPr>
        <w:t xml:space="preserve">Pub date: </w:t>
      </w:r>
      <w:r>
        <w:t>2026-01-07 05:22:38+00:00</w:t>
      </w:r>
      <w:r>
        <w:t xml:space="preserve">    </w:t>
      </w:r>
      <w:r>
        <w:rPr>
          <w:b/>
        </w:rPr>
        <w:t xml:space="preserve">DOI: </w:t>
      </w:r>
      <w:hyperlink r:id="rId1038">
        <w:r>
          <w:rPr>
            <w:color w:val="1155CC"/>
            <w:u w:val="single"/>
          </w:rPr>
          <w:t>10.1002/aenm.202504607</w:t>
        </w:r>
      </w:hyperlink>
    </w:p>
    <w:p>
      <w:pPr>
        <w:spacing w:before="0" w:after="120"/>
      </w:pPr>
      <w:r>
        <w:rPr>
          <w:b/>
        </w:rPr>
        <w:t xml:space="preserve">Notes: </w:t>
      </w:r>
      <w:r>
        <w:t>abstract_source=crossref</w:t>
      </w:r>
    </w:p>
    <w:p>
      <w:pPr>
        <w:spacing w:before="0" w:after="80" w:lineRule="auto" w:line="276"/>
      </w:pPr>
      <w:r>
        <w:rPr>
          <w:b/>
        </w:rPr>
        <w:t xml:space="preserve">摘要（ZH）: </w:t>
      </w:r>
      <w:r>
        <w:t>ABSTACT 重电子刺激装置可以提高锻炼性能和援助回收;然而,传统系统往往需要外部电源和电线,这限制了机动性,助长了电子废物(电子废物)的产生。在本研究中,我们引入了完全纺织的电刺激系统WEQStim,该系统将刺激直接纳入衣物,消除了对额外装置的需求。WEQStim使用机体相混合的能源转移(BCET)以及导电材料和绝缘材料的独特安排,WEQStim在没有电池或发电机的情况下提供需要的电刺激。该系统通过有限元素分析设计,并通过人类生理性能测试和磨损性研究加以验证。</w:t>
      </w:r>
    </w:p>
    <w:p>
      <w:pPr>
        <w:spacing w:before="0" w:after="200" w:lineRule="auto" w:line="276"/>
      </w:pPr>
      <w:r>
        <w:rPr>
          <w:b/>
        </w:rPr>
        <w:t xml:space="preserve">Abstract (EN): </w:t>
      </w:r>
      <w:r>
        <w:t>Wearable electrostimulation devices can enhance exercise performance and aid recovery; however, traditional systems often require external power sources and wiring, which limit mobility and contribute to electronic waste (e‐waste). In this study, we introduce WE‐Stim, a fully textile‐based electrostimulation system that integrates stimulation directly into clothing, eliminating the need for additional devices. Using body‐coupled energy transfer (BcET) and a unique arrangement of conductive and insulating materials, WE‐Stim delivers on‐demand electrical stimulation without batteries or generators. The system is designed through finite element analysis (FEA) and validated with human physiological performance tests and wearability studies. Results demonstrated substantial improvements in exercise performance, along with reductions in muscle soreness and edema. WE‐Stim presents a practical, sustainable solution for wearable electrostimulation, addressing the limitations of traditional systems by providing wireless, efficient stimulation for daily use.</w:t>
      </w:r>
    </w:p>
    <w:p>
      <w:pPr>
        <w:spacing w:before="120" w:after="120"/>
      </w:pPr>
      <w:r>
        <w:rPr>
          <w:sz w:val="18"/>
        </w:rPr>
        <w:t>——————————————————————————————————————————————————————————————————————</w:t>
      </w:r>
    </w:p>
    <w:p>
      <w:pPr>
        <w:spacing w:before="160" w:after="40" w:line="240" w:lineRule="auto"/>
      </w:pPr>
      <w:r>
        <w:rPr>
          <w:b/>
        </w:rPr>
        <w:t xml:space="preserve">[622] </w:t>
      </w:r>
      <w:hyperlink r:id="rId1039">
        <w:r>
          <w:rPr>
            <w:color w:val="1155CC"/>
            <w:u w:val="single"/>
          </w:rPr>
          <w:t>全湿热超紫外超光谱MXene基光热转换器的 AI指导钝化范式设备</w:t>
        </w:r>
      </w:hyperlink>
    </w:p>
    <w:p>
      <w:pPr>
        <w:spacing w:before="0" w:after="80"/>
      </w:pPr>
      <w:r>
        <w:rPr>
          <w:i/>
          <w:sz w:val="20"/>
        </w:rPr>
        <w:t>EN: Quantum to Device AI‐Guided Passivation Paradigm for All‐Weather Ultrastable MXene Based Photothermal Converter</w:t>
      </w:r>
    </w:p>
    <w:p>
      <w:pPr>
        <w:spacing w:before="0" w:after="120"/>
      </w:pPr>
      <w:r>
        <w:rPr>
          <w:b/>
        </w:rPr>
        <w:t xml:space="preserve">Source: </w:t>
      </w:r>
      <w:r>
        <w:t>Wiley: Advanced Materials: Table of Contents</w:t>
      </w:r>
      <w:r>
        <w:t xml:space="preserve">    </w:t>
      </w:r>
      <w:r>
        <w:rPr>
          <w:b/>
        </w:rPr>
        <w:t xml:space="preserve">Pub date: </w:t>
      </w:r>
      <w:r>
        <w:t>2026-01-07 05:25:08+00:00</w:t>
      </w:r>
      <w:r>
        <w:t xml:space="preserve">    </w:t>
      </w:r>
      <w:r>
        <w:rPr>
          <w:b/>
        </w:rPr>
        <w:t xml:space="preserve">DOI: </w:t>
      </w:r>
      <w:hyperlink r:id="rId1040">
        <w:r>
          <w:rPr>
            <w:color w:val="1155CC"/>
            <w:u w:val="single"/>
          </w:rPr>
          <w:t>10.1002/adma.202519482</w:t>
        </w:r>
      </w:hyperlink>
    </w:p>
    <w:p>
      <w:pPr>
        <w:spacing w:before="0" w:after="120"/>
      </w:pPr>
      <w:r>
        <w:rPr>
          <w:b/>
        </w:rPr>
        <w:t xml:space="preserve">Notes: </w:t>
      </w:r>
      <w:r>
        <w:t>abstract_source=crossref</w:t>
      </w:r>
    </w:p>
    <w:p>
      <w:pPr>
        <w:spacing w:before="0" w:after="80" w:lineRule="auto" w:line="276"/>
      </w:pPr>
      <w:r>
        <w:rPr>
          <w:b/>
        </w:rPr>
        <w:t xml:space="preserve">摘要（ZH）: </w:t>
      </w:r>
      <w:r>
        <w:t>甲基苯甲醚的ABSTACT光热效率来自电子结构和粘合物动态之间的复杂相互作用,然而,电子-双电联动(EPC)的精确贡献仍然不为人所熟知。 通过将非非非非非非航空载体动力学模拟与州溶解电子-光非相联性分析相结合,对控制甲基苯甲胺材料中光热转换的内在机制进行了解释。 研究结果显示,甲基苯光热性能是由电联导渠道和热磷聚积的内在等级决定的,而变形非辐射性再组合则作为次要渠道并最终损害长期光热稳定性。</w:t>
      </w:r>
    </w:p>
    <w:p>
      <w:pPr>
        <w:spacing w:before="0" w:after="200" w:lineRule="auto" w:line="276"/>
      </w:pPr>
      <w:r>
        <w:rPr>
          <w:b/>
        </w:rPr>
        <w:t xml:space="preserve">Abstract (EN): </w:t>
      </w:r>
      <w:r>
        <w:t>Photothermal efficiency in MXenes arises from the complex interplay between electronic structure and lattice dynamics, yet the precise contribution of electron–phonon coupling (EPC) remains poorly understood. By integrating ab initio nonadiabatic carrier‐dynamics simulations with state‐resolved electron–phonon‐coupling analysis, the intrinsic mechanisms governing photothermal conversion in MXene materials are elucidated. Results reveal that MXene photothermal performance is dictated by an intrinsic hierarchy of EPC channels and hot‐phonon accumulation, whereas defect‐mediated non‐radiative recombination serves as a secondary channel and ultimately compromises long‐term photothermal stability. Building on this mechanistic insight, a physics‐inspired and AI‐assisted molecular‐screening framework is developed to identify surface passivation chemistries capable of extending hot carrier lifetimes and mitigating phonon bottlenecks. Guided by this paradigm, a composite film endowed with a concave‐spherical light‐trapping array was fabricated, leading to substantial improvements in photothermal conversion efficiency and operational stability. This quantum‐to‐device co‐design paradigm transcends MXenes, providing a data‐driven, systematic design pathway that integrates fundamental theory with surface passivation to accelerate the advancement of durable photothermal devices tailored for sustainable energy applications.</w:t>
      </w:r>
    </w:p>
    <w:p>
      <w:pPr>
        <w:spacing w:before="120" w:after="120"/>
      </w:pPr>
      <w:r>
        <w:rPr>
          <w:sz w:val="18"/>
        </w:rPr>
        <w:t>——————————————————————————————————————————————————————————————————————</w:t>
      </w:r>
    </w:p>
    <w:p>
      <w:pPr>
        <w:spacing w:before="160" w:after="40" w:line="240" w:lineRule="auto"/>
      </w:pPr>
      <w:r>
        <w:rPr>
          <w:b/>
        </w:rPr>
        <w:t xml:space="preserve">[623] </w:t>
      </w:r>
      <w:hyperlink r:id="rId1041">
        <w:r>
          <w:rPr>
            <w:color w:val="1155CC"/>
            <w:u w:val="single"/>
          </w:rPr>
          <w:t>在光电化H2生成中,与用于碘化的碘化经检测的减少光电化H2生成电磁粒的金枪鱼分离离离亚离离离离离离离离离离子侧链相混合的多电化物</w:t>
        </w:r>
      </w:hyperlink>
    </w:p>
    <w:p>
      <w:pPr>
        <w:spacing w:before="0" w:after="80"/>
      </w:pPr>
      <w:r>
        <w:rPr>
          <w:i/>
          <w:sz w:val="20"/>
        </w:rPr>
        <w:t>EN: Conjugated Polyelectrolytes with Tunable Ionic Side Chains for Iodide‐Mediated Pt Reduction in Photoelectrochemical H2 Generation</w:t>
      </w:r>
    </w:p>
    <w:p>
      <w:pPr>
        <w:spacing w:before="0" w:after="120"/>
      </w:pPr>
      <w:r>
        <w:rPr>
          <w:b/>
        </w:rPr>
        <w:t xml:space="preserve">Source: </w:t>
      </w:r>
      <w:r>
        <w:t>Wiley: Advanced Energy Materials: Table of Contents</w:t>
      </w:r>
      <w:r>
        <w:t xml:space="preserve">    </w:t>
      </w:r>
      <w:r>
        <w:rPr>
          <w:b/>
        </w:rPr>
        <w:t xml:space="preserve">Pub date: </w:t>
      </w:r>
      <w:r>
        <w:t>2026-01-07 05:25:40+00:00</w:t>
      </w:r>
      <w:r>
        <w:t xml:space="preserve">    </w:t>
      </w:r>
      <w:r>
        <w:rPr>
          <w:b/>
        </w:rPr>
        <w:t xml:space="preserve">DOI: </w:t>
      </w:r>
      <w:hyperlink r:id="rId1042">
        <w:r>
          <w:rPr>
            <w:color w:val="1155CC"/>
            <w:u w:val="single"/>
          </w:rPr>
          <w:t>10.1002/aenm.202505450</w:t>
        </w:r>
      </w:hyperlink>
    </w:p>
    <w:p>
      <w:pPr>
        <w:spacing w:before="0" w:after="120"/>
      </w:pPr>
      <w:r>
        <w:rPr>
          <w:b/>
        </w:rPr>
        <w:t xml:space="preserve">Notes: </w:t>
      </w:r>
      <w:r>
        <w:t>abstract_source=crossref</w:t>
      </w:r>
    </w:p>
    <w:p>
      <w:pPr>
        <w:spacing w:before="0" w:after="80" w:lineRule="auto" w:line="276"/>
      </w:pPr>
      <w:r>
        <w:rPr>
          <w:b/>
        </w:rPr>
        <w:t xml:space="preserve">摘要（ZH）: </w:t>
      </w:r>
      <w:r>
        <w:t>有机光电化学电池(OPECs)的有效氢生成需要精确的干涉工程,以实现统一的金属催化剂沉积,在疏水有机光化有机体表面增加水湿度和高效电荷转移。在这里,我们引入了非型同质聚乙酸酯(CPEs)作为电子运输层来应对这些挑战。调查了两种基于具有独特离子离子元素的氯化萘二酰二酰基脊柱的CPE:一种zwitritic sulfobetaine (PNDI3) 和一种四硝酸铵碘(PNDINI) 。两种聚苯乙烯都大大提高了地表湿性,并且比没有氯乙烯聚苯乙烯的光电聚醚(PCPE)推动了统一的Pt纳米粒沉积。特别是,PNDINI使碘化-氯得以。</w:t>
      </w:r>
    </w:p>
    <w:p>
      <w:pPr>
        <w:spacing w:before="0" w:after="200" w:lineRule="auto" w:line="276"/>
      </w:pPr>
      <w:r>
        <w:rPr>
          <w:b/>
        </w:rPr>
        <w:t xml:space="preserve">Abstract (EN): </w:t>
      </w:r>
      <w:r>
        <w:t>Effective hydrogen generation in organic photoelectrochemical cells (OPECs) requires precise interfacial engineering to achieve uniform metal catalyst deposition, with enhanced water wetting and efficient charge transfer on the hydrophobic organic photoelectrode surface. Herein, we introduce n‐type conjugated polyelectrolytes (CPEs) as electron transport layers to address these challenges. Two CPEs based on a naphthalene diimide backbone with distinct ionic substituents were investigated: a zwitterionic sulfobetaine (PNDI‐Z3) and a quaternary ammonium iodide (PNDI‐NI). Both CPEs significantly enhance surface wettability and promote uniform Pt nanoparticle deposition compared to photocathodes without CPEs. Notably, PNDI‐NI enables iodide–chloride exchange with platinate precursors, accelerating the photoreduction of Pt</w:t>
      </w:r>
      <w:r>
        <w:t xml:space="preserve"> </w:t>
      </w:r>
      <w:r>
        <w:t>IV</w:t>
      </w:r>
      <w:r>
        <w:t xml:space="preserve"> </w:t>
      </w:r>
      <w:r>
        <w:t>to Pt</w:t>
      </w:r>
      <w:r>
        <w:t xml:space="preserve"> </w:t>
      </w:r>
      <w:r>
        <w:t>II</w:t>
      </w:r>
      <w:r>
        <w:t xml:space="preserve"> </w:t>
      </w:r>
      <w:r>
        <w:t>and ensuring strong immobilization of Pt species. Further reduction to metallic Pt</w:t>
      </w:r>
      <w:r>
        <w:rPr>
          <w:vertAlign w:val="subscript"/>
        </w:rPr>
        <w:t>0</w:t>
      </w:r>
      <w:r>
        <w:t>occurs during PEC operation under applied reduction potential. Density functional theory (DFT) calculations confirm the pivotal role of iodide in facilitating this reduction pathway. The resulting PNDI‐NI‐modified photocathode achieves a photocurrent density of 17.7 mA cm</w:t>
      </w:r>
      <w:r>
        <w:t xml:space="preserve"> </w:t>
      </w:r>
      <w:r>
        <w:t>−2</w:t>
      </w:r>
      <w:r>
        <w:t xml:space="preserve"> </w:t>
      </w:r>
      <w:r>
        <w:t>and an applied bias photon‐to‐current efficiency of 8.88%, representing the highest performance among reported organic photocathodes, alongside superior operational stability confirmed by chronoamperometry. These findings highlight ionically engineered CPEs as a promising strategy for coupling efficient Pt deposition and reduction with enhanced photoelectrochemical performance and durability of OPEC devices.</w:t>
      </w:r>
    </w:p>
    <w:p>
      <w:pPr>
        <w:spacing w:before="120" w:after="120"/>
      </w:pPr>
      <w:r>
        <w:rPr>
          <w:sz w:val="18"/>
        </w:rPr>
        <w:t>——————————————————————————————————————————————————————————————————————</w:t>
      </w:r>
    </w:p>
    <w:p>
      <w:pPr>
        <w:spacing w:before="160" w:after="40" w:line="240" w:lineRule="auto"/>
      </w:pPr>
      <w:r>
        <w:rPr>
          <w:b/>
        </w:rPr>
        <w:t xml:space="preserve">[624] </w:t>
      </w:r>
      <w:hyperlink r:id="rId1043">
        <w:r>
          <w:rPr>
            <w:color w:val="1155CC"/>
            <w:u w:val="single"/>
          </w:rPr>
          <w:t>分子平台上的适应性O2活性:促进Spiro OMETAD 高效碳基Perovskite太阳能电池制作</w:t>
        </w:r>
      </w:hyperlink>
    </w:p>
    <w:p>
      <w:pPr>
        <w:spacing w:before="0" w:after="80"/>
      </w:pPr>
      <w:r>
        <w:rPr>
          <w:i/>
          <w:sz w:val="20"/>
        </w:rPr>
        <w:t>EN: Adaptive O2 Activation on a Molecular Platform: Promoting Spiro‐OMeTAD Doping for High Efficiency Carbon‐Based Perovskite Solar Cells</w:t>
      </w:r>
    </w:p>
    <w:p>
      <w:pPr>
        <w:spacing w:before="0" w:after="120"/>
      </w:pPr>
      <w:r>
        <w:rPr>
          <w:b/>
        </w:rPr>
        <w:t xml:space="preserve">Source: </w:t>
      </w:r>
      <w:r>
        <w:t>Wiley: Advanced Energy Materials: Table of Contents</w:t>
      </w:r>
      <w:r>
        <w:t xml:space="preserve">    </w:t>
      </w:r>
      <w:r>
        <w:rPr>
          <w:b/>
        </w:rPr>
        <w:t xml:space="preserve">Pub date: </w:t>
      </w:r>
      <w:r>
        <w:t>2026-01-07 05:27:26+00:00</w:t>
      </w:r>
      <w:r>
        <w:t xml:space="preserve">    </w:t>
      </w:r>
      <w:r>
        <w:rPr>
          <w:b/>
        </w:rPr>
        <w:t xml:space="preserve">DOI: </w:t>
      </w:r>
      <w:hyperlink r:id="rId1044">
        <w:r>
          <w:rPr>
            <w:color w:val="1155CC"/>
            <w:u w:val="single"/>
          </w:rPr>
          <w:t>10.1002/aenm.202506649</w:t>
        </w:r>
      </w:hyperlink>
    </w:p>
    <w:p>
      <w:pPr>
        <w:spacing w:before="0" w:after="120"/>
      </w:pPr>
      <w:r>
        <w:rPr>
          <w:b/>
        </w:rPr>
        <w:t xml:space="preserve">Notes: </w:t>
      </w:r>
      <w:r>
        <w:t>abstract_source=crossref</w:t>
      </w:r>
    </w:p>
    <w:p>
      <w:pPr>
        <w:spacing w:before="0" w:after="80" w:lineRule="auto" w:line="276"/>
      </w:pPr>
      <w:r>
        <w:rPr>
          <w:b/>
        </w:rPr>
        <w:t xml:space="preserve">摘要（ZH）: </w:t>
      </w:r>
      <w:r>
        <w:t>2,2 ',7,7 tetrakis[N, Ndi(4-甲基苯氧)氨基] 9,9spirobiflorenene(Spiro OMETAD),这是在千草枯太阳能电池(PSCs)中广泛使用的一种孔径运输材料,主要依靠平铺来改进其电子特性,这通常是通过环境O 2氧化来实现的。然而,由于O 2向Spiro-OMTAD氧化过程的内在惰性,Spiro-OMETAD的剂量水平仍然受到限制。在本研究中,我们引入了一种有效的方法来提高Spiro-OMETAD的剂量水平,使用碳纳米喇叭(CNH)的单梯原子作为分子平台在涡轮中激活O 2。</w:t>
      </w:r>
    </w:p>
    <w:p>
      <w:pPr>
        <w:spacing w:before="0" w:after="200" w:lineRule="auto" w:line="276"/>
      </w:pPr>
      <w:r>
        <w:rPr>
          <w:b/>
        </w:rPr>
        <w:t xml:space="preserve">Abstract (EN): </w:t>
      </w:r>
      <w:r>
        <w:t>The 2,2’,7,7’‐tetrakis[N, N‐di(4‐methoxyphenyl)amino]‐9,9’‐spirobifluorene (Spiro‐OMeTAD), a widely used hole transport material in perovskite solar cells (PSCs), heavily relies on p‐doping for improving its electrical properties, which is typically achieved through ambient O</w:t>
      </w:r>
      <w:r>
        <w:rPr>
          <w:vertAlign w:val="subscript"/>
        </w:rPr>
        <w:t>2</w:t>
      </w:r>
      <w:r>
        <w:t>oxidation. Nevertheless, as a result of the inherent inertness of O</w:t>
      </w:r>
      <w:r>
        <w:rPr>
          <w:vertAlign w:val="subscript"/>
        </w:rPr>
        <w:t>2</w:t>
      </w:r>
      <w:r>
        <w:t>toward Spiro‐OMeTAD oxidation, the doping level of Spiro‐OMeTAD remains constrained. In this study, we introduce an effective approach to enhance the doping level of Spiro‐OMeTAD employing the single Ti atoms on carbon nanohorns (CNH) as a molecular platform to activate O</w:t>
      </w:r>
      <w:r>
        <w:rPr>
          <w:vertAlign w:val="subscript"/>
        </w:rPr>
        <w:t>2</w:t>
      </w:r>
      <w:r>
        <w:t>, in turn facilitating the oxidation of Spiro‐OMeTAD. The charge transfer between the Ti</w:t>
      </w:r>
      <w:r>
        <w:rPr>
          <w:vertAlign w:val="subscript"/>
        </w:rPr>
        <w:t>1</w:t>
      </w:r>
      <w:r>
        <w:t>‐O</w:t>
      </w:r>
      <w:r>
        <w:rPr>
          <w:vertAlign w:val="subscript"/>
        </w:rPr>
        <w:t>5</w:t>
      </w:r>
      <w:r>
        <w:t>moieties and CNH, resulting from strong metal‐support interaction (SMSI), enhances O</w:t>
      </w:r>
      <w:r>
        <w:rPr>
          <w:vertAlign w:val="subscript"/>
        </w:rPr>
        <w:t>2</w:t>
      </w:r>
      <w:r>
        <w:t>chemisorption, weakens the O─O bond, and promotes O</w:t>
      </w:r>
      <w:r>
        <w:rPr>
          <w:vertAlign w:val="subscript"/>
        </w:rPr>
        <w:t>2</w:t>
      </w:r>
      <w:r>
        <w:t>dissociation, thereby effectively activating O</w:t>
      </w:r>
      <w:r>
        <w:rPr>
          <w:vertAlign w:val="subscript"/>
        </w:rPr>
        <w:t>2</w:t>
      </w:r>
      <w:r>
        <w:t>molecules for the oxidation of Spiro‐OMeTAD. Such sufficient oxidation effectively boosts the doping level of Spiro‐OMeTAD, consequently improving its electrical conductivity. Furthermore, the work function of Spiro‐OMeTAD is also well‐modulated, aligning its energy levels more effectively with the carbon electrode. This strategy significantly minimizes energy loss in charge transfer, allowing carbon‐based PSCs to attain a power conversion efficiency (PCE) of 23.85% (certified at 22.85%). Remarkably, the device retains 96.2% of its initial value after 1000 h of continuous illumination.</w:t>
      </w:r>
    </w:p>
    <w:p>
      <w:pPr>
        <w:spacing w:before="120" w:after="120"/>
      </w:pPr>
      <w:r>
        <w:rPr>
          <w:sz w:val="18"/>
        </w:rPr>
        <w:t>——————————————————————————————————————————————————————————————————————</w:t>
      </w:r>
    </w:p>
    <w:p>
      <w:pPr>
        <w:spacing w:before="160" w:after="40" w:line="240" w:lineRule="auto"/>
      </w:pPr>
      <w:r>
        <w:rPr>
          <w:b/>
        </w:rPr>
        <w:t xml:space="preserve">[625] </w:t>
      </w:r>
      <w:hyperlink r:id="rId1045">
        <w:r>
          <w:rPr>
            <w:color w:val="1155CC"/>
            <w:u w:val="single"/>
          </w:rPr>
          <w:t>耐力转换氧化物:机制、性能和装置</w:t>
        </w:r>
      </w:hyperlink>
    </w:p>
    <w:p>
      <w:pPr>
        <w:spacing w:before="0" w:after="80"/>
      </w:pPr>
      <w:r>
        <w:rPr>
          <w:i/>
          <w:sz w:val="20"/>
        </w:rPr>
        <w:t>EN: Resistive Switching Oxides: Mechanism, Performance, and Device‐Algorithm Co‐Design for Artificial Intelligence</w:t>
      </w:r>
    </w:p>
    <w:p>
      <w:pPr>
        <w:spacing w:before="0" w:after="120"/>
      </w:pPr>
      <w:r>
        <w:rPr>
          <w:b/>
        </w:rPr>
        <w:t xml:space="preserve">Source: </w:t>
      </w:r>
      <w:r>
        <w:t>Wiley: Advanced Materials: Table of Contents</w:t>
      </w:r>
      <w:r>
        <w:t xml:space="preserve">    </w:t>
      </w:r>
      <w:r>
        <w:rPr>
          <w:b/>
        </w:rPr>
        <w:t xml:space="preserve">Pub date: </w:t>
      </w:r>
      <w:r>
        <w:t>2026-01-07 05:27:30+00:00</w:t>
      </w:r>
      <w:r>
        <w:t xml:space="preserve">    </w:t>
      </w:r>
      <w:r>
        <w:rPr>
          <w:b/>
        </w:rPr>
        <w:t xml:space="preserve">DOI: </w:t>
      </w:r>
      <w:hyperlink r:id="rId1046">
        <w:r>
          <w:rPr>
            <w:color w:val="1155CC"/>
            <w:u w:val="single"/>
          </w:rPr>
          <w:t>10.1002/adma.202517373</w:t>
        </w:r>
      </w:hyperlink>
    </w:p>
    <w:p>
      <w:pPr>
        <w:spacing w:before="0" w:after="120"/>
      </w:pPr>
      <w:r>
        <w:rPr>
          <w:b/>
        </w:rPr>
        <w:t xml:space="preserve">Notes: </w:t>
      </w:r>
      <w:r>
        <w:t>abstract_source=crossref</w:t>
      </w:r>
    </w:p>
    <w:p>
      <w:pPr>
        <w:spacing w:before="0" w:after="80" w:lineRule="auto" w:line="276"/>
      </w:pPr>
      <w:r>
        <w:rPr>
          <w:b/>
        </w:rPr>
        <w:t xml:space="preserve">摘要（ZH）: </w:t>
      </w:r>
      <w:r>
        <w:t>人类大脑是一个自然计算平台,由众多的神经元和突触组成,在学习、记忆和平行数据处理方面优于低能消耗和高效率的低能消耗和平行数据处理。 受大脑启发的硬件在应用神经网络方面至关重要,提供了更高的能效、平行处理能力和非线性动态特性,如适应性和可塑性。 复杂的氧化物表现出丰富的电子元元化状态,使得能够针对电刺激进行多种抵抗性转换动态。 这使得它们能够通过多设备整合在单设备一级实现复杂的生物激发行为和更先进的大脑类似功能。 本审查总结了Resi最近的进展。</w:t>
      </w:r>
    </w:p>
    <w:p>
      <w:pPr>
        <w:spacing w:before="0" w:after="200" w:lineRule="auto" w:line="276"/>
      </w:pPr>
      <w:r>
        <w:rPr>
          <w:b/>
        </w:rPr>
        <w:t xml:space="preserve">Abstract (EN): </w:t>
      </w:r>
      <w:r>
        <w:t>The human brain is a natural computing platform composed of a vast number of neurons and synapses that excels in learning, memory, and parallel data processing with low energy consumption and high efficiency. Brain‐inspired hardware is crucial in the application of neural networks, offering enhanced energy efficiency, parallel processing capabilities, and nonlinear dynamic properties, such as adaptability and plasticity. Complex oxides exhibit rich electrically metastable states, which enable diverse resistive switching dynamics in response to electrical stimuli. This allows them to achieve complex bioinspired behaviors at the single‐device level and more advanced brain‐like functions through multidevice integration. This review summarizes recent advances in resistive switching of complex oxides with a focus on the underlying physical mechanisms and application‐driven device‐algorithm co‐design. It first elucidates the materials science and multiscale mechanisms of the switchable electrical characteristics of complex oxides. Next, the resistive switching behaviors of complex oxide devices and a survey of their state‐of‐the‐art performance are discussed. Additionally, from the perspective of brain‐inspired computing, device‐level biomimetic applications and task‐driven circuit‐algorithm co‐designs are explored. Finally, the current challenges of complex oxide devices are summarized, and an outlook for the development of complex oxide neuromorphic devices is provided.</w:t>
      </w:r>
    </w:p>
    <w:p>
      <w:pPr>
        <w:spacing w:before="120" w:after="120"/>
      </w:pPr>
      <w:r>
        <w:rPr>
          <w:sz w:val="18"/>
        </w:rPr>
        <w:t>——————————————————————————————————————————————————————————————————————</w:t>
      </w:r>
    </w:p>
    <w:p>
      <w:pPr>
        <w:spacing w:before="160" w:after="40" w:line="240" w:lineRule="auto"/>
      </w:pPr>
      <w:r>
        <w:rPr>
          <w:b/>
        </w:rPr>
        <w:t xml:space="preserve">[626] </w:t>
      </w:r>
      <w:hyperlink r:id="rId1047">
        <w:r>
          <w:rPr>
            <w:color w:val="1155CC"/>
            <w:u w:val="single"/>
          </w:rPr>
          <w:t>通过用于固体肿瘤治疗的磁二特异纳米抗体,对CAR-Tmimicking细胞进行活体生成和操纵</w:t>
        </w:r>
      </w:hyperlink>
    </w:p>
    <w:p>
      <w:pPr>
        <w:spacing w:before="0" w:after="80"/>
      </w:pPr>
      <w:r>
        <w:rPr>
          <w:i/>
          <w:sz w:val="20"/>
        </w:rPr>
        <w:t>EN: In Vivo Generation and Manipulation of CAR‐T‐mimicking Cells via Magnetic Bispecific Nano‐antibody for Solid Tumor Therapy</w:t>
      </w:r>
    </w:p>
    <w:p>
      <w:pPr>
        <w:spacing w:before="0" w:after="120"/>
      </w:pPr>
      <w:r>
        <w:rPr>
          <w:b/>
        </w:rPr>
        <w:t xml:space="preserve">Source: </w:t>
      </w:r>
      <w:r>
        <w:t>Wiley: Advanced Materials: Table of Contents</w:t>
      </w:r>
      <w:r>
        <w:t xml:space="preserve">    </w:t>
      </w:r>
      <w:r>
        <w:rPr>
          <w:b/>
        </w:rPr>
        <w:t xml:space="preserve">Pub date: </w:t>
      </w:r>
      <w:r>
        <w:t>2026-01-07 05:28:16+00:00</w:t>
      </w:r>
      <w:r>
        <w:t xml:space="preserve">    </w:t>
      </w:r>
      <w:r>
        <w:rPr>
          <w:b/>
        </w:rPr>
        <w:t xml:space="preserve">DOI: </w:t>
      </w:r>
      <w:hyperlink r:id="rId1048">
        <w:r>
          <w:rPr>
            <w:color w:val="1155CC"/>
            <w:u w:val="single"/>
          </w:rPr>
          <w:t>10.1002/adma.202520493</w:t>
        </w:r>
      </w:hyperlink>
    </w:p>
    <w:p>
      <w:pPr>
        <w:spacing w:before="0" w:after="120"/>
      </w:pPr>
      <w:r>
        <w:rPr>
          <w:b/>
        </w:rPr>
        <w:t xml:space="preserve">Notes: </w:t>
      </w:r>
      <w:r>
        <w:t>abstract_source=crossref</w:t>
      </w:r>
    </w:p>
    <w:p>
      <w:pPr>
        <w:spacing w:before="0" w:after="80" w:lineRule="auto" w:line="276"/>
      </w:pPr>
      <w:r>
        <w:rPr>
          <w:b/>
        </w:rPr>
        <w:t xml:space="preserve">摘要（ZH）: </w:t>
      </w:r>
      <w:r>
        <w:t>摘要 乳房抗原受体(CAR)-T细胞疗法在抗固态肿瘤方面的治疗效果仍然受到限制,主要原因是肿瘤渗透不足和免疫抑制肿瘤微环境不足。在这里,我们提出了一个简单而有效的战略,以生成活性CAR&amp;T模仿细胞,使其能以磁导方式向肿瘤组织迁移,从而能够更有力和准确地治疗固体肿瘤。通过将磁纳米粒子与抗CD3抗体(aCD3)和抗PDL1抗体(aPDL1)起作用,我们开发了一种磁性双子纳米体(MBiNanoAb),在静脉管后有效地循环T细胞,并将它们重新编程到CAR&amp;T模仿效应细胞中。</w:t>
      </w:r>
    </w:p>
    <w:p>
      <w:pPr>
        <w:spacing w:before="0" w:after="200" w:lineRule="auto" w:line="276"/>
      </w:pPr>
      <w:r>
        <w:rPr>
          <w:b/>
        </w:rPr>
        <w:t xml:space="preserve">Abstract (EN): </w:t>
      </w:r>
      <w:r>
        <w:t>The therapeutic efficacy of chimeric antigen receptor (CAR)‐T cell therapy in combating solid tumors remains constrained, primarily due to inadequate tumor infiltration and the immunosuppressive tumor microenvironment. Herein, we present a simple yet effective strategy for generating activated CAR‐T‐mimicking cells and enabling their magnetically guided migration into tumor tissues, thereby enabling a more potent and precise treatment of solid tumors. By functionalizing magnetic nanoparticles with anti‐CD3 antibodies (aCD3) and anti‐PDL1 antibodies (aPDL1), we have developed a magnetic bispecific nano‐antibody (M‐BiNanoAb), which effectively engages circulating T cells following intravenous administration and reprograms them into CAR‐T‐mimicking effector cells. Within this design, the aPDL1 and aCD3 moieties emulate the antigen‐recognition domain and signaling domain of traditional CAR structures, respectively. Remarkably, the strategic application of an external magnetic field enables the precise navigation of these bioengineered T cells toward solid tumor regions, thereby facilitating the eradication of PDL1‐overexpressing cancer cells. In preclinical models of solid tumors, this magnetically guided strategy for generating and manipulating CAR‐T‐mimicking cells demonstrated extraordinary antitumor activity, underscoring its transformative potential in advancing CAR‐T‐based therapies against solid malignancies.</w:t>
      </w:r>
    </w:p>
    <w:p>
      <w:pPr>
        <w:spacing w:before="120" w:after="120"/>
      </w:pPr>
      <w:r>
        <w:rPr>
          <w:sz w:val="18"/>
        </w:rPr>
        <w:t>——————————————————————————————————————————————————————————————————————</w:t>
      </w:r>
    </w:p>
    <w:p>
      <w:pPr>
        <w:spacing w:before="160" w:after="40" w:line="240" w:lineRule="auto"/>
      </w:pPr>
      <w:r>
        <w:rPr>
          <w:b/>
        </w:rPr>
        <w:t xml:space="preserve">[627] </w:t>
      </w:r>
      <w:hyperlink r:id="rId1049">
        <w:r>
          <w:rPr>
            <w:color w:val="1155CC"/>
            <w:u w:val="single"/>
          </w:rPr>
          <w:t>处理Sodium  Na3PS4的电化学机械联结故障,以实现持久性全部固态金属电池</w:t>
        </w:r>
      </w:hyperlink>
    </w:p>
    <w:p>
      <w:pPr>
        <w:spacing w:before="0" w:after="80"/>
      </w:pPr>
      <w:r>
        <w:rPr>
          <w:i/>
          <w:sz w:val="20"/>
        </w:rPr>
        <w:t>EN: Addressing Electro‐Chemo‐Mechanical Coupling Failure at the Sodium|Na3PS4 Interface towards Durable All‐Solid‐State Sodium Metal Batteries</w:t>
      </w:r>
    </w:p>
    <w:p>
      <w:pPr>
        <w:spacing w:before="0" w:after="120"/>
      </w:pPr>
      <w:r>
        <w:rPr>
          <w:b/>
        </w:rPr>
        <w:t xml:space="preserve">Source: </w:t>
      </w:r>
      <w:r>
        <w:t>Wiley: Advanced Energy Materials: Table of Contents</w:t>
      </w:r>
      <w:r>
        <w:t xml:space="preserve">    </w:t>
      </w:r>
      <w:r>
        <w:rPr>
          <w:b/>
        </w:rPr>
        <w:t xml:space="preserve">Pub date: </w:t>
      </w:r>
      <w:r>
        <w:t>2026-01-07 05:30:09+00:00</w:t>
      </w:r>
      <w:r>
        <w:t xml:space="preserve">    </w:t>
      </w:r>
      <w:r>
        <w:rPr>
          <w:b/>
        </w:rPr>
        <w:t xml:space="preserve">DOI: </w:t>
      </w:r>
      <w:hyperlink r:id="rId1050">
        <w:r>
          <w:rPr>
            <w:color w:val="1155CC"/>
            <w:u w:val="single"/>
          </w:rPr>
          <w:t>10.1002/aenm.202506260</w:t>
        </w:r>
      </w:hyperlink>
    </w:p>
    <w:p>
      <w:pPr>
        <w:spacing w:before="0" w:after="120"/>
      </w:pPr>
      <w:r>
        <w:rPr>
          <w:b/>
        </w:rPr>
        <w:t xml:space="preserve">Notes: </w:t>
      </w:r>
      <w:r>
        <w:t>abstract_source=crossref</w:t>
      </w:r>
    </w:p>
    <w:p>
      <w:pPr>
        <w:spacing w:before="0" w:after="80" w:lineRule="auto" w:line="276"/>
      </w:pPr>
      <w:r>
        <w:rPr>
          <w:b/>
        </w:rPr>
        <w:t xml:space="preserve">摘要（ZH）: </w:t>
      </w:r>
      <w:r>
        <w:t>ABSTACT 所有固体钠电池使用硫化电解液和钠(Na)阳极,由于其安全和成本效益,对能源储存很有希望,但是,由于N3 PS 4 纳接口的跨子降解,这些电池的实际实施受到很大阻碍,而由于基础机制不明确,分辨率战略仍然很少。在这里,通过对影视同步同步器X-射线的计算成像法,揭示了电化学机械联结故障机制。我们的结果显示,在接触的两小时内,在界面形成了65mthick侧反应层。这种电子导电导但电离层阻塞。</w:t>
      </w:r>
    </w:p>
    <w:p>
      <w:pPr>
        <w:spacing w:before="0" w:after="200" w:lineRule="auto" w:line="276"/>
      </w:pPr>
      <w:r>
        <w:rPr>
          <w:b/>
        </w:rPr>
        <w:t xml:space="preserve">Abstract (EN): </w:t>
      </w:r>
      <w:r>
        <w:t>All‐solid‐state sodium batteries utilizing sulfide electrolytes and sodium (Na) anodes are promising for energy storage due to their safety and cost‐effectiveness. However, their practical implementation is significantly hindered by the interfacial degradation at Na</w:t>
      </w:r>
      <w:r>
        <w:rPr>
          <w:vertAlign w:val="subscript"/>
        </w:rPr>
        <w:t>3</w:t>
      </w:r>
      <w:r>
        <w:t>PS</w:t>
      </w:r>
      <w:r>
        <w:rPr>
          <w:vertAlign w:val="subscript"/>
        </w:rPr>
        <w:t>4</w:t>
      </w:r>
      <w:r>
        <w:t>|Na interface, while the resolution strategies remain scarce due to the unclear underlying mechanisms. Herein, operando synchrotron X‐ray computed tomography is utilized to reveal an electro‐chemo‐mechanical coupling failure mechanism. Our results demonstrate the formation of a 65‐µm‐thick side‐reaction layer at the interface within two hours of contact. This electron‐conducting but ion‐blocking layer causes non‐uniform Na electrodeposition, triggering continuous mechanical cracking inward Na</w:t>
      </w:r>
      <w:r>
        <w:rPr>
          <w:vertAlign w:val="subscript"/>
        </w:rPr>
        <w:t>3</w:t>
      </w:r>
      <w:r>
        <w:t>PS</w:t>
      </w:r>
      <w:r>
        <w:rPr>
          <w:vertAlign w:val="subscript"/>
        </w:rPr>
        <w:t>4</w:t>
      </w:r>
      <w:r>
        <w:t>that leads to a short‐circuit. To address this issue, a thermodynamically stable thin Na</w:t>
      </w:r>
      <w:r>
        <w:rPr>
          <w:vertAlign w:val="subscript"/>
        </w:rPr>
        <w:t>3</w:t>
      </w:r>
      <w:r>
        <w:t>Sb‐NaF functional layer is engineered on Na to protect Na</w:t>
      </w:r>
      <w:r>
        <w:rPr>
          <w:vertAlign w:val="subscript"/>
        </w:rPr>
        <w:t>3</w:t>
      </w:r>
      <w:r>
        <w:t>PS</w:t>
      </w:r>
      <w:r>
        <w:rPr>
          <w:vertAlign w:val="subscript"/>
        </w:rPr>
        <w:t>4</w:t>
      </w:r>
      <w:r>
        <w:t>from being chemically reduced. Its high Na‐ion diffusivity ensures uniform ion transport for homogeneous Na electrodeposition, enabling a mechanically integrated interface. As a result, symmetric cells sustain over 1000 h of cycling at 0.1 mA cm–</w:t>
      </w:r>
      <w:r>
        <w:rPr>
          <w:vertAlign w:val="subscript"/>
        </w:rPr>
        <w:t>2</w:t>
      </w:r>
      <w:r>
        <w:t>(0.1 mAh cm</w:t>
      </w:r>
      <w:r>
        <w:t xml:space="preserve"> </w:t>
      </w:r>
      <w:r>
        <w:t>−2</w:t>
      </w:r>
      <w:r>
        <w:t xml:space="preserve"> </w:t>
      </w:r>
      <w:r>
        <w:t>), while full cells using NaNi</w:t>
      </w:r>
      <w:r>
        <w:t xml:space="preserve"> </w:t>
      </w:r>
      <w:r>
        <w:t>1/3</w:t>
      </w:r>
      <w:r>
        <w:t xml:space="preserve"> </w:t>
      </w:r>
      <w:r>
        <w:t>Fe</w:t>
      </w:r>
      <w:r>
        <w:t xml:space="preserve"> </w:t>
      </w:r>
      <w:r>
        <w:t>1/3</w:t>
      </w:r>
      <w:r>
        <w:t xml:space="preserve"> </w:t>
      </w:r>
      <w:r>
        <w:t>Mn</w:t>
      </w:r>
      <w:r>
        <w:t xml:space="preserve"> </w:t>
      </w:r>
      <w:r>
        <w:t>1/3</w:t>
      </w:r>
      <w:r>
        <w:t xml:space="preserve"> </w:t>
      </w:r>
      <w:r>
        <w:t>O</w:t>
      </w:r>
      <w:r>
        <w:rPr>
          <w:vertAlign w:val="subscript"/>
        </w:rPr>
        <w:t>2</w:t>
      </w:r>
      <w:r>
        <w:t>cathodes achieve 88.3% capacity retention after 300 cycles at 0.2 C, room temperature. Crucially, anode‐free all‐solid‐state batteries exhibit stable cycling for over 60 cycles. This work advances the development of high‐energy, durable all‐solid‐state sodium metal batteries.</w:t>
      </w:r>
    </w:p>
    <w:p>
      <w:pPr>
        <w:spacing w:before="120" w:after="120"/>
      </w:pPr>
      <w:r>
        <w:rPr>
          <w:sz w:val="18"/>
        </w:rPr>
        <w:t>——————————————————————————————————————————————————————————————————————</w:t>
      </w:r>
    </w:p>
    <w:p>
      <w:pPr>
        <w:spacing w:before="160" w:after="40" w:line="240" w:lineRule="auto"/>
      </w:pPr>
      <w:r>
        <w:rPr>
          <w:b/>
        </w:rPr>
        <w:t xml:space="preserve">[628] </w:t>
      </w:r>
      <w:hyperlink r:id="rId1051">
        <w:r>
          <w:rPr>
            <w:color w:val="1155CC"/>
            <w:u w:val="single"/>
          </w:rPr>
          <w:t>构造高°Tg 和超超强强多功能热点装置</w:t>
        </w:r>
      </w:hyperlink>
    </w:p>
    <w:p>
      <w:pPr>
        <w:spacing w:before="0" w:after="80"/>
      </w:pPr>
      <w:r>
        <w:rPr>
          <w:i/>
          <w:sz w:val="20"/>
        </w:rPr>
        <w:t>EN: Constructing High‐Tg and Ultra‐Strong Multifunctional Thermosets Enabled by Acid‐Base Ion Pairs</w:t>
      </w:r>
    </w:p>
    <w:p>
      <w:pPr>
        <w:spacing w:before="0" w:after="120"/>
      </w:pPr>
      <w:r>
        <w:rPr>
          <w:b/>
        </w:rPr>
        <w:t xml:space="preserve">Source: </w:t>
      </w:r>
      <w:r>
        <w:t>Wiley: Advanced Materials: Table of Contents</w:t>
      </w:r>
      <w:r>
        <w:t xml:space="preserve">    </w:t>
      </w:r>
      <w:r>
        <w:rPr>
          <w:b/>
        </w:rPr>
        <w:t xml:space="preserve">Pub date: </w:t>
      </w:r>
      <w:r>
        <w:t>2026-01-07 05:36:57+00:00</w:t>
      </w:r>
      <w:r>
        <w:t xml:space="preserve">    </w:t>
      </w:r>
      <w:r>
        <w:rPr>
          <w:b/>
        </w:rPr>
        <w:t xml:space="preserve">DOI: </w:t>
      </w:r>
      <w:hyperlink r:id="rId1052">
        <w:r>
          <w:rPr>
            <w:color w:val="1155CC"/>
            <w:u w:val="single"/>
          </w:rPr>
          <w:t>10.1002/adma.202512584</w:t>
        </w:r>
      </w:hyperlink>
    </w:p>
    <w:p>
      <w:pPr>
        <w:spacing w:before="0" w:after="120"/>
      </w:pPr>
      <w:r>
        <w:rPr>
          <w:b/>
        </w:rPr>
        <w:t xml:space="preserve">Notes: </w:t>
      </w:r>
      <w:r>
        <w:t>abstract_source=crossref</w:t>
      </w:r>
    </w:p>
    <w:p>
      <w:pPr>
        <w:spacing w:before="0" w:after="80" w:lineRule="auto" w:line="276"/>
      </w:pPr>
      <w:r>
        <w:rPr>
          <w:b/>
        </w:rPr>
        <w:t xml:space="preserve">摘要（ZH）: </w:t>
      </w:r>
      <w:r>
        <w:t>在航空航天、风能和电子包装中,升温环氧树脂(TERs)在航空航天、风能和电子包装中发挥着关键作用,但是,由于分子设计中这些特性的内在限制,以前报告的TERs始终面临“锯锯”困境,提高玻璃转换温度(Tg)和机械强度通常会降低弹性和再处理能力。</w:t>
      </w:r>
    </w:p>
    <w:p>
      <w:pPr>
        <w:spacing w:before="0" w:after="200" w:lineRule="auto" w:line="276"/>
      </w:pPr>
      <w:r>
        <w:rPr>
          <w:b/>
        </w:rPr>
        <w:t xml:space="preserve">Abstract (EN): </w:t>
      </w:r>
      <w:r>
        <w:t>Thermosetting epoxy resins (TERs) play pivotal roles in aerospace, wind energy, and electronic packaging. However, due to the inherent constraints of these properties in molecular design, previously reported TERs have always faced a “seesaw” dilemma, enhancing glass transition temperature (</w:t>
      </w:r>
      <w:r>
        <w:t xml:space="preserve"> </w:t>
      </w:r>
      <w:r>
        <w:t>T</w:t>
      </w:r>
      <w:r>
        <w:t xml:space="preserve"> </w:t>
      </w:r>
      <w:r>
        <w:t>g</w:t>
      </w:r>
      <w:r>
        <w:t xml:space="preserve"> </w:t>
      </w:r>
      <w:r>
        <w:t>) and mechanical strength typically compromises elasticity and reprocessability. Herein, an innovative molecular engineering strategy is proposed to integrate high‐energy‐dissipation acid‐base ion pairs (ABIPs) into densely crosslinked covalent adaptable networks, constructing high</w:t>
      </w:r>
      <w:r>
        <w:t xml:space="preserve"> </w:t>
      </w:r>
      <w:r>
        <w:t>T</w:t>
      </w:r>
      <w:r>
        <w:t xml:space="preserve"> </w:t>
      </w:r>
      <w:r>
        <w:t>g</w:t>
      </w:r>
      <w:r>
        <w:t xml:space="preserve"> </w:t>
      </w:r>
      <w:r>
        <w:t>and ultra‐strong TERs (named SEP</w:t>
      </w:r>
      <w:r>
        <w:t xml:space="preserve"> </w:t>
      </w:r>
      <w:r>
        <w:t>‐COOH</w:t>
      </w:r>
      <w:r>
        <w:t xml:space="preserve"> </w:t>
      </w:r>
      <w:r>
        <w:t>). It demonstrated two breakthrough advantages: First, SEP</w:t>
      </w:r>
      <w:r>
        <w:t xml:space="preserve"> </w:t>
      </w:r>
      <w:r>
        <w:t>‐COOH</w:t>
      </w:r>
      <w:r>
        <w:t xml:space="preserve"> </w:t>
      </w:r>
      <w:r>
        <w:t>exhibits an exceptional combination of high</w:t>
      </w:r>
      <w:r>
        <w:t xml:space="preserve"> </w:t>
      </w:r>
      <w:r>
        <w:t>T</w:t>
      </w:r>
      <w:r>
        <w:t xml:space="preserve"> </w:t>
      </w:r>
      <w:r>
        <w:t>g</w:t>
      </w:r>
      <w:r>
        <w:t xml:space="preserve"> </w:t>
      </w:r>
      <w:r>
        <w:t>(&amp;gt; 245°C), excellent mechanical strength (77.9 ± 1.5 MPa), and impact toughness (8.2 MJ m</w:t>
      </w:r>
      <w:r>
        <w:t xml:space="preserve"> </w:t>
      </w:r>
      <w:r>
        <w:t>−2</w:t>
      </w:r>
      <w:r>
        <w:t xml:space="preserve"> </w:t>
      </w:r>
      <w:r>
        <w:t>), and its outstanding performance is comparable to that of low‐viscosity resins (Hexion and Toray RS‐50) for structural applications. Second, the internal catalytic effect of ABIPs on ester exchange is unprecedented, which not only integrates the internal catalysis of tertiary amines and the effect of neighboring groups but also achieves a breakthrough. This built‐in catalysis allows ultrafast surface reprocessing to achieve superhydrophobicity and improve the thermal conductivity of its composites. The integration of toughness, thermal stability, and reprocessability represents a breakthrough in epoxy thermoset design, offering a sustainable pathway for recyclable high‐performance polymers.</w:t>
      </w:r>
    </w:p>
    <w:p>
      <w:pPr>
        <w:spacing w:before="120" w:after="120"/>
      </w:pPr>
      <w:r>
        <w:rPr>
          <w:sz w:val="18"/>
        </w:rPr>
        <w:t>——————————————————————————————————————————————————————————————————————</w:t>
      </w:r>
    </w:p>
    <w:p>
      <w:pPr>
        <w:spacing w:before="160" w:after="40" w:line="240" w:lineRule="auto"/>
      </w:pPr>
      <w:r>
        <w:rPr>
          <w:b/>
        </w:rPr>
        <w:t xml:space="preserve">[629] </w:t>
      </w:r>
      <w:hyperlink r:id="rId1053">
        <w:r>
          <w:rPr>
            <w:color w:val="1155CC"/>
            <w:u w:val="single"/>
          </w:rPr>
          <w:t>-40°C:多相位聚苯乙烯 制导统一沉积和快速脱尘</w:t>
        </w:r>
      </w:hyperlink>
    </w:p>
    <w:p>
      <w:pPr>
        <w:spacing w:before="0" w:after="80"/>
      </w:pPr>
      <w:r>
        <w:rPr>
          <w:i/>
          <w:sz w:val="20"/>
        </w:rPr>
        <w:t>EN: A Stable Sodium Metal Battery at −40°C: Multiphase Sodium‐Alloy Skeleton Guided Uniform Deposition and Fast Desolvation</w:t>
      </w:r>
    </w:p>
    <w:p>
      <w:pPr>
        <w:spacing w:before="0" w:after="120"/>
      </w:pPr>
      <w:r>
        <w:rPr>
          <w:b/>
        </w:rPr>
        <w:t xml:space="preserve">Source: </w:t>
      </w:r>
      <w:r>
        <w:t>Wiley: Advanced Materials: Table of Contents</w:t>
      </w:r>
      <w:r>
        <w:t xml:space="preserve">    </w:t>
      </w:r>
      <w:r>
        <w:rPr>
          <w:b/>
        </w:rPr>
        <w:t xml:space="preserve">Pub date: </w:t>
      </w:r>
      <w:r>
        <w:t>2026-01-07 05:41:04+00:00</w:t>
      </w:r>
      <w:r>
        <w:t xml:space="preserve">    </w:t>
      </w:r>
      <w:r>
        <w:rPr>
          <w:b/>
        </w:rPr>
        <w:t xml:space="preserve">DOI: </w:t>
      </w:r>
      <w:hyperlink r:id="rId1054">
        <w:r>
          <w:rPr>
            <w:color w:val="1155CC"/>
            <w:u w:val="single"/>
          </w:rPr>
          <w:t>10.1002/adma.202521120</w:t>
        </w:r>
      </w:hyperlink>
    </w:p>
    <w:p>
      <w:pPr>
        <w:spacing w:before="0" w:after="120"/>
      </w:pPr>
      <w:r>
        <w:rPr>
          <w:b/>
        </w:rPr>
        <w:t xml:space="preserve">Notes: </w:t>
      </w:r>
      <w:r>
        <w:t>abstract_source=crossref</w:t>
      </w:r>
    </w:p>
    <w:p>
      <w:pPr>
        <w:spacing w:before="0" w:after="80" w:lineRule="auto" w:line="276"/>
      </w:pPr>
      <w:r>
        <w:rPr>
          <w:b/>
        </w:rPr>
        <w:t xml:space="preserve">摘要（ZH）: </w:t>
      </w:r>
      <w:r>
        <w:t>Sodium金属电池(SMBs)是高能密度贮存的有希望的候选体,但是,由于金属阳极钠(SMA)的硬化生长和结构退化,其实际实施受到阻碍。在超低温度下,这些挑战加剧,纳+运输缓慢,溶解效率低导致性能严重下降。在这里,我们通过机械滚动,将五种不同的纳美(M = Sn, Sb, Bi, In, and Ge)合金引入SMA,从而形成多阶段的纳瓦合金复合阳极(NSSBIG),这种设计会加剧合成障碍,并建立一个稳定的钠合金骨骼,从而改善社会性健康和离子传输动能。Theort</w:t>
      </w:r>
    </w:p>
    <w:p>
      <w:pPr>
        <w:spacing w:before="0" w:after="200" w:lineRule="auto" w:line="276"/>
      </w:pPr>
      <w:r>
        <w:rPr>
          <w:b/>
        </w:rPr>
        <w:t xml:space="preserve">Abstract (EN): </w:t>
      </w:r>
      <w:r>
        <w:t>Sodium metal batteries (SMBs) represent a promising candidate for high‐energy‐density storage. However, their practical implementation is hindered by dendrite growth and structural degradation of sodium metal anode (SMA). These challenges are exacerbated at ultralow temperatures, where sluggish Na</w:t>
      </w:r>
      <w:r>
        <w:t xml:space="preserve"> </w:t>
      </w:r>
      <w:r>
        <w:t>+</w:t>
      </w:r>
      <w:r>
        <w:t xml:space="preserve"> </w:t>
      </w:r>
      <w:r>
        <w:t>transport and inefficient desolvation lead to severe performance decline. Herein, we introduce five distinct Na‐M (M = Sn, Sb, Bi, In, and Ge) alloys into SMA via mechanical rolling, resulting in a multiphase sodium‐alloy composite anode (NSSBIG). This design enhances compositional disorder and establishes a stable sodium‐based alloy skeleton, which improves sodiophilicity and ion transport kinetics. Theoretical calculations reveal a multiphase synergistic effect among the alloys that accelerates charge transfer and promotes desolvation at −40°C. Benefiting from this tailored architecture, the NSSBIG symmetric cell achieves exceptional cycling stability over 1050 h at −40°C (0.1 mA cm</w:t>
      </w:r>
      <w:r>
        <w:t xml:space="preserve"> </w:t>
      </w:r>
      <w:r>
        <w:t>−2</w:t>
      </w:r>
      <w:r>
        <w:t xml:space="preserve"> </w:t>
      </w:r>
      <w:r>
        <w:t>/0.1 mA h cm</w:t>
      </w:r>
      <w:r>
        <w:t xml:space="preserve"> </w:t>
      </w:r>
      <w:r>
        <w:t>−2</w:t>
      </w:r>
      <w:r>
        <w:t xml:space="preserve"> </w:t>
      </w:r>
      <w:r>
        <w:t>). When coupled with a Na</w:t>
      </w:r>
      <w:r>
        <w:rPr>
          <w:vertAlign w:val="subscript"/>
        </w:rPr>
        <w:t>3</w:t>
      </w:r>
      <w:r>
        <w:t>V</w:t>
      </w:r>
      <w:r>
        <w:rPr>
          <w:vertAlign w:val="subscript"/>
        </w:rPr>
        <w:t>2</w:t>
      </w:r>
      <w:r>
        <w:t>(PO</w:t>
      </w:r>
      <w:r>
        <w:rPr>
          <w:vertAlign w:val="subscript"/>
        </w:rPr>
        <w:t>4</w:t>
      </w:r>
      <w:r>
        <w:t>)</w:t>
      </w:r>
      <w:r>
        <w:rPr>
          <w:vertAlign w:val="subscript"/>
        </w:rPr>
        <w:t>3</w:t>
      </w:r>
      <w:r>
        <w:t>cathode, the full cell retains 97% of its capacity after 825 cycles at −40°C (0.5 C), and a pouch‐cell configuration maintains 89.5% capacity retention over 300 cycles at −40°C (0.2 C). This work provides a feasible strategy for developing dendrite‐free anodes with rapid desolvation kinetics, establishing a viable pathway toward commercial ultralow‐temperature SMBs.</w:t>
      </w:r>
    </w:p>
    <w:p>
      <w:pPr>
        <w:spacing w:before="120" w:after="120"/>
      </w:pPr>
      <w:r>
        <w:rPr>
          <w:sz w:val="18"/>
        </w:rPr>
        <w:t>——————————————————————————————————————————————————————————————————————</w:t>
      </w:r>
    </w:p>
    <w:p>
      <w:pPr>
        <w:spacing w:before="160" w:after="40" w:line="240" w:lineRule="auto"/>
      </w:pPr>
      <w:r>
        <w:rPr>
          <w:b/>
        </w:rPr>
        <w:t xml:space="preserve">[630] </w:t>
      </w:r>
      <w:hyperlink r:id="rId1055">
        <w:r>
          <w:rPr>
            <w:color w:val="1155CC"/>
            <w:u w:val="single"/>
          </w:rPr>
          <w:t>60,000年前南部非洲微石灰箭头毒毒使用直接证据</w:t>
        </w:r>
      </w:hyperlink>
    </w:p>
    <w:p>
      <w:pPr>
        <w:spacing w:before="0" w:after="80"/>
      </w:pPr>
      <w:r>
        <w:rPr>
          <w:i/>
          <w:sz w:val="20"/>
        </w:rPr>
        <w:t>EN: Direct evidence for poison use on microlithic arrowheads in Southern Africa at 60,000 years ago</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56">
        <w:r>
          <w:rPr>
            <w:color w:val="1155CC"/>
            <w:u w:val="single"/>
          </w:rPr>
          <w:t>10.1126/sciadv.adz3281</w:t>
        </w:r>
      </w:hyperlink>
    </w:p>
    <w:p>
      <w:pPr>
        <w:spacing w:before="0" w:after="120"/>
      </w:pPr>
      <w:r>
        <w:rPr>
          <w:b/>
        </w:rPr>
        <w:t xml:space="preserve">Notes: </w:t>
      </w:r>
      <w:r>
        <w:t>abstract_source=crossref</w:t>
      </w:r>
    </w:p>
    <w:p>
      <w:pPr>
        <w:spacing w:before="0" w:after="80" w:lineRule="auto" w:line="276"/>
      </w:pPr>
      <w:r>
        <w:rPr>
          <w:b/>
        </w:rPr>
        <w:t xml:space="preserve">摘要（ZH）: </w:t>
      </w:r>
      <w:r>
        <w:t>通过有针对性的微化学和生物分子分析,我们查明了南非夸祖祖鲁-纳塔尔乌姆拉图扎纳岩石掩蔽地上从60 000年前挖掘出来的有毒微土上的有毒植物藻类痕迹,这些藻类树脂和上腺素仅来自非洲南部本土的阿玛利利里达塞(L.f.),最有可能的来源是布奥赫迪西卡(L.f.) 赫布(Herb. blub exudate),也与历史上记载的箭毒有关。据我们所知,我们提供了第一个直接证据,证明这种植物毒药在普利斯托克狩猎武器尖尖上的应用。发现突出表明了生存战略的复杂性。</w:t>
      </w:r>
    </w:p>
    <w:p>
      <w:pPr>
        <w:spacing w:before="0" w:after="200" w:lineRule="auto" w:line="276"/>
      </w:pPr>
      <w:r>
        <w:rPr>
          <w:b/>
        </w:rPr>
        <w:t xml:space="preserve">Abstract (EN): </w:t>
      </w:r>
      <w:r>
        <w:t>Poisoned weapons are a hallmark of advanced hunter-gatherer technology. Through targeted microchemical and biomolecular analyses, we identified traces of toxic plant alkaloids on backed microliths from Umhlatuzana Rock Shelter in KwaZulu-Natal, South Africa, excavated from a level dated to 60,000 years ago. The alkaloids buphandrine and epibuphanisine only originate from Amaryllidaceae indigenous to southern Africa. The most likely source is</w:t>
      </w:r>
      <w:r>
        <w:t xml:space="preserve"> </w:t>
      </w:r>
      <w:r>
        <w:t>Boophone disticha</w:t>
      </w:r>
      <w:r>
        <w:t xml:space="preserve"> </w:t>
      </w:r>
      <w:r>
        <w:t>(L.f.) Herb. bulb exudate, also associated with historically documented arrow poisons. To our knowledge, we present the first direct evidence for the application of this plant-based poison on the tips of Pleistocene hunting weapons. The discovery highlights the complexity of subsistence strategies and cognition in southern Africa since the mid-Pleistocene.</w:t>
      </w:r>
    </w:p>
    <w:p>
      <w:pPr>
        <w:spacing w:before="120" w:after="120"/>
      </w:pPr>
      <w:r>
        <w:rPr>
          <w:sz w:val="18"/>
        </w:rPr>
        <w:t>——————————————————————————————————————————————————————————————————————</w:t>
      </w:r>
    </w:p>
    <w:p>
      <w:pPr>
        <w:spacing w:before="160" w:after="40" w:line="240" w:lineRule="auto"/>
      </w:pPr>
      <w:r>
        <w:rPr>
          <w:b/>
        </w:rPr>
        <w:t xml:space="preserve">[631] </w:t>
      </w:r>
      <w:hyperlink r:id="rId1057">
        <w:r>
          <w:rPr>
            <w:color w:val="1155CC"/>
            <w:u w:val="single"/>
          </w:rPr>
          <w:t>城市大气中微塑料和纳米塑料在城市大气中的丰度</w:t>
        </w:r>
      </w:hyperlink>
    </w:p>
    <w:p>
      <w:pPr>
        <w:spacing w:before="0" w:after="80"/>
      </w:pPr>
      <w:r>
        <w:rPr>
          <w:i/>
          <w:sz w:val="20"/>
        </w:rPr>
        <w:t>EN: Abundance of microplastics and nanoplastics in urban atmosphere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58">
        <w:r>
          <w:rPr>
            <w:color w:val="1155CC"/>
            <w:u w:val="single"/>
          </w:rPr>
          <w:t>10.1126/sciadv.adz7779</w:t>
        </w:r>
      </w:hyperlink>
    </w:p>
    <w:p>
      <w:pPr>
        <w:spacing w:before="0" w:after="120"/>
      </w:pPr>
      <w:r>
        <w:rPr>
          <w:b/>
        </w:rPr>
        <w:t xml:space="preserve">Notes: </w:t>
      </w:r>
      <w:r>
        <w:t>abstract_source=crossref</w:t>
      </w:r>
    </w:p>
    <w:p>
      <w:pPr>
        <w:spacing w:before="0" w:after="80" w:lineRule="auto" w:line="276"/>
      </w:pPr>
      <w:r>
        <w:rPr>
          <w:b/>
        </w:rPr>
        <w:t xml:space="preserve">摘要（ZH）: </w:t>
      </w:r>
      <w:r>
        <w:t>微塑料(MPs)和纳米塑料(NPs)是新出现的环境污染物,但它们在大气中的行为仍然不为人所知。 我们使用一种能够探测小到200纳米的塑料微粒的创新方法,用气溶胶、干和湿沉积以及两个中国特大城市广州和习安的再悬浮量量化了MPs和NPs。 广州空气中浓度达到每立方米1.8×10 5 MPs和每立方米5.0×10 4 NPs,西安每立方米1.4×10 5 MPs和3.0×10 4 NPs。 估计显示,在MP和NP中,每立方米有2到5个数量级的差异。</w:t>
      </w:r>
    </w:p>
    <w:p>
      <w:pPr>
        <w:spacing w:before="0" w:after="200" w:lineRule="auto" w:line="276"/>
      </w:pPr>
      <w:r>
        <w:rPr>
          <w:b/>
        </w:rPr>
        <w:t xml:space="preserve">Abstract (EN): </w:t>
      </w:r>
      <w:r>
        <w:t>Microplastics (MPs) and nanoplastics (NPs) are emerging environmental pollutants, yet their behavior in the atmosphere remains poorly understood. Using an innovative method capable of detecting plastic particles as small as 200 nanometers, we quantified MPs and NPs in aerosols, dry and wet deposition, and resuspension in two Chinese megacities, Guangzhou and Xi’an. Airborne concentrations reached 1.8 × 10</w:t>
      </w:r>
      <w:r>
        <w:rPr>
          <w:vertAlign w:val="subscript"/>
        </w:rPr>
        <w:t>5</w:t>
      </w:r>
      <w:r>
        <w:t>MPs per cubic meter and 5.0 × 10</w:t>
      </w:r>
      <w:r>
        <w:rPr>
          <w:vertAlign w:val="subscript"/>
        </w:rPr>
        <w:t>4</w:t>
      </w:r>
      <w:r>
        <w:t>NPs per cubic meter in Guangzhou and 1.4 × 10</w:t>
      </w:r>
      <w:r>
        <w:rPr>
          <w:vertAlign w:val="subscript"/>
        </w:rPr>
        <w:t>5</w:t>
      </w:r>
      <w:r>
        <w:t>MPs per cubic meter and 3.0 × 10</w:t>
      </w:r>
      <w:r>
        <w:rPr>
          <w:vertAlign w:val="subscript"/>
        </w:rPr>
        <w:t>4</w:t>
      </w:r>
      <w:r>
        <w:t>NPs per cubic meter in Xi’an. Estimates revealed a variation of two to five orders of magnitude in MP and NP fluxes across major atmospheric compartments, dominated by road dust resuspension and rainfall-driven wet precipitation. Plastic particles were more heterogeneously mixed in deposition samples than in aerosols and resuspension, indicating enhanced aggregation and removal. These results provide an integrated assessment of MPs and NPs in urban atmospheric processes and offer critical insights into their transformation, fate, and potential implication for climate, ecosystems, and human health.</w:t>
      </w:r>
    </w:p>
    <w:p>
      <w:pPr>
        <w:spacing w:before="120" w:after="120"/>
      </w:pPr>
      <w:r>
        <w:rPr>
          <w:sz w:val="18"/>
        </w:rPr>
        <w:t>——————————————————————————————————————————————————————————————————————</w:t>
      </w:r>
    </w:p>
    <w:p>
      <w:pPr>
        <w:spacing w:before="160" w:after="40" w:line="240" w:lineRule="auto"/>
      </w:pPr>
      <w:r>
        <w:rPr>
          <w:b/>
        </w:rPr>
        <w:t xml:space="preserve">[632] </w:t>
      </w:r>
      <w:hyperlink r:id="rId1059">
        <w:r>
          <w:rPr>
            <w:color w:val="1155CC"/>
            <w:u w:val="single"/>
          </w:rPr>
          <w:t>与上皮皮肤膜有关、与上皮皮肤膜有关的定期骨骼限制内分泌性硬化,以稳定神经-皮肤接触并保存斧头。</w:t>
        </w:r>
      </w:hyperlink>
    </w:p>
    <w:p>
      <w:pPr>
        <w:spacing w:before="0" w:after="80"/>
      </w:pPr>
      <w:r>
        <w:rPr>
          <w:i/>
          <w:sz w:val="20"/>
        </w:rPr>
        <w:t>EN: An epidermal membrane-associated periodic skeleton restricts endocytosis to stabilize neuron-epidermal attachment and preserve axons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60">
        <w:r>
          <w:rPr>
            <w:color w:val="1155CC"/>
            <w:u w:val="single"/>
          </w:rPr>
          <w:t>10.1126/sciadv.adz4762</w:t>
        </w:r>
      </w:hyperlink>
    </w:p>
    <w:p>
      <w:pPr>
        <w:spacing w:before="0" w:after="120"/>
      </w:pPr>
      <w:r>
        <w:rPr>
          <w:b/>
        </w:rPr>
        <w:t xml:space="preserve">Notes: </w:t>
      </w:r>
      <w:r>
        <w:t>abstract_source=crossref</w:t>
      </w:r>
    </w:p>
    <w:p>
      <w:pPr>
        <w:spacing w:before="0" w:after="80" w:lineRule="auto" w:line="276"/>
      </w:pPr>
      <w:r>
        <w:rPr>
          <w:b/>
        </w:rPr>
        <w:t xml:space="preserve">摘要（ZH）: </w:t>
      </w:r>
      <w:r>
        <w:t>光谱是高度保护的分子,这些分子在轴轴内形成一种不同的膜相关周期骨架,以提供机械抗御力。在Caenorhabditis elegans 中,UNC-70/-Spectrin还在顶部内发挥作用,以保持感官神经元的完整性。这个组织中的精确分子组织和调节这种保护的细胞机制是未知的。在这里,我们用三维结构的照明显微镜检查,显示外膜mal SPPC-1/α-spectrin 和 UNC-70/-spectrin 形成一个周期为~200 nm的红细胞。这个直发性皮肤显像素的诱因是开发一个轴,并在轴再生过程中对其进行改造,从而产生了一个“分子印记”。</w:t>
      </w:r>
    </w:p>
    <w:p>
      <w:pPr>
        <w:spacing w:before="0" w:after="200" w:lineRule="auto" w:line="276"/>
      </w:pPr>
      <w:r>
        <w:rPr>
          <w:b/>
        </w:rPr>
        <w:t xml:space="preserve">Abstract (EN): </w:t>
      </w:r>
      <w:r>
        <w:t>Spectrins are highly conserved molecules that form a distinct membrane-associated periodic scaffold within axons to provide mechanical resilience. In</w:t>
      </w:r>
      <w:r>
        <w:t xml:space="preserve"> </w:t>
      </w:r>
      <w:r>
        <w:t>Caenorhabditis elegans</w:t>
      </w:r>
      <w:r>
        <w:t xml:space="preserve"> </w:t>
      </w:r>
      <w:r>
        <w:t>, UNC-70/ß-Spectrin also functions within the epidermis to maintain the integrity of sensory neurons. The precise molecular organization in this tissue and the cellular mechanisms that mediate this protection are unknown. Here, using three-dimensional structured illumination microscopy, we show that epidermal SPC-1/α-Spectrin and UNC-70/ß-Spectrin form a crescent-shaped scaffold with a periodicity of ~200 nm that embraces adjacent axons. This epidermal Spectrin scaffold is induced by developing axons and reformed during axonal regeneration, creating a “molecular imprint” of the nervous system. Disruption of this epidermal scaffold causes axonal damage, and we propose that it protects axons by restricting the endocytosis of cell adhesion molecules required for axonal-epidermal adhesion. Our findings reveal a distinct periodic Spectrin scaffold within the epidermis that is molded by the developing nervous system and protects axons from damage.</w:t>
      </w:r>
    </w:p>
    <w:p>
      <w:pPr>
        <w:spacing w:before="120" w:after="120"/>
      </w:pPr>
      <w:r>
        <w:rPr>
          <w:sz w:val="18"/>
        </w:rPr>
        <w:t>——————————————————————————————————————————————————————————————————————</w:t>
      </w:r>
    </w:p>
    <w:p>
      <w:pPr>
        <w:spacing w:before="160" w:after="40" w:line="240" w:lineRule="auto"/>
      </w:pPr>
      <w:r>
        <w:rPr>
          <w:b/>
        </w:rPr>
        <w:t xml:space="preserve">[633] </w:t>
      </w:r>
      <w:hyperlink r:id="rId1061">
        <w:r>
          <w:rPr>
            <w:color w:val="1155CC"/>
            <w:u w:val="single"/>
          </w:rPr>
          <w:t>通过转录要素约束地点的生物物理特性对空间增强器进行数量调整</w:t>
        </w:r>
      </w:hyperlink>
    </w:p>
    <w:p>
      <w:pPr>
        <w:spacing w:before="0" w:after="80"/>
      </w:pPr>
      <w:r>
        <w:rPr>
          <w:i/>
          <w:sz w:val="20"/>
        </w:rPr>
        <w:t>EN: Quantitative modulation of a spatial enhancer through the biophysical properties of a transcription factor binding site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62">
        <w:r>
          <w:rPr>
            <w:color w:val="1155CC"/>
            <w:u w:val="single"/>
          </w:rPr>
          <w:t>10.1126/sciadv.adz5902</w:t>
        </w:r>
      </w:hyperlink>
    </w:p>
    <w:p>
      <w:pPr>
        <w:spacing w:before="0" w:after="120"/>
      </w:pPr>
      <w:r>
        <w:rPr>
          <w:b/>
        </w:rPr>
        <w:t xml:space="preserve">Notes: </w:t>
      </w:r>
      <w:r>
        <w:t>abstract_source=crossref</w:t>
      </w:r>
    </w:p>
    <w:p>
      <w:pPr>
        <w:spacing w:before="0" w:after="80" w:lineRule="auto" w:line="276"/>
      </w:pPr>
      <w:r>
        <w:rPr>
          <w:b/>
        </w:rPr>
        <w:t xml:space="preserve">摘要（ZH）: </w:t>
      </w:r>
      <w:r>
        <w:t>以转录系数对基因表达方式进行微调对于正常发展至关重要,但如何将TF捆绑转化为精确的表达水平却不易理解。我们用Drosophilla 增强剂对TF Ddistal-dotal(Dll) 的反应来调查这一关系。我们通过将计算结构分析与相对TFBS亲和增强活动量化相结合,描述了TF浓度如何在发展中的Drosophilla翼中转化为精确表达。我们表明,虽然增强剂的监管功能一般遵循古典山等式,但还需要几个术语来描述亲和性、定向、顺序和翼的效应。</w:t>
      </w:r>
    </w:p>
    <w:p>
      <w:pPr>
        <w:spacing w:before="0" w:after="200" w:lineRule="auto" w:line="276"/>
      </w:pPr>
      <w:r>
        <w:rPr>
          <w:b/>
        </w:rPr>
        <w:t xml:space="preserve">Abstract (EN): </w:t>
      </w:r>
      <w:r>
        <w:t>Fine-tuning of gene expression by transcription factors (TFs) is essential for normal development, but how TF binding is converted into precise expression levels is poorly understood. We used a</w:t>
      </w:r>
      <w:r>
        <w:t xml:space="preserve"> </w:t>
      </w:r>
      <w:r>
        <w:t>Drosophila</w:t>
      </w:r>
      <w:r>
        <w:t xml:space="preserve"> </w:t>
      </w:r>
      <w:r>
        <w:t>enhancer responding to the TF Distal-less (Dll) to investigate this relationship. By combining computational structure analysis and quantifying relative TFBS affinity and enhancer activity, we describe how TF concentration is converted into precise expression across the developing</w:t>
      </w:r>
      <w:r>
        <w:t xml:space="preserve"> </w:t>
      </w:r>
      <w:r>
        <w:t>Drosophila</w:t>
      </w:r>
      <w:r>
        <w:t xml:space="preserve"> </w:t>
      </w:r>
      <w:r>
        <w:t>wing. We show that, although the regulatory function of the enhancer generally follows the classical Hill equation, several additional terms are needed to describe the effects of affinity, orientation, sequence, and wing region on the maximum achievable expression and position of transcriptional activity in a tissue. We also found that Dll relies on two distinct sets of amino acid–DNA contacts for binding to higher affinity sites, but contacts are more evenly distributed at lower affinities. Our work integrates information at molecular and tissue scales to describe how the modulation of a single TFBS determines the regulatory function of an enhancer in a complex in vivo environment.</w:t>
      </w:r>
    </w:p>
    <w:p>
      <w:pPr>
        <w:spacing w:before="120" w:after="120"/>
      </w:pPr>
      <w:r>
        <w:rPr>
          <w:sz w:val="18"/>
        </w:rPr>
        <w:t>——————————————————————————————————————————————————————————————————————</w:t>
      </w:r>
    </w:p>
    <w:p>
      <w:pPr>
        <w:spacing w:before="160" w:after="40" w:line="240" w:lineRule="auto"/>
      </w:pPr>
      <w:r>
        <w:rPr>
          <w:b/>
        </w:rPr>
        <w:t xml:space="preserve">[634] </w:t>
      </w:r>
      <w:hyperlink r:id="rId1063">
        <w:r>
          <w:rPr>
            <w:color w:val="1155CC"/>
            <w:u w:val="single"/>
          </w:rPr>
          <w:t>消除:非本地机制如何助长生活各领域的膜裂变</w:t>
        </w:r>
      </w:hyperlink>
    </w:p>
    <w:p>
      <w:pPr>
        <w:spacing w:before="0" w:after="80"/>
      </w:pPr>
      <w:r>
        <w:rPr>
          <w:i/>
          <w:sz w:val="20"/>
        </w:rPr>
        <w:t>EN: Friction-driven scission: How nonlocal mechanisms contribute to membrane fission across domains of life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64">
        <w:r>
          <w:rPr>
            <w:color w:val="1155CC"/>
            <w:u w:val="single"/>
          </w:rPr>
          <w:t>10.1126/sciadv.adz7607</w:t>
        </w:r>
      </w:hyperlink>
    </w:p>
    <w:p>
      <w:pPr>
        <w:spacing w:before="0" w:after="120"/>
      </w:pPr>
      <w:r>
        <w:rPr>
          <w:b/>
        </w:rPr>
        <w:t xml:space="preserve">Notes: </w:t>
      </w:r>
      <w:r>
        <w:t>abstract_source=crossref</w:t>
      </w:r>
    </w:p>
    <w:p>
      <w:pPr>
        <w:spacing w:before="0" w:after="80" w:lineRule="auto" w:line="276"/>
      </w:pPr>
      <w:r>
        <w:rPr>
          <w:b/>
        </w:rPr>
        <w:t xml:space="preserve">摘要（ZH）: </w:t>
      </w:r>
      <w:r>
        <w:t>脑膜裂变是一个耗能的过程,对生活的所有领域都至关重要。原型裂变机制利用当地能源投入,如核核素的三磷酸盐水解,来控制和切断膜膜。然而,有些膜裂变反应自相矛盾地依赖蛋白脚架,而蛋白刀片本身稳定下来,而不是切除膜膜。结果这些蛋白并不单独起作用;它们使用非本地能源投入,产生膜紧张度梯度。这种梯度会调动膜流,反过来又会缓解膜紧张的梯度。通过干扰膜流,蛋白片碎片导致膜紧张加剧到机械故障的地步。膜裂变。这种摩擦驱动的消除机制是通用的,节制的。</w:t>
      </w:r>
    </w:p>
    <w:p>
      <w:pPr>
        <w:spacing w:before="0" w:after="200" w:lineRule="auto" w:line="276"/>
      </w:pPr>
      <w:r>
        <w:rPr>
          <w:b/>
        </w:rPr>
        <w:t xml:space="preserve">Abstract (EN): </w:t>
      </w:r>
      <w:r>
        <w:t>Membrane fission is an energy-consuming process, critical for all domains of life. Prototypical fission machineries use local energy input such as nucleoside triphosphate hydrolysis to constrict and cut membranes. However, some membrane fission reactions paradoxically rely on protein scaffolds that by themselves stabilize rather than cut membranes. It turns out these proteins do not work alone; they use nonlocal energy input that generates a membrane tension gradient. Such a gradient mobilizes membrane flow that in turn tends to relax the membrane tension gradient. By interfering with membrane flow, the protein scaffold causes the membrane tension to increase unchecked to the point of mechanical failure, membrane fission. This friction-driven scission (FDS) mechanism is generic, conserved from bacteria to humans, and only requires two ingredients: a membrane tension generating process and a protein scaffold that hinders the associated membrane flow. Because both are often present in cells, it is likely that FDS contributes to membrane fission more frequently than previously appreciated.</w:t>
      </w:r>
    </w:p>
    <w:p>
      <w:pPr>
        <w:spacing w:before="120" w:after="120"/>
      </w:pPr>
      <w:r>
        <w:rPr>
          <w:sz w:val="18"/>
        </w:rPr>
        <w:t>——————————————————————————————————————————————————————————————————————</w:t>
      </w:r>
    </w:p>
    <w:p>
      <w:pPr>
        <w:spacing w:before="160" w:after="40" w:line="240" w:lineRule="auto"/>
      </w:pPr>
      <w:r>
        <w:rPr>
          <w:b/>
        </w:rPr>
        <w:t xml:space="preserve">[635] </w:t>
      </w:r>
      <w:hyperlink r:id="rId1065">
        <w:r>
          <w:rPr>
            <w:color w:val="1155CC"/>
            <w:u w:val="single"/>
          </w:rPr>
          <w:t>通过上调管制的Areg-EGFFR信号,发出促进移植容忍的信号,使T细胞耗竭</w:t>
        </w:r>
      </w:hyperlink>
    </w:p>
    <w:p>
      <w:pPr>
        <w:spacing w:before="0" w:after="80"/>
      </w:pPr>
      <w:r>
        <w:rPr>
          <w:i/>
          <w:sz w:val="20"/>
        </w:rPr>
        <w:t>EN: Allospecific splenic Tr1 cells drive effector T cell exhaustion through up-regulated Areg-EGFR signaling to promote transplant tolerance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66">
        <w:r>
          <w:rPr>
            <w:color w:val="1155CC"/>
            <w:u w:val="single"/>
          </w:rPr>
          <w:t>10.1126/sciadv.aea0567</w:t>
        </w:r>
      </w:hyperlink>
    </w:p>
    <w:p>
      <w:pPr>
        <w:spacing w:before="0" w:after="120"/>
      </w:pPr>
      <w:r>
        <w:rPr>
          <w:b/>
        </w:rPr>
        <w:t xml:space="preserve">Notes: </w:t>
      </w:r>
      <w:r>
        <w:t>abstract_source=crossref</w:t>
      </w:r>
    </w:p>
    <w:p>
      <w:pPr>
        <w:spacing w:before="0" w:after="80" w:lineRule="auto" w:line="276"/>
      </w:pPr>
      <w:r>
        <w:rPr>
          <w:b/>
        </w:rPr>
        <w:t xml:space="preserve">摘要（ZH）: </w:t>
      </w:r>
      <w:r>
        <w:t>给移植带来稳定的耐受性仍然是免疫学上的一项挑战。 此前,我们通过先发性抗原向原地的抗原展示细胞投射到原地的抗原细胞中,对非人类灵长类动物中的异源子物质进行耐受性。 这里,与捐赠者混合的MHC-I Peptide — 装载的MHC-II四重体进行大规模细胞测量显示,在宽容接受者的脾脏中,异同的CD4 + T 细胞组的积累。 Areg + Tr1 监管和最终耗尽的EGFR hi T (Tex) 细胞代表了主要的异性特定子细胞。 轨迹分析表明,抗基因体验效果记忆T 细胞被区分为抑制性Areg +。</w:t>
      </w:r>
    </w:p>
    <w:p>
      <w:pPr>
        <w:spacing w:before="0" w:after="200" w:lineRule="auto" w:line="276"/>
      </w:pPr>
      <w:r>
        <w:rPr>
          <w:b/>
        </w:rPr>
        <w:t xml:space="preserve">Abstract (EN): </w:t>
      </w:r>
      <w:r>
        <w:t>Inducing stable tolerance to transplants remains a challenge in immunology. Previously, we induced tolerance to allogeneic islets in nonhuman primates by preemptive alloantigen delivery to antigen-presenting cells in situ. Here, mass cytometry phenotyping with incorporated donor-derived MHC-I peptide–loaded MHC-II tetramers revealed accumulation of allospecific CD4</w:t>
      </w:r>
      <w:r>
        <w:t xml:space="preserve"> </w:t>
      </w:r>
      <w:r>
        <w:t>+</w:t>
      </w:r>
      <w:r>
        <w:t xml:space="preserve"> </w:t>
      </w:r>
      <w:r>
        <w:t>T cell clusters in the spleen of tolerant recipients. Areg</w:t>
      </w:r>
      <w:r>
        <w:t xml:space="preserve"> </w:t>
      </w:r>
      <w:r>
        <w:t>+</w:t>
      </w:r>
      <w:r>
        <w:t xml:space="preserve"> </w:t>
      </w:r>
      <w:r>
        <w:t>Tr1 regulatory and terminally exhausted EGFR</w:t>
      </w:r>
      <w:r>
        <w:t xml:space="preserve"> </w:t>
      </w:r>
      <w:r>
        <w:t>hi</w:t>
      </w:r>
      <w:r>
        <w:t xml:space="preserve"> </w:t>
      </w:r>
      <w:r>
        <w:t>T (Tex) cells represented the predominant allospecific subsets. Trajectory analysis showed that antigen-experienced effector memory T cells differentiated into suppressive Areg</w:t>
      </w:r>
      <w:r>
        <w:t xml:space="preserve"> </w:t>
      </w:r>
      <w:r>
        <w:t>+</w:t>
      </w:r>
      <w:r>
        <w:t xml:space="preserve"> </w:t>
      </w:r>
      <w:r>
        <w:t>Tr1 and EGFR</w:t>
      </w:r>
      <w:r>
        <w:t xml:space="preserve"> </w:t>
      </w:r>
      <w:r>
        <w:t>+</w:t>
      </w:r>
      <w:r>
        <w:t xml:space="preserve"> </w:t>
      </w:r>
      <w:r>
        <w:t>TOX</w:t>
      </w:r>
      <w:r>
        <w:t xml:space="preserve"> </w:t>
      </w:r>
      <w:r>
        <w:t>+</w:t>
      </w:r>
      <w:r>
        <w:t xml:space="preserve"> </w:t>
      </w:r>
      <w:r>
        <w:t>Nur77</w:t>
      </w:r>
      <w:r>
        <w:t xml:space="preserve"> </w:t>
      </w:r>
      <w:r>
        <w:t>+</w:t>
      </w:r>
      <w:r>
        <w:t xml:space="preserve"> </w:t>
      </w:r>
      <w:r>
        <w:t>TCF-1</w:t>
      </w:r>
      <w:r>
        <w:t xml:space="preserve"> </w:t>
      </w:r>
      <w:r>
        <w:t>−</w:t>
      </w:r>
      <w:r>
        <w:t>Tex subsets. Cell-cell communication mapping showed that exhausted and effector memory T cells engaged with allospecific Tr1 cells via the Areg-EGFR axis. Gene silencing studies confirmed that Tr1 cells use Areg-EGFR signaling to drive the metabolic suppression and epigenetic reprogramming of CD4</w:t>
      </w:r>
      <w:r>
        <w:t xml:space="preserve"> </w:t>
      </w:r>
      <w:r>
        <w:t>+</w:t>
      </w:r>
      <w:r>
        <w:t xml:space="preserve"> </w:t>
      </w:r>
      <w:r>
        <w:t>T cells through a Nur77-dependent pathway. These findings point to the splenic Areg</w:t>
      </w:r>
      <w:r>
        <w:t xml:space="preserve"> </w:t>
      </w:r>
      <w:r>
        <w:t>+</w:t>
      </w:r>
      <w:r>
        <w:t xml:space="preserve"> </w:t>
      </w:r>
      <w:r>
        <w:t>Tr1 cell-EGFR</w:t>
      </w:r>
      <w:r>
        <w:t xml:space="preserve"> </w:t>
      </w:r>
      <w:r>
        <w:t>+</w:t>
      </w:r>
      <w:r>
        <w:t xml:space="preserve"> </w:t>
      </w:r>
      <w:r>
        <w:t>Teff cell axis as a critical immunoregulatory pathway in peripheral transplant tolerance.</w:t>
      </w:r>
    </w:p>
    <w:p>
      <w:pPr>
        <w:spacing w:before="120" w:after="120"/>
      </w:pPr>
      <w:r>
        <w:rPr>
          <w:sz w:val="18"/>
        </w:rPr>
        <w:t>——————————————————————————————————————————————————————————————————————</w:t>
      </w:r>
    </w:p>
    <w:p>
      <w:pPr>
        <w:spacing w:before="160" w:after="40" w:line="240" w:lineRule="auto"/>
      </w:pPr>
      <w:r>
        <w:rPr>
          <w:b/>
        </w:rPr>
        <w:t xml:space="preserve">[636] </w:t>
      </w:r>
      <w:hyperlink r:id="rId1067">
        <w:r>
          <w:rPr>
            <w:color w:val="1155CC"/>
            <w:u w:val="single"/>
          </w:rPr>
          <w:t>绘制几何复杂空间中生命差异和进化制约因素图</w:t>
        </w:r>
      </w:hyperlink>
    </w:p>
    <w:p>
      <w:pPr>
        <w:spacing w:before="0" w:after="80"/>
      </w:pPr>
      <w:r>
        <w:rPr>
          <w:i/>
          <w:sz w:val="20"/>
        </w:rPr>
        <w:t>EN: Mapping life’s disparity and evolutionary constraints in a geometric complexity space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68">
        <w:r>
          <w:rPr>
            <w:color w:val="1155CC"/>
            <w:u w:val="single"/>
          </w:rPr>
          <w:t>10.1126/sciadv.aea6945</w:t>
        </w:r>
      </w:hyperlink>
    </w:p>
    <w:p>
      <w:pPr>
        <w:spacing w:before="0" w:after="120"/>
      </w:pPr>
      <w:r>
        <w:rPr>
          <w:b/>
        </w:rPr>
        <w:t xml:space="preserve">Notes: </w:t>
      </w:r>
      <w:r>
        <w:t>abstract_source=crossref</w:t>
      </w:r>
    </w:p>
    <w:p>
      <w:pPr>
        <w:spacing w:before="0" w:after="80" w:lineRule="auto" w:line="276"/>
      </w:pPr>
      <w:r>
        <w:rPr>
          <w:b/>
        </w:rPr>
        <w:t xml:space="preserve">摘要（ZH）: </w:t>
      </w:r>
      <w:r>
        <w:t>地球生物圈呈现了显著的多样性,但生命的全部形态范围和界限基本上仍未探索。 在这里,我们开发了一个几何复杂空间,用身体质量和结构密度和异质的分形描述符来比较所有已知的单细胞和多细胞的植物。 通过对大量现存生物形状应用这一方法,我们发现生命利用了一小部分结构可能性,围绕线性、四舍五入和密集结构形式进行分组,同时始终避免复杂的异形。 我们表明,这种限制是生理、代谢和发育方面的深度限制造成的,这些限制是由身体大小和生态生活方式的演变形成的。</w:t>
      </w:r>
    </w:p>
    <w:p>
      <w:pPr>
        <w:spacing w:before="0" w:after="200" w:lineRule="auto" w:line="276"/>
      </w:pPr>
      <w:r>
        <w:rPr>
          <w:b/>
        </w:rPr>
        <w:t xml:space="preserve">Abstract (EN): </w:t>
      </w:r>
      <w:r>
        <w:t>The Earth’s biosphere exhibits a notable diversity of forms, yet the full morphological extent and limits of life remain largely unexplored. Here, we develop a geometric complexity space for comparing all known unicellular and multicellular phyla using fractal descriptors of the density and heterogeneity of body mass and structure. By applying this approach to a large set of extant biological shapes, we show that life exploits a tiny portion of structural possibilities, clustering around linear, rounded, and densely structured forms, while consistently avoiding complex heteromorphic ones. We show that this restriction results from deep physical, metabolic, and developmental limitations, shaped over geological time by the evolution of body size and ecological lifestyle. Our findings provide a global, quantitative perspective on the long-standing interplay between chance and necessity in evolution, with implications for the expected forms of life beyond Earth.</w:t>
      </w:r>
    </w:p>
    <w:p>
      <w:pPr>
        <w:spacing w:before="120" w:after="120"/>
      </w:pPr>
      <w:r>
        <w:rPr>
          <w:sz w:val="18"/>
        </w:rPr>
        <w:t>——————————————————————————————————————————————————————————————————————</w:t>
      </w:r>
    </w:p>
    <w:p>
      <w:pPr>
        <w:spacing w:before="160" w:after="40" w:line="240" w:lineRule="auto"/>
      </w:pPr>
      <w:r>
        <w:rPr>
          <w:b/>
        </w:rPr>
        <w:t xml:space="preserve">[637] </w:t>
      </w:r>
      <w:hyperlink r:id="rId1069">
        <w:r>
          <w:rPr>
            <w:color w:val="1155CC"/>
            <w:u w:val="single"/>
          </w:rPr>
          <w:t>受神经结构和塑料突触所启发的普通软机器人控制器,该神经结构和塑料突触可适应不同的手臂、任务和扰动</w:t>
        </w:r>
      </w:hyperlink>
    </w:p>
    <w:p>
      <w:pPr>
        <w:spacing w:before="0" w:after="80"/>
      </w:pPr>
      <w:r>
        <w:rPr>
          <w:i/>
          <w:sz w:val="20"/>
        </w:rPr>
        <w:t>EN: A general soft robotic controller inspired by neuronal structural and plastic synapses that adapts to diverse arms, tasks, and perturbations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70">
        <w:r>
          <w:rPr>
            <w:color w:val="1155CC"/>
            <w:u w:val="single"/>
          </w:rPr>
          <w:t>10.1126/sciadv.aea3712</w:t>
        </w:r>
      </w:hyperlink>
    </w:p>
    <w:p>
      <w:pPr>
        <w:spacing w:before="0" w:after="120"/>
      </w:pPr>
      <w:r>
        <w:rPr>
          <w:b/>
        </w:rPr>
        <w:t xml:space="preserve">Notes: </w:t>
      </w:r>
      <w:r>
        <w:t>abstract_source=crossref</w:t>
      </w:r>
    </w:p>
    <w:p>
      <w:pPr>
        <w:spacing w:before="0" w:after="80" w:lineRule="auto" w:line="276"/>
      </w:pPr>
      <w:r>
        <w:rPr>
          <w:b/>
        </w:rPr>
        <w:t xml:space="preserve">摘要（ZH）: </w:t>
      </w:r>
      <w:r>
        <w:t>人类的智能来自符合要求的形态学与能够适应性学习的认知系统之间的相互作用。软机器人表现出类似的机械性合规性,但它们仍然需要能够贯穿各种任务和适应未知条件的学习能力。我们提出了一个神经受启发的控制框架,将双对的离线离线分解与学习的收缩度尺度结合起来。离线“结构突触”编码了任务-认知特征,而在线“塑料突触”则是根据与长期强力和抑郁度相一致的错误定型规则更新的配置特定参数。收缩指标是一种自制抑制,提供了稳定性保障。我们验证了我们对电缆驱动和形状模拟的方法。我们验证了我们对电缆驱动和形状模拟的方法。</w:t>
      </w:r>
    </w:p>
    <w:p>
      <w:pPr>
        <w:spacing w:before="0" w:after="200" w:lineRule="auto" w:line="276"/>
      </w:pPr>
      <w:r>
        <w:rPr>
          <w:b/>
        </w:rPr>
        <w:t xml:space="preserve">Abstract (EN): </w:t>
      </w:r>
      <w:r>
        <w:t>Human intelligence arises from the interplay between a compliant morphology and a cognitive system that is capable of adaptive learning. Soft robots exhibit similar mechanical compliance, but they still need learning capabilities that can be generalized across tasks and adapted to unknown conditions. We present a neuron-inspired control framework that couples a paired offline-online decomposition with a learned contraction metric. Offline “structural synapses” encode task-agnostic features, while online “plastic synapses” are configuration-specific parameters updated by error-gated rules consistent with long-term potentiation and depression. The contraction metric serves as a homeostatic constraint, providing a stability guarantee. We validate our approach on cable-driven and shape-memory-alloy soft arms across trajectory tracking, pick-and-place, and whole-body shaping tasks. Compared with baseline methods, our approach reduces tracking error by 44 to 55% and maintains more than 92% shape accuracy under perturbations, including varying payloads, dynamic airflow, and actuator failures. These results establish a general controller that adapts to diverse soft arms, tasks, and perturbations.</w:t>
      </w:r>
    </w:p>
    <w:p>
      <w:pPr>
        <w:spacing w:before="120" w:after="120"/>
      </w:pPr>
      <w:r>
        <w:rPr>
          <w:sz w:val="18"/>
        </w:rPr>
        <w:t>——————————————————————————————————————————————————————————————————————</w:t>
      </w:r>
    </w:p>
    <w:p>
      <w:pPr>
        <w:spacing w:before="160" w:after="40" w:line="240" w:lineRule="auto"/>
      </w:pPr>
      <w:r>
        <w:rPr>
          <w:b/>
        </w:rPr>
        <w:t xml:space="preserve">[638] </w:t>
      </w:r>
      <w:hyperlink r:id="rId1071">
        <w:r>
          <w:rPr>
            <w:color w:val="1155CC"/>
            <w:u w:val="single"/>
          </w:rPr>
          <w:t>具有高性能粘附和接触适应性且具有高性能的受生物启发的跨中型壁攀爬机器人</w:t>
        </w:r>
      </w:hyperlink>
    </w:p>
    <w:p>
      <w:pPr>
        <w:spacing w:before="0" w:after="80"/>
      </w:pPr>
      <w:r>
        <w:rPr>
          <w:i/>
          <w:sz w:val="20"/>
        </w:rPr>
        <w:t>EN: Bioinspired cross-medium wall-climbing robot with high-performance adhesion and contact adaptability</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72">
        <w:r>
          <w:rPr>
            <w:color w:val="1155CC"/>
            <w:u w:val="single"/>
          </w:rPr>
          <w:t>10.1126/sciadv.aea8014</w:t>
        </w:r>
      </w:hyperlink>
    </w:p>
    <w:p>
      <w:pPr>
        <w:spacing w:before="0" w:after="120"/>
      </w:pPr>
      <w:r>
        <w:rPr>
          <w:b/>
        </w:rPr>
        <w:t xml:space="preserve">Notes: </w:t>
      </w:r>
      <w:r>
        <w:t>abstract_source=crossref</w:t>
      </w:r>
    </w:p>
    <w:p>
      <w:pPr>
        <w:spacing w:before="0" w:after="80" w:lineRule="auto" w:line="276"/>
      </w:pPr>
      <w:r>
        <w:rPr>
          <w:b/>
        </w:rPr>
        <w:t xml:space="preserve">摘要（ZH）: </w:t>
      </w:r>
      <w:r>
        <w:t>在空间封闭、高风险或放射性环境中执行重复性或具有挑战性的任务时,利用无数附加/牵制机制取代人类,以墙壁攀爬机器人(WCRs),在空间封闭、高风险或放射性环境中执行重复性或具有挑战性的任务,引起了相当大的研究兴趣,然而,其应用仍然局限于环境和地表特定情景,为此,我们展示了一种可接触适应、可剥皮、耐剥皮和跨中度的WCR(WCRs),结合了壁岩和章鱼启发的自适应性硬软混合轨道。在机器人轨道上的空心蘑菇状粘性微结构(HMSSMs),同时将壁炉和章鱼的粘合结构形态和继承其功能结合起来。</w:t>
      </w:r>
    </w:p>
    <w:p>
      <w:pPr>
        <w:spacing w:before="0" w:after="200" w:lineRule="auto" w:line="276"/>
      </w:pPr>
      <w:r>
        <w:rPr>
          <w:b/>
        </w:rPr>
        <w:t xml:space="preserve">Abstract (EN): </w:t>
      </w:r>
      <w:r>
        <w:t>Wall-climbing robots (WCRs) using numerous attachment/grasping mechanisms replace humans in executing repetitive or challenging tasks in space-confined, high-risk, or radioactive environments, garnering substantial research interest. Nevertheless, their application remains limited to environment- and surface-specific scenarios. To this end, we present a contact-adaptable, peeling-resistant, and cross-medium WCR integrated with gecko- and octopus-inspired self-adaptive rigid-soft hybrid tracks. The hollow mushroom-shaped adhesive microstructures (HMSAMSs) on the robot tracks simultaneously couple the adhesive structural morphologies of gecko and octopus as well as inherit their functions. These microstructures demonstrate superior normal and tangential adhesion forces and adhesion-to-preload ratios in dry and underwater environments, endowing the WCR with stable cross-medium performance. Furthermore, we construct discrete HMSAMS patches and rigid-soft components in robot track, respectively mimicking biological adhesion’s mechanical decoupling and bone-muscle functions, which effectively prevent interface crack propagation, improve peeling threshold, and enhance contact adaptability. The WCR with aforementioned advantages substantially adapts to diverse material surfaces in complex multimedia environments, accelerating its universal application.</w:t>
      </w:r>
    </w:p>
    <w:p>
      <w:pPr>
        <w:spacing w:before="120" w:after="120"/>
      </w:pPr>
      <w:r>
        <w:rPr>
          <w:sz w:val="18"/>
        </w:rPr>
        <w:t>——————————————————————————————————————————————————————————————————————</w:t>
      </w:r>
    </w:p>
    <w:p>
      <w:pPr>
        <w:spacing w:before="160" w:after="40" w:line="240" w:lineRule="auto"/>
      </w:pPr>
      <w:r>
        <w:rPr>
          <w:b/>
        </w:rPr>
        <w:t xml:space="preserve">[639] </w:t>
      </w:r>
      <w:hyperlink r:id="rId1073">
        <w:r>
          <w:rPr>
            <w:color w:val="1155CC"/>
            <w:u w:val="single"/>
          </w:rPr>
          <w:t>Dome A的第一亚毫米灯光:在大规模恒星反馈中追踪碳循环</w:t>
        </w:r>
      </w:hyperlink>
    </w:p>
    <w:p>
      <w:pPr>
        <w:spacing w:before="0" w:after="80"/>
      </w:pPr>
      <w:r>
        <w:rPr>
          <w:i/>
          <w:sz w:val="20"/>
        </w:rPr>
        <w:t>EN: First submillimeter lights from Dome A: Tracing the carbon cycle in the feedback of massive stars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74">
        <w:r>
          <w:rPr>
            <w:color w:val="1155CC"/>
            <w:u w:val="single"/>
          </w:rPr>
          <w:t>10.1126/sciadv.aea9433</w:t>
        </w:r>
      </w:hyperlink>
    </w:p>
    <w:p>
      <w:pPr>
        <w:spacing w:before="0" w:after="120"/>
      </w:pPr>
      <w:r>
        <w:rPr>
          <w:b/>
        </w:rPr>
        <w:t xml:space="preserve">Notes: </w:t>
      </w:r>
      <w:r>
        <w:t>abstract_source=crossref</w:t>
      </w:r>
    </w:p>
    <w:p>
      <w:pPr>
        <w:spacing w:before="0" w:after="80" w:lineRule="auto" w:line="276"/>
      </w:pPr>
      <w:r>
        <w:rPr>
          <w:b/>
        </w:rPr>
        <w:t xml:space="preserve">摘要（ZH）: </w:t>
      </w:r>
      <w:r>
        <w:t>碳在其离子化、原子和分子阶段之间循环的碳循环决定了星际介质(ISM)的化学构成和物理条件。然而,对全碳循环的地面研究受到大气吸收的限制。Dome A是最有前景的亚毫米天文学场所,长期以来一直无法成功进行亚毫米天文学观测。我们利用60厘米的南极地铁赫兹探险器,展示了第一个成功的CO(4-3)和[CI](P1 3)</w:t>
      </w:r>
    </w:p>
    <w:p>
      <w:pPr>
        <w:spacing w:before="0" w:after="200" w:lineRule="auto" w:line="276"/>
      </w:pPr>
      <w:r>
        <w:rPr>
          <w:b/>
        </w:rPr>
        <w:t xml:space="preserve">Abstract (EN): </w:t>
      </w:r>
      <w:r>
        <w:t>The cycling of carbon between its ionized, atomic, and molecular phases shapes the chemical compositions and physical conditions of the interstellar medium (ISM). However, ground-based studies of the full carbon cycle have been limited by atmospheric absorption. Dome A, the most promising site for submillimeter astronomy, has long resisted successful submillimeter astronomical observations. Using the 60-centimeter Antarctic Terahertz Explorer, we present the first successful CO (4-3) and [CI] (</w:t>
      </w:r>
      <w:r>
        <w:t xml:space="preserve"> </w:t>
      </w:r>
      <w:r>
        <w:t>P</w:t>
      </w:r>
      <w:r>
        <w:rPr>
          <w:vertAlign w:val="subscript"/>
        </w:rPr>
        <w:t>1</w:t>
      </w:r>
      <w:r>
        <w:t xml:space="preserve"> </w:t>
      </w:r>
      <w:r>
        <w:rPr>
          <w:vertAlign w:val="subscript"/>
        </w:rPr>
        <w:t>3</w:t>
      </w:r>
      <w:r>
        <w:t xml:space="preserve"> </w:t>
      </w:r>
      <w:r>
        <w:t>−</w:t>
      </w:r>
      <w:r>
        <w:t xml:space="preserve"> </w:t>
      </w:r>
      <w:r>
        <w:t>P</w:t>
      </w:r>
      <w:r>
        <w:rPr>
          <w:vertAlign w:val="subscript"/>
        </w:rPr>
        <w:t>0</w:t>
      </w:r>
      <w:r>
        <w:t xml:space="preserve"> </w:t>
      </w:r>
      <w:r>
        <w:rPr>
          <w:vertAlign w:val="subscript"/>
        </w:rPr>
        <w:t>3</w:t>
      </w:r>
      <w:r>
        <w:t xml:space="preserve"> </w:t>
      </w:r>
      <w:r>
        <w:t>) mapping observations of two archetypal triggered massive star-formation regions at Dome A. These data, together with archival [CII], provide the first complete characterization of all three carbon phases in these environments. We find elevated C</w:t>
      </w:r>
      <w:r>
        <w:rPr>
          <w:vertAlign w:val="subscript"/>
        </w:rPr>
        <w:t>0</w:t>
      </w:r>
      <w:r>
        <w:t>/CO abundance ratios in high-extinction regions, plausibly driven by deep penetration of intense radiation fields from massive stars into a clumpy ISM. These findings mark a major milestone for submillimeter astronomy at Dome A and offer valuable insights into the impact of massive star feedback on the surrounding ISM.</w:t>
      </w:r>
    </w:p>
    <w:p>
      <w:pPr>
        <w:spacing w:before="120" w:after="120"/>
      </w:pPr>
      <w:r>
        <w:rPr>
          <w:sz w:val="18"/>
        </w:rPr>
        <w:t>——————————————————————————————————————————————————————————————————————</w:t>
      </w:r>
    </w:p>
    <w:p>
      <w:pPr>
        <w:spacing w:before="160" w:after="40" w:line="240" w:lineRule="auto"/>
      </w:pPr>
      <w:r>
        <w:rPr>
          <w:b/>
        </w:rPr>
        <w:t xml:space="preserve">[640] </w:t>
      </w:r>
      <w:hyperlink r:id="rId1075">
        <w:r>
          <w:rPr>
            <w:color w:val="1155CC"/>
            <w:u w:val="single"/>
          </w:rPr>
          <w:t>Arbo病毒操纵大米的挥发性排放,保护昆虫病媒免受野外自然敌人的侵害</w:t>
        </w:r>
      </w:hyperlink>
    </w:p>
    <w:p>
      <w:pPr>
        <w:spacing w:before="0" w:after="80"/>
      </w:pPr>
      <w:r>
        <w:rPr>
          <w:i/>
          <w:sz w:val="20"/>
        </w:rPr>
        <w:t>EN: Arboviruses manipulate rice’s volatile emissions, protecting insect vectors from natural enemies in the field</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76">
        <w:r>
          <w:rPr>
            <w:color w:val="1155CC"/>
            <w:u w:val="single"/>
          </w:rPr>
          <w:t>10.1126/sciadv.aeb5215</w:t>
        </w:r>
      </w:hyperlink>
    </w:p>
    <w:p>
      <w:pPr>
        <w:spacing w:before="0" w:after="120"/>
      </w:pPr>
      <w:r>
        <w:rPr>
          <w:b/>
        </w:rPr>
        <w:t xml:space="preserve">Notes: </w:t>
      </w:r>
      <w:r>
        <w:t>abstract_source=crossref</w:t>
      </w:r>
    </w:p>
    <w:p>
      <w:pPr>
        <w:spacing w:before="0" w:after="80" w:lineRule="auto" w:line="276"/>
      </w:pPr>
      <w:r>
        <w:rPr>
          <w:b/>
        </w:rPr>
        <w:t xml:space="preserve">摘要（ZH）: </w:t>
      </w:r>
      <w:r>
        <w:t>病媒传染的植物病毒依赖昆虫病媒进行传播,并往往抑制限制病媒生存和扩散的宿主防御。然而,它们对于挥发性间接防御的影响仍然不清楚。这里我们表明,稻谷病毒抑制了甲基硅酸盐(MesSA)排放,损害寄生虫的招募,并促使病媒的持久性。实地实验表明,草原诱发的主要诱发性挥发性,通过吸引卵寄生虫来抑制病媒种群。病毒通过针对基本Helix-loop-helix转录因子OsMYC2、一个麻风酸信号中心,从而降低对OSBSMMT1和MesSA生物合成的调控,从而保护了各种水稻病毒和病媒物种之间的反应。</w:t>
      </w:r>
    </w:p>
    <w:p>
      <w:pPr>
        <w:spacing w:before="0" w:after="200" w:lineRule="auto" w:line="276"/>
      </w:pPr>
      <w:r>
        <w:rPr>
          <w:b/>
        </w:rPr>
        <w:t xml:space="preserve">Abstract (EN): </w:t>
      </w:r>
      <w:r>
        <w:t>Vector-borne plant viruses depend on insect vectors for transmission and often suppress host defenses that limit vector survival and spread. However, their impact on volatile-mediated indirect defenses remains unclear. Here, we show that rice viruses inhibit methyl salicylate (MeSA) emission, impairing parasitoid recruitment and promoting vector persistence. Field experiments demonstrate that MeSA, a key herbivore-induced volatile, suppresses vector populations by attracting egg parasitoids. Viruses counter this by targeting basic-helix-loop-helix transcription factor OsMYC2, a jasmonic acid signaling hub, thereby down-regulating</w:t>
      </w:r>
      <w:r>
        <w:t xml:space="preserve"> </w:t>
      </w:r>
      <w:r>
        <w:t>OsBSMT1</w:t>
      </w:r>
      <w:r>
        <w:t xml:space="preserve"> </w:t>
      </w:r>
      <w:r>
        <w:t>and MeSA biosynthesis, responses conserved across diverse rice viruses and vector species. MeSA applications in the field restore parasitoid-mediated vector suppression, highlighting its potential for sustainable disease control. MeSA is a central ecological signal in a previously unidentified viral strategy that enhances transmission.</w:t>
      </w:r>
    </w:p>
    <w:p>
      <w:pPr>
        <w:spacing w:before="120" w:after="120"/>
      </w:pPr>
      <w:r>
        <w:rPr>
          <w:sz w:val="18"/>
        </w:rPr>
        <w:t>——————————————————————————————————————————————————————————————————————</w:t>
      </w:r>
    </w:p>
    <w:p>
      <w:pPr>
        <w:spacing w:before="160" w:after="40" w:line="240" w:lineRule="auto"/>
      </w:pPr>
      <w:r>
        <w:rPr>
          <w:b/>
        </w:rPr>
        <w:t xml:space="preserve">[641] </w:t>
      </w:r>
      <w:hyperlink r:id="rId1077">
        <w:r>
          <w:rPr>
            <w:color w:val="1155CC"/>
            <w:u w:val="single"/>
          </w:rPr>
          <w:t>超过平均数:北极极端为何重要</w:t>
        </w:r>
      </w:hyperlink>
    </w:p>
    <w:p>
      <w:pPr>
        <w:spacing w:before="0" w:after="80"/>
      </w:pPr>
      <w:r>
        <w:rPr>
          <w:i/>
          <w:sz w:val="20"/>
        </w:rPr>
        <w:t>EN: Beyond averages: Why Arctic extremes matter</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78">
        <w:r>
          <w:rPr>
            <w:color w:val="1155CC"/>
            <w:u w:val="single"/>
          </w:rPr>
          <w:t>10.1126/sciadv.aee7980</w:t>
        </w:r>
      </w:hyperlink>
    </w:p>
    <w:p>
      <w:pPr>
        <w:spacing w:before="0" w:after="120"/>
      </w:pPr>
      <w:r>
        <w:rPr>
          <w:b/>
        </w:rPr>
        <w:t xml:space="preserve">Notes: </w:t>
      </w:r>
      <w:r>
        <w:t>abstract_source=crossref</w:t>
      </w:r>
    </w:p>
    <w:p>
      <w:pPr>
        <w:spacing w:before="0" w:after="80" w:lineRule="auto" w:line="276"/>
      </w:pPr>
      <w:r>
        <w:rPr>
          <w:b/>
        </w:rPr>
        <w:t xml:space="preserve">摘要（ZH）: </w:t>
      </w:r>
      <w:r>
        <w:t>北极极端——不仅是逐步的趋势——正在改变生态系统,持续监测对于发现、了解和应对这些变革性事件至关重要。</w:t>
      </w:r>
    </w:p>
    <w:p>
      <w:pPr>
        <w:spacing w:before="0" w:after="200" w:lineRule="auto" w:line="276"/>
      </w:pPr>
      <w:r>
        <w:rPr>
          <w:b/>
        </w:rPr>
        <w:t xml:space="preserve">Abstract (EN): </w:t>
      </w:r>
      <w:r>
        <w:t>Arctic extremes—not only gradual trends—are reshaping ecosystems. Sustained monitoring is vital to detect, understand, and respond to these transformative events.</w:t>
      </w:r>
    </w:p>
    <w:p>
      <w:pPr>
        <w:spacing w:before="120" w:after="120"/>
      </w:pPr>
      <w:r>
        <w:rPr>
          <w:sz w:val="18"/>
        </w:rPr>
        <w:t>——————————————————————————————————————————————————————————————————————</w:t>
      </w:r>
    </w:p>
    <w:p>
      <w:pPr>
        <w:spacing w:before="160" w:after="40" w:line="240" w:lineRule="auto"/>
      </w:pPr>
      <w:r>
        <w:rPr>
          <w:b/>
        </w:rPr>
        <w:t xml:space="preserve">[642] </w:t>
      </w:r>
      <w:hyperlink r:id="rId1079">
        <w:r>
          <w:rPr>
            <w:color w:val="1155CC"/>
            <w:u w:val="single"/>
          </w:rPr>
          <w:t>通过TGF-β信号器进行肺部修复</w:t>
        </w:r>
      </w:hyperlink>
    </w:p>
    <w:p>
      <w:pPr>
        <w:spacing w:before="0" w:after="80"/>
      </w:pPr>
      <w:r>
        <w:rPr>
          <w:i/>
          <w:sz w:val="20"/>
        </w:rPr>
        <w:t>EN: Control of airway basal stem cell–mediated lung repair by TGF-β signaling</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80">
        <w:r>
          <w:rPr>
            <w:color w:val="1155CC"/>
            <w:u w:val="single"/>
          </w:rPr>
          <w:t>10.1126/sciadv.adz1519</w:t>
        </w:r>
      </w:hyperlink>
    </w:p>
    <w:p>
      <w:pPr>
        <w:spacing w:before="0" w:after="120"/>
      </w:pPr>
      <w:r>
        <w:rPr>
          <w:b/>
        </w:rPr>
        <w:t xml:space="preserve">Notes: </w:t>
      </w:r>
      <w:r>
        <w:t>abstract_source=crossref</w:t>
      </w:r>
    </w:p>
    <w:p>
      <w:pPr>
        <w:spacing w:before="0" w:after="80" w:lineRule="auto" w:line="276"/>
      </w:pPr>
      <w:r>
        <w:rPr>
          <w:b/>
        </w:rPr>
        <w:t xml:space="preserve">摘要（ZH）: </w:t>
      </w:r>
      <w:r>
        <w:t>在肺部严重损伤后,空气路管管干细胞(BCs)被确认为常住干细胞,负责重组上皮屏障,并区分成多种上皮细胞类型;然而,受伤肺部微环境用于调节不列颠哥伦比亚介导肺部修复的机制尚不清楚;在这里,我们表明,不列颠哥伦比亚可以感知到受伤肺免疫微环境的活性改变生长因子(TGF-β)梯度。针对脊髓灰质切除(PROTAC)的蛋白解干扰了TGF-β信号,导致细胞在移植到阿尔维拉尔地区后出现高血压和屏障功能丧失。</w:t>
      </w:r>
    </w:p>
    <w:p>
      <w:pPr>
        <w:spacing w:before="0" w:after="200" w:lineRule="auto" w:line="276"/>
      </w:pPr>
      <w:r>
        <w:rPr>
          <w:b/>
        </w:rPr>
        <w:t xml:space="preserve">Abstract (EN): </w:t>
      </w:r>
      <w:r>
        <w:t>Airway basal stem cells (BCs) are recognized as resident stem cells responsible for reconstituting epithelial barriers and differentiating into multiple epithelial cell types following severe lung injury. However, the mechanism that the injured lung microenvironment uses to modulate BC-mediated lung repair remains unclear. Here, we showed that the profibrotic transforming growth factor–β (TGF-β) gradient from the injured lung immune microenvironment can be sensed by BCs. Targeted degradation of Smad2/3 in human BCs via proteolysis targeting chimera (PROTAC) disrupted TGF-β signaling, causing cell hyperplasia and barrier function loss after being transplanted into the alveolar area. Genetic ablation of the TGF-β receptor or</w:t>
      </w:r>
      <w:r>
        <w:t xml:space="preserve"> </w:t>
      </w:r>
      <w:r>
        <w:t>Smad4</w:t>
      </w:r>
      <w:r>
        <w:t xml:space="preserve"> </w:t>
      </w:r>
      <w:r>
        <w:t>in mouse BCs impaired multilineage differentiation and suppressed migration to the alveolar injury site. These data indicated that TGF-β signaling is essential for BC-mediated lung repair. Moreover, we genetically engineered human BCs to release antifibrotic bone morphogenetic protein 7 (BMP7) in response to microenvironmental TGF-β stimulation. Transplantation of this iBMP7-BC enhanced lung repair and reduced fibrosis. Collectively, this study delineates how TGF-β governs BC behavior and provides a microenvironment-responsive cell therapeutic strategy for pulmonary fibrosis.</w:t>
      </w:r>
    </w:p>
    <w:p>
      <w:pPr>
        <w:spacing w:before="120" w:after="120"/>
      </w:pPr>
      <w:r>
        <w:rPr>
          <w:sz w:val="18"/>
        </w:rPr>
        <w:t>——————————————————————————————————————————————————————————————————————</w:t>
      </w:r>
    </w:p>
    <w:p>
      <w:pPr>
        <w:spacing w:before="160" w:after="40" w:line="240" w:lineRule="auto"/>
      </w:pPr>
      <w:r>
        <w:rPr>
          <w:b/>
        </w:rPr>
        <w:t xml:space="preserve">[643] </w:t>
      </w:r>
      <w:hyperlink r:id="rId1081">
        <w:r>
          <w:rPr>
            <w:color w:val="1155CC"/>
            <w:u w:val="single"/>
          </w:rPr>
          <w:t>为高效二氧化碳捕获而具有超per湿度和超选择性的可缩缩纳米松缩的离子液体膜膜</w:t>
        </w:r>
      </w:hyperlink>
    </w:p>
    <w:p>
      <w:pPr>
        <w:spacing w:before="0" w:after="80"/>
      </w:pPr>
      <w:r>
        <w:rPr>
          <w:i/>
          <w:sz w:val="20"/>
        </w:rPr>
        <w:t>EN: Scalable nanoconfined ionic liquid membranes with ultrapermeance and ultraselectivity for efficient CO2 capture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82">
        <w:r>
          <w:rPr>
            <w:color w:val="1155CC"/>
            <w:u w:val="single"/>
          </w:rPr>
          <w:t>10.1126/sciadv.aea1329</w:t>
        </w:r>
      </w:hyperlink>
    </w:p>
    <w:p>
      <w:pPr>
        <w:spacing w:before="0" w:after="120"/>
      </w:pPr>
      <w:r>
        <w:rPr>
          <w:b/>
        </w:rPr>
        <w:t xml:space="preserve">Notes: </w:t>
      </w:r>
      <w:r>
        <w:t>abstract_source=crossref</w:t>
      </w:r>
    </w:p>
    <w:p>
      <w:pPr>
        <w:spacing w:before="0" w:after="80" w:lineRule="auto" w:line="276"/>
      </w:pPr>
      <w:r>
        <w:rPr>
          <w:b/>
        </w:rPr>
        <w:t xml:space="preserve">摘要（ZH）: </w:t>
      </w:r>
      <w:r>
        <w:t>支持的离子液体膜( ionic 液态膜 ) ( SILMs ) 具有吸引气体分离的吸引力, 考虑到金枪鱼的可耐性、高气体选择性和制造的易易易性。 但是,由于SILM的内在不稳定性限制了它们的实际用途。 在这里,我们设计、制造和调查了一种超透渗透性、超选择性和稳定的纳米封闭离子液( NCIL)膜,以便高效捕获二氧化碳2。 具体来说,一个薄薄的、开放的和统一的纳米封闭的单壁碳纳米管网络与高CO2 — 选择性离子液体载体结合,使得1,654 GP和CO2/N2的高级CO2渗透能力得以实现。</w:t>
      </w:r>
    </w:p>
    <w:p>
      <w:pPr>
        <w:spacing w:before="0" w:after="200" w:lineRule="auto" w:line="276"/>
      </w:pPr>
      <w:r>
        <w:rPr>
          <w:b/>
        </w:rPr>
        <w:t xml:space="preserve">Abstract (EN): </w:t>
      </w:r>
      <w:r>
        <w:t>Supported ionic liquid membranes (SILMs) stand attractive for gas separation considering the tunability, high gas selectivity, and ease of fabrication. However, the intrinsic instability of SILMs limited their practical use. Here, we designed, fabricated, and investigated an ultrapermeable, ultraselective, and stable nanoconfined ionic liquid (NCIL) membrane for highly efficient CO</w:t>
      </w:r>
      <w:r>
        <w:rPr>
          <w:vertAlign w:val="subscript"/>
        </w:rPr>
        <w:t>2</w:t>
      </w:r>
      <w:r>
        <w:t>capture. Specifically, the combination of a thin, open, and uniform nanoconfined network of single-walled carbon nanotube with highly CO</w:t>
      </w:r>
      <w:r>
        <w:rPr>
          <w:vertAlign w:val="subscript"/>
        </w:rPr>
        <w:t>2</w:t>
      </w:r>
      <w:r>
        <w:t>–selective ionic liquid carrier enabled the superior CO</w:t>
      </w:r>
      <w:r>
        <w:rPr>
          <w:vertAlign w:val="subscript"/>
        </w:rPr>
        <w:t>2</w:t>
      </w:r>
      <w:r>
        <w:t>permeance of 1654 GPU and CO</w:t>
      </w:r>
      <w:r>
        <w:rPr>
          <w:vertAlign w:val="subscript"/>
        </w:rPr>
        <w:t>2</w:t>
      </w:r>
      <w:r>
        <w:t>/N</w:t>
      </w:r>
      <w:r>
        <w:rPr>
          <w:vertAlign w:val="subscript"/>
        </w:rPr>
        <w:t>2</w:t>
      </w:r>
      <w:r>
        <w:t>selectivity of 1132, surpassing most state-of-the-art facilitated transport membranes. The scale-up potential of the NCIL membrane was demonstrated under simulated natural gas flue gas conditions, achieving CO</w:t>
      </w:r>
      <w:r>
        <w:rPr>
          <w:vertAlign w:val="subscript"/>
        </w:rPr>
        <w:t>2</w:t>
      </w:r>
      <w:r>
        <w:t>enrichment from 4.2 to 98% in a single step. Given the processability and scalability of NCIL membrane, this work affirms the industrial potential of SILMs and offers a viable strategy for designing and fabricating stable SILMs for gas separation.</w:t>
      </w:r>
    </w:p>
    <w:p>
      <w:pPr>
        <w:spacing w:before="120" w:after="120"/>
      </w:pPr>
      <w:r>
        <w:rPr>
          <w:sz w:val="18"/>
        </w:rPr>
        <w:t>——————————————————————————————————————————————————————————————————————</w:t>
      </w:r>
    </w:p>
    <w:p>
      <w:pPr>
        <w:spacing w:before="160" w:after="40" w:line="240" w:lineRule="auto"/>
      </w:pPr>
      <w:r>
        <w:rPr>
          <w:b/>
        </w:rPr>
        <w:t xml:space="preserve">[644] </w:t>
      </w:r>
      <w:hyperlink r:id="rId1083">
        <w:r>
          <w:rPr>
            <w:color w:val="1155CC"/>
            <w:u w:val="single"/>
          </w:rPr>
          <w:t>ERα激活 NAPPT/IL33 信号,以加强蜜蜂热产生和代谢健身</w:t>
        </w:r>
      </w:hyperlink>
    </w:p>
    <w:p>
      <w:pPr>
        <w:spacing w:before="0" w:after="80"/>
      </w:pPr>
      <w:r>
        <w:rPr>
          <w:i/>
          <w:sz w:val="20"/>
        </w:rPr>
        <w:t>EN: ERα activates NAMPT/IL-33 signaling to enhance beige thermogenesis and metabolic fitness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84">
        <w:r>
          <w:rPr>
            <w:color w:val="1155CC"/>
            <w:u w:val="single"/>
          </w:rPr>
          <w:t>10.1126/sciadv.adz1385</w:t>
        </w:r>
      </w:hyperlink>
    </w:p>
    <w:p>
      <w:pPr>
        <w:spacing w:before="0" w:after="120"/>
      </w:pPr>
      <w:r>
        <w:rPr>
          <w:b/>
        </w:rPr>
        <w:t xml:space="preserve">Notes: </w:t>
      </w:r>
      <w:r>
        <w:t>abstract_source=crossref</w:t>
      </w:r>
    </w:p>
    <w:p>
      <w:pPr>
        <w:spacing w:before="0" w:after="80" w:lineRule="auto" w:line="276"/>
      </w:pPr>
      <w:r>
        <w:rPr>
          <w:b/>
        </w:rPr>
        <w:t xml:space="preserve">摘要（ZH）: </w:t>
      </w:r>
      <w:r>
        <w:t>白脂肪组织(WAT)内出现的热诱发脂肪细胞是白脂肪组织(WAT)内无法吸收的热诱发脂肪细胞,这些细胞是针对热性刺激而出现的,并产生代谢效益;然而,肥胖会损害Beige二子细胞的生成,其基本机制仍然不易理解。在这里,我们表明肥胖会导致WAT中的脂肪子细胞(APCs)丧失,同时导致雌激素(E2)水平和磷基磷基转移酶(NAPT)表达式的减少。与E2或尼可丁胺单核酸(NMNMN)(NMN)(NAD+)(NAD)(NAD)(NAD)(NAD)(NAD)(NAD +)前体(NAD)(NAD)(NAD +)(NAPOT)(NAPOT)(NAPOT)(NAPOT)(N(NAPOLOT)(N)(N)(NAMOT)(N(N(N)(N)(NANN)(N)(N)</w:t>
      </w:r>
    </w:p>
    <w:p>
      <w:pPr>
        <w:spacing w:before="0" w:after="200" w:lineRule="auto" w:line="276"/>
      </w:pPr>
      <w:r>
        <w:rPr>
          <w:b/>
        </w:rPr>
        <w:t xml:space="preserve">Abstract (EN): </w:t>
      </w:r>
      <w:r>
        <w:t>Beige adipocytes are inducible thermogenic fat cells that emerge within white adipose tissue (WAT) in response to thermogenic stimuli and confer metabolic benefits. However, obesity impairs the generation of beige adipocytes, and the underlying mechanisms remain poorly understood. Here, we show that obesity leads to a loss of adipose progenitor cells (APCs) in WAT, accompanied by reduced estrogen (E2) levels and nicotinamide phosphoribosyltransferase (NAMPT) expression. Supplementation with E2 or nicotinamide mononucleotide (NMN), an NAMPT-derived nicotinamide adenine dinucleotide (NAD</w:t>
      </w:r>
      <w:r>
        <w:t xml:space="preserve"> </w:t>
      </w:r>
      <w:r>
        <w:t>+</w:t>
      </w:r>
      <w:r>
        <w:t xml:space="preserve"> </w:t>
      </w:r>
      <w:r>
        <w:t>) precursor, restores beige adipogenesis in diet-induced obese mice. Mechanistically, estrogen receptor α (ERα) in APCs is required for beige fat formation by promoting</w:t>
      </w:r>
      <w:r>
        <w:t xml:space="preserve"> </w:t>
      </w:r>
      <w:r>
        <w:t>Nampt</w:t>
      </w:r>
      <w:r>
        <w:t xml:space="preserve"> </w:t>
      </w:r>
      <w:r>
        <w:t>transcription. We further demonstrate that NAMPT is both necessary and sufficient to drive APC proliferation and differentiation, with interleukin-33 (IL-33) acting downstream to mediate these effects. These findings uncover a critical ERα/NAMPT/IL-33 axis that preserves progenitor function and thermogenic capacity, offering a potential therapeutic strategy to combat obesity-induced beige fat failure and associated metabolic dysfunction.</w:t>
      </w:r>
    </w:p>
    <w:p>
      <w:pPr>
        <w:spacing w:before="120" w:after="120"/>
      </w:pPr>
      <w:r>
        <w:rPr>
          <w:sz w:val="18"/>
        </w:rPr>
        <w:t>——————————————————————————————————————————————————————————————————————</w:t>
      </w:r>
    </w:p>
    <w:p>
      <w:pPr>
        <w:spacing w:before="160" w:after="40" w:line="240" w:lineRule="auto"/>
      </w:pPr>
      <w:r>
        <w:rPr>
          <w:b/>
        </w:rPr>
        <w:t xml:space="preserve">[645] </w:t>
      </w:r>
      <w:hyperlink r:id="rId1085">
        <w:r>
          <w:rPr>
            <w:color w:val="1155CC"/>
            <w:u w:val="single"/>
          </w:rPr>
          <w:t>直线无孔不入的诱发器</w:t>
        </w:r>
      </w:hyperlink>
    </w:p>
    <w:p>
      <w:pPr>
        <w:spacing w:before="0" w:after="80"/>
      </w:pPr>
      <w:r>
        <w:rPr>
          <w:i/>
          <w:sz w:val="20"/>
        </w:rPr>
        <w:t>EN: Linear ubiquitination triggers Amph-mediated T-tubule biogenesis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86">
        <w:r>
          <w:rPr>
            <w:color w:val="1155CC"/>
            <w:u w:val="single"/>
          </w:rPr>
          <w:t>10.1126/sciadv.ady4934</w:t>
        </w:r>
      </w:hyperlink>
    </w:p>
    <w:p>
      <w:pPr>
        <w:spacing w:before="0" w:after="120"/>
      </w:pPr>
      <w:r>
        <w:rPr>
          <w:b/>
        </w:rPr>
        <w:t xml:space="preserve">Notes: </w:t>
      </w:r>
      <w:r>
        <w:t>abstract_source=crossref</w:t>
      </w:r>
    </w:p>
    <w:p>
      <w:pPr>
        <w:spacing w:before="0" w:after="80" w:lineRule="auto" w:line="276"/>
      </w:pPr>
      <w:r>
        <w:rPr>
          <w:b/>
        </w:rPr>
        <w:t xml:space="preserve">摘要（ZH）: </w:t>
      </w:r>
      <w:r>
        <w:t>T-tubules是肌肉等离子膜(T-tubules)的穿透,有助于迅速传播行动潜力,确保肌肉同步收缩。尽管它们在肌肉生理学中起着关键作用,但T-tubulule形成背后的机制仍然难以捉摸。在这里,我们确定LUBEL/RNF31,一种对线性(M1-联)无处不在负责的无处不在的E3ligase,作为Drosophilla T-tubule生物起源的关键调节器。LUBEL的丧失导致阿姆菲物理(Amph)-阳性膜床,而不是管状网络。LUBEL的紫丁线性活动以及与Amph的直接互动,一种涉及膜管状的BAR域性蛋白,对于适当的T-tubule形态至关重要。LUBEL和M1-联系的紫丁链作为管系。</w:t>
      </w:r>
    </w:p>
    <w:p>
      <w:pPr>
        <w:spacing w:before="0" w:after="200" w:lineRule="auto" w:line="276"/>
      </w:pPr>
      <w:r>
        <w:rPr>
          <w:b/>
        </w:rPr>
        <w:t xml:space="preserve">Abstract (EN): </w:t>
      </w:r>
      <w:r>
        <w:t>Transverse tubules (T-tubules) are invaginations of the muscle plasma membrane that facilitate rapid transmission of action potentials, ensuring synchronized muscle contraction. Despite their essential role in muscle physiology, the mechanisms underlying T-tubule formation remain elusive. Here, we identify LUBEL/RNF31, a ubiquitin E3 ligase responsible for linear (M1-linked) ubiquitination, as a key regulator of T-tubule biogenesis in</w:t>
      </w:r>
      <w:r>
        <w:t xml:space="preserve"> </w:t>
      </w:r>
      <w:r>
        <w:t>Drosophila</w:t>
      </w:r>
      <w:r>
        <w:t xml:space="preserve"> </w:t>
      </w:r>
      <w:r>
        <w:t>. Loss of LUBEL leads to Amphiphysin (Amph)–positive membrane sheets instead of tubular networks. The ubiquitin ligase activity of LUBEL and direct interaction with Amph, a BAR domain protein involved in membrane tubulation, are crucial for proper T-tubule morphology. LUBEL and M1-linked ubiquitin chains assemble into puncta on membranes through multivalent interactions, facilitating Amph-mediated tubulation. Notably, the Amph-LUBEL/RNF31 interaction is evolutionarily conserved across species, underscoring a fundamental role for linear ubiquitination in membrane remodeling. Our findings uncover an unexpected function of linear ubiquitination in membrane deformation driven by BAR proteins.</w:t>
      </w:r>
    </w:p>
    <w:p>
      <w:pPr>
        <w:spacing w:before="120" w:after="120"/>
      </w:pPr>
      <w:r>
        <w:rPr>
          <w:sz w:val="18"/>
        </w:rPr>
        <w:t>——————————————————————————————————————————————————————————————————————</w:t>
      </w:r>
    </w:p>
    <w:p>
      <w:pPr>
        <w:spacing w:before="160" w:after="40" w:line="240" w:lineRule="auto"/>
      </w:pPr>
      <w:r>
        <w:rPr>
          <w:b/>
        </w:rPr>
        <w:t xml:space="preserve">[646] </w:t>
      </w:r>
      <w:hyperlink r:id="rId1087">
        <w:r>
          <w:rPr>
            <w:color w:val="1155CC"/>
            <w:u w:val="single"/>
          </w:rPr>
          <w:t>用于机械敏感的心脏电电电生理学的极硬性生物电子界面</w:t>
        </w:r>
      </w:hyperlink>
    </w:p>
    <w:p>
      <w:pPr>
        <w:spacing w:before="0" w:after="80"/>
      </w:pPr>
      <w:r>
        <w:rPr>
          <w:i/>
          <w:sz w:val="20"/>
        </w:rPr>
        <w:t>EN: Ultrapliable bioelectronic interface for mechanosensitive cardiac electrophysiology</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088">
        <w:r>
          <w:rPr>
            <w:color w:val="1155CC"/>
            <w:u w:val="single"/>
          </w:rPr>
          <w:t>10.1126/sciadv.adz1253</w:t>
        </w:r>
      </w:hyperlink>
    </w:p>
    <w:p>
      <w:pPr>
        <w:spacing w:before="0" w:after="120"/>
      </w:pPr>
      <w:r>
        <w:rPr>
          <w:b/>
        </w:rPr>
        <w:t xml:space="preserve">Notes: </w:t>
      </w:r>
      <w:r>
        <w:t>abstract_source=crossref</w:t>
      </w:r>
    </w:p>
    <w:p>
      <w:pPr>
        <w:spacing w:before="0" w:after="80" w:lineRule="auto" w:line="276"/>
      </w:pPr>
      <w:r>
        <w:rPr>
          <w:b/>
        </w:rPr>
        <w:t xml:space="preserve">摘要（ZH）: </w:t>
      </w:r>
      <w:r>
        <w:t>尽管心血管细胞具有机械敏感的特性,但现有的生物电子往往表现出巨型螺旋成型。弥合组织与生物电子之间的机械不匹配对于建立与生理相关的体外心血管模型和推进疗法是不可或缺的。在这里,我们展示了具有组织匹配模量的模量(~10千帕斯卡)和可伸缩的金微电路的平台,用于对体外心脏电生理学进行长期、高纤维监测。 由软凝胶矩阵和嵌入金电路的超强纳米胶片组成,我们的装置实现了前所未有的组织整合并保存了天然心血管机械学,导致机械收缩增加140 %, 电动增加100 % 。</w:t>
      </w:r>
    </w:p>
    <w:p>
      <w:pPr>
        <w:spacing w:before="0" w:after="200" w:lineRule="auto" w:line="276"/>
      </w:pPr>
      <w:r>
        <w:rPr>
          <w:b/>
        </w:rPr>
        <w:t xml:space="preserve">Abstract (EN): </w:t>
      </w:r>
      <w:r>
        <w:t>Existing bioelectronics often exhibit megapascal-scale moduli, despite the mechanosensitive nature of cardiomyocytes. Bridging the mechanical mismatch between tissue and bioelectronics is indispensable for building physiologically relevant in vitro cardiac models and advancing therapies. Here, we present Pliable Ultrathin Layered Sensing Electronics (PULSE), a platform with tissue-matched modulus (~10 kilopascals) and stretchable gold microcircuitry for long-term, high-fidelity monitoring of cardiac electrophysiology in vitro. Composed of a soft gel matrix and an ultrathin nanofilm embedded with gold circuits, our device achieves unprecedented tissue integration and preserves natural cardiomyocyte mechanics, resulting in a 140% increase in mechanical contraction and a 100% increase in electrical signals compared to conventional electronics. Cardiac tissue that grows our device exhibited enhanced drug sensitivity and response in cardiac dysfunction, revolutionizing disease modeling. By facilitating seamless interaction at the tissue-electronic interface, our platform offers a transformative perspective for advancing cardiac modeling and next-generation bioelectronic applications.</w:t>
      </w:r>
    </w:p>
    <w:p>
      <w:pPr>
        <w:spacing w:before="120" w:after="120"/>
      </w:pPr>
      <w:r>
        <w:rPr>
          <w:sz w:val="18"/>
        </w:rPr>
        <w:t>——————————————————————————————————————————————————————————————————————</w:t>
      </w:r>
    </w:p>
    <w:p>
      <w:pPr>
        <w:spacing w:before="160" w:after="40" w:line="240" w:lineRule="auto"/>
      </w:pPr>
      <w:r>
        <w:rPr>
          <w:b/>
        </w:rPr>
        <w:t xml:space="preserve">[647] </w:t>
      </w:r>
      <w:hyperlink r:id="rId1089">
        <w:r>
          <w:rPr>
            <w:color w:val="1155CC"/>
            <w:u w:val="single"/>
          </w:rPr>
          <w:t>热带外林林林林林中宿舍释放的有效寒冷温度从寒冷地区上升至温暖地区</w:t>
        </w:r>
      </w:hyperlink>
    </w:p>
    <w:p>
      <w:pPr>
        <w:spacing w:before="0" w:after="80"/>
      </w:pPr>
      <w:r>
        <w:rPr>
          <w:i/>
          <w:sz w:val="20"/>
        </w:rPr>
        <w:t>EN: Effective chilling temperatures for dormancy release in extratropical forest trees increase from cold to warm regions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090">
        <w:r>
          <w:rPr>
            <w:color w:val="1155CC"/>
            <w:u w:val="single"/>
          </w:rPr>
          <w:t>10.1073/pnas.2531077123</w:t>
        </w:r>
      </w:hyperlink>
    </w:p>
    <w:p>
      <w:pPr>
        <w:spacing w:before="0" w:after="120"/>
      </w:pPr>
      <w:r>
        <w:rPr>
          <w:b/>
        </w:rPr>
        <w:t xml:space="preserve">Notes: </w:t>
      </w:r>
      <w:r>
        <w:t>abstract_source=crossref</w:t>
      </w:r>
    </w:p>
    <w:p>
      <w:pPr>
        <w:spacing w:before="0" w:after="80" w:lineRule="auto" w:line="276"/>
      </w:pPr>
      <w:r>
        <w:rPr>
          <w:b/>
        </w:rPr>
        <w:t xml:space="preserve">摘要（ZH）: </w:t>
      </w:r>
      <w:r>
        <w:t>热带外树木的季节性栖息面积是使生长与有利的气候条件同步同步增长的关键适应措施。 传统上,根据对寒冷气候的研究,通常假定宿舍释放所需的有效寒冷温度(ECT)固定在0至10°C之间,主要基于对寒冷气候的研究,但在不同气候区域,ECT范围是否不同,仍然不清楚,限制了我们预测树木应对气候变化的能力。 在这里,我们利用对14种物种的受控实验和对中国近3 000公里纬度梯度的65种物种的长期人文观察,对ECT变量进行量化。 我们的实验结果显示,估计的高EC阈值每降纬度增加0.27 °.06°C,显示幅幅幅。</w:t>
      </w:r>
    </w:p>
    <w:p>
      <w:pPr>
        <w:spacing w:before="0" w:after="200" w:lineRule="auto" w:line="276"/>
      </w:pPr>
      <w:r>
        <w:rPr>
          <w:b/>
        </w:rPr>
        <w:t xml:space="preserve">Abstract (EN): </w:t>
      </w:r>
      <w:r>
        <w:t>Seasonal dormancy in extratropical trees is a critical adaptation that synchronizes growth with favorable climatic conditions. Traditionally, the effective chilling temperatures (ECT) required for dormancy release have been assumed to be fixed, ranging between 0 and 10 °C, based largely on studies in cold climates. However, whether the ECT range varies across diverse climatic regions remains unclear, limiting our ability to predict tree responses to climate change. Here, we quantify ECT variation using controlled experiments on 14 species and long-term phenological observations of 65 species across a ~3,000 km latitudinal gradient in China. Our experimental results show that the estimated upper ECT threshold increases by 0.27 ± 0.06 °C per decreasing degree of latitude, indicating an expansion of the ECT range toward higher temperatures in warmer climates. Our modeling analysis of long-term phenological records supports this trend, showing a comparable increase of 0.18 ± 0.02 °C per decreasing degree of latitude. These findings provide empirical evidence of latitudinal variation in ECT, offering insights into the evolutionary adaptations in shaping tree seasonal growth across diverse climates, challenging the traditional view of a fixed 0 to 10 °C range. Incorporating this adaptive variation into vegetation models and management strategies is crucial for improving predictions of forest phenology, productivity, and resilience under climate warming.</w:t>
      </w:r>
    </w:p>
    <w:p>
      <w:pPr>
        <w:spacing w:before="120" w:after="120"/>
      </w:pPr>
      <w:r>
        <w:rPr>
          <w:sz w:val="18"/>
        </w:rPr>
        <w:t>——————————————————————————————————————————————————————————————————————</w:t>
      </w:r>
    </w:p>
    <w:p>
      <w:pPr>
        <w:spacing w:before="160" w:after="40" w:line="240" w:lineRule="auto"/>
      </w:pPr>
      <w:r>
        <w:rPr>
          <w:b/>
        </w:rPr>
        <w:t xml:space="preserve">[648] </w:t>
      </w:r>
      <w:hyperlink r:id="rId1091">
        <w:r>
          <w:rPr>
            <w:color w:val="1155CC"/>
            <w:u w:val="single"/>
          </w:rPr>
          <w:t>重塑xxon初始部分:巨型akyrin-G作为神经发育中的可刺激性和可塑性调节器</w:t>
        </w:r>
      </w:hyperlink>
    </w:p>
    <w:p>
      <w:pPr>
        <w:spacing w:before="0" w:after="80"/>
      </w:pPr>
      <w:r>
        <w:rPr>
          <w:i/>
          <w:sz w:val="20"/>
        </w:rPr>
        <w:t>EN: Reframing the axon initial segment: Giant ankyrin-G as a modulator of excitability and plasticity in neurodevelopment</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092">
        <w:r>
          <w:rPr>
            <w:color w:val="1155CC"/>
            <w:u w:val="single"/>
          </w:rPr>
          <w:t>10.1073/pnas.2530592122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[649] </w:t>
      </w:r>
      <w:hyperlink r:id="rId1093">
        <w:r>
          <w:rPr>
            <w:color w:val="1155CC"/>
            <w:u w:val="single"/>
          </w:rPr>
          <w:t>博物馆收藏馆藏提供了过去遗传变异的时间记录</w:t>
        </w:r>
      </w:hyperlink>
    </w:p>
    <w:p>
      <w:pPr>
        <w:spacing w:before="0" w:after="80"/>
      </w:pPr>
      <w:r>
        <w:rPr>
          <w:i/>
          <w:sz w:val="20"/>
        </w:rPr>
        <w:t>EN: Museum collections provide a temporal record of past genetic variation</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094">
        <w:r>
          <w:rPr>
            <w:color w:val="1155CC"/>
            <w:u w:val="single"/>
          </w:rPr>
          <w:t>10.1073/pnas.2530586122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[650] </w:t>
      </w:r>
      <w:hyperlink r:id="rId1095">
        <w:r>
          <w:rPr>
            <w:color w:val="1155CC"/>
            <w:u w:val="single"/>
          </w:rPr>
          <w:t>抗病毒和抗炎混合疗法减轻了SARS-COV-2感染后小鼠长期神经神经缺陷</w:t>
        </w:r>
      </w:hyperlink>
    </w:p>
    <w:p>
      <w:pPr>
        <w:spacing w:before="0" w:after="80"/>
      </w:pPr>
      <w:r>
        <w:rPr>
          <w:i/>
          <w:sz w:val="20"/>
        </w:rPr>
        <w:t>EN: Combination antiviral and anti-inflammatory therapy mitigates persistent neurological deficits in mice post SARS-CoV-2 infection</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096">
        <w:r>
          <w:rPr>
            <w:color w:val="1155CC"/>
            <w:u w:val="single"/>
          </w:rPr>
          <w:t>10.1073/pnas.2530209123</w:t>
        </w:r>
      </w:hyperlink>
    </w:p>
    <w:p>
      <w:pPr>
        <w:spacing w:before="0" w:after="120"/>
      </w:pPr>
      <w:r>
        <w:rPr>
          <w:b/>
        </w:rPr>
        <w:t xml:space="preserve">Notes: </w:t>
      </w:r>
      <w:r>
        <w:t>abstract_source=crossref</w:t>
      </w:r>
    </w:p>
    <w:p>
      <w:pPr>
        <w:spacing w:before="0" w:after="80" w:lineRule="auto" w:line="276"/>
      </w:pPr>
      <w:r>
        <w:rPr>
          <w:b/>
        </w:rPr>
        <w:t xml:space="preserve">摘要（ZH）: </w:t>
      </w:r>
      <w:r>
        <w:t>COVID-19 (PACC) 的急性后后后后后后后遗症包含持久性神经疾病,包括嗅觉和认知功能功能障碍,这种功能障碍的基础不易理解。这里,我们报告,在受六氟非神经性鼠疫感染的老鼠中,至少120天的神经机能障碍,并经过鼠鼻鼻感染的SARS-COV-2。在从鼻腔感染恢复后很久,我们观察到在嗅觉泡球球体和亚丁尼格拉体内的强氧氢氧酶表现下降。在COVID-19死亡病人的大脑中也观察到类似的变化。在这些脑区域,多聚胺性神经的脆弱性伴随着发炎性细胞素的增加和神经呼吸道的变化。RNAseq分析揭示了与人类神经退化性疾病类似的持久性微风活化作用。</w:t>
      </w:r>
    </w:p>
    <w:p>
      <w:pPr>
        <w:spacing w:before="0" w:after="200" w:lineRule="auto" w:line="276"/>
      </w:pPr>
      <w:r>
        <w:rPr>
          <w:b/>
        </w:rPr>
        <w:t xml:space="preserve">Abstract (EN): </w:t>
      </w:r>
      <w:r>
        <w:t>Post-acute sequelae of COVID-19 (PASC) encompasses persistent neurological disease, including olfactory and cognitive dysfunction. The basis for this dysfunction is poorly understood. Here, we report neurological dysfunction for at least 120 d postinfection in mice infected with a virulent nonneurotropic mouse-adapted SARS-CoV-2. Long after recovery from nasal infection, we observed diminished tyrosine hydroxylase expression in olfactory bulb glomeruli and in substantia nigra. Similar changes were observed in brains of COVID-19 deceased patients. Vulnerability of dopaminergic neurons in these brain areas was accompanied by increased proinflammatory cytokines, and neurobehavioral changes. RNAseq analysis unveiled persistent microglia activation, similar to human neurodegenerative diseases. Treatment with antivirals (nirmatrelvir and molnupiravir) at the time of infection minimally prevented neurological abnormalities, consistent with patient data. In contrast, antivirals plus corticosteroids resulted in nearly complete recovery of neurological function. Remarkably, initiation of combined therapy even three days after infection improved outcomes. Together these results demonstrate that neurological dysfunction in SARS-CoV-2 infected mice resembles human neurodegenerative disease and indicate that minimizing inflammation early after SARS-CoV-2 infection may be critical for decreasing neurological PASC. The requirement for decreasing inflammation soon after infection may also explain why antiviral therapy has had inconsistent effects in patients.</w:t>
      </w:r>
    </w:p>
    <w:p>
      <w:pPr>
        <w:spacing w:before="120" w:after="120"/>
      </w:pPr>
      <w:r>
        <w:rPr>
          <w:sz w:val="18"/>
        </w:rPr>
        <w:t>——————————————————————————————————————————————————————————————————————</w:t>
      </w:r>
    </w:p>
    <w:p>
      <w:pPr>
        <w:spacing w:before="160" w:after="40" w:line="240" w:lineRule="auto"/>
      </w:pPr>
      <w:r>
        <w:rPr>
          <w:b/>
        </w:rPr>
        <w:t xml:space="preserve">[651] </w:t>
      </w:r>
      <w:hyperlink r:id="rId1097">
        <w:r>
          <w:rPr>
            <w:color w:val="1155CC"/>
            <w:u w:val="single"/>
          </w:rPr>
          <w:t>GATA2号GATA2号为He等人的校正提供便利,方便将类固醇受体受体共振动器招募到受体复合体</w:t>
        </w:r>
      </w:hyperlink>
    </w:p>
    <w:p>
      <w:pPr>
        <w:spacing w:before="0" w:after="80"/>
      </w:pPr>
      <w:r>
        <w:rPr>
          <w:i/>
          <w:sz w:val="20"/>
        </w:rPr>
        <w:t>EN: Correction for He et al., GATA2 facilitates steroid receptor coactivator recruitment to the androgen receptor complex</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098">
        <w:r>
          <w:rPr>
            <w:color w:val="1155CC"/>
            <w:u w:val="single"/>
          </w:rPr>
          <w:t>10.1073/pnas.2528643122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[652] </w:t>
      </w:r>
      <w:hyperlink r:id="rId1099">
        <w:r>
          <w:rPr>
            <w:color w:val="1155CC"/>
            <w:u w:val="single"/>
          </w:rPr>
          <w:t>将不合理的散装密度值对土壤中含有生物添加物的不合理散装密度值和土壤碳固存估计偏向土壤碳吸收估计值</w:t>
        </w:r>
      </w:hyperlink>
    </w:p>
    <w:p>
      <w:pPr>
        <w:spacing w:before="0" w:after="80"/>
      </w:pPr>
      <w:r>
        <w:rPr>
          <w:i/>
          <w:sz w:val="20"/>
        </w:rPr>
        <w:t>EN: Imputing unjustified bulk density values to soils with biochar addition biases soil carbon sequestration estimates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00">
        <w:r>
          <w:rPr>
            <w:color w:val="1155CC"/>
            <w:u w:val="single"/>
          </w:rPr>
          <w:t>10.1073/pnas.2528257123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[653] </w:t>
      </w:r>
      <w:hyperlink r:id="rId1101">
        <w:r>
          <w:rPr>
            <w:color w:val="1155CC"/>
            <w:u w:val="single"/>
          </w:rPr>
          <w:t>酵母进化中反复丧失自我生育率异异体体和多聚ploidy</w:t>
        </w:r>
      </w:hyperlink>
    </w:p>
    <w:p>
      <w:pPr>
        <w:spacing w:before="0" w:after="80"/>
      </w:pPr>
      <w:r>
        <w:rPr>
          <w:i/>
          <w:sz w:val="20"/>
        </w:rPr>
        <w:t>EN: Repeated losses of self-fertility shaped heterozygosity and polyploidy in yeast evolution</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02">
        <w:r>
          <w:rPr>
            <w:color w:val="1155CC"/>
            <w:u w:val="single"/>
          </w:rPr>
          <w:t>10.1073/pnas.2525679123</w:t>
        </w:r>
      </w:hyperlink>
    </w:p>
    <w:p>
      <w:pPr>
        <w:spacing w:before="0" w:after="120"/>
      </w:pPr>
      <w:r>
        <w:rPr>
          <w:b/>
        </w:rPr>
        <w:t xml:space="preserve">Notes: </w:t>
      </w:r>
      <w:r>
        <w:t>abstract_source=crossref</w:t>
      </w:r>
    </w:p>
    <w:p>
      <w:pPr>
        <w:spacing w:before="0" w:after="80" w:lineRule="auto" w:line="276"/>
      </w:pPr>
      <w:r>
        <w:rPr>
          <w:b/>
        </w:rPr>
        <w:t xml:space="preserve">摘要（ZH）: </w:t>
      </w:r>
      <w:r>
        <w:t>交配战略的进化转变对遗传变异和适应具有深远的影响。在Sachharomyce 子宫萎缩中,交配型转换是生命周期的一个中心特征,使机动细胞能够自我繁殖,并与其自身的动物后代(嗜血症)交配。然而,在不同的位置上发现了丧失这种能力的异构分离,表明这种特性是多形态的。在这里,我们实验性地指出,在具有代表性的菌株群中,交配型转换的丧失。对117个调聚物到电离子基因组群的分析显示,Ho endonucleent基因和结构中存在多种独立的功能丧失突变。</w:t>
      </w:r>
    </w:p>
    <w:p>
      <w:pPr>
        <w:spacing w:before="0" w:after="200" w:lineRule="auto" w:line="276"/>
      </w:pPr>
      <w:r>
        <w:rPr>
          <w:b/>
        </w:rPr>
        <w:t xml:space="preserve">Abstract (EN): </w:t>
      </w:r>
      <w:r>
        <w:t>Evolutionary transitions in mating strategy have profound consequences for genetic variation and adaptation. In</w:t>
      </w:r>
      <w:r>
        <w:t xml:space="preserve"> </w:t>
      </w:r>
      <w:r>
        <w:t>Saccharomyces cerevisiae</w:t>
      </w:r>
      <w:r>
        <w:t xml:space="preserve"> </w:t>
      </w:r>
      <w:r>
        <w:t>,</w:t>
      </w:r>
      <w:r>
        <w:t xml:space="preserve"> </w:t>
      </w:r>
      <w:r>
        <w:t>mating-type switching is a central feature of the life cycle that enables haploid cells to be self-fertile and mate with their own mitotic descendants (homothallism). Yet heterothallic isolates that have lost this ability are found across diverse niches, indicating that this trait is polymorphic. Here, we experimentally characterized loss of mating-type switching in a representative panel of strains. Analysis of 117 telomere-to-telomere genome assemblies revealed multiple independent loss-of-function mutations in the Ho endonuclease gene and structural variants in the silent</w:t>
      </w:r>
      <w:r>
        <w:t xml:space="preserve"> </w:t>
      </w:r>
      <w:r>
        <w:t>HML</w:t>
      </w:r>
      <w:r>
        <w:t xml:space="preserve"> </w:t>
      </w:r>
      <w:r>
        <w:t>and</w:t>
      </w:r>
      <w:r>
        <w:t xml:space="preserve"> </w:t>
      </w:r>
      <w:r>
        <w:t>HMR</w:t>
      </w:r>
      <w:r>
        <w:t xml:space="preserve"> </w:t>
      </w:r>
      <w:r>
        <w:t>cassettes, the three loci essential for switching. We estimated that at least 13 independent transitions from homothallism to heterothallism have occurred in the species history. Analysis of the</w:t>
      </w:r>
      <w:r>
        <w:t xml:space="preserve"> </w:t>
      </w:r>
      <w:r>
        <w:t>HO</w:t>
      </w:r>
      <w:r>
        <w:t xml:space="preserve"> </w:t>
      </w:r>
      <w:r>
        <w:t>genotype of 2,910 strains shows that at least 27% are heterothallic. We found that heterothallism is strongly associated with polyploidy and elevated genome-wide heterozygosity, although the strength of these associations varies between populations. Heterothallic isolates are most prevalent in domesticated and clinical clades, consistent with an origin linked to human-associated environments. However, they are also found, though less frequently, in natural niches. Signatures of recombination in</w:t>
      </w:r>
      <w:r>
        <w:t xml:space="preserve"> </w:t>
      </w:r>
      <w:r>
        <w:t>HO</w:t>
      </w:r>
      <w:r>
        <w:t xml:space="preserve"> </w:t>
      </w:r>
      <w:r>
        <w:t>sequences suggest that outcrossing contributed to the ecological and geographical distribution of the trait. Our findings reveal that mating-type switching has undergone repeated losses in</w:t>
      </w:r>
      <w:r>
        <w:t xml:space="preserve"> </w:t>
      </w:r>
      <w:r>
        <w:t>S. cerevisiae</w:t>
      </w:r>
      <w:r>
        <w:t xml:space="preserve"> </w:t>
      </w:r>
      <w:r>
        <w:t>evolution, with major consequences for genome architecture and ecological diversification.</w:t>
      </w:r>
    </w:p>
    <w:p>
      <w:pPr>
        <w:spacing w:before="120" w:after="120"/>
      </w:pPr>
      <w:r>
        <w:rPr>
          <w:sz w:val="18"/>
        </w:rPr>
        <w:t>——————————————————————————————————————————————————————————————————————</w:t>
      </w:r>
    </w:p>
    <w:p>
      <w:pPr>
        <w:spacing w:before="160" w:after="40" w:line="240" w:lineRule="auto"/>
      </w:pPr>
      <w:r>
        <w:rPr>
          <w:b/>
        </w:rPr>
        <w:t xml:space="preserve">[654] </w:t>
      </w:r>
      <w:hyperlink r:id="rId1103">
        <w:r>
          <w:rPr>
            <w:color w:val="1155CC"/>
            <w:u w:val="single"/>
          </w:rPr>
          <w:t>在Caenorhabditis elegans生产挥发性性激素时涉及的奥子转移酶基因</w:t>
        </w:r>
      </w:hyperlink>
    </w:p>
    <w:p>
      <w:pPr>
        <w:spacing w:before="0" w:after="80"/>
      </w:pPr>
      <w:r>
        <w:rPr>
          <w:i/>
          <w:sz w:val="20"/>
        </w:rPr>
        <w:t>EN: O-acyltransferase genes involved in the production of volatile sex pheromones in Caenorhabditis elegans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04">
        <w:r>
          <w:rPr>
            <w:color w:val="1155CC"/>
            <w:u w:val="single"/>
          </w:rPr>
          <w:t>10.1073/pnas.2524778123</w:t>
        </w:r>
      </w:hyperlink>
    </w:p>
    <w:p>
      <w:pPr>
        <w:spacing w:before="0" w:after="120"/>
      </w:pPr>
      <w:r>
        <w:rPr>
          <w:b/>
        </w:rPr>
        <w:t xml:space="preserve">Notes: </w:t>
      </w:r>
      <w:r>
        <w:t>abstract_source=crossref</w:t>
      </w:r>
    </w:p>
    <w:p>
      <w:pPr>
        <w:spacing w:before="0" w:after="80" w:lineRule="auto" w:line="276"/>
      </w:pPr>
      <w:r>
        <w:rPr>
          <w:b/>
        </w:rPr>
        <w:t xml:space="preserve">摘要（ZH）: </w:t>
      </w:r>
      <w:r>
        <w:t>基因家庭扩张对于功能多样化至关重要,然而,对代谢途径的贡献往往不明确。 在Caenorhabbiditis(Caenorhabiditis ) 中,扩大的O-子转移酶(OAC)家族(OAC) — — 将碳基组转移至氢氧化亚基体的酶(Enzymes)家族 — — 尽管与脂肪新陈代谢有牵连,但其特征仍然很差。 我们发现,在染色体I方面,有四个相邻的parlog(oac-13、oac-16、oac-25和oac-28)在相邻的parlogs(oac-13、oc-16、oac-25和oac-28)。</w:t>
      </w:r>
    </w:p>
    <w:p>
      <w:pPr>
        <w:spacing w:before="0" w:after="200" w:lineRule="auto" w:line="276"/>
      </w:pPr>
      <w:r>
        <w:rPr>
          <w:b/>
        </w:rPr>
        <w:t xml:space="preserve">Abstract (EN): </w:t>
      </w:r>
      <w:r>
        <w:t>Gene family expansions are critical for functional diversification, yet the contributions of paralogs to metabolic pathways are often unclear. In</w:t>
      </w:r>
      <w:r>
        <w:t xml:space="preserve"> </w:t>
      </w:r>
      <w:r>
        <w:t>Caenorhabditis</w:t>
      </w:r>
      <w:r>
        <w:t xml:space="preserve"> </w:t>
      </w:r>
      <w:r>
        <w:t>, the expanded O-acyltransferase (OAC) family—enzymes that transfer acyl groups to hydroxylated substrates—remains poorly characterized despite having been implicated in lipid metabolism. Using CRISPR-Cas9 mutagenesis, behavioral assays, gas chromatographic-mass spectral (GC-MS) analyses, and metabolomics, we systematically analyzed 59 OAC-family protein-coding genes to define their roles in regulating signaling molecules. We found that four adjacent paralogs (</w:t>
      </w:r>
      <w:r>
        <w:t xml:space="preserve"> </w:t>
      </w:r>
      <w:r>
        <w:t>oac-13, oac-16, oac-25,</w:t>
      </w:r>
      <w:r>
        <w:t xml:space="preserve"> </w:t>
      </w:r>
      <w:r>
        <w:t>and</w:t>
      </w:r>
      <w:r>
        <w:t xml:space="preserve"> </w:t>
      </w:r>
      <w:r>
        <w:t>oac-28</w:t>
      </w:r>
      <w:r>
        <w:t xml:space="preserve"> </w:t>
      </w:r>
      <w:r>
        <w:t>) on chromosome I are required for synthesizing volatile sex pheromones—airborne signals critical for male mate-searching. Specifically, oac</w:t>
      </w:r>
      <w:r>
        <w:t xml:space="preserve"> </w:t>
      </w:r>
      <w:r>
        <w:t>-13</w:t>
      </w:r>
      <w:r>
        <w:t xml:space="preserve"> </w:t>
      </w:r>
      <w:r>
        <w:t>and</w:t>
      </w:r>
      <w:r>
        <w:t xml:space="preserve"> </w:t>
      </w:r>
      <w:r>
        <w:t>oac-16</w:t>
      </w:r>
      <w:r>
        <w:t xml:space="preserve"> </w:t>
      </w:r>
      <w:r>
        <w:t>are necessary for producing both major pheromone components, while the identical tandem paralogs</w:t>
      </w:r>
      <w:r>
        <w:t xml:space="preserve"> </w:t>
      </w:r>
      <w:r>
        <w:t>oac-25</w:t>
      </w:r>
      <w:r>
        <w:t xml:space="preserve"> </w:t>
      </w:r>
      <w:r>
        <w:t>and</w:t>
      </w:r>
      <w:r>
        <w:t xml:space="preserve"> </w:t>
      </w:r>
      <w:r>
        <w:t>oac-28</w:t>
      </w:r>
      <w:r>
        <w:t xml:space="preserve"> </w:t>
      </w:r>
      <w:r>
        <w:t>regulate the production of the later-eluting component in gas chromatography. Disruption of these genes reduced production of key pheromone components and impaired male attraction. Metabolomics revealed that</w:t>
      </w:r>
      <w:r>
        <w:t xml:space="preserve"> </w:t>
      </w:r>
      <w:r>
        <w:t>oac-16</w:t>
      </w:r>
      <w:r>
        <w:t xml:space="preserve"> </w:t>
      </w:r>
      <w:r>
        <w:t>and other OACs also modulate the synthesis and secretion of nonvolatile ascaroside pheromones, indicating dual roles in chemical signaling. This work uncovers functional specialization within an expanded gene family, illustrating how redundancy and divergence enable adaptive evolution of communication systems.</w:t>
      </w:r>
    </w:p>
    <w:p>
      <w:pPr>
        <w:spacing w:before="120" w:after="120"/>
      </w:pPr>
      <w:r>
        <w:rPr>
          <w:sz w:val="18"/>
        </w:rPr>
        <w:t>——————————————————————————————————————————————————————————————————————</w:t>
      </w:r>
    </w:p>
    <w:p>
      <w:pPr>
        <w:spacing w:before="160" w:after="40" w:line="240" w:lineRule="auto"/>
      </w:pPr>
      <w:r>
        <w:rPr>
          <w:b/>
        </w:rPr>
        <w:t xml:space="preserve">[655] </w:t>
      </w:r>
      <w:hyperlink r:id="rId1105">
        <w:r>
          <w:rPr>
            <w:color w:val="1155CC"/>
            <w:u w:val="single"/>
          </w:rPr>
          <w:t>由饮食信号驱动的Tr1细胞 主导着小肠道免疫环境</w:t>
        </w:r>
      </w:hyperlink>
    </w:p>
    <w:p>
      <w:pPr>
        <w:spacing w:before="0" w:after="80"/>
      </w:pPr>
      <w:r>
        <w:rPr>
          <w:i/>
          <w:sz w:val="20"/>
        </w:rPr>
        <w:t>EN: T-bet-expressing Tr1 cells driven by dietary signals dominate the small intestinal immune landscape</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06">
        <w:r>
          <w:rPr>
            <w:color w:val="1155CC"/>
            <w:u w:val="single"/>
          </w:rPr>
          <w:t>10.1073/pnas.2520747122</w:t>
        </w:r>
      </w:hyperlink>
    </w:p>
    <w:p>
      <w:pPr>
        <w:spacing w:before="0" w:after="120"/>
      </w:pPr>
      <w:r>
        <w:rPr>
          <w:b/>
        </w:rPr>
        <w:t xml:space="preserve">Notes: </w:t>
      </w:r>
      <w:r>
        <w:t>abstract_source=crossref</w:t>
      </w:r>
    </w:p>
    <w:p>
      <w:pPr>
        <w:spacing w:before="0" w:after="80" w:lineRule="auto" w:line="276"/>
      </w:pPr>
      <w:r>
        <w:rPr>
          <w:b/>
        </w:rPr>
        <w:t xml:space="preserve">摘要（ZH）: </w:t>
      </w:r>
      <w:r>
        <w:t>尽管组织内活性T细胞数量丰富,但它们对这些不同作用的贡献仍然不甚为人所知。在这里,我们确定了主要生产IL-10的Tr1T细胞,这些细胞居住在家庭主食中的小肠道拉米纳病原体中。值得注意的是,这些肠道Tr1细胞在断奶和积聚时出现,而微生物在无细菌条件下表现出类似的丰度、功能和转基因反应。相反,小肠道T-Bet +。</w:t>
      </w:r>
    </w:p>
    <w:p>
      <w:pPr>
        <w:spacing w:before="0" w:after="200" w:lineRule="auto" w:line="276"/>
      </w:pPr>
      <w:r>
        <w:rPr>
          <w:b/>
        </w:rPr>
        <w:t xml:space="preserve">Abstract (EN): </w:t>
      </w:r>
      <w:r>
        <w:t>Intestinal immunity defends against enteric pathogens, mediates symbiotic relationships with the resident microbiota, and provides tolerance to food antigens, safeguarding critical nutrient absorption and barrier functions of this mucosal tissue. Despite the abundance of tissue resident activated T cells, their contributions to these various roles remain poorly understood. Here, we identify a dominant population of IL-10 producing, T-bet-expressing Tr1 T cells, residing in the small intestinal lamina propria at homeostasis. Remarkably, these intestinal Tr1 cells emerge at the time of weaning and accumulate independently of the microbiota displaying similar abundance, function, and TCR repertoire under germ-free conditions. Instead, the small intestinal T-bet</w:t>
      </w:r>
      <w:r>
        <w:t xml:space="preserve"> </w:t>
      </w:r>
      <w:r>
        <w:t>+</w:t>
      </w:r>
      <w:r>
        <w:t xml:space="preserve"> </w:t>
      </w:r>
      <w:r>
        <w:t>Tr1 program is driven and shaped by dietary antigens, and accumulates in a cDC1-IL-27-dependent manner. Upon activation, these cells robustly express IL-10 and multiple inhibitory receptors, establishing a distinct suppressive profile. Altogether, this work uncovers a previously unappreciated dominant player in homeostatic small intestinal immunity with the potential to play critical suppressive roles in this tissue, raising important implications for the understanding of immune regulation in the intestine.</w:t>
      </w:r>
    </w:p>
    <w:p>
      <w:pPr>
        <w:spacing w:before="120" w:after="120"/>
      </w:pPr>
      <w:r>
        <w:rPr>
          <w:sz w:val="18"/>
        </w:rPr>
        <w:t>——————————————————————————————————————————————————————————————————————</w:t>
      </w:r>
    </w:p>
    <w:p>
      <w:pPr>
        <w:spacing w:before="160" w:after="40" w:line="240" w:lineRule="auto"/>
      </w:pPr>
      <w:r>
        <w:rPr>
          <w:b/>
        </w:rPr>
        <w:t xml:space="preserve">[656] </w:t>
      </w:r>
      <w:hyperlink r:id="rId1107">
        <w:r>
          <w:rPr>
            <w:color w:val="1155CC"/>
            <w:u w:val="single"/>
          </w:rPr>
          <w:t>网络结构通过单项决定形成协商一致的动态</w:t>
        </w:r>
      </w:hyperlink>
    </w:p>
    <w:p>
      <w:pPr>
        <w:spacing w:before="0" w:after="80"/>
      </w:pPr>
      <w:r>
        <w:rPr>
          <w:i/>
          <w:sz w:val="20"/>
        </w:rPr>
        <w:t>EN: Network structure shapes consensus dynamics through individual decisions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08">
        <w:r>
          <w:rPr>
            <w:color w:val="1155CC"/>
            <w:u w:val="single"/>
          </w:rPr>
          <w:t>10.1073/pnas.2520483123</w:t>
        </w:r>
      </w:hyperlink>
    </w:p>
    <w:p>
      <w:pPr>
        <w:spacing w:before="0" w:after="120"/>
      </w:pPr>
      <w:r>
        <w:rPr>
          <w:b/>
        </w:rPr>
        <w:t xml:space="preserve">Notes: </w:t>
      </w:r>
      <w:r>
        <w:t>abstract_source=crossref</w:t>
      </w:r>
    </w:p>
    <w:p>
      <w:pPr>
        <w:spacing w:before="0" w:after="80" w:lineRule="auto" w:line="276"/>
      </w:pPr>
      <w:r>
        <w:rPr>
          <w:b/>
        </w:rPr>
        <w:t xml:space="preserve">摘要（ZH）: </w:t>
      </w:r>
      <w:r>
        <w:t>在分散的在线网络中,共享叙事如何出现?先前使用简化团体协调任务(如脸命名)的研究显示,网络结构形成集团共识,但基本的认知机制仍然不明确。这里,我们研究网络结构如何影响试验性在线社交网络中共享叙事信仰的出现和语义内容,如何利用自然语言处理措施和代理模式模型来影响这些共同叙事信仰的出现和语义内容。具有复杂因果结构的媒体内容通过鼓励长期探索背景知识来减轻网络结构的影响。然而,网络结构仍然影响所传达的叙事内容。基于嵌入式的叙事协调措施显示,完全相连的团体将互动更多地导向c。</w:t>
      </w:r>
    </w:p>
    <w:p>
      <w:pPr>
        <w:spacing w:before="0" w:after="200" w:lineRule="auto" w:line="276"/>
      </w:pPr>
      <w:r>
        <w:rPr>
          <w:b/>
        </w:rPr>
        <w:t xml:space="preserve">Abstract (EN): </w:t>
      </w:r>
      <w:r>
        <w:t>How do shared narratives emerge in decentralized online networks? Prior research using simplified group coordination tasks (e.g., face-naming) shows network structure shapes group consensus, but the underlying cognitive mechanisms remain unclear. Here, we examine how network structure influences the emergence and semantic content of shared narrative beliefs in experimental online social networks, using natural language processing measures and agent-based modeling. Media content with complex causal structure attenuates network structure effects by encouraging longer exploration of background knowledge. Yet network structure still shapes the narrative content communicated. An embedding-based narrative alignment measure shows that fully connected groups orient their interactions more toward communicating causes of an event, whereas locally connected networks emphasize the event’s effects. A group’s network structure also influences representational and language change in personal narratives: participants in fully connected networks showed the largest increase in causal language in personal narratives written after interaction, which also orient more around the narrative’s causal events.</w:t>
      </w:r>
    </w:p>
    <w:p>
      <w:pPr>
        <w:spacing w:before="120" w:after="120"/>
      </w:pPr>
      <w:r>
        <w:rPr>
          <w:sz w:val="18"/>
        </w:rPr>
        <w:t>——————————————————————————————————————————————————————————————————————</w:t>
      </w:r>
    </w:p>
    <w:p>
      <w:pPr>
        <w:spacing w:before="160" w:after="40" w:line="240" w:lineRule="auto"/>
      </w:pPr>
      <w:r>
        <w:rPr>
          <w:b/>
        </w:rPr>
        <w:t xml:space="preserve">[657] </w:t>
      </w:r>
      <w:hyperlink r:id="rId1109">
        <w:r>
          <w:rPr>
            <w:color w:val="1155CC"/>
            <w:u w:val="single"/>
          </w:rPr>
          <w:t>Yeh pilus adhessin 配备了α- 冷冻片片状动脉, 有助于佩服</w:t>
        </w:r>
      </w:hyperlink>
    </w:p>
    <w:p>
      <w:pPr>
        <w:spacing w:before="0" w:after="80"/>
      </w:pPr>
      <w:r>
        <w:rPr>
          <w:i/>
          <w:sz w:val="20"/>
        </w:rPr>
        <w:t>EN: The Yeh pilus adhesin is equipped with an α-helical flap motif, which contributes to pectin adherence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110">
        <w:r>
          <w:rPr>
            <w:color w:val="1155CC"/>
            <w:u w:val="single"/>
          </w:rPr>
          <w:t>10.1126/sciadv.adz1301</w:t>
        </w:r>
      </w:hyperlink>
    </w:p>
    <w:p>
      <w:pPr>
        <w:spacing w:before="0" w:after="120"/>
      </w:pPr>
      <w:r>
        <w:rPr>
          <w:b/>
        </w:rPr>
        <w:t xml:space="preserve">Notes: </w:t>
      </w:r>
      <w:r>
        <w:t>abstract_source=crossref</w:t>
      </w:r>
    </w:p>
    <w:p>
      <w:pPr>
        <w:spacing w:before="0" w:after="80" w:lineRule="auto" w:line="276"/>
      </w:pPr>
      <w:r>
        <w:rPr>
          <w:b/>
        </w:rPr>
        <w:t xml:space="preserve">摘要（ZH）: </w:t>
      </w:r>
      <w:r>
        <w:t>Yeh cheperone-usher 路径(CUP) pilus adhesin 编码在半数的 Esherichia coli coli 编码中。然而,在 E. coli 持久性和病理起源中,它的结构和功能却鲜为人知。结构性调查显示,YehD 及其相对的YhlD 的粘合受体受体域(RBDs) 都拥有一个罐头丰厚的核和在核心断裂端的α-冷合翼点。 使用分子动态模拟在开放和封闭的相容中都观察到了这一扇形。 闭合的相容取决于扇形末的氨酸的防水补补补。 从功能上看, YehD RBD 能够将皮质结合, 一个聚沙迦。</w:t>
      </w:r>
    </w:p>
    <w:p>
      <w:pPr>
        <w:spacing w:before="0" w:after="200" w:lineRule="auto" w:line="276"/>
      </w:pPr>
      <w:r>
        <w:rPr>
          <w:b/>
        </w:rPr>
        <w:t xml:space="preserve">Abstract (EN): </w:t>
      </w:r>
      <w:r>
        <w:t>The Yeh chaperone-usher pathway (CUP) pilus adhesin is encoded in one-half of all</w:t>
      </w:r>
      <w:r>
        <w:t xml:space="preserve"> </w:t>
      </w:r>
      <w:r>
        <w:t>Escherichia coli</w:t>
      </w:r>
      <w:r>
        <w:t xml:space="preserve"> </w:t>
      </w:r>
      <w:r>
        <w:t>. Yet little is known about its structure and function in</w:t>
      </w:r>
      <w:r>
        <w:t xml:space="preserve"> </w:t>
      </w:r>
      <w:r>
        <w:t>E. coli</w:t>
      </w:r>
      <w:r>
        <w:t xml:space="preserve"> </w:t>
      </w:r>
      <w:r>
        <w:t>persistence and pathogenesis. Structural investigations reveal that the adhesin receptor binding domains (RBDs) of YehD and its relative YhlD both share a canonical β-rich core and an α-helical flap motif that is hinged at the distal end of the core. This flap was observed in both open and closed conformations using molecular dynamics simulations. The closed conformation is dependent on a hydrophobic patch of amino acids on the distal end of the flap. Functionally, YehD</w:t>
      </w:r>
      <w:r>
        <w:t xml:space="preserve"> </w:t>
      </w:r>
      <w:r>
        <w:t>RBD</w:t>
      </w:r>
      <w:r>
        <w:t xml:space="preserve"> </w:t>
      </w:r>
      <w:r>
        <w:t>is able to bind pectin, a polysaccharide ubiquitous in plant material. Mutations that interrupt the closed conformation increase the affinity of the protein to pectin, suggesting that the flap contributes mechanistically to pectin binding. Furthermore, in vivo, the pilus contributes to gastrointestinal (GI) tract colonization in the absence of the type 1 pilus. Hence, we report the ability of YehD to bind pectin representing a possible colonization mechanism of the GI tract via a structurally distinct CUP adhesin.</w:t>
      </w:r>
    </w:p>
    <w:p>
      <w:pPr>
        <w:spacing w:before="120" w:after="120"/>
      </w:pPr>
      <w:r>
        <w:rPr>
          <w:sz w:val="18"/>
        </w:rPr>
        <w:t>——————————————————————————————————————————————————————————————————————</w:t>
      </w:r>
    </w:p>
    <w:p>
      <w:pPr>
        <w:spacing w:before="160" w:after="40" w:line="240" w:lineRule="auto"/>
      </w:pPr>
      <w:r>
        <w:rPr>
          <w:b/>
        </w:rPr>
        <w:t xml:space="preserve">[658] </w:t>
      </w:r>
      <w:hyperlink r:id="rId1111">
        <w:r>
          <w:rPr>
            <w:color w:val="1155CC"/>
            <w:u w:val="single"/>
          </w:rPr>
          <w:t>通过超微电子阳性联苯质谱测量法将质子混合电子转移机械式硝酸盐库通过超微电子相连接质谱仪将硝酸盐转移至氨</w:t>
        </w:r>
      </w:hyperlink>
    </w:p>
    <w:p>
      <w:pPr>
        <w:spacing w:before="0" w:after="80"/>
      </w:pPr>
      <w:r>
        <w:rPr>
          <w:i/>
          <w:sz w:val="20"/>
        </w:rPr>
        <w:t>EN: Unveiling a proton-coupled electron-transfer mechanistic library of nitrate to ammonia via ultramicroelectrode-hyphenated mass spectrometry</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12">
        <w:r>
          <w:rPr>
            <w:color w:val="1155CC"/>
            <w:u w:val="single"/>
          </w:rPr>
          <w:t>10.1073/pnas.2518909122</w:t>
        </w:r>
      </w:hyperlink>
    </w:p>
    <w:p>
      <w:pPr>
        <w:spacing w:before="0" w:after="120"/>
      </w:pPr>
      <w:r>
        <w:rPr>
          <w:b/>
        </w:rPr>
        <w:t xml:space="preserve">Notes: </w:t>
      </w:r>
      <w:r>
        <w:t>abstract_source=crossref</w:t>
      </w:r>
    </w:p>
    <w:p>
      <w:pPr>
        <w:spacing w:before="0" w:after="80" w:lineRule="auto" w:line="276"/>
      </w:pPr>
      <w:r>
        <w:rPr>
          <w:b/>
        </w:rPr>
        <w:t xml:space="preserve">摘要（ZH）: </w:t>
      </w:r>
      <w:r>
        <w:t>对于宝贵的氨合成和绿色氮循环利用而言,电催化硝酸减少反应(NO 3 RR)是常规Haber-Bosch工艺的一种可持续替代方法。NO 3 RR涉及复杂的多步质联式电子传输(PCET),以多种氮-氧素中间体和反应分支为特征。整合这一复杂的反应库对于合理调整NO 3 RR,以改进实际应用至关重要,但它仍然是一个艰巨的挑战。在这里,我们提出了一种现场超微电律-连字符质谱学技术,以系统调查动态电催化剂的NO 3。</w:t>
      </w:r>
    </w:p>
    <w:p>
      <w:pPr>
        <w:spacing w:before="0" w:after="200" w:lineRule="auto" w:line="276"/>
      </w:pPr>
      <w:r>
        <w:rPr>
          <w:b/>
        </w:rPr>
        <w:t xml:space="preserve">Abstract (EN): </w:t>
      </w:r>
      <w:r>
        <w:t>For valuable ammonia synthesis and green nitrogen recycling, electrocatalytic nitrate reduction reaction (NO</w:t>
      </w:r>
      <w:r>
        <w:rPr>
          <w:vertAlign w:val="subscript"/>
        </w:rPr>
        <w:t>3</w:t>
      </w:r>
      <w:r>
        <w:t>RR) presents a sustainable alternative to the conventional Haber–Bosch process. The NO</w:t>
      </w:r>
      <w:r>
        <w:rPr>
          <w:vertAlign w:val="subscript"/>
        </w:rPr>
        <w:t>3</w:t>
      </w:r>
      <w:r>
        <w:t>RR involves intricate, multi-step proton-coupled electron transfers (PCET) featuring multiple nitrogen-oxygen intermediates and reaction branches. Unveiling this complex reaction library is crucial for rational tailoring of NO</w:t>
      </w:r>
      <w:r>
        <w:rPr>
          <w:vertAlign w:val="subscript"/>
        </w:rPr>
        <w:t>3</w:t>
      </w:r>
      <w:r>
        <w:t>RR for improved practical application, yet it remains a formidable challenge. Herein we present an in situ ultramicroelectrode-hyphenated mass spectrometry technique to systematically investigate the dynamic electrocatalytic NO</w:t>
      </w:r>
      <w:r>
        <w:rPr>
          <w:vertAlign w:val="subscript"/>
        </w:rPr>
        <w:t>3</w:t>
      </w:r>
      <w:r>
        <w:t>RR, using a cobalt-based molecular catalyst as a model system, and to decipher its mechanistic library under complex reaction environments (potential- and pH-dependent). Several key short-lived CoNO</w:t>
      </w:r>
      <w:r>
        <w:t xml:space="preserve"> </w:t>
      </w:r>
      <w:r>
        <w:t>x</w:t>
      </w:r>
      <w:r>
        <w:t xml:space="preserve"> </w:t>
      </w:r>
      <w:r>
        <w:t>H</w:t>
      </w:r>
      <w:r>
        <w:t xml:space="preserve"> </w:t>
      </w:r>
      <w:r>
        <w:t>y</w:t>
      </w:r>
      <w:r>
        <w:t xml:space="preserve"> </w:t>
      </w:r>
      <w:r>
        <w:t>intermediates were directly tracked and identified, experimentally revealing that the overall catalytic pathway of NO</w:t>
      </w:r>
      <w:r>
        <w:rPr>
          <w:vertAlign w:val="subscript"/>
        </w:rPr>
        <w:t>3</w:t>
      </w:r>
      <w:r>
        <w:t>RR proceeds through the intermediary [LCo-NO</w:t>
      </w:r>
      <w:r>
        <w:rPr>
          <w:vertAlign w:val="subscript"/>
        </w:rPr>
        <w:t>3</w:t>
      </w:r>
      <w:r>
        <w:t>]→[LCo-NO</w:t>
      </w:r>
      <w:r>
        <w:rPr>
          <w:vertAlign w:val="subscript"/>
        </w:rPr>
        <w:t>3</w:t>
      </w:r>
      <w:r>
        <w:t>H]</w:t>
      </w:r>
      <w:r>
        <w:t xml:space="preserve"> </w:t>
      </w:r>
      <w:r>
        <w:t>+</w:t>
      </w:r>
      <w:r>
        <w:t xml:space="preserve"> </w:t>
      </w:r>
      <w:r>
        <w:t>→[LCo-NO</w:t>
      </w:r>
      <w:r>
        <w:rPr>
          <w:vertAlign w:val="subscript"/>
        </w:rPr>
        <w:t>2</w:t>
      </w:r>
      <w:r>
        <w:t>]</w:t>
      </w:r>
      <w:r>
        <w:t xml:space="preserve"> </w:t>
      </w:r>
      <w:r>
        <w:t>+</w:t>
      </w:r>
      <w:r>
        <w:t xml:space="preserve"> </w:t>
      </w:r>
      <w:r>
        <w:t>→</w:t>
      </w:r>
      <w:r>
        <w:t xml:space="preserve"> </w:t>
      </w:r>
      <w:r>
        <w:t>[LCo-NO</w:t>
      </w:r>
      <w:r>
        <w:rPr>
          <w:vertAlign w:val="subscript"/>
        </w:rPr>
        <w:t>2</w:t>
      </w:r>
      <w:r>
        <w:t>H]</w:t>
      </w:r>
      <w:r>
        <w:t xml:space="preserve"> </w:t>
      </w:r>
      <w:r>
        <w:t>+</w:t>
      </w:r>
      <w:r>
        <w:t xml:space="preserve"> </w:t>
      </w:r>
      <w:r>
        <w:t>→</w:t>
      </w:r>
      <w:r>
        <w:t xml:space="preserve"> </w:t>
      </w:r>
      <w:r>
        <w:t>[LCo-NO]</w:t>
      </w:r>
      <w:r>
        <w:t xml:space="preserve"> </w:t>
      </w:r>
      <w:r>
        <w:t>+</w:t>
      </w:r>
      <w:r>
        <w:t xml:space="preserve"> </w:t>
      </w:r>
      <w:r>
        <w:t>→</w:t>
      </w:r>
      <w:r>
        <w:t xml:space="preserve"> </w:t>
      </w:r>
      <w:r>
        <w:t>[LCo-NHOH]</w:t>
      </w:r>
      <w:r>
        <w:t xml:space="preserve"> </w:t>
      </w:r>
      <w:r>
        <w:t>+</w:t>
      </w:r>
      <w:r>
        <w:t xml:space="preserve"> </w:t>
      </w:r>
      <w:r>
        <w:t>→</w:t>
      </w:r>
      <w:r>
        <w:t xml:space="preserve"> </w:t>
      </w:r>
      <w:r>
        <w:t>[LCo-NH]</w:t>
      </w:r>
      <w:r>
        <w:t xml:space="preserve"> </w:t>
      </w:r>
      <w:r>
        <w:t>+</w:t>
      </w:r>
      <w:r>
        <w:t xml:space="preserve"> </w:t>
      </w:r>
      <w:r>
        <w:t>to produce NH</w:t>
      </w:r>
      <w:r>
        <w:rPr>
          <w:vertAlign w:val="subscript"/>
        </w:rPr>
        <w:t>3</w:t>
      </w:r>
      <w:r>
        <w:t>, which were further validated by isotopic</w:t>
      </w:r>
      <w:r>
        <w:rPr>
          <w:vertAlign w:val="subscript"/>
        </w:rPr>
        <w:t>15</w:t>
      </w:r>
      <w:r>
        <w:t>N-labeling and collision-induced dissociation experiments. Combining theoretical simulations, a complete PCET-based mechanistic pathway was elucidated and distinguished from competing hydrogenation–deoxygenation mechanisms. Notably, a systematically interconnected electrochemical mechanistic library for NO</w:t>
      </w:r>
      <w:r>
        <w:rPr>
          <w:vertAlign w:val="subscript"/>
        </w:rPr>
        <w:t>3</w:t>
      </w:r>
      <w:r>
        <w:t>RR, visualized through heat maps, was constructed to illustrate intermediate selectivity across a broad potential-pH space. This platform underscores the promising potential of navigating the pathway prediction and regulation of complex reaction environments, thereby advancing the mechanistic understanding of NO</w:t>
      </w:r>
      <w:r>
        <w:rPr>
          <w:vertAlign w:val="subscript"/>
        </w:rPr>
        <w:t>3</w:t>
      </w:r>
      <w:r>
        <w:t>RR and other complicated electrocatalytic processes.</w:t>
      </w:r>
    </w:p>
    <w:p>
      <w:pPr>
        <w:spacing w:before="120" w:after="120"/>
      </w:pPr>
      <w:r>
        <w:rPr>
          <w:sz w:val="18"/>
        </w:rPr>
        <w:t>——————————————————————————————————————————————————————————————————————</w:t>
      </w:r>
    </w:p>
    <w:p>
      <w:pPr>
        <w:spacing w:before="160" w:after="40" w:line="240" w:lineRule="auto"/>
      </w:pPr>
      <w:r>
        <w:rPr>
          <w:b/>
        </w:rPr>
        <w:t xml:space="preserve">[659] </w:t>
      </w:r>
      <w:hyperlink r:id="rId1113">
        <w:r>
          <w:rPr>
            <w:color w:val="1155CC"/>
            <w:u w:val="single"/>
          </w:rPr>
          <w:t>含有胆酯醇的脂质晶体可以在纤维化之前直接僵硬大鼠的食性肝脏。</w:t>
        </w:r>
      </w:hyperlink>
    </w:p>
    <w:p>
      <w:pPr>
        <w:spacing w:before="0" w:after="80"/>
      </w:pPr>
      <w:r>
        <w:rPr>
          <w:i/>
          <w:sz w:val="20"/>
        </w:rPr>
        <w:t>EN: Cholesterol-containing lipid crystals can directly stiffen the rat steatotic liver before fibrosis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14">
        <w:r>
          <w:rPr>
            <w:color w:val="1155CC"/>
            <w:u w:val="single"/>
          </w:rPr>
          <w:t>10.1073/pnas.2518060123</w:t>
        </w:r>
      </w:hyperlink>
    </w:p>
    <w:p>
      <w:pPr>
        <w:spacing w:before="0" w:after="120"/>
      </w:pPr>
      <w:r>
        <w:rPr>
          <w:b/>
        </w:rPr>
        <w:t xml:space="preserve">Notes: </w:t>
      </w:r>
      <w:r>
        <w:t>abstract_source=crossref</w:t>
      </w:r>
    </w:p>
    <w:p>
      <w:pPr>
        <w:spacing w:before="0" w:after="80" w:lineRule="auto" w:line="276"/>
      </w:pPr>
      <w:r>
        <w:rPr>
          <w:b/>
        </w:rPr>
        <w:t xml:space="preserve">摘要（ZH）: </w:t>
      </w:r>
      <w:r>
        <w:t>甲骨文机能障碍 — — 相关血清肝病(MARCD)的特征是肝病和心肺炎等心肺病风险因素的肝病。 病人可能会从单体胃病发展到纤维化、末阶段肝病和肝细胞细胞癌等并发症。 进化的原因还不清楚。 我们以前曾表明肝硬化会引发纤维化。 然而,肝脂、特别是胆固醇累积的机械作用并不清楚。 我们使用老鼠饮食模型来调查脂肪累积如何影响肝力。 活性硬度是通过血清和磁再感应器测量的,硬度和脂滴(LDs)或含有胆固醇的脂晶之间的关联是由微量测量的。</w:t>
      </w:r>
    </w:p>
    <w:p>
      <w:pPr>
        <w:spacing w:before="0" w:after="200" w:lineRule="auto" w:line="276"/>
      </w:pPr>
      <w:r>
        <w:rPr>
          <w:b/>
        </w:rPr>
        <w:t xml:space="preserve">Abstract (EN): </w:t>
      </w:r>
      <w:r>
        <w:t>Metabolic dysfunction–associated steatotic liver disease (MASLD) is characterized by liver steatosis with cardiometabolic risk factors like dyslipidemia. Patients may progress from steatosis alone to complications such as fibrosis, end-stage liver disease, and hepatocellular carcinoma. The cause of progression is unclear. We previously showed that liver stiffening can drive fibrosis. However, the mechanical contributions of hepatic lipid and especially cholesterol accumulation are not known. We used rat dietary models to investigate how lipid accumulation affects liver mechanics. Liver stiffness was measured using rheology and magnetic resonance elastography, and associations between stiffness and lipid droplets (LDs) or cholesterol-containing lipid crystals were measured by microindentation-visualization. Polarized light, confocal reflection, and cryo–electron microscopy were employed to assess crystal abundance and structure. LDs and crystals extracted from livers were embedded in fibrous tissue mimics to isolate mechanical effects away from inflammation or fibrosis. Methyl-β-cyclodextrin perfusion was performed to assess whether cholesterol depletion reduced crystal abundance and tissue stiffness. Increased hepatic cholesterol storage led to the formation of cholesterol-containing lipid crystals in the liver. Steatotic livers with crystals stiffened before fibrosis while steatotic livers without crystals did not stiffen or fibrose. Lipid crystals stiffened tissue mimics while LDs did not, suggesting that crystals directly cause stiffening. Cholesterol depletion reduced crystal abundance and reverted tissue stiffness to near controls without changing inflammation, suggesting key roles for cholesterol in tissue stiffening. Lipid crystals cause profibrogenic liver stiffening, connecting high dietary cholesterol to MASLD progression, and may be a target for new diagnostic tools and therapeutics for progressive MASLD.</w:t>
      </w:r>
    </w:p>
    <w:p>
      <w:pPr>
        <w:spacing w:before="120" w:after="120"/>
      </w:pPr>
      <w:r>
        <w:rPr>
          <w:sz w:val="18"/>
        </w:rPr>
        <w:t>——————————————————————————————————————————————————————————————————————</w:t>
      </w:r>
    </w:p>
    <w:p>
      <w:pPr>
        <w:spacing w:before="160" w:after="40" w:line="240" w:lineRule="auto"/>
      </w:pPr>
      <w:r>
        <w:rPr>
          <w:b/>
        </w:rPr>
        <w:t xml:space="preserve">[660] </w:t>
      </w:r>
      <w:hyperlink r:id="rId1115">
        <w:r>
          <w:rPr>
            <w:color w:val="1155CC"/>
            <w:u w:val="single"/>
          </w:rPr>
          <w:t>成人神经干细胞通过 METK 介介于河马阵列神经突触消除电路软静症</w:t>
        </w:r>
      </w:hyperlink>
    </w:p>
    <w:p>
      <w:pPr>
        <w:spacing w:before="0" w:after="80"/>
      </w:pPr>
      <w:r>
        <w:rPr>
          <w:i/>
          <w:sz w:val="20"/>
        </w:rPr>
        <w:t>EN: Adult neural stem cells mediate hippocampal synapse elimination for circuit homeostasis through MERTK</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16">
        <w:r>
          <w:rPr>
            <w:color w:val="1155CC"/>
            <w:u w:val="single"/>
          </w:rPr>
          <w:t>10.1073/pnas.2517096123</w:t>
        </w:r>
      </w:hyperlink>
    </w:p>
    <w:p>
      <w:pPr>
        <w:spacing w:before="0" w:after="120"/>
      </w:pPr>
      <w:r>
        <w:rPr>
          <w:b/>
        </w:rPr>
        <w:t xml:space="preserve">Notes: </w:t>
      </w:r>
      <w:r>
        <w:t>abstract_source=crossref</w:t>
      </w:r>
    </w:p>
    <w:p>
      <w:pPr>
        <w:spacing w:before="0" w:after="80" w:lineRule="auto" w:line="276"/>
      </w:pPr>
      <w:r>
        <w:rPr>
          <w:b/>
        </w:rPr>
        <w:t xml:space="preserve">摘要（ZH）: </w:t>
      </w:r>
      <w:r>
        <w:t>虽然在成人大脑的离散区域,类似放射神经干细胞(rNSCs)在整个生命周期中产生功能性神经神经元,但其功能并不限于神经的产生。最近的研究显示,RNSCs接近和(或)包装突触的过程仍然未知。不过,这些神经突触过程的功能仍然未知。在本研究中,我们报告了RNSCs在积极吞没成年河马中突触中的角色。在RNSCs缺乏脑部受体MERTK展览的Mice中,RNSCs缺乏突触性受体的MERTK减少刺激性突触、有缺陷的突触性塑料性、流行运动学习和记忆的形成受损,但正常的神经产生。此外,我们表明,由RETK公司依赖的体外神经突触动性突触动性发性畸变有助于自愿练习诱导的认知环境。</w:t>
      </w:r>
    </w:p>
    <w:p>
      <w:pPr>
        <w:spacing w:before="0" w:after="200" w:lineRule="auto" w:line="276"/>
      </w:pPr>
      <w:r>
        <w:rPr>
          <w:b/>
        </w:rPr>
        <w:t xml:space="preserve">Abstract (EN): </w:t>
      </w:r>
      <w:r>
        <w:t>Although radial-like neural stem cells (rNSCs) give rise to functional neurons throughout life in discrete regions of the adult brain, their functions are not limited to neurogenesis. Recent studies indicate that the processes of rNSCs approach and/or wrap synapses. However, the function of these processes at synapses remains unknown. In this study, we report a role for rNSCs in actively engulfing synapses in the adult hippocampus. Mice in which rNSCs lack the phagocytic receptor MERTK exhibit reduced elimination of excitatory synapses, defective synaptic plasticity, and impaired formation of hippocampal learning and memory, but normal neurogenesis. Furthermore, we show that MERTK-dependent phagocytosis of excitatory synapses by rNSCs contributes to voluntary exercise-induced cognitive enhancements. Together, our data suggest that rNSCs eliminate unnecessary excitatory synaptic connections in the adult hippocampus through MERTK, thereby maintaining circuit connectivity and cognitive function independently of neurogenesis.</w:t>
      </w:r>
    </w:p>
    <w:p>
      <w:pPr>
        <w:spacing w:before="120" w:after="120"/>
      </w:pPr>
      <w:r>
        <w:rPr>
          <w:sz w:val="18"/>
        </w:rPr>
        <w:t>——————————————————————————————————————————————————————————————————————</w:t>
      </w:r>
    </w:p>
    <w:p>
      <w:pPr>
        <w:spacing w:before="160" w:after="40" w:line="240" w:lineRule="auto"/>
      </w:pPr>
      <w:r>
        <w:rPr>
          <w:b/>
        </w:rPr>
        <w:t xml:space="preserve">[661] </w:t>
      </w:r>
      <w:hyperlink r:id="rId1117">
        <w:r>
          <w:rPr>
            <w:color w:val="1155CC"/>
            <w:u w:val="single"/>
          </w:rPr>
          <w:t>USP25 抑制通过恢复脑膜畸形来改善帕金森病</w:t>
        </w:r>
      </w:hyperlink>
    </w:p>
    <w:p>
      <w:pPr>
        <w:spacing w:before="0" w:after="80"/>
      </w:pPr>
      <w:r>
        <w:rPr>
          <w:i/>
          <w:sz w:val="20"/>
        </w:rPr>
        <w:t>EN: USP25 inhibition ameliorates Parkinson’s disease by restoring mitophagy</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18">
        <w:r>
          <w:rPr>
            <w:color w:val="1155CC"/>
            <w:u w:val="single"/>
          </w:rPr>
          <w:t>10.1073/pnas.2516471123</w:t>
        </w:r>
      </w:hyperlink>
    </w:p>
    <w:p>
      <w:pPr>
        <w:spacing w:before="0" w:after="120"/>
      </w:pPr>
      <w:r>
        <w:rPr>
          <w:b/>
        </w:rPr>
        <w:t xml:space="preserve">Notes: </w:t>
      </w:r>
      <w:r>
        <w:t>abstract_source=crossref</w:t>
      </w:r>
    </w:p>
    <w:p>
      <w:pPr>
        <w:spacing w:before="0" w:after="80" w:lineRule="auto" w:line="276"/>
      </w:pPr>
      <w:r>
        <w:rPr>
          <w:b/>
        </w:rPr>
        <w:t xml:space="preserve">摘要（ZH）: </w:t>
      </w:r>
      <w:r>
        <w:t>帕金森氏病(PD)是一种渐进性神经降解性疾病,它给全球健康投下了很大的阴影,而确定PD的治疗目标将赋予更有效的临床治疗能力。 将无处不在的酶USP25的基因编码已被确定为PD的易感染中心,但是在PD中USP25的作用仍然不得而知。 在这项研究中,我们发现USP25通过破坏Mitopphagy机械,使PD的肌肉模型中的多巴胺性神经损失和运动缺陷加剧。 USP25与自发受体受体Petineurin 进行物理互动,并中断了它与K63特定聚苯乙烯链的联系,导致脑畸变和受损的mitochondria的积累。</w:t>
      </w:r>
    </w:p>
    <w:p>
      <w:pPr>
        <w:spacing w:before="0" w:after="200" w:lineRule="auto" w:line="276"/>
      </w:pPr>
      <w:r>
        <w:rPr>
          <w:b/>
        </w:rPr>
        <w:t xml:space="preserve">Abstract (EN): </w:t>
      </w:r>
      <w:r>
        <w:t>Parkinson’s disease (PD) is a progressive neurodegenerative disease that casts a significant shadow over global health and the identification of therapeutic targets for PD will empower more effective clinical treatment. The gene encoding the deubiquitinating enzyme USP25 has been identified as a susceptible locus for PD, but the role of USP25 in PD remains unknown. In this study, we found that USP25 exacerbated dopaminergic neuronal loss and motor deficits in murine models of PD by sabotaging the mitophagy machinery. USP25 physically interacted with the autophagy receptor optineurin and disrupted its linkage with K63-specific polyubiquitin chains, leading to impaired mitophagy and the accumulation of damaged mitochondria. Genetic ablation or pharmacological inhibition of USP25 significantly restored mitophagy and thereby impeded the neurodegenerative progression in PD model mice. Collectively, our results unravel a pivotal role of USP25 in PD and identify USP25 as a pharmacological target for the development of PD drugs.</w:t>
      </w:r>
    </w:p>
    <w:p>
      <w:pPr>
        <w:spacing w:before="120" w:after="120"/>
      </w:pPr>
      <w:r>
        <w:rPr>
          <w:sz w:val="18"/>
        </w:rPr>
        <w:t>——————————————————————————————————————————————————————————————————————</w:t>
      </w:r>
    </w:p>
    <w:p>
      <w:pPr>
        <w:spacing w:before="160" w:after="40" w:line="240" w:lineRule="auto"/>
      </w:pPr>
      <w:r>
        <w:rPr>
          <w:b/>
        </w:rPr>
        <w:t xml:space="preserve">[662] </w:t>
      </w:r>
      <w:hyperlink r:id="rId1119">
        <w:r>
          <w:rPr>
            <w:color w:val="1155CC"/>
            <w:u w:val="single"/>
          </w:rPr>
          <w:t>跨国性别陈规定型观念与男女的社会地位有关:跨文化民意调查的证据</w:t>
        </w:r>
      </w:hyperlink>
    </w:p>
    <w:p>
      <w:pPr>
        <w:spacing w:before="0" w:after="80"/>
      </w:pPr>
      <w:r>
        <w:rPr>
          <w:i/>
          <w:sz w:val="20"/>
        </w:rPr>
        <w:t>EN: Gender stereotypes across nations relate to the social position of women and men: Evidence from cross-cultural public opinion polls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20">
        <w:r>
          <w:rPr>
            <w:color w:val="1155CC"/>
            <w:u w:val="single"/>
          </w:rPr>
          <w:t>10.1073/pnas.2510180122</w:t>
        </w:r>
      </w:hyperlink>
    </w:p>
    <w:p>
      <w:pPr>
        <w:spacing w:before="0" w:after="120"/>
      </w:pPr>
      <w:r>
        <w:rPr>
          <w:b/>
        </w:rPr>
        <w:t xml:space="preserve">Notes: </w:t>
      </w:r>
      <w:r>
        <w:t>abstract_source=crossref</w:t>
      </w:r>
    </w:p>
    <w:p>
      <w:pPr>
        <w:spacing w:before="0" w:after="80" w:lineRule="auto" w:line="276"/>
      </w:pPr>
      <w:r>
        <w:rPr>
          <w:b/>
        </w:rPr>
        <w:t xml:space="preserve">摘要（ZH）: </w:t>
      </w:r>
      <w:r>
        <w:t>根据1995年(22个国家,答复者为22 000人)和2023年(40个国家,答复者为4 800人)的民意调查数据,这项预先登记的研究审查了性别陈规定型观念的跨文化差异,结果显示,在所有研究的国家,在这两个时间点,人们认为男性比女性更具强制性,女性比男性更具有共性,然而,这些定型观念的强度存在着巨大的跨文化差异,即共有定型观念特别与男女在社会角色上的分布有关。</w:t>
      </w:r>
    </w:p>
    <w:p>
      <w:pPr>
        <w:spacing w:before="0" w:after="200" w:lineRule="auto" w:line="276"/>
      </w:pPr>
      <w:r>
        <w:rPr>
          <w:b/>
        </w:rPr>
        <w:t xml:space="preserve">Abstract (EN): </w:t>
      </w:r>
      <w:r>
        <w:t>Gender stereotypes, defined as widely shared beliefs about the typical attributes of women and men, have far-reaching consequences for both stereotyped groups. This preregistered research examined cross-cultural variation in gender stereotypes based on public opinion poll data from 1995 (22 nations with 22,000 respondents) and 2023 (40 nations with 4,800 respondents). Results revealed that men were perceived as more agentic than women and women as more communal than men in all studied nations at both time points. Yet, substantial cross-cultural variation existed in the strength of these stereotypes whereby the communion stereotype in particular related to the distribution of women and men into social roles. The female advantage in communion was stronger the larger women’s share in the labor force and the greater the occupational sex segregation, both reflecting women’s employment primarily in communal domains. The male advantage in agency likely reflects that women’s considerable inroads into leader roles put them in versions of the role entailing lesser status and power and therefore conveying lesser agency. For competence, most respondents believed that women and men are equally competent in 17 of the 23 nations surveyed in 1995 and in all 40 nations surveyed in 2023. These beliefs in competence equality were stronger in nations with greater female educational attainment and labor force participation (in 2023 but not in 1995). By identifying cross-cultural patterns and socioeconomic indicators associated with variation in gender stereotyping, this research advances understanding of how the locations of women and men in nations’ social structures inform gender stereotypes.</w:t>
      </w:r>
    </w:p>
    <w:p>
      <w:pPr>
        <w:spacing w:before="120" w:after="120"/>
      </w:pPr>
      <w:r>
        <w:rPr>
          <w:sz w:val="18"/>
        </w:rPr>
        <w:t>——————————————————————————————————————————————————————————————————————</w:t>
      </w:r>
    </w:p>
    <w:p>
      <w:pPr>
        <w:spacing w:before="160" w:after="40" w:line="240" w:lineRule="auto"/>
      </w:pPr>
      <w:r>
        <w:rPr>
          <w:b/>
        </w:rPr>
        <w:t xml:space="preserve">[663] </w:t>
      </w:r>
      <w:hyperlink r:id="rId1121">
        <w:r>
          <w:rPr>
            <w:color w:val="1155CC"/>
            <w:u w:val="single"/>
          </w:rPr>
          <w:t>利用以LENN为基准的有目标的弹性类聚聚苯酯(LENN)配方优化 mRNA的交付:深入内分泌机制的透视</w:t>
        </w:r>
      </w:hyperlink>
    </w:p>
    <w:p>
      <w:pPr>
        <w:spacing w:before="0" w:after="80"/>
      </w:pPr>
      <w:r>
        <w:rPr>
          <w:i/>
          <w:sz w:val="20"/>
        </w:rPr>
        <w:t>EN: Optimizing mRNA delivery with targeted elastin-like polypeptide–based LENN formulations: Insights into the endocytosis mechanism</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22">
        <w:r>
          <w:rPr>
            <w:color w:val="1155CC"/>
            <w:u w:val="single"/>
          </w:rPr>
          <w:t>10.1073/pnas.2502486122</w:t>
        </w:r>
      </w:hyperlink>
    </w:p>
    <w:p>
      <w:pPr>
        <w:spacing w:before="0" w:after="120"/>
      </w:pPr>
      <w:r>
        <w:rPr>
          <w:b/>
        </w:rPr>
        <w:t xml:space="preserve">Notes: </w:t>
      </w:r>
      <w:r>
        <w:t>abstract_source=crossref</w:t>
      </w:r>
    </w:p>
    <w:p>
      <w:pPr>
        <w:spacing w:before="0" w:after="80" w:lineRule="auto" w:line="276"/>
      </w:pPr>
      <w:r>
        <w:rPr>
          <w:b/>
        </w:rPr>
        <w:t xml:space="preserve">摘要（ZH）: </w:t>
      </w:r>
      <w:r>
        <w:t>基因投送已成为改变基因表达方式的开拓性技术,为治疗大量疾病提供了新的可能性。我们报告说,用于mRNA输送的层层和层的聚丙酸核酸纳米粒子(LENN)系统是病毒矢量和脂肪纳米粒子系统的有吸引力的替代物。这项研究的重点是确定LENN携带 mRNA 货物的物理特性,评估其在T24膀胱肿瘤细胞中的生物性能。我们的数据显示,通过批量混合高效封装 mRNA片段,MRNA编码的润滑酶通过批量混合形成稳定在30-130纳米的LENN粒子,抗 heparin挑战,并且能够在-20°C储存3 d 的液化粉末,同时保留充分的生物活动。</w:t>
      </w:r>
    </w:p>
    <w:p>
      <w:pPr>
        <w:spacing w:before="0" w:after="200" w:lineRule="auto" w:line="276"/>
      </w:pPr>
      <w:r>
        <w:rPr>
          <w:b/>
        </w:rPr>
        <w:t xml:space="preserve">Abstract (EN): </w:t>
      </w:r>
      <w:r>
        <w:t>Gene delivery has emerged as a groundbreaking technique for altering gene expression, offering new possibilities in treating a vast array of diseases. We report a layer-by-layer elastin-like polypeptide nucleic acid nanoparticle (LENN) system for mRNA delivery as an attractive alternative to viral vectors and lipid nanoparticle (LNP) systems. This study focuses on determining the physical characteristics of LENN bearing mRNA cargo and assessing their biological performance in T24 bladder tumor cells. Our data show that mRNA encoding luciferase forms stable 30 to 130 nm LENN particles via batch mixing to efficiently encapsulate the mRNA strands, are resistant to heparin challenge, and are capable of storage at −20 °C for 3 d as lyophilized powders while retaining full biological activity after rehydration. We also demonstrate that LENN targeted to the epidermal growth factor receptor (EGFR) can efficiently deliver the mRNA cargo to the cytosol of EGFR+ T24 human bladder cancer cells via clathrin-mediated endocytosis where it is translationally active. Lipid profiling analyses show the significant role that upregulated phospholipid biosynthesis plays in nanoparticle internalization and endosomal escape compared to untargeted LENN, indicating the importance of the clathrin pathway in contributing to the delivery efficiency of LENN. Endocytosis inhibition experiments further support the involvement of the clathrin pathway. These findings highlight the compelling features of LENN with respect to their size, in vitro and in vivo targetability, mRNA encapsulation efficiency, complex stability, gene expression, and “green” manufacturability, offering an attractive alternative to existing methods for gene delivery.</w:t>
      </w:r>
    </w:p>
    <w:p>
      <w:pPr>
        <w:spacing w:before="120" w:after="120"/>
      </w:pPr>
      <w:r>
        <w:rPr>
          <w:sz w:val="18"/>
        </w:rPr>
        <w:t>——————————————————————————————————————————————————————————————————————</w:t>
      </w:r>
    </w:p>
    <w:p>
      <w:pPr>
        <w:spacing w:before="160" w:after="40" w:line="240" w:lineRule="auto"/>
      </w:pPr>
      <w:r>
        <w:rPr>
          <w:b/>
        </w:rPr>
        <w:t xml:space="preserve">[664] </w:t>
      </w:r>
      <w:hyperlink r:id="rId1123">
        <w:r>
          <w:rPr>
            <w:color w:val="1155CC"/>
            <w:u w:val="single"/>
          </w:rPr>
          <w:t>右环境切换酶字符</w:t>
        </w:r>
      </w:hyperlink>
    </w:p>
    <w:p>
      <w:pPr>
        <w:spacing w:before="0" w:after="80"/>
      </w:pPr>
      <w:r>
        <w:rPr>
          <w:i/>
          <w:sz w:val="20"/>
        </w:rPr>
        <w:t>EN: The right environment switches the enzymatic character</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24">
        <w:r>
          <w:rPr>
            <w:color w:val="1155CC"/>
            <w:u w:val="single"/>
          </w:rPr>
          <w:t>10.1073/pnas.2531791123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[665] </w:t>
      </w:r>
      <w:hyperlink r:id="rId1125">
        <w:r>
          <w:rPr>
            <w:color w:val="1155CC"/>
            <w:u w:val="single"/>
          </w:rPr>
          <w:t>回复Sun:真实世界散装密度变化支持生物碳的碳固存潜力高</w:t>
        </w:r>
      </w:hyperlink>
    </w:p>
    <w:p>
      <w:pPr>
        <w:spacing w:before="0" w:after="80"/>
      </w:pPr>
      <w:r>
        <w:rPr>
          <w:i/>
          <w:sz w:val="20"/>
        </w:rPr>
        <w:t>EN: Reply to Sun: Real-world bulk density changes support high carbon sequestration potential of biochar</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26">
        <w:r>
          <w:rPr>
            <w:color w:val="1155CC"/>
            <w:u w:val="single"/>
          </w:rPr>
          <w:t>10.1073/pnas.2533070123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[666] </w:t>
      </w:r>
      <w:hyperlink r:id="rId1127">
        <w:r>
          <w:rPr>
            <w:color w:val="1155CC"/>
            <w:u w:val="single"/>
          </w:rPr>
          <w:t>预计即将发生事件是时间变化不定的</w:t>
        </w:r>
      </w:hyperlink>
    </w:p>
    <w:p>
      <w:pPr>
        <w:spacing w:before="0" w:after="80"/>
      </w:pPr>
      <w:r>
        <w:rPr>
          <w:i/>
          <w:sz w:val="20"/>
        </w:rPr>
        <w:t>EN: The anticipation of imminent events is time-scale invariant</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28">
        <w:r>
          <w:rPr>
            <w:color w:val="1155CC"/>
            <w:u w:val="single"/>
          </w:rPr>
          <w:t>10.1073/pnas.2518982123</w:t>
        </w:r>
      </w:hyperlink>
    </w:p>
    <w:p>
      <w:pPr>
        <w:spacing w:before="0" w:after="120"/>
      </w:pPr>
      <w:r>
        <w:rPr>
          <w:b/>
        </w:rPr>
        <w:t xml:space="preserve">Notes: </w:t>
      </w:r>
      <w:r>
        <w:t>abstract_source=crossref</w:t>
      </w:r>
    </w:p>
    <w:p>
      <w:pPr>
        <w:spacing w:before="0" w:after="80" w:lineRule="auto" w:line="276"/>
      </w:pPr>
      <w:r>
        <w:rPr>
          <w:b/>
        </w:rPr>
        <w:t xml:space="preserve">摘要（ZH）: </w:t>
      </w:r>
      <w:r>
        <w:t>人类预测了即将发生事件的时机,以产生快速和准确的行动、决定和其他行为。这种时间预测对于广泛的时间尺度至关重要,特别是从几百毫秒到几秒钟不等。尽管我们对基本时间行为及其内在神经机制的理解有了进步,但预测是否在这些短暂的时间尺度上是稳定的,这仍然是个未决问题。最近的工作表明,大脑模拟了各种事件的概率密度函数(PDF),这暗示了时间预测的明理机制。在这里,我们调查这一计算是否在事件分布覆盖不同时间跨度时进行。我们显示,无论时间跨度、预测程度如何,衡量为“重新计算 ” 。</w:t>
      </w:r>
    </w:p>
    <w:p>
      <w:pPr>
        <w:spacing w:before="0" w:after="200" w:lineRule="auto" w:line="276"/>
      </w:pPr>
      <w:r>
        <w:rPr>
          <w:b/>
        </w:rPr>
        <w:t xml:space="preserve">Abstract (EN): </w:t>
      </w:r>
      <w:r>
        <w:t>Humans predict the timing of imminent events to generate fast and precise actions, decisions, and other behaviors. Such temporal anticipation is critical over wide timescales, and especially salient over the range from hundreds of milliseconds to a few seconds. Despite advances in our understanding of basic timing behavior and its underlying neural mechanisms, it remains an open question whether anticipation is stable across these short time scales. Recent work shows that the brain models the probability density function (PDF) of events across time, suggesting a canonical mechanism for temporal anticipation. Here, we investigate whether this computation holds when the event distribution covers different time spans. We show that, irrespective of the time span, anticipation, measured as reaction time, scales with the event distribution. This demonstrates that the key computation—the estimation of event probability density—is invariant across temporal scales. We further show that the precision of anticipation is also scale invariant which contradicts Weber’s law. The results are established in vision and audition, suggesting that the core computations in temporal anticipation are independent of sensory modality. Perceptual systems exploit probability estimation over time independently of temporal scale to anticipate imminent events.</w:t>
      </w:r>
    </w:p>
    <w:p>
      <w:pPr>
        <w:spacing w:before="120" w:after="120"/>
      </w:pPr>
      <w:r>
        <w:rPr>
          <w:sz w:val="18"/>
        </w:rPr>
        <w:t>——————————————————————————————————————————————————————————————————————</w:t>
      </w:r>
    </w:p>
    <w:p>
      <w:pPr>
        <w:spacing w:before="160" w:after="40" w:line="240" w:lineRule="auto"/>
      </w:pPr>
      <w:r>
        <w:rPr>
          <w:b/>
        </w:rPr>
        <w:t xml:space="preserve">[667] </w:t>
      </w:r>
      <w:hyperlink r:id="rId1129">
        <w:r>
          <w:rPr>
            <w:color w:val="1155CC"/>
            <w:u w:val="single"/>
          </w:rPr>
          <w:t>意图良好的发言的意外后果</w:t>
        </w:r>
      </w:hyperlink>
    </w:p>
    <w:p>
      <w:pPr>
        <w:spacing w:before="0" w:after="80"/>
      </w:pPr>
      <w:r>
        <w:rPr>
          <w:i/>
          <w:sz w:val="20"/>
        </w:rPr>
        <w:t>EN: Unintended consequences of well-intended interventions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30">
        <w:r>
          <w:rPr>
            <w:color w:val="1155CC"/>
            <w:u w:val="single"/>
          </w:rPr>
          <w:t>10.1073/pnas.2533905122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[668] </w:t>
      </w:r>
      <w:hyperlink r:id="rId1131">
        <w:r>
          <w:rPr>
            <w:color w:val="1155CC"/>
            <w:u w:val="single"/>
          </w:rPr>
          <w:t>将AAAV基因送入纤维体控制再生结果</w:t>
        </w:r>
      </w:hyperlink>
    </w:p>
    <w:p>
      <w:pPr>
        <w:spacing w:before="0" w:after="80"/>
      </w:pPr>
      <w:r>
        <w:rPr>
          <w:i/>
          <w:sz w:val="20"/>
        </w:rPr>
        <w:t>EN: Mouse digit AAV gene delivery into fibroblasts regulates regenerative outcome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132">
        <w:r>
          <w:rPr>
            <w:color w:val="1155CC"/>
            <w:u w:val="single"/>
          </w:rPr>
          <w:t>10.1126/sciadv.adz0229</w:t>
        </w:r>
      </w:hyperlink>
    </w:p>
    <w:p>
      <w:pPr>
        <w:spacing w:before="0" w:after="120"/>
      </w:pPr>
      <w:r>
        <w:rPr>
          <w:b/>
        </w:rPr>
        <w:t xml:space="preserve">Notes: </w:t>
      </w:r>
      <w:r>
        <w:t>abstract_source=crossref</w:t>
      </w:r>
    </w:p>
    <w:p>
      <w:pPr>
        <w:spacing w:before="0" w:after="80" w:lineRule="auto" w:line="276"/>
      </w:pPr>
      <w:r>
        <w:rPr>
          <w:b/>
        </w:rPr>
        <w:t xml:space="preserve">摘要（ZH）: </w:t>
      </w:r>
      <w:r>
        <w:t>distal 滑鼠数字小滴再生,而近似数位数则经历纤维化。本研究对再生和非再生数字进行了比较的单细胞RNA测序分析,对再生和非再生数字进行了分析,以计算确定与纤维化和再生相关的纤维化亚群和基因。 为了测试已识别的候选基因是否足以改变伤口愈合结果,我们开发了一种用于数字纤维化的强健的乙型相关病毒基因传递技术。 我们发现,对候选分子的预发性基因Pcolce2 或 Prelp的过分表达改变了候选生殖性因子Ccl2的正常再生和过度表达。</w:t>
      </w:r>
    </w:p>
    <w:p>
      <w:pPr>
        <w:spacing w:before="0" w:after="200" w:lineRule="auto" w:line="276"/>
      </w:pPr>
      <w:r>
        <w:rPr>
          <w:b/>
        </w:rPr>
        <w:t xml:space="preserve">Abstract (EN): </w:t>
      </w:r>
      <w:r>
        <w:t>The distal mouse digit tip regenerates postamputation, while the proximal digit undergoes fibrosis. This study presents a comparative single-cell RNA sequencing–based analysis of regenerating and nonregenerating digits to computationally identify fibroblast subpopulations and genes associated with fibrosis and regeneration. To test the sufficiency of identified candidate genes to alter wound healing outcomes, we developed a robust adeno-associated virus gene delivery technique for digit fibroblasts. We found that overexpression of candidate profibrotic gene</w:t>
      </w:r>
      <w:r>
        <w:t xml:space="preserve"> </w:t>
      </w:r>
      <w:r>
        <w:t>Pcolce2</w:t>
      </w:r>
      <w:r>
        <w:t xml:space="preserve"> </w:t>
      </w:r>
      <w:r>
        <w:t>or</w:t>
      </w:r>
      <w:r>
        <w:t xml:space="preserve"> </w:t>
      </w:r>
      <w:r>
        <w:t>Prelp</w:t>
      </w:r>
      <w:r>
        <w:t xml:space="preserve"> </w:t>
      </w:r>
      <w:r>
        <w:t>in the blastema modifies normal regeneration and overexpression of candidate proregenerative factor</w:t>
      </w:r>
      <w:r>
        <w:t xml:space="preserve"> </w:t>
      </w:r>
      <w:r>
        <w:t>Ccl2</w:t>
      </w:r>
      <w:r>
        <w:t xml:space="preserve"> </w:t>
      </w:r>
      <w:r>
        <w:t>or</w:t>
      </w:r>
      <w:r>
        <w:t xml:space="preserve"> </w:t>
      </w:r>
      <w:r>
        <w:t>Mest</w:t>
      </w:r>
      <w:r>
        <w:t xml:space="preserve"> </w:t>
      </w:r>
      <w:r>
        <w:t>in the proximal digit substantially increases bone deposition. These data demonstrate that the computational analysis combined with the AAV delivery approach presented in this study provides a powerful framework for identifying the driving factors of fibrosis and regeneration in the mammalian digit.</w:t>
      </w:r>
    </w:p>
    <w:p>
      <w:pPr>
        <w:spacing w:before="120" w:after="120"/>
      </w:pPr>
      <w:r>
        <w:rPr>
          <w:sz w:val="18"/>
        </w:rPr>
        <w:t>——————————————————————————————————————————————————————————————————————</w:t>
      </w:r>
    </w:p>
    <w:p>
      <w:pPr>
        <w:spacing w:before="160" w:after="40" w:line="240" w:lineRule="auto"/>
      </w:pPr>
      <w:r>
        <w:rPr>
          <w:b/>
        </w:rPr>
        <w:t xml:space="preserve">[669] </w:t>
      </w:r>
      <w:hyperlink r:id="rId1133">
        <w:r>
          <w:rPr>
            <w:color w:val="1155CC"/>
            <w:u w:val="single"/>
          </w:rPr>
          <w:t>CXCR5 查明了在化物中为潜在乙基乙基V特性而浓缩的干样常住内存 CD8+T细胞</w:t>
        </w:r>
      </w:hyperlink>
    </w:p>
    <w:p>
      <w:pPr>
        <w:spacing w:before="0" w:after="80"/>
      </w:pPr>
      <w:r>
        <w:rPr>
          <w:i/>
          <w:sz w:val="20"/>
        </w:rPr>
        <w:t>EN: CXCR5 identifies stem-like resident memory CD8⁺ T cells enriched for latent EBV specificity in tonsils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134">
        <w:r>
          <w:rPr>
            <w:color w:val="1155CC"/>
            <w:u w:val="single"/>
          </w:rPr>
          <w:t>10.1126/sciadv.ady8316</w:t>
        </w:r>
      </w:hyperlink>
    </w:p>
    <w:p>
      <w:pPr>
        <w:spacing w:before="0" w:after="120"/>
      </w:pPr>
      <w:r>
        <w:rPr>
          <w:b/>
        </w:rPr>
        <w:t xml:space="preserve">Notes: </w:t>
      </w:r>
      <w:r>
        <w:t>abstract_source=crossref</w:t>
      </w:r>
    </w:p>
    <w:p>
      <w:pPr>
        <w:spacing w:before="0" w:after="80" w:lineRule="auto" w:line="276"/>
      </w:pPr>
      <w:r>
        <w:rPr>
          <w:b/>
        </w:rPr>
        <w:t xml:space="preserve">摘要（ZH）: </w:t>
      </w:r>
      <w:r>
        <w:t>CXCR5 + CXCRR5 + CD8 + T 细胞在慢性感染的情况下成为抗病毒免疫的关键媒介,但是,它们的功能属性和组织分布仍然没有完全界定,特别是相对于抗原特性而言。在这里,我们调查了整个人体多个地点的CXCR5 + CD8 + T 细胞的解解剖本地化和抗病毒特性,重点是奥眼血清、淋巴组织。</w:t>
      </w:r>
    </w:p>
    <w:p>
      <w:pPr>
        <w:spacing w:before="0" w:after="200" w:lineRule="auto" w:line="276"/>
      </w:pPr>
      <w:r>
        <w:rPr>
          <w:b/>
        </w:rPr>
        <w:t xml:space="preserve">Abstract (EN): </w:t>
      </w:r>
      <w:r>
        <w:t>CXCR5</w:t>
      </w:r>
      <w:r>
        <w:t xml:space="preserve"> </w:t>
      </w:r>
      <w:r>
        <w:t>+</w:t>
      </w:r>
      <w:r>
        <w:t xml:space="preserve"> </w:t>
      </w:r>
      <w:r>
        <w:t>CD8</w:t>
      </w:r>
      <w:r>
        <w:t xml:space="preserve"> </w:t>
      </w:r>
      <w:r>
        <w:t>+</w:t>
      </w:r>
      <w:r>
        <w:t xml:space="preserve"> </w:t>
      </w:r>
      <w:r>
        <w:t>T cells emerged as key mediators of antiviral immunity in the context of chronic infection. However, their functional attributes and tissue distribution remain incompletely defined, especially in relation to antigen specificity. Here, we investigated the anatomical localization and antiviral properties of CXCR5</w:t>
      </w:r>
      <w:r>
        <w:t xml:space="preserve"> </w:t>
      </w:r>
      <w:r>
        <w:t>+</w:t>
      </w:r>
      <w:r>
        <w:t xml:space="preserve"> </w:t>
      </w:r>
      <w:r>
        <w:t>CD8</w:t>
      </w:r>
      <w:r>
        <w:t xml:space="preserve"> </w:t>
      </w:r>
      <w:r>
        <w:t>+</w:t>
      </w:r>
      <w:r>
        <w:t xml:space="preserve"> </w:t>
      </w:r>
      <w:r>
        <w:t>T cells across multiple sites throughout the human body, with an emphasis on oropharyngeal lymphoid tissues. Tonsils harbored the highest frequencies of CXCR5</w:t>
      </w:r>
      <w:r>
        <w:t xml:space="preserve"> </w:t>
      </w:r>
      <w:r>
        <w:t>+</w:t>
      </w:r>
      <w:r>
        <w:t xml:space="preserve"> </w:t>
      </w:r>
      <w:r>
        <w:t>CD8</w:t>
      </w:r>
      <w:r>
        <w:t xml:space="preserve"> </w:t>
      </w:r>
      <w:r>
        <w:t>+</w:t>
      </w:r>
      <w:r>
        <w:t xml:space="preserve"> </w:t>
      </w:r>
      <w:r>
        <w:t>T cells compared to other tissues, many of which expressed Granzyme K and concurrently displayed tissue residency features, as demonstrated by single cell profiling. Irrespective of clonal identity and virus specificity, CD8</w:t>
      </w:r>
      <w:r>
        <w:t xml:space="preserve"> </w:t>
      </w:r>
      <w:r>
        <w:t>+</w:t>
      </w:r>
      <w:r>
        <w:t xml:space="preserve"> </w:t>
      </w:r>
      <w:r>
        <w:t>T cells expressed CXCR5 more commonly in tonsils compared to vascular circulation. CXCR5 expression was particularly prominent among tonsil-localized CD8</w:t>
      </w:r>
      <w:r>
        <w:t xml:space="preserve"> </w:t>
      </w:r>
      <w:r>
        <w:t>+</w:t>
      </w:r>
      <w:r>
        <w:t xml:space="preserve"> </w:t>
      </w:r>
      <w:r>
        <w:t>T cells targeting Epstein-Barr virus (EBV) latent antigens and associated with a PD-1</w:t>
      </w:r>
      <w:r>
        <w:t xml:space="preserve"> </w:t>
      </w:r>
      <w:r>
        <w:t>+</w:t>
      </w:r>
      <w:r>
        <w:t xml:space="preserve"> </w:t>
      </w:r>
      <w:r>
        <w:t>resident stem-like phenotype. These data identify a CXCR5</w:t>
      </w:r>
      <w:r>
        <w:t xml:space="preserve"> </w:t>
      </w:r>
      <w:r>
        <w:t>+</w:t>
      </w:r>
      <w:r>
        <w:t xml:space="preserve"> </w:t>
      </w:r>
      <w:r>
        <w:t>tissue-resident memory CD8</w:t>
      </w:r>
      <w:r>
        <w:t xml:space="preserve"> </w:t>
      </w:r>
      <w:r>
        <w:t>+</w:t>
      </w:r>
      <w:r>
        <w:t xml:space="preserve"> </w:t>
      </w:r>
      <w:r>
        <w:t>T cell subset in human tonsils with a potential role in immune surveillance of EBV.</w:t>
      </w:r>
    </w:p>
    <w:p>
      <w:pPr>
        <w:spacing w:before="120" w:after="120"/>
      </w:pPr>
      <w:r>
        <w:rPr>
          <w:sz w:val="18"/>
        </w:rPr>
        <w:t>——————————————————————————————————————————————————————————————————————</w:t>
      </w:r>
    </w:p>
    <w:p>
      <w:pPr>
        <w:spacing w:before="160" w:after="40" w:line="240" w:lineRule="auto"/>
      </w:pPr>
      <w:r>
        <w:rPr>
          <w:b/>
        </w:rPr>
        <w:t xml:space="preserve">[670] </w:t>
      </w:r>
      <w:hyperlink r:id="rId1135">
        <w:r>
          <w:rPr>
            <w:color w:val="1155CC"/>
            <w:u w:val="single"/>
          </w:rPr>
          <w:t>用于CD4+T细胞中人体细胞细胞毒性方案的一组不同的干细胞内存</w:t>
        </w:r>
      </w:hyperlink>
    </w:p>
    <w:p>
      <w:pPr>
        <w:spacing w:before="0" w:after="80"/>
      </w:pPr>
      <w:r>
        <w:rPr>
          <w:i/>
          <w:sz w:val="20"/>
        </w:rPr>
        <w:t>EN: A distinct subset of stem-cell memory is poised for the cytotoxicity program in CD4+ T cells in humans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136">
        <w:r>
          <w:rPr>
            <w:color w:val="1155CC"/>
            <w:u w:val="single"/>
          </w:rPr>
          <w:t>10.1126/sciadv.ady6423</w:t>
        </w:r>
      </w:hyperlink>
    </w:p>
    <w:p>
      <w:pPr>
        <w:spacing w:before="0" w:after="120"/>
      </w:pPr>
      <w:r>
        <w:rPr>
          <w:b/>
        </w:rPr>
        <w:t xml:space="preserve">Notes: </w:t>
      </w:r>
      <w:r>
        <w:t>abstract_source=crossref</w:t>
      </w:r>
    </w:p>
    <w:p>
      <w:pPr>
        <w:spacing w:before="0" w:after="80" w:lineRule="auto" w:line="276"/>
      </w:pPr>
      <w:r>
        <w:rPr>
          <w:b/>
        </w:rPr>
        <w:t xml:space="preserve">摘要（ZH）: </w:t>
      </w:r>
      <w:r>
        <w:t>据报道,具有细胞毒性潜力的CD4 +细胞毒性T淋巴细胞细胞细胞(CD4-CTLs)是许多疾病的免疫反应保护的组成部分,然而,与CD8 + (CD8)-CTLs相比,对于它们的直系、分子特性和细胞分析潜力缺乏了解,限制了它们的效用。因此,通过同时分析人类外围CD4-CTLs和CD8-CTLs,我们证明它们对于细胞毒性程序是无法区分的。此外,我们采用了综合多组法,将CD4 + T 细胞内存子集的抄录、T细胞抗细胞感应器接收器和开染色素简介结合起来,我们发现了一个干细胞内存子。</w:t>
      </w:r>
    </w:p>
    <w:p>
      <w:pPr>
        <w:spacing w:before="0" w:after="200" w:lineRule="auto" w:line="276"/>
      </w:pPr>
      <w:r>
        <w:rPr>
          <w:b/>
        </w:rPr>
        <w:t xml:space="preserve">Abstract (EN): </w:t>
      </w:r>
      <w:r>
        <w:t>The CD4</w:t>
      </w:r>
      <w:r>
        <w:t xml:space="preserve"> </w:t>
      </w:r>
      <w:r>
        <w:t>+</w:t>
      </w:r>
      <w:r>
        <w:t xml:space="preserve"> </w:t>
      </w:r>
      <w:r>
        <w:t>cytotoxic T lymphocytes (CD4-CTLs) with cytotoxic potential are reported to be the components of protective immune response in many diseases. However, the lack of understanding about their lineage, molecular character, and cytolytic potential in comparison to CD8</w:t>
      </w:r>
      <w:r>
        <w:t xml:space="preserve"> </w:t>
      </w:r>
      <w:r>
        <w:t>+</w:t>
      </w:r>
      <w:r>
        <w:t xml:space="preserve"> </w:t>
      </w:r>
      <w:r>
        <w:t>(CD8)-CTLs has restricted their utility. Thus, here, by parallelly analyzing the human peripheral CD4-CTLs and CD8-CTLs, we demonstrate that they are indistinguishable for the cytotoxic program. Furthermore, using an integrative multiomics approach combining the transcriptome, T cell antigen-receptor repertoire, and open chromatin profile of CD4</w:t>
      </w:r>
      <w:r>
        <w:t xml:space="preserve"> </w:t>
      </w:r>
      <w:r>
        <w:t>+</w:t>
      </w:r>
      <w:r>
        <w:t xml:space="preserve"> </w:t>
      </w:r>
      <w:r>
        <w:t>T cell memory subsets, we found a stem-cell memory subset that is precommitted to the cytotoxicity program. Through an in vitro differentiation model, we developed CD4</w:t>
      </w:r>
      <w:r>
        <w:t xml:space="preserve"> </w:t>
      </w:r>
      <w:r>
        <w:t>+</w:t>
      </w:r>
      <w:r>
        <w:t xml:space="preserve"> </w:t>
      </w:r>
      <w:r>
        <w:t>T cells with cytolytic potential coexpressing and exhibiting progressive chromatin accessibility for cytotoxicity- and longevity-associated genes, hence generating long-lived CD4-CTL effectors of varying cytotoxic capacity. Together, our study advocates for exploring both CD4-CTLs and CD8-CTLs for vaccine development, vaccine efficacy testing, and immunotherapies and cell-based therapies for precision medicine.</w:t>
      </w:r>
    </w:p>
    <w:p>
      <w:pPr>
        <w:spacing w:before="120" w:after="120"/>
      </w:pPr>
      <w:r>
        <w:rPr>
          <w:sz w:val="18"/>
        </w:rPr>
        <w:t>——————————————————————————————————————————————————————————————————————</w:t>
      </w:r>
    </w:p>
    <w:p>
      <w:pPr>
        <w:spacing w:before="160" w:after="40" w:line="240" w:lineRule="auto"/>
      </w:pPr>
      <w:r>
        <w:rPr>
          <w:b/>
        </w:rPr>
        <w:t xml:space="preserve">[671] </w:t>
      </w:r>
      <w:hyperlink r:id="rId1137">
        <w:r>
          <w:rPr>
            <w:color w:val="1155CC"/>
            <w:u w:val="single"/>
          </w:rPr>
          <w:t>Nectin-4 PET,用于预测子宫内皮皮瘤的活性叶道丁剂量反应</w:t>
        </w:r>
      </w:hyperlink>
    </w:p>
    <w:p>
      <w:pPr>
        <w:spacing w:before="0" w:after="80"/>
      </w:pPr>
      <w:r>
        <w:rPr>
          <w:i/>
          <w:sz w:val="20"/>
        </w:rPr>
        <w:t>EN: Nectin-4 PET for predicting enfortumab vedotin dose-response in urothelial carcinoma</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138">
        <w:r>
          <w:rPr>
            <w:color w:val="1155CC"/>
            <w:u w:val="single"/>
          </w:rPr>
          <w:t>10.1126/sciadv.ady1111</w:t>
        </w:r>
      </w:hyperlink>
    </w:p>
    <w:p>
      <w:pPr>
        <w:spacing w:before="0" w:after="120"/>
      </w:pPr>
      <w:r>
        <w:rPr>
          <w:b/>
        </w:rPr>
        <w:t xml:space="preserve">Notes: </w:t>
      </w:r>
      <w:r>
        <w:t>abstract_source=crossref</w:t>
      </w:r>
    </w:p>
    <w:p>
      <w:pPr>
        <w:spacing w:before="0" w:after="80" w:lineRule="auto" w:line="276"/>
      </w:pPr>
      <w:r>
        <w:rPr>
          <w:b/>
        </w:rPr>
        <w:t xml:space="preserve">摘要（ZH）: </w:t>
      </w:r>
      <w:r>
        <w:t>优化剂量战略对于平衡效果和毒性至关重要,特别是对于具有诸如抗体药物共合(ADCs)等狭窄治疗窗口的药物而言,效果和毒性平衡至关重要。本研究评估了针对Nectin-4的正电子排放断层成像(PET)成像是否能够无孔不入地量化ADCinfortumab vedotin(EV)与室外癌肿瘤的实时互动。使用成像剂[68 Ga]AJ647,EV与Nectin-4相互作用的动态变化在临床前期模型中测量,并与治疗对策相关。PET成像确定了Nectin-4接触的剂量依赖剂量变化,其次优化的EV剂量导致不完全Nectin-4接触和肿瘤增加。</w:t>
      </w:r>
    </w:p>
    <w:p>
      <w:pPr>
        <w:spacing w:before="0" w:after="200" w:lineRule="auto" w:line="276"/>
      </w:pPr>
      <w:r>
        <w:rPr>
          <w:b/>
        </w:rPr>
        <w:t xml:space="preserve">Abstract (EN): </w:t>
      </w:r>
      <w:r>
        <w:t>Optimizing dosing strategies is critical to balance effectiveness and toxicity, especially for drugs with narrow therapeutic windows such as antibody-drug conjugates (ADCs). This study evaluates whether positron emission tomography (PET) imaging targeting Nectin-4 can noninvasively quantify the real-time interaction of the ADC enfortumab vedotin (EV) with tumors in urothelial carcinoma. Using the imaging agent [</w:t>
      </w:r>
      <w:r>
        <w:rPr>
          <w:vertAlign w:val="subscript"/>
        </w:rPr>
        <w:t>68</w:t>
      </w:r>
      <w:r>
        <w:t>Ga]AJ647, dynamic changes in the interaction of EV with Nectin-4 were measured across preclinical models and correlated with therapeutic responses. PET imaging identified dose-dependent variations in Nectin-4 engagement, with suboptimal EV doses resulting in incomplete Nectin-4 engagement and increased tumor growth. Crucially, PET-measured target engagement predicted therapeutic outcomes more reliably than either drug dose or baseline target expression. By defining effective target engagement levels needed for optimal therapeutic outcomes, PET imaging provides a clear benchmark for dosing decisions, maximizing efficacy while potentially reducing exposure to higher, toxic doses and thereby enhancing patient safety.</w:t>
      </w:r>
    </w:p>
    <w:p>
      <w:pPr>
        <w:spacing w:before="120" w:after="120"/>
      </w:pPr>
      <w:r>
        <w:rPr>
          <w:sz w:val="18"/>
        </w:rPr>
        <w:t>——————————————————————————————————————————————————————————————————————</w:t>
      </w:r>
    </w:p>
    <w:p>
      <w:pPr>
        <w:spacing w:before="160" w:after="40" w:line="240" w:lineRule="auto"/>
      </w:pPr>
      <w:r>
        <w:rPr>
          <w:b/>
        </w:rPr>
        <w:t xml:space="preserve">[672] </w:t>
      </w:r>
      <w:hyperlink r:id="rId1139">
        <w:r>
          <w:rPr>
            <w:color w:val="1155CC"/>
            <w:u w:val="single"/>
          </w:rPr>
          <w:t>多金属协同增效作用,并伴以质溶光电闪光催化</w:t>
        </w:r>
      </w:hyperlink>
    </w:p>
    <w:p>
      <w:pPr>
        <w:spacing w:before="0" w:after="80"/>
      </w:pPr>
      <w:r>
        <w:rPr>
          <w:i/>
          <w:sz w:val="20"/>
        </w:rPr>
        <w:t>EN: Multimetallic synergies in tandem plasmonic photocatalysis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40">
        <w:r>
          <w:rPr>
            <w:color w:val="1155CC"/>
            <w:u w:val="single"/>
          </w:rPr>
          <w:t>10.1073/pnas.2533097122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[673] </w:t>
      </w:r>
      <w:hyperlink r:id="rId1141">
        <w:r>
          <w:rPr>
            <w:color w:val="1155CC"/>
            <w:u w:val="single"/>
          </w:rPr>
          <w:t>通过翻译控制,由Nat10调解的 ac4C 肾上血清学管弦管弦管通过翻译控制确定肝脑电图学干/生殖器细胞命运</w:t>
        </w:r>
      </w:hyperlink>
    </w:p>
    <w:p>
      <w:pPr>
        <w:spacing w:before="0" w:after="80"/>
      </w:pPr>
      <w:r>
        <w:rPr>
          <w:i/>
          <w:sz w:val="20"/>
        </w:rPr>
        <w:t>EN: Nat10-mediated ac4C epitranscriptomics orchestrates hematopoietic stem/progenitor cell fate determination via translation control</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142">
        <w:r>
          <w:rPr>
            <w:color w:val="1155CC"/>
            <w:u w:val="single"/>
          </w:rPr>
          <w:t>10.1126/sciadv.ady0301</w:t>
        </w:r>
      </w:hyperlink>
    </w:p>
    <w:p>
      <w:pPr>
        <w:spacing w:before="0" w:after="120"/>
      </w:pPr>
      <w:r>
        <w:rPr>
          <w:b/>
        </w:rPr>
        <w:t xml:space="preserve">Notes: </w:t>
      </w:r>
      <w:r>
        <w:t>abstract_source=crossref</w:t>
      </w:r>
    </w:p>
    <w:p>
      <w:pPr>
        <w:spacing w:before="0" w:after="80" w:lineRule="auto" w:line="276"/>
      </w:pPr>
      <w:r>
        <w:rPr>
          <w:b/>
        </w:rPr>
        <w:t xml:space="preserve">摘要（ZH）: </w:t>
      </w:r>
      <w:r>
        <w:t>植物基因调节对于平衡肝脏干细胞(HSC)自我更新和区别至关重要,从而保持肝脏动物足迹的保持。 尽管Nat10中以RNA AC4C为媒介的变异与恶性肝炎有关,但其在正常血蛋白中的作用仍未被探索。在这里,我们开发了ULAC-seq来绘制稀有肝脏动物干细胞(HSPC)的ac4C和显露的动态、细胞型特定丙型丙型丙型丙型丙型丙型腺模式的地图,在巨型甲状腺细胞细胞-红细胞先质(MEPs)中达到峰值,这与高Nat10的表达方式相关。Nat10淘汰会破坏HSC的自我更新和逮捕MEP的区别,导致胎儿和产后的血压缺陷。机械学上,Nat10将丙型丙型丙型丙型丙型丙型丙型丙型丙型丙型丙型丙型丙型丙型丙型丙型丙型丙型丙型丙型丙型丙型丙型丙型丙型丙型丙型丙型丙型丙型丙型</w:t>
      </w:r>
    </w:p>
    <w:p>
      <w:pPr>
        <w:spacing w:before="0" w:after="200" w:lineRule="auto" w:line="276"/>
      </w:pPr>
      <w:r>
        <w:rPr>
          <w:b/>
        </w:rPr>
        <w:t xml:space="preserve">Abstract (EN): </w:t>
      </w:r>
      <w:r>
        <w:t>Epigenetic regulation is crucial for balancing hematopoietic stem cell (HSC) self-renewal and differentiation, thereby maintaining hematopoietic homeostasis. Although Nat10-mediated RNA ac4C modification has been implicated in malignant hematopoiesis, its role in normal hematopoiesis remains unexplored. Here, we developed ULAC-seq to map ac4C in rare hematopoietic stem/progenitor cells (HSPCs) and revealed dynamic, cell-type–specific ac4C patterns, peaking in megakaryocyte-erythroid progenitors (MEPs), correlating with elevated Nat10 expression. Nat10 knockout disrupts HSC self-renewal and arrests MEP differentiation, leading to fetal and postnatal hematopoietic failure. Mechanistically, Nat10 deposits ac4C on mRNAs encoding key hematopoietic transcription regulators (e.g., Nfix), thereby enhancing their translation. Nat10 loss reduces Nfix protein levels and suppresses expression of its target genes (e.g., Mpl) that govern HSPC fate, while Nfix reconstitution rescues colony-forming defects in Nat10-null HSPCs. Our findings reveal that Nat10 orchestrates hematopoiesis through ac4C-dependent translational control of transcriptional factors, establishing an epitranscriptome-transcriptome regulatory axis essential for HSC maintenance and function.</w:t>
      </w:r>
    </w:p>
    <w:p>
      <w:pPr>
        <w:spacing w:before="120" w:after="120"/>
      </w:pPr>
      <w:r>
        <w:rPr>
          <w:sz w:val="18"/>
        </w:rPr>
        <w:t>——————————————————————————————————————————————————————————————————————</w:t>
      </w:r>
    </w:p>
    <w:p>
      <w:pPr>
        <w:spacing w:before="160" w:after="40" w:line="240" w:lineRule="auto"/>
      </w:pPr>
      <w:r>
        <w:rPr>
          <w:b/>
        </w:rPr>
        <w:t xml:space="preserve">[674] </w:t>
      </w:r>
      <w:hyperlink r:id="rId1143">
        <w:r>
          <w:rPr>
            <w:color w:val="1155CC"/>
            <w:u w:val="single"/>
          </w:rPr>
          <w:t>通过超分子分子促进药物刺激刺激通过超分子分子促进药物的刺激 水凝液凝液增强本性适应性免疫交叉交谈,以防止血浆瘤复发</w:t>
        </w:r>
      </w:hyperlink>
    </w:p>
    <w:p>
      <w:pPr>
        <w:spacing w:before="0" w:after="80"/>
      </w:pPr>
      <w:r>
        <w:rPr>
          <w:i/>
          <w:sz w:val="20"/>
        </w:rPr>
        <w:t>EN: STING stimulation via supramolecular prodrug hydrogel boosts innate-adaptive immune cross-talk to prevent glioblastoma recurrence</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144">
        <w:r>
          <w:rPr>
            <w:color w:val="1155CC"/>
            <w:u w:val="single"/>
          </w:rPr>
          <w:t>10.1126/sciadv.adx9671</w:t>
        </w:r>
      </w:hyperlink>
    </w:p>
    <w:p>
      <w:pPr>
        <w:spacing w:before="0" w:after="120"/>
      </w:pPr>
      <w:r>
        <w:rPr>
          <w:b/>
        </w:rPr>
        <w:t xml:space="preserve">Notes: </w:t>
      </w:r>
      <w:r>
        <w:t>abstract_source=crossref</w:t>
      </w:r>
    </w:p>
    <w:p>
      <w:pPr>
        <w:spacing w:before="0" w:after="80" w:lineRule="auto" w:line="276"/>
      </w:pPr>
      <w:r>
        <w:rPr>
          <w:b/>
        </w:rPr>
        <w:t xml:space="preserve">摘要（ZH）: </w:t>
      </w:r>
      <w:r>
        <w:t>Glioblastoma多形式(GBM)是最具侵略性的主要脑脑肿瘤,它表现出了对免疫疗法的持久性抗药性,因为其具有深远的免疫抑制性微观环境以及明显有限的T细胞渗透。 在这方面,我们设计了一个Stinging agotist- concented acented prodrug 氢凝胶,它可以同时协调原生免疫和适应性免疫的双重激活,以防止GBM手术后重现。 我们发现,这个原地-成形的水文凝胶与肿瘤剖面程序无缝结合,成为治疗剂持续肿瘤释放的药库,从而通过促进M1大型phage极化、抑制监管T细胞活动以及增强细胞毒性T淋巴细胞渗透,从而建立强大的抗菌体,从而重新规划肿瘤微观环境,从而推动M1大型两极分化,抑制监管T细胞活动,并增强细胞毒性T淋巴细胞渗透。</w:t>
      </w:r>
    </w:p>
    <w:p>
      <w:pPr>
        <w:spacing w:before="0" w:after="200" w:lineRule="auto" w:line="276"/>
      </w:pPr>
      <w:r>
        <w:rPr>
          <w:b/>
        </w:rPr>
        <w:t xml:space="preserve">Abstract (EN): </w:t>
      </w:r>
      <w:r>
        <w:t>Glioblastoma multiforme (GBM), the most aggressive primary brain tumor, demonstrates persistent resistance to immunotherapy due to its profoundly immunosuppressive microenvironment and markedly limited T cell infiltration. In this context, we engineered a STING agonist–incorporated prodrug hydrogel that orchestrates dual activation of innate and adaptive immunity to prevent postoperative GBM recurrence. We found that this in situ–forming hydrogel integrates seamlessly with tumor resection procedures, serves as a drug depot for sustained tumoral releases of therapeutic agents, and thus reprograms the tumor microenvironment by promoting M1 macrophage polarization, suppressing regulatory T cell activity, and enhancing cytotoxic T lymphocyte infiltration, thereby establishing a robust antitumor immune response. As a postoperative adjuvant therapy, the hydrogel effectively inhibits orthotopic GBM recurrence and extends animal survival while establishing durable immune memory against tumor rechallenge. Our findings demonstrate the translational potential of immunologically engineered hydrogels for STING-activated immunotherapy in preventing postresection GBM recurrence.</w:t>
      </w:r>
    </w:p>
    <w:p>
      <w:pPr>
        <w:spacing w:before="120" w:after="120"/>
      </w:pPr>
      <w:r>
        <w:rPr>
          <w:sz w:val="18"/>
        </w:rPr>
        <w:t>——————————————————————————————————————————————————————————————————————</w:t>
      </w:r>
    </w:p>
    <w:p>
      <w:pPr>
        <w:spacing w:before="160" w:after="40" w:line="240" w:lineRule="auto"/>
      </w:pPr>
      <w:r>
        <w:rPr>
          <w:b/>
        </w:rPr>
        <w:t xml:space="preserve">[675] </w:t>
      </w:r>
      <w:hyperlink r:id="rId1145">
        <w:r>
          <w:rPr>
            <w:color w:val="1155CC"/>
            <w:u w:val="single"/>
          </w:rPr>
          <w:t>海绵进化史的古生物学和分子证据</w:t>
        </w:r>
      </w:hyperlink>
    </w:p>
    <w:p>
      <w:pPr>
        <w:spacing w:before="0" w:after="80"/>
      </w:pPr>
      <w:r>
        <w:rPr>
          <w:i/>
          <w:sz w:val="20"/>
        </w:rPr>
        <w:t>EN: Independent origins of spicules reconcile paleontological and molecular evidence of sponge evolutionary history</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146">
        <w:r>
          <w:rPr>
            <w:color w:val="1155CC"/>
            <w:u w:val="single"/>
          </w:rPr>
          <w:t>10.1126/sciadv.adx1754</w:t>
        </w:r>
      </w:hyperlink>
    </w:p>
    <w:p>
      <w:pPr>
        <w:spacing w:before="0" w:after="120"/>
      </w:pPr>
      <w:r>
        <w:rPr>
          <w:b/>
        </w:rPr>
        <w:t xml:space="preserve">Notes: </w:t>
      </w:r>
      <w:r>
        <w:t>abstract_source=crossref</w:t>
      </w:r>
    </w:p>
    <w:p>
      <w:pPr>
        <w:spacing w:before="0" w:after="80" w:lineRule="auto" w:line="276"/>
      </w:pPr>
      <w:r>
        <w:rPr>
          <w:b/>
        </w:rPr>
        <w:t xml:space="preserve">摘要（ZH）: </w:t>
      </w:r>
      <w:r>
        <w:t>海绵(海绵)是在全球生物地球化学过程中发挥关键作用的生态系统工程师。它们的进化是了解新蛋白质化古代生态学的关键,但是仍然陷于争议之中。分子时间尺度表明是托尼亚或锥体的起源,而它们最古老的明确化石则由来自已故埃迪亚卡兰岛的分解的硅石组成。我们产生了一个新的、过时的海绵植物,测试了祖先的海绵骨骼是否具有矿物化骨骼。我们以当前的知识很好地解决海绵植物质问题,并认同其起源于早期的爱迪亚卡兰岛。我们的结果表明,早期海绵没有被生物矿物化,生物化和生物化都是在波里夫拉独立地多次演变的。我们协调了化石证据。</w:t>
      </w:r>
    </w:p>
    <w:p>
      <w:pPr>
        <w:spacing w:before="0" w:after="200" w:lineRule="auto" w:line="276"/>
      </w:pPr>
      <w:r>
        <w:rPr>
          <w:b/>
        </w:rPr>
        <w:t xml:space="preserve">Abstract (EN): </w:t>
      </w:r>
      <w:r>
        <w:t>Sponges (Porifera) are ecosystem engineers that play a critical role in global biogeochemical processes. Their evolution is key to understanding Neoproterozoic paleoecology but remains mired in controversy. Molecular timescales suggest a Tonian or Cryogenian origin, while their oldest unequivocal fossils consist of disarticulated siliceous spicules from the Late Ediacaran. We derived a new, dated sponge phylogeny and tested whether ancestral sponges had mineralized skeletons. We resolve the sponge phylogeny in good agreement with current knowledge and date their origin to the early Ediacaran. Our results suggest that early sponges were not biomineralized and that both biosilicification and biocalcification evolved independently multiple times across Porifera. We reconcile fossil evidence and molecular estimates of sponge evolution by showing that the Neoproterozoic history of Porifera is limited to the Ediacaran and providing evidence suggesting that sponges are largely absent from the Ediacaran record because they were yet to evolve biomineralized skeletons.</w:t>
      </w:r>
    </w:p>
    <w:p>
      <w:pPr>
        <w:spacing w:before="120" w:after="120"/>
      </w:pPr>
      <w:r>
        <w:rPr>
          <w:sz w:val="18"/>
        </w:rPr>
        <w:t>——————————————————————————————————————————————————————————————————————</w:t>
      </w:r>
    </w:p>
    <w:p>
      <w:pPr>
        <w:spacing w:before="160" w:after="40" w:line="240" w:lineRule="auto"/>
      </w:pPr>
      <w:r>
        <w:rPr>
          <w:b/>
        </w:rPr>
        <w:t xml:space="preserve">[676] </w:t>
      </w:r>
      <w:hyperlink r:id="rId1147">
        <w:r>
          <w:rPr>
            <w:color w:val="1155CC"/>
            <w:u w:val="single"/>
          </w:rPr>
          <w:t>陆地北极生物气候极端现象的新时代</w:t>
        </w:r>
      </w:hyperlink>
    </w:p>
    <w:p>
      <w:pPr>
        <w:spacing w:before="0" w:after="80"/>
      </w:pPr>
      <w:r>
        <w:rPr>
          <w:i/>
          <w:sz w:val="20"/>
        </w:rPr>
        <w:t>EN: A new era of bioclimatic extremes in the terrestrial Arctic</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148">
        <w:r>
          <w:rPr>
            <w:color w:val="1155CC"/>
            <w:u w:val="single"/>
          </w:rPr>
          <w:t>10.1126/sciadv.adw5698</w:t>
        </w:r>
      </w:hyperlink>
    </w:p>
    <w:p>
      <w:pPr>
        <w:spacing w:before="0" w:after="120"/>
      </w:pPr>
      <w:r>
        <w:rPr>
          <w:b/>
        </w:rPr>
        <w:t xml:space="preserve">Notes: </w:t>
      </w:r>
      <w:r>
        <w:t>abstract_source=crossref</w:t>
      </w:r>
    </w:p>
    <w:p>
      <w:pPr>
        <w:spacing w:before="0" w:after="80" w:lineRule="auto" w:line="276"/>
      </w:pPr>
      <w:r>
        <w:rPr>
          <w:b/>
        </w:rPr>
        <w:t xml:space="preserve">摘要（ZH）: </w:t>
      </w:r>
      <w:r>
        <w:t>北极的气候正在迅速变暖,但引起重大生态系统扰动的极端天气事件的长期变化却不为人所熟知。 在这里,我们利用过去70年来最先进的大气再分析,表明在陆地北极的许多地区,极端天气事件的频率急剧上升。 在过去30年里,我们发现生物气候极端的显著空间变异性,包括北极高纬度地区和受冬季升温和当前降雨影响的更大地区的干旱,特别是在欧洲北极地区。在北极的三分之一地区,这种极端事件最近才开始发生。因此,北极正在进入一个生物气候极端的新时代,可能给环境带来严重后果。</w:t>
      </w:r>
    </w:p>
    <w:p>
      <w:pPr>
        <w:spacing w:before="0" w:after="200" w:lineRule="auto" w:line="276"/>
      </w:pPr>
      <w:r>
        <w:rPr>
          <w:b/>
        </w:rPr>
        <w:t xml:space="preserve">Abstract (EN): </w:t>
      </w:r>
      <w:r>
        <w:t>The Arctic climate is rapidly warming, but long-term changes in extreme weather events that cause major ecosystem disturbances are not well understood. Here, by using a state-of-the-art atmospheric reanalysis spanning the past seven decades, we show that, in many parts of the terrestrial Arctic, the frequency of extreme weather events has increased sharply. We found pronounced spatial variability in bioclimatic extremes during the past 30 years, including more droughts in the high-Arctic and greater area affected by winter-warming and rain-on-snow events, especially in the European Arctic region. Across one-third of the Arctic domain, such extreme events have only recently begun to occur. Thus, the Arctic is entering a novel era of bioclimatic extremes with likely severe consequences on cold ecosystems.</w:t>
      </w:r>
    </w:p>
    <w:p>
      <w:pPr>
        <w:spacing w:before="120" w:after="120"/>
      </w:pPr>
      <w:r>
        <w:rPr>
          <w:sz w:val="18"/>
        </w:rPr>
        <w:t>——————————————————————————————————————————————————————————————————————</w:t>
      </w:r>
    </w:p>
    <w:p>
      <w:pPr>
        <w:spacing w:before="160" w:after="40" w:line="240" w:lineRule="auto"/>
      </w:pPr>
      <w:r>
        <w:rPr>
          <w:b/>
        </w:rPr>
        <w:t xml:space="preserve">[677] </w:t>
      </w:r>
      <w:hyperlink r:id="rId1149">
        <w:r>
          <w:rPr>
            <w:color w:val="1155CC"/>
            <w:u w:val="single"/>
          </w:rPr>
          <w:t>光呼吸和火焰的合并效应强烈调节大气氧气水平</w:t>
        </w:r>
      </w:hyperlink>
    </w:p>
    <w:p>
      <w:pPr>
        <w:spacing w:before="0" w:after="80"/>
      </w:pPr>
      <w:r>
        <w:rPr>
          <w:i/>
          <w:sz w:val="20"/>
        </w:rPr>
        <w:t>EN: Combined effects of photorespiration and fire strongly regulate atmospheric oxygen levels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150">
        <w:r>
          <w:rPr>
            <w:color w:val="1155CC"/>
            <w:u w:val="single"/>
          </w:rPr>
          <w:t>10.1126/sciadv.ady0542</w:t>
        </w:r>
      </w:hyperlink>
    </w:p>
    <w:p>
      <w:pPr>
        <w:spacing w:before="0" w:after="120"/>
      </w:pPr>
      <w:r>
        <w:rPr>
          <w:b/>
        </w:rPr>
        <w:t xml:space="preserve">Notes: </w:t>
      </w:r>
      <w:r>
        <w:t>abstract_source=crossref</w:t>
      </w:r>
    </w:p>
    <w:p>
      <w:pPr>
        <w:spacing w:before="0" w:after="80" w:lineRule="auto" w:line="276"/>
      </w:pPr>
      <w:r>
        <w:rPr>
          <w:b/>
        </w:rPr>
        <w:t xml:space="preserve">摘要（ZH）: </w:t>
      </w:r>
      <w:r>
        <w:t>在过去的4亿年中,大气氧浓度一直非常稳定,这表明存在强有力的监管机制。由于野火对氧气的敏感性,传统上认为野火通过限制陆地植被控制氧气水平;然而,这种反馈被热带生态系统高湿度水平所抵消。我们利用植被模型表明,当氧气燃烧效应受到高湿度的抑制时,光呼吸会因温度的升高而更加有效。这些过程相互作用,在氧气水平达到35%时,模拟的全球生物量减少86%。这种共同调节对大气氧量的控制比野火本身要严格得多,提供了以前未知的微小量。</w:t>
      </w:r>
    </w:p>
    <w:p>
      <w:pPr>
        <w:spacing w:before="0" w:after="200" w:lineRule="auto" w:line="276"/>
      </w:pPr>
      <w:r>
        <w:rPr>
          <w:b/>
        </w:rPr>
        <w:t xml:space="preserve">Abstract (EN): </w:t>
      </w:r>
      <w:r>
        <w:t>Atmospheric oxygen concentrations have remained remarkably stable over the past ~400 million years (Myr), suggesting the presence of robust regulatory mechanisms. Because of its sensitivity to oxygen, wildfire was traditionally assumed to control oxygen levels by limiting terrestrial vegetation; however, this feedback is nullified by high moisture levels in tropical ecosystems. Using vegetation modeling, we show that where oxygen-fire effects are dampened by high moisture, photorespiration becomes more effective through increased temperatures. Together, these processes interact to drive an 86% reduction in modeled global biomass when oxygen levels reach 35%. This coregulation imposes substantially tighter control of atmospheric oxygen than wildfire alone, providing previously unknown insights into the spatial and interactive feedbacks that may explain the remarkable stability of oxygen levels since the evolution of forests.</w:t>
      </w:r>
    </w:p>
    <w:p>
      <w:pPr>
        <w:spacing w:before="120" w:after="120"/>
      </w:pPr>
      <w:r>
        <w:rPr>
          <w:sz w:val="18"/>
        </w:rPr>
        <w:t>——————————————————————————————————————————————————————————————————————</w:t>
      </w:r>
    </w:p>
    <w:p>
      <w:pPr>
        <w:spacing w:before="160" w:after="40" w:line="240" w:lineRule="auto"/>
      </w:pPr>
      <w:r>
        <w:rPr>
          <w:b/>
        </w:rPr>
        <w:t xml:space="preserve">[678] </w:t>
      </w:r>
      <w:hyperlink r:id="rId1151">
        <w:r>
          <w:rPr>
            <w:color w:val="1155CC"/>
            <w:u w:val="single"/>
          </w:rPr>
          <w:t>森林丧失加剧了地球气候区一半以上的气候区的气象干旱</w:t>
        </w:r>
      </w:hyperlink>
    </w:p>
    <w:p>
      <w:pPr>
        <w:spacing w:before="0" w:after="80"/>
      </w:pPr>
      <w:r>
        <w:rPr>
          <w:i/>
          <w:sz w:val="20"/>
        </w:rPr>
        <w:t>EN: Forest loss intensifies meteorological drought in more than half of Earth’s climate zones</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152">
        <w:r>
          <w:rPr>
            <w:color w:val="1155CC"/>
            <w:u w:val="single"/>
          </w:rPr>
          <w:t>10.1126/sciadv.adv7998</w:t>
        </w:r>
      </w:hyperlink>
    </w:p>
    <w:p>
      <w:pPr>
        <w:spacing w:before="0" w:after="120"/>
      </w:pPr>
      <w:r>
        <w:rPr>
          <w:b/>
        </w:rPr>
        <w:t xml:space="preserve">Notes: </w:t>
      </w:r>
      <w:r>
        <w:t>abstract_source=crossref</w:t>
      </w:r>
    </w:p>
    <w:p>
      <w:pPr>
        <w:spacing w:before="0" w:after="80" w:lineRule="auto" w:line="276"/>
      </w:pPr>
      <w:r>
        <w:rPr>
          <w:b/>
        </w:rPr>
        <w:t xml:space="preserve">摘要（ZH）: </w:t>
      </w:r>
      <w:r>
        <w:t>全球森林丧失通过改变地表能源平衡增加了气象干旱的风险。虽然当地对气温和降水的影响程度和基本机制尚不清楚。这里,我们分析了北冰洋、温带和热带地区的3,696对森林损失和完好无损的地点。森林损失加剧了52%以上的受影响地区的气象干旱。20年来,北冰洋地区的干旱流行率上升了5%,比热带地区的高三倍,原因是潜在热通量减少,表层反照率增加,共同抑制了对流降雨。相比之下,热带森林表现出更大的生态复原力,减缓了40%的气象干旱强化。</w:t>
      </w:r>
    </w:p>
    <w:p>
      <w:pPr>
        <w:spacing w:before="0" w:after="200" w:lineRule="auto" w:line="276"/>
      </w:pPr>
      <w:r>
        <w:rPr>
          <w:b/>
        </w:rPr>
        <w:t xml:space="preserve">Abstract (EN): </w:t>
      </w:r>
      <w:r>
        <w:t>Global forest loss increases the risk of meteorological drought by altering surface energy balances. While local impacts on temperature and precipitation are known, the extent and underlying mechanisms of its influence on meteorological drought remain unclear. Here, we analyzed 3696 paired forest loss and intact sites across boreal, temperate, and tropical zones. Forest loss intensified meteorological drought in more than 52% of affected regions. Drought prevalence in boreal zones rose by 5% over 20 years—three times greater than in tropical zones—because of reduced latent heat flux and increased surface albedo, which together suppressed convective rainfall. In contrast, tropical forests demonstrated greater ecological resilience, mitigating ~40% of meteorological drought intensification. Notably, forest loss–induced meteorological drought may further evolve into more severe agricultural and hydrological droughts. Therefore, we recommend implementing strategies tailored for each climate zone, including native forest conservation, proactive ecological restoration, and connectivity enhancement, to effectively reduce drought risk.</w:t>
      </w:r>
    </w:p>
    <w:p>
      <w:pPr>
        <w:spacing w:before="120" w:after="120"/>
      </w:pPr>
      <w:r>
        <w:rPr>
          <w:sz w:val="18"/>
        </w:rPr>
        <w:t>——————————————————————————————————————————————————————————————————————</w:t>
      </w:r>
    </w:p>
    <w:p>
      <w:pPr>
        <w:spacing w:before="160" w:after="40" w:line="240" w:lineRule="auto"/>
      </w:pPr>
      <w:r>
        <w:rPr>
          <w:b/>
        </w:rPr>
        <w:t xml:space="preserve">[679] </w:t>
      </w:r>
      <w:hyperlink r:id="rId1153">
        <w:r>
          <w:rPr>
            <w:color w:val="1155CC"/>
            <w:u w:val="single"/>
          </w:rPr>
          <w:t>用于模拟降水的神经一般环流模型</w:t>
        </w:r>
      </w:hyperlink>
    </w:p>
    <w:p>
      <w:pPr>
        <w:spacing w:before="0" w:after="80"/>
      </w:pPr>
      <w:r>
        <w:rPr>
          <w:i/>
          <w:sz w:val="20"/>
        </w:rPr>
        <w:t>EN: Neural general circulation models for modeling precipitation</w:t>
      </w:r>
    </w:p>
    <w:p>
      <w:pPr>
        <w:spacing w:before="0" w:after="120"/>
      </w:pPr>
      <w:r>
        <w:rPr>
          <w:b/>
        </w:rPr>
        <w:t xml:space="preserve">Source: </w:t>
      </w:r>
      <w:r>
        <w:t>AAAS: Science Advances: Table of Contents</w:t>
      </w:r>
      <w:r>
        <w:t xml:space="preserve">    </w:t>
      </w:r>
      <w:r>
        <w:rPr>
          <w:b/>
        </w:rPr>
        <w:t xml:space="preserve">Pub date: </w:t>
      </w:r>
      <w:r>
        <w:t>2026-01-07 08:00:00+00:00</w:t>
      </w:r>
      <w:r>
        <w:t xml:space="preserve">    </w:t>
      </w:r>
      <w:r>
        <w:rPr>
          <w:b/>
        </w:rPr>
        <w:t xml:space="preserve">DOI: </w:t>
      </w:r>
      <w:hyperlink r:id="rId1154">
        <w:r>
          <w:rPr>
            <w:color w:val="1155CC"/>
            <w:u w:val="single"/>
          </w:rPr>
          <w:t>10.1126/sciadv.adv6891</w:t>
        </w:r>
      </w:hyperlink>
    </w:p>
    <w:p>
      <w:pPr>
        <w:spacing w:before="0" w:after="120"/>
      </w:pPr>
      <w:r>
        <w:rPr>
          <w:b/>
        </w:rPr>
        <w:t xml:space="preserve">Notes: </w:t>
      </w:r>
      <w:r>
        <w:t>abstract_source=crossref</w:t>
      </w:r>
    </w:p>
    <w:p>
      <w:pPr>
        <w:spacing w:before="0" w:after="80" w:lineRule="auto" w:line="276"/>
      </w:pPr>
      <w:r>
        <w:rPr>
          <w:b/>
        </w:rPr>
        <w:t xml:space="preserve">摘要（ZH）: </w:t>
      </w:r>
      <w:r>
        <w:t>一般环流模型(GCM)努力准确地模拟降雨量,特别是极端和二星循环,这对人类活动和自然过程都至关重要。虽然将机器学习和物理相结合的混合模型为改进降水模拟提供了一个很有希望的途径,但它们尚未超过现有的环流模型。这里,我们提出一个基于不同神经气态GCM框架的混合模型。这种差异性促进了卫星降水观测方面的直接培训,而以前曾试图采用以高分辨率模拟为培训数据的混合模型。我们的模型在2.8°分辨率上运行,在气候方面显示现有气流模型、ERA5再分析以及一个模型的显著改进。</w:t>
      </w:r>
    </w:p>
    <w:p>
      <w:pPr>
        <w:spacing w:before="0" w:after="200" w:lineRule="auto" w:line="276"/>
      </w:pPr>
      <w:r>
        <w:rPr>
          <w:b/>
        </w:rPr>
        <w:t xml:space="preserve">Abstract (EN): </w:t>
      </w:r>
      <w:r>
        <w:t>General circulation models (GCMs) struggle to accurately simulate precipitation, particularly extremes and the diurnal cycle, which are crucial for both human activities and natural processes. Although hybrid models combining machine learning and physics offer a promising avenue to improve the simulation of precipitation, they have yet to outperform existing GCMs. Here, we present a hybrid model built on the differentiable NeuralGCM framework. This differentiability facilitates direct training on satellite-based precipitation observations, unlike previous attempts at hybrid models that relied on high-resolution simulations as training data. Our model runs at 2.8° resolution and, in the context of climate, demonstrates substantial improvements over existing GCMs, the ERA5 reanalysis, and a global cloud-resolving model in simulating precipitation. In the context of mid-range precipitation forecasting, it outperforms the ECMWF ensemble. This advance paves the way for more reliable simulations of current climate and demonstrates how training on observations can be used to improve GCMs.</w:t>
      </w:r>
    </w:p>
    <w:p>
      <w:pPr>
        <w:spacing w:before="120" w:after="120"/>
      </w:pPr>
      <w:r>
        <w:rPr>
          <w:sz w:val="18"/>
        </w:rPr>
        <w:t>——————————————————————————————————————————————————————————————————————</w:t>
      </w:r>
    </w:p>
    <w:p>
      <w:pPr>
        <w:spacing w:before="160" w:after="40" w:line="240" w:lineRule="auto"/>
      </w:pPr>
      <w:r>
        <w:rPr>
          <w:b/>
        </w:rPr>
        <w:t xml:space="preserve">[680] </w:t>
      </w:r>
      <w:hyperlink r:id="rId1155">
        <w:r>
          <w:rPr>
            <w:color w:val="1155CC"/>
            <w:u w:val="single"/>
          </w:rPr>
          <w:t>古生物学家能确定恐龙的黎明吗?</w:t>
        </w:r>
      </w:hyperlink>
    </w:p>
    <w:p>
      <w:pPr>
        <w:spacing w:before="0" w:after="80"/>
      </w:pPr>
      <w:r>
        <w:rPr>
          <w:i/>
          <w:sz w:val="20"/>
        </w:rPr>
        <w:t>EN: Can paleontologists pinpoint the dawn of the dinosaurs?</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56">
        <w:r>
          <w:rPr>
            <w:color w:val="1155CC"/>
            <w:u w:val="single"/>
          </w:rPr>
          <w:t>10.1073/pnas.2535891123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[681] </w:t>
      </w:r>
      <w:hyperlink r:id="rId1157">
        <w:r>
          <w:rPr>
            <w:color w:val="1155CC"/>
            <w:u w:val="single"/>
          </w:rPr>
          <w:t>对李等人的辅助信息进行更正后,p53缺陷导致MTHFD2转录,以促进细胞扩散和抑制DNA损害</w:t>
        </w:r>
      </w:hyperlink>
    </w:p>
    <w:p>
      <w:pPr>
        <w:spacing w:before="0" w:after="80"/>
      </w:pPr>
      <w:r>
        <w:rPr>
          <w:i/>
          <w:sz w:val="20"/>
        </w:rPr>
        <w:t>EN: Correction to Supporting Information for Li et al., p53 deficiency induces MTHFD2 transcription to promote cell proliferation and restrain DNA damage</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58">
        <w:r>
          <w:rPr>
            <w:color w:val="1155CC"/>
            <w:u w:val="single"/>
          </w:rPr>
          <w:t>10.1073/pnas.2536995123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[682] </w:t>
      </w:r>
      <w:hyperlink r:id="rId1159">
        <w:r>
          <w:rPr>
            <w:color w:val="1155CC"/>
            <w:u w:val="single"/>
          </w:rPr>
          <w:t>Mondal等人的减缩,IL-12p40单体与IL-12其他家庭成员不同,有选择性地抑制IL-12Rβ1内化和抑制EAE</w:t>
        </w:r>
      </w:hyperlink>
    </w:p>
    <w:p>
      <w:pPr>
        <w:spacing w:before="0" w:after="80"/>
      </w:pPr>
      <w:r>
        <w:rPr>
          <w:i/>
          <w:sz w:val="20"/>
        </w:rPr>
        <w:t>EN: Retraction for Mondal et al., IL-12 p40 monomer is different from other IL-12 family members to selectively inhibit IL-12Rβ1 internalization and suppress EAE</w:t>
      </w:r>
    </w:p>
    <w:p>
      <w:pPr>
        <w:spacing w:before="0" w:after="120"/>
      </w:pPr>
      <w:r>
        <w:rPr>
          <w:b/>
        </w:rPr>
        <w:t xml:space="preserve">Source: </w:t>
      </w:r>
      <w:r>
        <w:t>Proceedings of the National Academy of Sciences: Keyword search for query</w:t>
      </w:r>
      <w:r>
        <w:t xml:space="preserve">    </w:t>
      </w:r>
      <w:r>
        <w:rPr>
          <w:b/>
        </w:rPr>
        <w:t xml:space="preserve">Pub date: </w:t>
      </w:r>
      <w:r>
        <w:t>2026-01-07 08:00:00+00:00</w:t>
      </w:r>
      <w:r>
        <w:t xml:space="preserve">    </w:t>
      </w:r>
      <w:r>
        <w:rPr>
          <w:b/>
        </w:rPr>
        <w:t xml:space="preserve">DOI: </w:t>
      </w:r>
      <w:hyperlink r:id="rId1160">
        <w:r>
          <w:rPr>
            <w:color w:val="1155CC"/>
            <w:u w:val="single"/>
          </w:rPr>
          <w:t>10.1073/pnas.2536022123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[683] </w:t>
      </w:r>
      <w:hyperlink r:id="rId1161">
        <w:r>
          <w:rPr>
            <w:color w:val="1155CC"/>
            <w:u w:val="single"/>
          </w:rPr>
          <w:t>[ASAP]非对称碎片的铁数据合成</w:t>
        </w:r>
      </w:hyperlink>
    </w:p>
    <w:p>
      <w:pPr>
        <w:spacing w:before="0" w:after="80"/>
      </w:pPr>
      <w:r>
        <w:rPr>
          <w:i/>
          <w:sz w:val="20"/>
        </w:rPr>
        <w:t>EN: [ASAP] Iron-Catalyzed Synthesis of Unsymmetrical Disilanes</w:t>
      </w:r>
    </w:p>
    <w:p>
      <w:pPr>
        <w:spacing w:before="0" w:after="120"/>
      </w:pPr>
      <w:r>
        <w:rPr>
          <w:b/>
        </w:rPr>
        <w:t xml:space="preserve">Source: </w:t>
      </w:r>
      <w:r>
        <w:t>Journal of the American Chemical Society: Latest Articles (ACS Publications)</w:t>
      </w:r>
      <w:r>
        <w:t xml:space="preserve">    </w:t>
      </w:r>
      <w:r>
        <w:rPr>
          <w:b/>
        </w:rPr>
        <w:t xml:space="preserve">Pub date: </w:t>
      </w:r>
      <w:r>
        <w:t>2026-01-07 09:59:21+00:00</w:t>
      </w:r>
      <w:r>
        <w:t xml:space="preserve">    </w:t>
      </w:r>
      <w:r>
        <w:rPr>
          <w:b/>
        </w:rPr>
        <w:t xml:space="preserve">DOI: </w:t>
      </w:r>
      <w:hyperlink r:id="rId1162">
        <w:r>
          <w:rPr>
            <w:color w:val="1155CC"/>
            <w:u w:val="single"/>
          </w:rPr>
          <w:t>10.1021/jacs.5c18484</w:t>
        </w:r>
      </w:hyperlink>
    </w:p>
    <w:p>
      <w:pPr>
        <w:spacing w:before="0" w:after="120"/>
      </w:pPr>
      <w:r>
        <w:rPr>
          <w:b/>
        </w:rPr>
        <w:t xml:space="preserve">Notes: </w:t>
      </w:r>
      <w:r>
        <w:t>abstract_source=pubmed</w:t>
      </w:r>
    </w:p>
    <w:p>
      <w:pPr>
        <w:spacing w:before="0" w:after="80" w:lineRule="auto" w:line="276"/>
      </w:pPr>
      <w:r>
        <w:rPr>
          <w:b/>
        </w:rPr>
        <w:t xml:space="preserve">摘要（ZH）: </w:t>
      </w:r>
      <w:r>
        <w:t>Disilanes,特别是不对称的Disilanes,是有机合成中最重要的有机有机硅试剂之一,在先进材料中具有广阔的前景。尽管开发了一些合成方法,但准备可变的不对称的Disilanes仍是一项重大挑战,从而妨碍进一步的功能探索。在这里,我们报告了一项联合的离子设计战略,它使得能够开发一个新的铁催化剂,实现前所未有的用二氢狄拉因的正烷铁催化体分解。这种方法有利于高化学、再生和立体选择性合成多种不同非对称的与Si-H联系的维尼西维尼龙。机械学研究和密度功能理论计算表明,这种方法提供了一种新的模式。</w:t>
      </w:r>
    </w:p>
    <w:p>
      <w:pPr>
        <w:spacing w:before="0" w:after="200" w:lineRule="auto" w:line="276"/>
      </w:pPr>
      <w:r>
        <w:rPr>
          <w:b/>
        </w:rPr>
        <w:t xml:space="preserve">Abstract (EN): </w:t>
      </w:r>
      <w:r>
        <w:t>Disilanes, especially unsymmetrical ones, are among the most important organosilane reagents in organic synthesis and possess broad prospects in advanced materials. Despite the development of some synthetic approaches, the preparation of modifiable unsymmetrical disilanes remains a significant challenge, thereby hindering further functional exploration. Here, we report a combined ligand design strategy that enabled the development of a novel iron catalyst, achieving an unprecedented iron-catalyzed hydrodisilylation of alkynes with dihydrodisilanes. This method facilitates the highly chemo-, regio-, and stereoselective syntheses of diverse unsymmetrical vinyldisilanes with Si-H bonds. Mechanistic studies and density functional theory calculations reveal that this method provides a novel model for selective disilane functionalization that fully preserves Si-Si bonds, overcoming the limitation of low-valent transition metal catalysis, which typically cleaves Si-Si bonds. The straightforward, scalable, and readily accessible protocol exhibits an exceptional turnover frequency, good functional group tolerance, and broad substrate scope. Notably, the resulting functionalized vinyldisilanes exhibit versatile reactivity, enabling the construction of various privileged scaffolds via site-specific cleavage.</w:t>
      </w:r>
    </w:p>
    <w:p>
      <w:pPr>
        <w:spacing w:before="120" w:after="120"/>
      </w:pPr>
      <w:r>
        <w:rPr>
          <w:sz w:val="18"/>
        </w:rPr>
        <w:t>——————————————————————————————————————————————————————————————————————</w:t>
      </w:r>
    </w:p>
    <w:p>
      <w:pPr>
        <w:spacing w:before="160" w:after="40" w:line="240" w:lineRule="auto"/>
      </w:pPr>
      <w:r>
        <w:rPr>
          <w:b/>
        </w:rPr>
        <w:t xml:space="preserve">[684] </w:t>
      </w:r>
      <w:hyperlink r:id="rId1163">
        <w:r>
          <w:rPr>
            <w:color w:val="1155CC"/>
            <w:u w:val="single"/>
          </w:rPr>
          <w:t>电磁(EM)</w:t>
        </w:r>
      </w:hyperlink>
    </w:p>
    <w:p>
      <w:pPr>
        <w:spacing w:before="0" w:after="80"/>
      </w:pPr>
      <w:r>
        <w:rPr>
          <w:i/>
          <w:sz w:val="20"/>
        </w:rPr>
        <w:t>EN: Electromagnetic (EM)‐Driven Functional Materials</w:t>
      </w:r>
    </w:p>
    <w:p>
      <w:pPr>
        <w:spacing w:before="0" w:after="120"/>
      </w:pPr>
      <w:r>
        <w:rPr>
          <w:b/>
        </w:rPr>
        <w:t xml:space="preserve">Source: </w:t>
      </w:r>
      <w:r>
        <w:t>Wiley: Advanced Materials: Table of Contents</w:t>
      </w:r>
      <w:r>
        <w:t xml:space="preserve">    </w:t>
      </w:r>
      <w:r>
        <w:rPr>
          <w:b/>
        </w:rPr>
        <w:t xml:space="preserve">Pub date: </w:t>
      </w:r>
      <w:r>
        <w:t>2026-01-07 10:10:25+00:00</w:t>
      </w:r>
      <w:r>
        <w:t xml:space="preserve">    </w:t>
      </w:r>
      <w:r>
        <w:rPr>
          <w:b/>
        </w:rPr>
        <w:t xml:space="preserve">DOI: </w:t>
      </w:r>
      <w:hyperlink r:id="rId1164">
        <w:r>
          <w:rPr>
            <w:color w:val="1155CC"/>
            <w:u w:val="single"/>
          </w:rPr>
          <w:t>10.1002/adma.202521268</w:t>
        </w:r>
      </w:hyperlink>
    </w:p>
    <w:p>
      <w:pPr>
        <w:spacing w:before="0" w:after="120"/>
      </w:pPr>
      <w:r>
        <w:rPr>
          <w:b/>
        </w:rPr>
        <w:t xml:space="preserve">Notes: </w:t>
      </w:r>
      <w:r>
        <w:t>abstract_source=crossref</w:t>
      </w:r>
    </w:p>
    <w:p>
      <w:pPr>
        <w:spacing w:before="0" w:after="80" w:lineRule="auto" w:line="276"/>
      </w:pPr>
      <w:r>
        <w:rPr>
          <w:b/>
        </w:rPr>
        <w:t xml:space="preserve">摘要（ZH）: </w:t>
      </w:r>
      <w:r>
        <w:t>ABSTACT电磁(EM)领域被用于通信、成像和能源转让等技术,近年来,人们越来越有兴趣利用EM领域来激活功能性材料,在软机器人、生物医学装置、活性元材料和形状变形系统中进行应用,这些材料往往是包含EM-反应组件的合成材料,使其具有显著的多功能反应能力。具体地说,EM领域可以通过静电磁力和火力、Lorentz力或电磁脉冲和磁歇歇斯底体损失产生的热效应诱发电动。此外,EM领域还可以用于遥感、无线通信和电源转移,将其作用扩大到远方。</w:t>
      </w:r>
    </w:p>
    <w:p>
      <w:pPr>
        <w:spacing w:before="0" w:after="200" w:lineRule="auto" w:line="276"/>
      </w:pPr>
      <w:r>
        <w:rPr>
          <w:b/>
        </w:rPr>
        <w:t xml:space="preserve">Abstract (EN): </w:t>
      </w:r>
      <w:r>
        <w:t>Electromagnetic (EM) fields have been used in technologies such as communication, imaging, and energy transfer. In recent years, there has been growing interest in exploiting EM fields for the actuation of functional materials, enabling applications in soft robotics, biomedical devices, active metamaterials, and shape‐morphing systems. These materials are often composites that incorporate EM‐responsive components, granting them a remarkable versatility in responsiveness. Specifically, EM fields can induce actuation through static magnetic force and torque, Lorentz forces, or thermal effects via eddy currents and magnetic hysteresis losses. In addition, EM fields can be harnessed for sensing, wireless communication, and power transfer, extending their role far beyond actuation. The coexistence of such diverse mechanisms makes EM one of the most powerful and integrative external stimuli for multifunctional materials. This review provides the first holistic overview of EM‐active material systems. We systematically organize recent progress in EM‐based actuation, sensing, communication, and wireless power transfer, highlighting the fundamental principles, experimental demonstrations, and emerging design strategies. Approaches that integrate multiple EM‐driven functionalities and the role of optimization and machine learning in advancing design and control are discussed. By consolidating these advances, this review establishes a roadmap for the development of next‐generation EM‐enabled intelligent materials and devices.</w:t>
      </w:r>
    </w:p>
    <w:p>
      <w:pPr>
        <w:spacing w:before="120" w:after="120"/>
      </w:pPr>
      <w:r>
        <w:rPr>
          <w:sz w:val="18"/>
        </w:rPr>
        <w:t>——————————————————————————————————————————————————————————————————————</w:t>
      </w:r>
    </w:p>
    <w:p>
      <w:pPr>
        <w:spacing w:before="160" w:after="40" w:line="240" w:lineRule="auto"/>
      </w:pPr>
      <w:r>
        <w:rPr>
          <w:b/>
        </w:rPr>
        <w:t xml:space="preserve">[685] </w:t>
      </w:r>
      <w:hyperlink r:id="rId1165">
        <w:r>
          <w:rPr>
            <w:color w:val="1155CC"/>
            <w:u w:val="single"/>
          </w:rPr>
          <w:t>雕刻骨的前途:矫形体中可吸收材料的演变</w:t>
        </w:r>
      </w:hyperlink>
    </w:p>
    <w:p>
      <w:pPr>
        <w:spacing w:before="0" w:after="80"/>
      </w:pPr>
      <w:r>
        <w:rPr>
          <w:i/>
          <w:sz w:val="20"/>
        </w:rPr>
        <w:t>EN: Sculpting the Future of Bone: The Evolution of Absorbable Materials in Orthopedics</w:t>
      </w:r>
    </w:p>
    <w:p>
      <w:pPr>
        <w:spacing w:before="0" w:after="120"/>
      </w:pPr>
      <w:r>
        <w:rPr>
          <w:b/>
        </w:rPr>
        <w:t xml:space="preserve">Source: </w:t>
      </w:r>
      <w:r>
        <w:t>Wiley: Advanced Materials: Table of Contents</w:t>
      </w:r>
      <w:r>
        <w:t xml:space="preserve">    </w:t>
      </w:r>
      <w:r>
        <w:rPr>
          <w:b/>
        </w:rPr>
        <w:t xml:space="preserve">Pub date: </w:t>
      </w:r>
      <w:r>
        <w:t>2026-01-07 10:10:46+00:00</w:t>
      </w:r>
      <w:r>
        <w:t xml:space="preserve">    </w:t>
      </w:r>
      <w:r>
        <w:rPr>
          <w:b/>
        </w:rPr>
        <w:t xml:space="preserve">DOI: </w:t>
      </w:r>
      <w:hyperlink r:id="rId1166">
        <w:r>
          <w:rPr>
            <w:color w:val="1155CC"/>
            <w:u w:val="single"/>
          </w:rPr>
          <w:t>10.1002/adma.202510848</w:t>
        </w:r>
      </w:hyperlink>
    </w:p>
    <w:p>
      <w:pPr>
        <w:spacing w:before="0" w:after="120"/>
      </w:pPr>
      <w:r>
        <w:rPr>
          <w:b/>
        </w:rPr>
        <w:t xml:space="preserve">Notes: </w:t>
      </w:r>
      <w:r>
        <w:t>abstract_source=crossref</w:t>
      </w:r>
    </w:p>
    <w:p>
      <w:pPr>
        <w:spacing w:before="0" w:after="80" w:lineRule="auto" w:line="276"/>
      </w:pPr>
      <w:r>
        <w:rPr>
          <w:b/>
        </w:rPr>
        <w:t xml:space="preserve">摘要（ZH）: </w:t>
      </w:r>
      <w:r>
        <w:t>骨骼缺陷的修补仍然是一个重大的临床挑战,因为自体移植受捐赠者限制,而生物内皮植入往往需要二级手术;可吸收材料,包括聚合物、陶瓷和金属,通过提供临时支持和同步降解以配合组织再生,正在迅速改变整形护理。本审查突出了复合脚架在提高机械完整性、退化动能和骨骼感应能力方面取得的尖端进展。我们进一步探索创新系统,将具有响应性的智能材料(如光热、派生电)、4D印刷智能材料、再生疗法和骨质组织结合起来。</w:t>
      </w:r>
    </w:p>
    <w:p>
      <w:pPr>
        <w:spacing w:before="0" w:after="200" w:lineRule="auto" w:line="276"/>
      </w:pPr>
      <w:r>
        <w:rPr>
          <w:b/>
        </w:rPr>
        <w:t xml:space="preserve">Abstract (EN): </w:t>
      </w:r>
      <w:r>
        <w:t>The repair of bone defects remains a major clinical challenge, as autologous grafts are constrained by donor limitations and bioinert implants often necessitate secondary surgeries. Absorbable materials, including polymers, ceramics, and metals, are rapidly transforming orthopedic care by offering temporary support and synchronized degradation to match tissue regeneration. This review highlights cutting‐edge advances in composite scaffolds that enhance mechanical integrity, degradation kinetics, and osteoinductivity. We further explore innovative systems integrating stimuli‐responsive smart materials (e.g., photothermal, piezoelectric), 4D printing smart materials, regenerative therapies, and bone organoids. Emerging clinical data are discussed in the context of diseases such as osteonecrosis, osteomyelitis, and osteoporosis. Looking forward, we outline transformative directions, including AI‐driven scaffold design, gradient architectures, and immunomodulatory strategies to resolve the spatiotemporal mismatch between degradation and regeneration. This review offers a forward‐looking framework for next‐generation multifunctional, bioresponsive orthopedic implants.</w:t>
      </w:r>
    </w:p>
    <w:p>
      <w:pPr>
        <w:spacing w:before="120" w:after="120"/>
      </w:pPr>
      <w:r>
        <w:rPr>
          <w:sz w:val="18"/>
        </w:rPr>
        <w:t>——————————————————————————————————————————————————————————————————————</w:t>
      </w:r>
    </w:p>
    <w:p>
      <w:pPr>
        <w:spacing w:before="160" w:after="40" w:line="240" w:lineRule="auto"/>
      </w:pPr>
      <w:r>
        <w:rPr>
          <w:b/>
        </w:rPr>
        <w:t xml:space="preserve">[686] </w:t>
      </w:r>
      <w:hyperlink r:id="rId1167">
        <w:r>
          <w:rPr>
            <w:color w:val="1155CC"/>
            <w:u w:val="single"/>
          </w:rPr>
          <w:t>面值为面值的固体碎裂的刘易斯对称在向 alkynols 半湿度降解反应方向的CO3O4催化器上的CO3O4 催化器上</w:t>
        </w:r>
      </w:hyperlink>
    </w:p>
    <w:p>
      <w:pPr>
        <w:spacing w:before="0" w:after="80"/>
      </w:pPr>
      <w:r>
        <w:rPr>
          <w:i/>
          <w:sz w:val="20"/>
        </w:rPr>
        <w:t>EN: Facet‐Dependent Solid Frustrated Lewis Pairs on Co3O4 Catalysts Towards Semi‐Hydrogenation Reaction of Alkynols</w:t>
      </w:r>
    </w:p>
    <w:p>
      <w:pPr>
        <w:spacing w:before="0" w:after="120"/>
      </w:pPr>
      <w:r>
        <w:rPr>
          <w:b/>
        </w:rPr>
        <w:t xml:space="preserve">Source: </w:t>
      </w:r>
      <w:r>
        <w:t>Wiley: Angewandte Chemie International Edition: Table of Contents</w:t>
      </w:r>
      <w:r>
        <w:t xml:space="preserve">    </w:t>
      </w:r>
      <w:r>
        <w:rPr>
          <w:b/>
        </w:rPr>
        <w:t xml:space="preserve">Pub date: </w:t>
      </w:r>
      <w:r>
        <w:t>2026-01-07 10:13:07+00:00</w:t>
      </w:r>
      <w:r>
        <w:t xml:space="preserve">    </w:t>
      </w:r>
      <w:r>
        <w:rPr>
          <w:b/>
        </w:rPr>
        <w:t xml:space="preserve">DOI: </w:t>
      </w:r>
      <w:hyperlink r:id="rId1168">
        <w:r>
          <w:rPr>
            <w:color w:val="1155CC"/>
            <w:u w:val="single"/>
          </w:rPr>
          <w:t>10.1002/anie.202523116</w:t>
        </w:r>
      </w:hyperlink>
    </w:p>
    <w:p>
      <w:pPr>
        <w:spacing w:before="0" w:after="120"/>
      </w:pPr>
      <w:r>
        <w:rPr>
          <w:b/>
        </w:rPr>
        <w:t xml:space="preserve">Notes: </w:t>
      </w:r>
      <w:r>
        <w:t>abstract_source=crossref</w:t>
      </w:r>
    </w:p>
    <w:p>
      <w:pPr>
        <w:spacing w:before="0" w:after="80" w:lineRule="auto" w:line="276"/>
      </w:pPr>
      <w:r>
        <w:rPr>
          <w:b/>
        </w:rPr>
        <w:t xml:space="preserve">摘要（ZH）: </w:t>
      </w:r>
      <w:r>
        <w:t>摘要 烷醇半氢化成极醇是对精细化学合成的一种至关重要的工业反应,但开发高度选择性的、非不可转让的金属催化剂仍然是一项紧迫的挑战。 我们在此报告,在具体暴露的 {110} 方块上,一种Co 3 O 4 Namrod(Co 3 O 4 QNR)催化剂,含有大量固态破碎的刘易斯双胞胎(SFLPs),在这种环境中,不饱和的C2+作为刘易斯酸场,而表层氢氧基点则作为Lewisewis基点。Co 3 O 4</w:t>
      </w:r>
    </w:p>
    <w:p>
      <w:pPr>
        <w:spacing w:before="0" w:after="200" w:lineRule="auto" w:line="276"/>
      </w:pPr>
      <w:r>
        <w:rPr>
          <w:b/>
        </w:rPr>
        <w:t xml:space="preserve">Abstract (EN): </w:t>
      </w:r>
      <w:r>
        <w:t>The semi‐hydrogenation of alkynols to enols represents a vital industrial reaction for fine chemical synthesis, yet developing highly selective non‐noble metal catalysts remains an urgent challenge. Herein, we report a Co</w:t>
      </w:r>
      <w:r>
        <w:rPr>
          <w:vertAlign w:val="subscript"/>
        </w:rPr>
        <w:t>3</w:t>
      </w:r>
      <w:r>
        <w:t>O</w:t>
      </w:r>
      <w:r>
        <w:rPr>
          <w:vertAlign w:val="subscript"/>
        </w:rPr>
        <w:t>4</w:t>
      </w:r>
      <w:r>
        <w:t>nanorod (Co</w:t>
      </w:r>
      <w:r>
        <w:rPr>
          <w:vertAlign w:val="subscript"/>
        </w:rPr>
        <w:t>3</w:t>
      </w:r>
      <w:r>
        <w:t>O</w:t>
      </w:r>
      <w:r>
        <w:rPr>
          <w:vertAlign w:val="subscript"/>
        </w:rPr>
        <w:t>4</w:t>
      </w:r>
      <w:r>
        <w:t>‐NR) catalyst with abundant solid‐frustrated Lewis pairs (SFLPs) on specifically exposed {110} facets, where coordinatively unsaturated Co</w:t>
      </w:r>
      <w:r>
        <w:t xml:space="preserve"> </w:t>
      </w:r>
      <w:r>
        <w:t>2+</w:t>
      </w:r>
      <w:r>
        <w:t xml:space="preserve"> </w:t>
      </w:r>
      <w:r>
        <w:t>acts as Lewis acid site whilst the surface hydroxyl group serves as Lewis base site. The Co</w:t>
      </w:r>
      <w:r>
        <w:rPr>
          <w:vertAlign w:val="subscript"/>
        </w:rPr>
        <w:t>3</w:t>
      </w:r>
      <w:r>
        <w:t>O</w:t>
      </w:r>
      <w:r>
        <w:rPr>
          <w:vertAlign w:val="subscript"/>
        </w:rPr>
        <w:t>4</w:t>
      </w:r>
      <w:r>
        <w:t>‐NR catalyst exhibits exceptional performance toward semi‐hydrogenation from 3‐butyn‐1‐ol to 3‐buten‐1‐ol with a product yield of 88.2%, which is preponderate to other non‐noble metal catalysts. Poisoning experiments, in situ DRIFTS and theoretical calculations verify that the SFLPs sites serve as intrinsic active centers for H</w:t>
      </w:r>
      <w:r>
        <w:rPr>
          <w:vertAlign w:val="subscript"/>
        </w:rPr>
        <w:t>2</w:t>
      </w:r>
      <w:r>
        <w:t>activation/dissociation and substrate adsorption. The hydrogenation of key intermediate (C</w:t>
      </w:r>
      <w:r>
        <w:rPr>
          <w:vertAlign w:val="subscript"/>
        </w:rPr>
        <w:t>4</w:t>
      </w:r>
      <w:r>
        <w:t>H</w:t>
      </w:r>
      <w:r>
        <w:rPr>
          <w:vertAlign w:val="subscript"/>
        </w:rPr>
        <w:t>7</w:t>
      </w:r>
      <w:r>
        <w:t>O*) is identified as the rate‐determining step, where H</w:t>
      </w:r>
      <w:r>
        <w:t xml:space="preserve"> </w:t>
      </w:r>
      <w:r>
        <w:t>δ+</w:t>
      </w:r>
      <w:r>
        <w:t xml:space="preserve"> </w:t>
      </w:r>
      <w:r>
        <w:t>species strongly tethered to surface −OH group suppresses over‐hydrogenation and thereby enhances the semi‐hydrogenation selectivity. Projected density of states (PDOS) analysis reveals an accelerated hydrogenation kinetics via</w:t>
      </w:r>
      <w:r>
        <w:t xml:space="preserve"> </w:t>
      </w:r>
      <w:r>
        <w:t>d</w:t>
      </w:r>
      <w:r>
        <w:t xml:space="preserve"> </w:t>
      </w:r>
      <w:r>
        <w:t>–</w:t>
      </w:r>
      <w:r>
        <w:t xml:space="preserve"> </w:t>
      </w:r>
      <w:r>
        <w:t>p</w:t>
      </w:r>
      <w:r>
        <w:t xml:space="preserve"> </w:t>
      </w:r>
      <w:r>
        <w:t>orbital hybridization between Co 3</w:t>
      </w:r>
      <w:r>
        <w:t xml:space="preserve"> </w:t>
      </w:r>
      <w:r>
        <w:t>d</w:t>
      </w:r>
      <w:r>
        <w:t xml:space="preserve"> </w:t>
      </w:r>
      <w:r>
        <w:t>orbitals and C 2</w:t>
      </w:r>
      <w:r>
        <w:t xml:space="preserve"> </w:t>
      </w:r>
      <w:r>
        <w:t>p</w:t>
      </w:r>
      <w:r>
        <w:t xml:space="preserve"> </w:t>
      </w:r>
      <w:r>
        <w:t>orbitals in C</w:t>
      </w:r>
      <w:r>
        <w:rPr>
          <w:vertAlign w:val="subscript"/>
        </w:rPr>
        <w:t>4</w:t>
      </w:r>
      <w:r>
        <w:t>H</w:t>
      </w:r>
      <w:r>
        <w:rPr>
          <w:vertAlign w:val="subscript"/>
        </w:rPr>
        <w:t>7</w:t>
      </w:r>
      <w:r>
        <w:t>O*. This work advances the design of efficient and cost‐effective SFLPs‐based heterogeneous catalysts, which shows potential application in the synthesis of fine chemicals.</w:t>
      </w:r>
    </w:p>
    <w:p>
      <w:pPr>
        <w:spacing w:before="120" w:after="120"/>
      </w:pPr>
      <w:r>
        <w:rPr>
          <w:sz w:val="18"/>
        </w:rPr>
        <w:t>——————————————————————————————————————————————————————————————————————</w:t>
      </w:r>
    </w:p>
    <w:p>
      <w:pPr>
        <w:spacing w:before="160" w:after="40" w:line="240" w:lineRule="auto"/>
      </w:pPr>
      <w:r>
        <w:rPr>
          <w:b/>
        </w:rPr>
        <w:t xml:space="preserve">[687] </w:t>
      </w:r>
      <w:hyperlink r:id="rId1169">
        <w:r>
          <w:rPr>
            <w:color w:val="1155CC"/>
            <w:u w:val="single"/>
          </w:rPr>
          <w:t>电力和灯光对高效铁解聚苯乙烯废物回收利用的协同效应</w:t>
        </w:r>
      </w:hyperlink>
    </w:p>
    <w:p>
      <w:pPr>
        <w:spacing w:before="0" w:after="80"/>
      </w:pPr>
      <w:r>
        <w:rPr>
          <w:i/>
          <w:sz w:val="20"/>
        </w:rPr>
        <w:t>EN: Synergistic Effects of Electricity and Light for Efficient Iron‐Catalyzed Recycling of Polystyrene Waste</w:t>
      </w:r>
    </w:p>
    <w:p>
      <w:pPr>
        <w:spacing w:before="0" w:after="120"/>
      </w:pPr>
      <w:r>
        <w:rPr>
          <w:b/>
        </w:rPr>
        <w:t xml:space="preserve">Source: </w:t>
      </w:r>
      <w:r>
        <w:t>Wiley: Angewandte Chemie International Edition: Table of Contents</w:t>
      </w:r>
      <w:r>
        <w:t xml:space="preserve">    </w:t>
      </w:r>
      <w:r>
        <w:rPr>
          <w:b/>
        </w:rPr>
        <w:t xml:space="preserve">Pub date: </w:t>
      </w:r>
      <w:r>
        <w:t>2026-01-07 10:13:14+00:00</w:t>
      </w:r>
      <w:r>
        <w:t xml:space="preserve">    </w:t>
      </w:r>
      <w:r>
        <w:rPr>
          <w:b/>
        </w:rPr>
        <w:t xml:space="preserve">DOI: </w:t>
      </w:r>
      <w:hyperlink r:id="rId1170">
        <w:r>
          <w:rPr>
            <w:color w:val="1155CC"/>
            <w:u w:val="single"/>
          </w:rPr>
          <w:t>10.1002/anie.202519237</w:t>
        </w:r>
      </w:hyperlink>
    </w:p>
    <w:p>
      <w:pPr>
        <w:spacing w:before="0" w:after="120"/>
      </w:pPr>
      <w:r>
        <w:rPr>
          <w:b/>
        </w:rPr>
        <w:t xml:space="preserve">Notes: </w:t>
      </w:r>
      <w:r>
        <w:t>abstract_source=crossref</w:t>
      </w:r>
    </w:p>
    <w:p>
      <w:pPr>
        <w:spacing w:before="0" w:after="80" w:lineRule="auto" w:line="276"/>
      </w:pPr>
      <w:r>
        <w:rPr>
          <w:b/>
        </w:rPr>
        <w:t xml:space="preserve">摘要（ZH）: </w:t>
      </w:r>
      <w:r>
        <w:t>摘要摘要:由于塑料在日常生活的方方面面的密集使用,塑料正在环境中积累,这代表了重大的社会挑战。塑料废物在海洋中的积累预计将在2050年达到400亿吨。因此,高效的化学塑料废物回收方法对未来循环经济的需求仍然很高。在这里,我们报告了一项强大和用户友好的战略,将廉价和土生化的铁催化、轻辐照和电力结合起来,将聚苯乙烯和含有苯乙烯的共聚物循环利用到具有附加值的苯乙烯产品中,其产量高达73%。在轻辐照下使用铁电解的这一方法的强力和用户友好性得到了进一步证明。</w:t>
      </w:r>
    </w:p>
    <w:p>
      <w:pPr>
        <w:spacing w:before="0" w:after="200" w:lineRule="auto" w:line="276"/>
      </w:pPr>
      <w:r>
        <w:rPr>
          <w:b/>
        </w:rPr>
        <w:t xml:space="preserve">Abstract (EN): </w:t>
      </w:r>
      <w:r>
        <w:t>Due to their intensive use in every aspect of our everyday life, plastics are accumulating in the environment, hence representing a major societal challenge. The accumulation of plastic waste in the oceans is expected to reach 40 billion tons by 2050. Thus, efficient methods for chemical plastic waste recycling continue to be in high demand toward a future circular economy. Herein, we report a powerful and user‐friendly strategy merging inexpensive and earth‐abundant iron catalysis, light irradiation and electricity to recycle polystyrene and styrene‐containing copolymers into value‐added benzoyl products with up to 73% yield. The robustness of this approach using iron‐electrocatalysis under light irradiation was further demonstrated using postconsumer waste, also viable on multigram scale. Cathodic formation of molecular hydrogen through the hydrogen evolution reaction (HER) offers an outstanding potential for a decentralized green hydrogen economy through a societally useful anodic oxidative transformation.</w:t>
      </w:r>
    </w:p>
    <w:p>
      <w:pPr>
        <w:spacing w:before="120" w:after="120"/>
      </w:pPr>
      <w:r>
        <w:rPr>
          <w:sz w:val="18"/>
        </w:rPr>
        <w:t>——————————————————————————————————————————————————————————————————————</w:t>
      </w:r>
    </w:p>
    <w:p>
      <w:pPr>
        <w:spacing w:before="160" w:after="40" w:line="240" w:lineRule="auto"/>
      </w:pPr>
      <w:r>
        <w:rPr>
          <w:b/>
        </w:rPr>
        <w:t xml:space="preserve">[688] </w:t>
      </w:r>
      <w:hyperlink r:id="rId1171">
        <w:r>
          <w:rPr>
            <w:color w:val="1155CC"/>
            <w:u w:val="single"/>
          </w:rPr>
          <w:t>CaCd2P2: 在光电化学水氧化下可见的光散光吸收Zintl磷化磷化物稳定</w:t>
        </w:r>
      </w:hyperlink>
    </w:p>
    <w:p>
      <w:pPr>
        <w:spacing w:before="0" w:after="80"/>
      </w:pPr>
      <w:r>
        <w:rPr>
          <w:i/>
          <w:sz w:val="20"/>
        </w:rPr>
        <w:t>EN: CaCd2P2: A Visible‐Light Absorbing Zintl Phosphide Stable Under Photoelectrochemical Water Oxidation</w:t>
      </w:r>
    </w:p>
    <w:p>
      <w:pPr>
        <w:spacing w:before="0" w:after="120"/>
      </w:pPr>
      <w:r>
        <w:rPr>
          <w:b/>
        </w:rPr>
        <w:t xml:space="preserve">Source: </w:t>
      </w:r>
      <w:r>
        <w:t>Wiley: Advanced Energy Materials: Table of Contents</w:t>
      </w:r>
      <w:r>
        <w:t xml:space="preserve">    </w:t>
      </w:r>
      <w:r>
        <w:rPr>
          <w:b/>
        </w:rPr>
        <w:t xml:space="preserve">Pub date: </w:t>
      </w:r>
      <w:r>
        <w:t>2026-01-07 10:13:54+00:00</w:t>
      </w:r>
      <w:r>
        <w:t xml:space="preserve">    </w:t>
      </w:r>
      <w:r>
        <w:rPr>
          <w:b/>
        </w:rPr>
        <w:t xml:space="preserve">DOI: </w:t>
      </w:r>
      <w:hyperlink r:id="rId1172">
        <w:r>
          <w:rPr>
            <w:color w:val="1155CC"/>
            <w:u w:val="single"/>
          </w:rPr>
          <w:t>10.1002/aenm.202505089</w:t>
        </w:r>
      </w:hyperlink>
    </w:p>
    <w:p>
      <w:pPr>
        <w:spacing w:before="0" w:after="120"/>
      </w:pPr>
      <w:r>
        <w:rPr>
          <w:b/>
        </w:rPr>
        <w:t xml:space="preserve">Notes: </w:t>
      </w:r>
      <w:r>
        <w:t>abstract_source=crossref</w:t>
      </w:r>
    </w:p>
    <w:p>
      <w:pPr>
        <w:spacing w:before="0" w:after="80" w:lineRule="auto" w:line="276"/>
      </w:pPr>
      <w:r>
        <w:rPr>
          <w:b/>
        </w:rPr>
        <w:t xml:space="preserve">摘要（ZH）: </w:t>
      </w:r>
      <w:r>
        <w:t>对太阳能燃料来说,一个关键的瓶颈是缺乏稳定且强力吸收的供氧进化反应的光电化材料(OER),现代方法通常在稳定但吸收力弱的材料(如宽带氧化物)之间进行交换,或大量吸收依赖封装稳定且催化力弱的材料(如IIIV半导体组)之间进行交换,例如,半导体的IIIV半导体组,如FeP 2等过渡性金属磷化物等材料,据知在OER氧化环境中进行有益的原地表变异,尽管稳定性仍然是一个主要障碍。我们在此报告CaCd 2 P。</w:t>
      </w:r>
    </w:p>
    <w:p>
      <w:pPr>
        <w:spacing w:before="0" w:after="200" w:lineRule="auto" w:line="276"/>
      </w:pPr>
      <w:r>
        <w:rPr>
          <w:b/>
        </w:rPr>
        <w:t xml:space="preserve">Abstract (EN): </w:t>
      </w:r>
      <w:r>
        <w:t>A key bottleneck to solar fuels is the absence of stable and strongly absorbing photoelectrode materials for the oxygen evolution reaction (OER). Modern approaches generally trade off between stable but weakly absorbing materials, such as wide bandgap oxides, or strongly absorbing materials that rely on encapsulation for stability and are weakly catalytic, such as the III‐V family of semiconductors. Of interest are materials like transition metal phosphides, such as FeP</w:t>
      </w:r>
      <w:r>
        <w:rPr>
          <w:vertAlign w:val="subscript"/>
        </w:rPr>
        <w:t>2</w:t>
      </w:r>
      <w:r>
        <w:t>, that are known to undergo beneficial in situ surface transformations in the oxidative environment of OER, though stability has remained a primary hurdle. Here, we report on CaCd</w:t>
      </w:r>
      <w:r>
        <w:rPr>
          <w:vertAlign w:val="subscript"/>
        </w:rPr>
        <w:t>2</w:t>
      </w:r>
      <w:r>
        <w:t>P</w:t>
      </w:r>
      <w:r>
        <w:rPr>
          <w:vertAlign w:val="subscript"/>
        </w:rPr>
        <w:t>2</w:t>
      </w:r>
      <w:r>
        <w:t>, a Zintl phase visible‐light absorber with favorable 1.6 eV bandgap, that we identified using high‐throughput computational screening. Using a combination of photoelectrochemical measurements, microscopy, and spectroscopy, we show that CaCd</w:t>
      </w:r>
      <w:r>
        <w:rPr>
          <w:vertAlign w:val="subscript"/>
        </w:rPr>
        <w:t>2</w:t>
      </w:r>
      <w:r>
        <w:t>P</w:t>
      </w:r>
      <w:r>
        <w:rPr>
          <w:vertAlign w:val="subscript"/>
        </w:rPr>
        <w:t>2</w:t>
      </w:r>
      <w:r>
        <w:t>undergoes a light‐stabilized surface transformation that renders it stable under alkaline OER conditions. We also show that the well known OER catalyst CoPi can act as a stable co‐catalyst in synergy with the modified in situ CaCd</w:t>
      </w:r>
      <w:r>
        <w:rPr>
          <w:vertAlign w:val="subscript"/>
        </w:rPr>
        <w:t>2</w:t>
      </w:r>
      <w:r>
        <w:t>P</w:t>
      </w:r>
      <w:r>
        <w:rPr>
          <w:vertAlign w:val="subscript"/>
        </w:rPr>
        <w:t>2</w:t>
      </w:r>
      <w:r>
        <w:t>surface. The light‐induced stabilizing transformation that CaCd</w:t>
      </w:r>
      <w:r>
        <w:rPr>
          <w:vertAlign w:val="subscript"/>
        </w:rPr>
        <w:t>2</w:t>
      </w:r>
      <w:r>
        <w:t>P</w:t>
      </w:r>
      <w:r>
        <w:rPr>
          <w:vertAlign w:val="subscript"/>
        </w:rPr>
        <w:t>2</w:t>
      </w:r>
      <w:r>
        <w:t>undergoes is in sharp contrast to the photocorrosion commonly observed in visible light‐absorbing photoelectrodes. The broader AM</w:t>
      </w:r>
      <w:r>
        <w:rPr>
          <w:vertAlign w:val="subscript"/>
        </w:rPr>
        <w:t>2</w:t>
      </w:r>
      <w:r>
        <w:t>P</w:t>
      </w:r>
      <w:r>
        <w:rPr>
          <w:vertAlign w:val="subscript"/>
        </w:rPr>
        <w:t>2</w:t>
      </w:r>
      <w:r>
        <w:t>family of Zintl phases offers a significant opportunity to explore stabilizing interface chemistry and re‐design the manner in which low‐bandgap semiconductors are used for photoelectrochemical energy conversion.</w:t>
      </w:r>
    </w:p>
    <w:p>
      <w:pPr>
        <w:spacing w:before="120" w:after="120"/>
      </w:pPr>
      <w:r>
        <w:rPr>
          <w:sz w:val="18"/>
        </w:rPr>
        <w:t>——————————————————————————————————————————————————————————————————————</w:t>
      </w:r>
    </w:p>
    <w:p>
      <w:pPr>
        <w:spacing w:before="160" w:after="40" w:line="240" w:lineRule="auto"/>
      </w:pPr>
      <w:r>
        <w:rPr>
          <w:b/>
        </w:rPr>
        <w:t xml:space="preserve">[689] </w:t>
      </w:r>
      <w:hyperlink r:id="rId1173">
        <w:r>
          <w:rPr>
            <w:color w:val="1155CC"/>
            <w:u w:val="single"/>
          </w:rPr>
          <w:t>核精度-S和Ni 上空的电益-Ni站点@MoS2 Nanoreactors 能够高高效水合锌辅助氢生产</w:t>
        </w:r>
      </w:hyperlink>
    </w:p>
    <w:p>
      <w:pPr>
        <w:spacing w:before="0" w:after="80"/>
      </w:pPr>
      <w:r>
        <w:rPr>
          <w:i/>
          <w:sz w:val="20"/>
        </w:rPr>
        <w:t>EN: Nucleophilicity‐S and Electrophilicity‐Ni Sites Over Ni@MoS2 Nanoreactors Enable Highly Efficient Hydrazine‐Assisted Hydrogen Production</w:t>
      </w:r>
    </w:p>
    <w:p>
      <w:pPr>
        <w:spacing w:before="0" w:after="120"/>
      </w:pPr>
      <w:r>
        <w:rPr>
          <w:b/>
        </w:rPr>
        <w:t xml:space="preserve">Source: </w:t>
      </w:r>
      <w:r>
        <w:t>Wiley: Advanced Energy Materials: Table of Contents</w:t>
      </w:r>
      <w:r>
        <w:t xml:space="preserve">    </w:t>
      </w:r>
      <w:r>
        <w:rPr>
          <w:b/>
        </w:rPr>
        <w:t xml:space="preserve">Pub date: </w:t>
      </w:r>
      <w:r>
        <w:t>2026-01-07 10:14:23+00:00</w:t>
      </w:r>
      <w:r>
        <w:t xml:space="preserve">    </w:t>
      </w:r>
      <w:r>
        <w:rPr>
          <w:b/>
        </w:rPr>
        <w:t xml:space="preserve">DOI: </w:t>
      </w:r>
      <w:hyperlink r:id="rId1174">
        <w:r>
          <w:rPr>
            <w:color w:val="1155CC"/>
            <w:u w:val="single"/>
          </w:rPr>
          <w:t>10.1002/aenm.202506017</w:t>
        </w:r>
      </w:hyperlink>
    </w:p>
    <w:p>
      <w:pPr>
        <w:spacing w:before="0" w:after="120"/>
      </w:pPr>
      <w:r>
        <w:rPr>
          <w:b/>
        </w:rPr>
        <w:t xml:space="preserve">Notes: </w:t>
      </w:r>
      <w:r>
        <w:t>abstract_source=crossref</w:t>
      </w:r>
    </w:p>
    <w:p>
      <w:pPr>
        <w:spacing w:before="0" w:after="80" w:lineRule="auto" w:line="276"/>
      </w:pPr>
      <w:r>
        <w:rPr>
          <w:b/>
        </w:rPr>
        <w:t xml:space="preserve">摘要（ZH）: </w:t>
      </w:r>
      <w:r>
        <w:t>Hydizine 辅助水电解法为氢生产提供了很有希望的战略,它大大减少了能源消耗,同时能够对含氢氨的有害废水进行补救,但是,由于氢氨氧化反应(HzOR)和氢进化反应(HER)的不兼容反应机制,高效双功能电催化剂的发展仍然具有挑战性。</w:t>
      </w:r>
    </w:p>
    <w:p>
      <w:pPr>
        <w:spacing w:before="0" w:after="200" w:lineRule="auto" w:line="276"/>
      </w:pPr>
      <w:r>
        <w:rPr>
          <w:b/>
        </w:rPr>
        <w:t xml:space="preserve">Abstract (EN): </w:t>
      </w:r>
      <w:r>
        <w:t>Hydrazine‐assisted water electrolysis offers a promising strategy for hydrogen production by significantly reducing the energy consumption while simultaneously enabling the remediation of hazardous hydrazine‐containing wastewater. However, the development of efficient bifunctional electrocatalysts remains challenging due to the incompatible reaction mechanisms of the hydrazine oxidation reaction (HzOR) and the hydrogen evolution reaction (HER). Herein, we design a hollow MoS</w:t>
      </w:r>
      <w:r>
        <w:rPr>
          <w:vertAlign w:val="subscript"/>
        </w:rPr>
        <w:t>2</w:t>
      </w:r>
      <w:r>
        <w:t>nanoreactor decorated with Ni nanoparticles (Ni</w:t>
      </w:r>
      <w:r>
        <w:t xml:space="preserve"> </w:t>
      </w:r>
      <w:r>
        <w:t>x</w:t>
      </w:r>
      <w:r>
        <w:t xml:space="preserve"> </w:t>
      </w:r>
      <w:r>
        <w:t>@MoS</w:t>
      </w:r>
      <w:r>
        <w:rPr>
          <w:vertAlign w:val="subscript"/>
        </w:rPr>
        <w:t>2</w:t>
      </w:r>
      <w:r>
        <w:t>) featuring strong metal‐support interaction (SMSI). The SMSI‐induced interfacial electron redistribution creates nucleophilic S sites and electrophilic Ni sites, which synergistically lower H</w:t>
      </w:r>
      <w:r>
        <w:t xml:space="preserve"> </w:t>
      </w:r>
      <w:r>
        <w:t>*</w:t>
      </w:r>
      <w:r>
        <w:t xml:space="preserve"> </w:t>
      </w:r>
      <w:r>
        <w:t>adsorption energy barrier in HER and favor the N─N bond breakage in HzOR. The optimized Ni</w:t>
      </w:r>
      <w:r>
        <w:rPr>
          <w:vertAlign w:val="subscript"/>
        </w:rPr>
        <w:t>2</w:t>
      </w:r>
      <w:r>
        <w:t>@MoS</w:t>
      </w:r>
      <w:r>
        <w:rPr>
          <w:vertAlign w:val="subscript"/>
        </w:rPr>
        <w:t>2</w:t>
      </w:r>
      <w:r>
        <w:t>nanoreactor demonstrates exceptional bifunctional performance, achieving a current density of 100 mA cm</w:t>
      </w:r>
      <w:r>
        <w:t xml:space="preserve"> </w:t>
      </w:r>
      <w:r>
        <w:t>–</w:t>
      </w:r>
      <w:r>
        <w:rPr>
          <w:vertAlign w:val="subscript"/>
        </w:rPr>
        <w:t>2</w:t>
      </w:r>
      <w:r>
        <w:t>at only 0.193 V in hybrid HzOR‐assisted water electrolysis, outperforming the most reported bifunctional catalysts. Moreover, the electrolyzer exhibits excellent long‐term operational stability, maintaining consistent performance over 200 h at 200 mA cm</w:t>
      </w:r>
      <w:r>
        <w:t xml:space="preserve"> </w:t>
      </w:r>
      <w:r>
        <w:t>−2</w:t>
      </w:r>
      <w:r>
        <w:t xml:space="preserve"> </w:t>
      </w:r>
      <w:r>
        <w:t>. This work proposes a plausible N─N bond breakage pathway in HzOR enabled by SMSI strategy, offering new insights into the water electrolysis for green hydrogen production.</w:t>
      </w:r>
    </w:p>
    <w:p>
      <w:pPr>
        <w:spacing w:before="120" w:after="120"/>
      </w:pPr>
      <w:r>
        <w:rPr>
          <w:sz w:val="18"/>
        </w:rPr>
        <w:t>——————————————————————————————————————————————————————————————————————</w:t>
      </w:r>
    </w:p>
    <w:p>
      <w:pPr>
        <w:spacing w:before="160" w:after="40" w:line="240" w:lineRule="auto"/>
      </w:pPr>
      <w:r>
        <w:rPr>
          <w:b/>
        </w:rPr>
        <w:t xml:space="preserve">[690] </w:t>
      </w:r>
      <w:hyperlink r:id="rId1175">
        <w:r>
          <w:rPr>
            <w:color w:val="1155CC"/>
            <w:u w:val="single"/>
          </w:rPr>
          <w:t>“Sheet Inhibitor to Anchor Protein Protein Protein Protein 互动界面设计”的侧侧侧Chain工程指南</w:t>
        </w:r>
      </w:hyperlink>
    </w:p>
    <w:p>
      <w:pPr>
        <w:spacing w:before="0" w:after="80"/>
      </w:pPr>
      <w:r>
        <w:rPr>
          <w:i/>
          <w:sz w:val="20"/>
        </w:rPr>
        <w:t>EN: Side‐Chain Engineering Guides the Design of β‐Sheet Inhibitor to Anchor Protein‐Protein Interaction Interfaces</w:t>
      </w:r>
    </w:p>
    <w:p>
      <w:pPr>
        <w:spacing w:before="0" w:after="120"/>
      </w:pPr>
      <w:r>
        <w:rPr>
          <w:b/>
        </w:rPr>
        <w:t xml:space="preserve">Source: </w:t>
      </w:r>
      <w:r>
        <w:t>Wiley: Angewandte Chemie International Edition: Table of Contents</w:t>
      </w:r>
      <w:r>
        <w:t xml:space="preserve">    </w:t>
      </w:r>
      <w:r>
        <w:rPr>
          <w:b/>
        </w:rPr>
        <w:t xml:space="preserve">Pub date: </w:t>
      </w:r>
      <w:r>
        <w:t>2026-01-07 10:20:35+00:00</w:t>
      </w:r>
      <w:r>
        <w:t xml:space="preserve">    </w:t>
      </w:r>
      <w:r>
        <w:rPr>
          <w:b/>
        </w:rPr>
        <w:t xml:space="preserve">DOI: </w:t>
      </w:r>
      <w:hyperlink r:id="rId1176">
        <w:r>
          <w:rPr>
            <w:color w:val="1155CC"/>
            <w:u w:val="single"/>
          </w:rPr>
          <w:t>10.1002/anie.202521473</w:t>
        </w:r>
      </w:hyperlink>
    </w:p>
    <w:p>
      <w:pPr>
        <w:spacing w:before="0" w:after="120"/>
      </w:pPr>
      <w:r>
        <w:rPr>
          <w:b/>
        </w:rPr>
        <w:t xml:space="preserve">Notes: </w:t>
      </w:r>
      <w:r>
        <w:t>abstract_source=crossref</w:t>
      </w:r>
    </w:p>
    <w:p>
      <w:pPr>
        <w:spacing w:before="0" w:after="80" w:lineRule="auto" w:line="276"/>
      </w:pPr>
      <w:r>
        <w:rPr>
          <w:b/>
        </w:rPr>
        <w:t xml:space="preserve">摘要（ZH）: </w:t>
      </w:r>
      <w:r>
        <w:t>在药用化学研究中,仍然存在着一项挑战。直接将表元素与PPI接口分离,作为抑制剂是一种可行的战略。虽然有用,但PPI产生的浸泡物通常会失去其自然的二级结构,导致亲和性低。如何建立稳定的表抑制剂仍然难以实现,主要原因是缺乏可靠的战略来指导表脊椎的设计。在本研究中,我们提议了氨酸侧链工程战略(ASE)来设计表抑制剂。具体地说,这一战略以自然蛋白表所观察到的氨酸配对原则为基础,并进一步整合了该原则。</w:t>
      </w:r>
    </w:p>
    <w:p>
      <w:pPr>
        <w:spacing w:before="0" w:after="200" w:lineRule="auto" w:line="276"/>
      </w:pPr>
      <w:r>
        <w:rPr>
          <w:b/>
        </w:rPr>
        <w:t xml:space="preserve">Abstract (EN): </w:t>
      </w:r>
      <w:r>
        <w:t>Customizing inhibitors for β‐sheet mediated protein‐protein interactions (PPIs) remains a challenge in medicinal chemistry research. Directly separating β‐sheet elements from the PPI interface as inhibitors represents a feasible strategy. Although useful, peptides derived from PPIs typically lose their natural secondary structure, resulting in low affinity. How to construct stable β‐sheet inhibitors remains elusive, mainly due to the lack of reliable strategies to guide the design of β‐sheet backbones. In this study, we propose an amino acid side‐chain engineering strategy (AASE) to design of β‐sheet inhibitors. Specifically, this strategy was based on the amino acid pairing (AAP) principle observed in the β‐sheets of natural proteins, and further integrates the complementarity of various non‐covalent interactions between β‐strand side chains. When combined with high‐throughput peptide screening technology, above strategy can generate structurally defined β‐sheet inhibitors. We validated the physicochemical properties of the β‐sheet structures obtained under the aforementioned strategy and prioritized the peptide EH. The β‐sheet inhibitor formed by EH exhibits potent biological functions, enabling high‐resolution imaging of tumors in the NIR window and guiding tumor resection. In addition, EH can inhibit tumor growth as a PD‐1/PD‐L1 checkpoint blockade. This strategy provides valuable guidance for the design of PPI inhibitors with β‐sheet structures.</w:t>
      </w:r>
    </w:p>
    <w:p>
      <w:pPr>
        <w:spacing w:before="120" w:after="120"/>
      </w:pPr>
      <w:r>
        <w:rPr>
          <w:sz w:val="18"/>
        </w:rPr>
        <w:t>——————————————————————————————————————————————————————————————————————</w:t>
      </w:r>
    </w:p>
    <w:p>
      <w:pPr>
        <w:spacing w:before="160" w:after="40" w:line="240" w:lineRule="auto"/>
      </w:pPr>
      <w:r>
        <w:rPr>
          <w:b/>
        </w:rPr>
        <w:t xml:space="preserve">[691] </w:t>
      </w:r>
      <w:hyperlink r:id="rId1177">
        <w:r>
          <w:rPr>
            <w:color w:val="1155CC"/>
            <w:u w:val="single"/>
          </w:rPr>
          <w:t>高能量密度锂硫硫粉槽</w:t>
        </w:r>
      </w:hyperlink>
    </w:p>
    <w:p>
      <w:pPr>
        <w:spacing w:before="0" w:after="80"/>
      </w:pPr>
      <w:r>
        <w:rPr>
          <w:i/>
          <w:sz w:val="20"/>
        </w:rPr>
        <w:t>EN: A High Energy Density Lithium‐Sulfur Pouch Cell Via Lignin‐Based Ionic Conductive Binder With Oxygen‐Rich Coordinating Sites</w:t>
      </w:r>
    </w:p>
    <w:p>
      <w:pPr>
        <w:spacing w:before="0" w:after="120"/>
      </w:pPr>
      <w:r>
        <w:rPr>
          <w:b/>
        </w:rPr>
        <w:t xml:space="preserve">Source: </w:t>
      </w:r>
      <w:r>
        <w:t>Wiley: Advanced Materials: Table of Contents</w:t>
      </w:r>
      <w:r>
        <w:t xml:space="preserve">    </w:t>
      </w:r>
      <w:r>
        <w:rPr>
          <w:b/>
        </w:rPr>
        <w:t xml:space="preserve">Pub date: </w:t>
      </w:r>
      <w:r>
        <w:t>2026-01-07 10:21:02+00:00</w:t>
      </w:r>
      <w:r>
        <w:t xml:space="preserve">    </w:t>
      </w:r>
      <w:r>
        <w:rPr>
          <w:b/>
        </w:rPr>
        <w:t xml:space="preserve">DOI: </w:t>
      </w:r>
      <w:hyperlink r:id="rId1178">
        <w:r>
          <w:rPr>
            <w:color w:val="1155CC"/>
            <w:u w:val="single"/>
          </w:rPr>
          <w:t>10.1002/adma.202522467</w:t>
        </w:r>
      </w:hyperlink>
    </w:p>
    <w:p>
      <w:pPr>
        <w:spacing w:before="0" w:after="120"/>
      </w:pPr>
      <w:r>
        <w:rPr>
          <w:b/>
        </w:rPr>
        <w:t xml:space="preserve">Notes: </w:t>
      </w:r>
      <w:r>
        <w:t>abstract_source=crossref</w:t>
      </w:r>
    </w:p>
    <w:p>
      <w:pPr>
        <w:spacing w:before="0" w:after="80" w:lineRule="auto" w:line="276"/>
      </w:pPr>
      <w:r>
        <w:rPr>
          <w:b/>
        </w:rPr>
        <w:t xml:space="preserve">摘要（ZH）: </w:t>
      </w:r>
      <w:r>
        <w:t>抽象生物基封存器在维持电极稳定性和抑制锂硫电池(Li-S)的穿梭效应方面有着显著的优势,然而,其内在绝缘和差散严重阻碍了Li+在电极中的迁移,导致反应动能反应缓慢和能量密度低。 这里,一系列基于离子的离子传导粘合器(DAL-AAA)通过混合物脱甲基合成,氨基酸在碱离子电池(AL)上粘合。 人们发现,酸性氨酸(如磷酸)更容易通过电磁反作用和消毒效应来调整空间相容。</w:t>
      </w:r>
    </w:p>
    <w:p>
      <w:pPr>
        <w:spacing w:before="0" w:after="200" w:lineRule="auto" w:line="276"/>
      </w:pPr>
      <w:r>
        <w:rPr>
          <w:b/>
        </w:rPr>
        <w:t xml:space="preserve">Abstract (EN): </w:t>
      </w:r>
      <w:r>
        <w:t>Bio‐based binders exhibit outstanding advantages in maintaining electrode stability and suppressing the shuttle effect in lithium‐sulfur (Li–S) battery. However, their inherent insulation and poor dispersion severely hinder Li</w:t>
      </w:r>
      <w:r>
        <w:t xml:space="preserve"> </w:t>
      </w:r>
      <w:r>
        <w:t>+</w:t>
      </w:r>
      <w:r>
        <w:t xml:space="preserve"> </w:t>
      </w:r>
      <w:r>
        <w:t>transport within electrode, resulting in slow S reaction kinetics and low energy density. Here, a series of lignin‐based ionic conductive binders (DAL‐AA) were synthesized by mussel‐mimicking demethylation and amino acids grafting modifications on alkali lignin (AL). It is found that acidic amino acids, e.g. phosphoserine, more easily restructure the spatial conformation via electrostatic repulsion and steric effect. It significantly eases the aggregation of lignin binder as well as bond active/conductive materials. Li</w:t>
      </w:r>
      <w:r>
        <w:t xml:space="preserve"> </w:t>
      </w:r>
      <w:r>
        <w:t>+</w:t>
      </w:r>
      <w:r>
        <w:t xml:space="preserve"> </w:t>
      </w:r>
      <w:r>
        <w:t>diffusion coefficient in corresponding electrode improves 40% and lithium polysulfide conversion effectively accelerates. The Li–S battery delivers an initial discharge capacity of 971 mAh·g</w:t>
      </w:r>
      <w:r>
        <w:t xml:space="preserve"> </w:t>
      </w:r>
      <w:r>
        <w:t>−</w:t>
      </w:r>
      <w:r>
        <w:rPr>
          <w:vertAlign w:val="subscript"/>
        </w:rPr>
        <w:t>1</w:t>
      </w:r>
      <w:r>
        <w:t>at a current density of 0.5 C and can stably run 500 cycles. Moreover, the high‐loading pouch cell with a capacity of 1.125 Ah achieves gravimetric and volumetric energy densities of 328 Wh·kg</w:t>
      </w:r>
      <w:r>
        <w:t xml:space="preserve"> </w:t>
      </w:r>
      <w:r>
        <w:t>−</w:t>
      </w:r>
      <w:r>
        <w:rPr>
          <w:vertAlign w:val="subscript"/>
        </w:rPr>
        <w:t>1</w:t>
      </w:r>
      <w:r>
        <w:t>and 517 Wh·L</w:t>
      </w:r>
      <w:r>
        <w:t xml:space="preserve"> </w:t>
      </w:r>
      <w:r>
        <w:t>−</w:t>
      </w:r>
      <w:r>
        <w:rPr>
          <w:vertAlign w:val="subscript"/>
        </w:rPr>
        <w:t>1</w:t>
      </w:r>
      <w:r>
        <w:t>respectively. This work provides guidance on designing high‐loading cathodes for advanced Li–S batteries.</w:t>
      </w:r>
    </w:p>
    <w:p>
      <w:pPr>
        <w:spacing w:before="120" w:after="120"/>
      </w:pPr>
      <w:r>
        <w:rPr>
          <w:sz w:val="18"/>
        </w:rPr>
        <w:t>——————————————————————————————————————————————————————————————————————</w:t>
      </w:r>
    </w:p>
    <w:p>
      <w:pPr>
        <w:spacing w:before="160" w:after="40" w:line="240" w:lineRule="auto"/>
      </w:pPr>
      <w:r>
        <w:rPr>
          <w:b/>
        </w:rPr>
        <w:t xml:space="preserve">[692] </w:t>
      </w:r>
      <w:hyperlink r:id="rId1179">
        <w:r>
          <w:rPr>
            <w:color w:val="1155CC"/>
            <w:u w:val="single"/>
          </w:rPr>
          <w:t>生物电子系统自作出决定的材料和系统设计</w:t>
        </w:r>
      </w:hyperlink>
    </w:p>
    <w:p>
      <w:pPr>
        <w:spacing w:before="0" w:after="80"/>
      </w:pPr>
      <w:r>
        <w:rPr>
          <w:i/>
          <w:sz w:val="20"/>
        </w:rPr>
        <w:t>EN: Materials and System Design for Self‐Decision Bioelectronic Systems</w:t>
      </w:r>
    </w:p>
    <w:p>
      <w:pPr>
        <w:spacing w:before="0" w:after="120"/>
      </w:pPr>
      <w:r>
        <w:rPr>
          <w:b/>
        </w:rPr>
        <w:t xml:space="preserve">Source: </w:t>
      </w:r>
      <w:r>
        <w:t>Wiley: Advanced Materials: Table of Contents</w:t>
      </w:r>
      <w:r>
        <w:t xml:space="preserve">    </w:t>
      </w:r>
      <w:r>
        <w:rPr>
          <w:b/>
        </w:rPr>
        <w:t xml:space="preserve">Pub date: </w:t>
      </w:r>
      <w:r>
        <w:t>2026-01-07 10:21:50+00:00</w:t>
      </w:r>
      <w:r>
        <w:t xml:space="preserve">    </w:t>
      </w:r>
      <w:r>
        <w:rPr>
          <w:b/>
        </w:rPr>
        <w:t xml:space="preserve">DOI: </w:t>
      </w:r>
      <w:hyperlink r:id="rId1180">
        <w:r>
          <w:rPr>
            <w:color w:val="1155CC"/>
            <w:u w:val="single"/>
          </w:rPr>
          <w:t>10.1002/adma.202521164</w:t>
        </w:r>
      </w:hyperlink>
    </w:p>
    <w:p>
      <w:pPr>
        <w:spacing w:before="0" w:after="120"/>
      </w:pPr>
      <w:r>
        <w:rPr>
          <w:b/>
        </w:rPr>
        <w:t xml:space="preserve">Notes: </w:t>
      </w:r>
      <w:r>
        <w:t>abstract_source=crossref</w:t>
      </w:r>
    </w:p>
    <w:p>
      <w:pPr>
        <w:spacing w:before="0" w:after="80" w:lineRule="auto" w:line="276"/>
      </w:pPr>
      <w:r>
        <w:rPr>
          <w:b/>
        </w:rPr>
        <w:t xml:space="preserve">摘要（ZH）: </w:t>
      </w:r>
      <w:r>
        <w:t>自我决定型生物电子系统标志着从常规的`感官'范式向自主的、封闭式的治疗方法的转变性飞跃,物质创新是关键的促进因素。 本审查认为,物质创新是这一转型的关键推动因素,无缝地结合高性能感测、智能计算和适应性干预。 我们阐述了从软导体、反应灵敏的聚合物和纳米合成物中制造的电化学、电物理、光学和机械传感器的最新进展如何产生可靠生理监测的关键数据流。 我们进一步探索了决策结构如何从临界逻辑到神经形态计算、转换等范围的决策结构如何产生关键数据流。</w:t>
      </w:r>
    </w:p>
    <w:p>
      <w:pPr>
        <w:spacing w:before="0" w:after="200" w:lineRule="auto" w:line="276"/>
      </w:pPr>
      <w:r>
        <w:rPr>
          <w:b/>
        </w:rPr>
        <w:t xml:space="preserve">Abstract (EN): </w:t>
      </w:r>
      <w:r>
        <w:t>Self‐decision bioelectronic systems mark a transformative leap from conventional ‘sense‐then‐treat’ paradigms toward autonomous, closed‐loop therapeutics, with material innovation serving as the pivotal enabler. This review posits that material innovation is the pivotal enabler of this transition, seamlessly integrating high‐performance sensing, intelligent computation, and adaptive intervention. We elucidate how recent advances in electrochemical, electrophysiological, optical, and mechanical sensors fabricated from soft conductors, responsive polymers, and nanocomposites yield critical data streams for reliable physiological monitoring. We further explore how decision‐making architectures, ranging from threshold‐based logic to neuromorphic computation, transform these data into real‐time therapeutic commands. Diverse material platforms are positioned as the central drivers of functional outputs, enabling precise electrical stimulation, on‐demand drug delivery, mechanical actuation, and optical modulation, as demonstrated in artificial pancreas systems, neurointerventions, and smart wound dressings. Finally, we discuss system‐level integration strategies and confront the enduring challenges, including biointegration, sustainable power, and regulatory translation, that must be overcome for clinical adoption. By threading the narrative through the lens of material innovation, this review not only surveys the current landscape but also provides a unique materials‐ and engineering‐oriented perspective, aiming to chart a roadmap for next‐generation autonomous and personalized medicine.</w:t>
      </w:r>
    </w:p>
    <w:p>
      <w:pPr>
        <w:spacing w:before="120" w:after="120"/>
      </w:pPr>
      <w:r>
        <w:rPr>
          <w:sz w:val="18"/>
        </w:rPr>
        <w:t>——————————————————————————————————————————————————————————————————————</w:t>
      </w:r>
    </w:p>
    <w:p>
      <w:pPr>
        <w:spacing w:before="160" w:after="40" w:line="240" w:lineRule="auto"/>
      </w:pPr>
      <w:r>
        <w:rPr>
          <w:b/>
        </w:rPr>
        <w:t xml:space="preserve">[693] </w:t>
      </w:r>
      <w:hyperlink r:id="rId1181">
        <w:r>
          <w:rPr>
            <w:color w:val="1155CC"/>
            <w:u w:val="single"/>
          </w:rPr>
          <w:t>ZrO2支持的Pd2Ga1纳米粒子通过C1途径强化乙醇电氧化</w:t>
        </w:r>
      </w:hyperlink>
    </w:p>
    <w:p>
      <w:pPr>
        <w:spacing w:before="0" w:after="80"/>
      </w:pPr>
      <w:r>
        <w:rPr>
          <w:i/>
          <w:sz w:val="20"/>
        </w:rPr>
        <w:t>EN: Ga‐Induced Reversal of Pd Electronic States in ZrO2‐Supported Pd2Ga1 Nanoparticles for Enhanced Ethanol Electrooxidation via the C1 Pathway</w:t>
      </w:r>
    </w:p>
    <w:p>
      <w:pPr>
        <w:spacing w:before="0" w:after="120"/>
      </w:pPr>
      <w:r>
        <w:rPr>
          <w:b/>
        </w:rPr>
        <w:t xml:space="preserve">Source: </w:t>
      </w:r>
      <w:r>
        <w:t>Wiley: Angewandte Chemie International Edition: Table of Contents</w:t>
      </w:r>
      <w:r>
        <w:t xml:space="preserve">    </w:t>
      </w:r>
      <w:r>
        <w:rPr>
          <w:b/>
        </w:rPr>
        <w:t xml:space="preserve">Pub date: </w:t>
      </w:r>
      <w:r>
        <w:t>2026-01-07 10:27:25+00:00</w:t>
      </w:r>
      <w:r>
        <w:t xml:space="preserve">    </w:t>
      </w:r>
      <w:r>
        <w:rPr>
          <w:b/>
        </w:rPr>
        <w:t xml:space="preserve">DOI: </w:t>
      </w:r>
      <w:hyperlink r:id="rId1182">
        <w:r>
          <w:rPr>
            <w:color w:val="1155CC"/>
            <w:u w:val="single"/>
          </w:rPr>
          <w:t>10.1002/anie.202523391</w:t>
        </w:r>
      </w:hyperlink>
    </w:p>
    <w:p>
      <w:pPr>
        <w:spacing w:before="0" w:after="120"/>
      </w:pPr>
      <w:r>
        <w:rPr>
          <w:b/>
        </w:rPr>
        <w:t xml:space="preserve">Notes: </w:t>
      </w:r>
      <w:r>
        <w:t>abstract_source=crossref</w:t>
      </w:r>
    </w:p>
    <w:p>
      <w:pPr>
        <w:spacing w:before="0" w:after="80" w:lineRule="auto" w:line="276"/>
      </w:pPr>
      <w:r>
        <w:rPr>
          <w:b/>
        </w:rPr>
        <w:t xml:space="preserve">摘要（ZH）: </w:t>
      </w:r>
      <w:r>
        <w:t>直接乙醇燃料电池(EFCs)由于高能源密度和乙醇的可再生、生态友好性,被视为有希望的能源转换技术,但由于缺乏能同时提供高活度、稳定性和选择乙醇氧化反应C1路径的阳极催化剂,这些电池的商业化受到阻碍。 我们在此报告一个合理设计的Pd 2 Ga 1 rO 2@NC 电催化剂,其中Pd 2 Ga 1合金纳米粒子以氮氧化碳化合物为基础。</w:t>
      </w:r>
    </w:p>
    <w:p>
      <w:pPr>
        <w:spacing w:before="0" w:after="200" w:lineRule="auto" w:line="276"/>
      </w:pPr>
      <w:r>
        <w:rPr>
          <w:b/>
        </w:rPr>
        <w:t xml:space="preserve">Abstract (EN): </w:t>
      </w:r>
      <w:r>
        <w:t>Direct ethanol fuel cells (DEFCs) are recognized as a promising energy conversion technology due to their high energy density and the renewable, eco‐friendly nature of ethanol. However, their commercialization is hindered by the lack of anode catalysts that simultaneously offer high activity, stability, and selectivity toward the C1 pathway in the ethanol oxidation reaction (EOR). Herein, we report a rationally designed Pd</w:t>
      </w:r>
      <w:r>
        <w:rPr>
          <w:vertAlign w:val="subscript"/>
        </w:rPr>
        <w:t>2</w:t>
      </w:r>
      <w:r>
        <w:t>Ga</w:t>
      </w:r>
      <w:r>
        <w:rPr>
          <w:vertAlign w:val="subscript"/>
        </w:rPr>
        <w:t>1</w:t>
      </w:r>
      <w:r>
        <w:t>‐ZrO</w:t>
      </w:r>
      <w:r>
        <w:rPr>
          <w:vertAlign w:val="subscript"/>
        </w:rPr>
        <w:t>2</w:t>
      </w:r>
      <w:r>
        <w:t>@NC electrocatalyst, in which Pd</w:t>
      </w:r>
      <w:r>
        <w:rPr>
          <w:vertAlign w:val="subscript"/>
        </w:rPr>
        <w:t>2</w:t>
      </w:r>
      <w:r>
        <w:t>Ga</w:t>
      </w:r>
      <w:r>
        <w:rPr>
          <w:vertAlign w:val="subscript"/>
        </w:rPr>
        <w:t>1</w:t>
      </w:r>
      <w:r>
        <w:t>alloy nanoparticles are anchored on a nitrogen‐doped carbon‐encapsulated ZrO</w:t>
      </w:r>
      <w:r>
        <w:rPr>
          <w:vertAlign w:val="subscript"/>
        </w:rPr>
        <w:t>2</w:t>
      </w:r>
      <w:r>
        <w:t>nanoframework. In alkaline media, this catalyst exhibits exceptional EOR performance, achieving a remarkable mass activity of 27.3 A mg</w:t>
      </w:r>
      <w:r>
        <w:t xml:space="preserve"> </w:t>
      </w:r>
      <w:r>
        <w:t>Pd</w:t>
      </w:r>
      <w:r>
        <w:t xml:space="preserve"> </w:t>
      </w:r>
      <w:r>
        <w:t>−1</w:t>
      </w:r>
      <w:r>
        <w:t xml:space="preserve"> </w:t>
      </w:r>
      <w:r>
        <w:t>, 3.6 and 21.8 times higher than those of Pd‐ZrO</w:t>
      </w:r>
      <w:r>
        <w:rPr>
          <w:vertAlign w:val="subscript"/>
        </w:rPr>
        <w:t>2</w:t>
      </w:r>
      <w:r>
        <w:t>@NC and commercial Pd/C, respectively. Furthermore, it demonstrates a high C1 pathway selectivity of 58.7% at 0.8</w:t>
      </w:r>
      <w:r>
        <w:t xml:space="preserve"> </w:t>
      </w:r>
      <w:r>
        <w:t>V</w:t>
      </w:r>
      <w:r>
        <w:t xml:space="preserve"> </w:t>
      </w:r>
      <w:r>
        <w:t>RHE</w:t>
      </w:r>
      <w:r>
        <w:t xml:space="preserve"> </w:t>
      </w:r>
      <w:r>
        <w:t>and retains 48.9% of its initial activity after 2000 accelerated durability test cycles, significantly outperforming state‐of‐the‐art benchmarks. Combined experimental and DFT studies reveal the crucial function of Ga as an electron donor, which reverses the electron transfer around Pd from outward (in Pd‐ZrO</w:t>
      </w:r>
      <w:r>
        <w:rPr>
          <w:vertAlign w:val="subscript"/>
        </w:rPr>
        <w:t>2</w:t>
      </w:r>
      <w:r>
        <w:t>@NC) to inward (in Pd</w:t>
      </w:r>
      <w:r>
        <w:rPr>
          <w:vertAlign w:val="subscript"/>
        </w:rPr>
        <w:t>2</w:t>
      </w:r>
      <w:r>
        <w:t>Ga</w:t>
      </w:r>
      <w:r>
        <w:rPr>
          <w:vertAlign w:val="subscript"/>
        </w:rPr>
        <w:t>1</w:t>
      </w:r>
      <w:r>
        <w:t>‐ZrO</w:t>
      </w:r>
      <w:r>
        <w:rPr>
          <w:vertAlign w:val="subscript"/>
        </w:rPr>
        <w:t>2</w:t>
      </w:r>
      <w:r>
        <w:t>@NC), creating an electron‐rich Pd state. This electronic restructuring thereby lowers the *CO oxidation barrier, strengthens *OH adsorption, and enhances metal‐support interaction, collectively boosting both the C1 pathway selectivity and the overall EOR performance. This work provides valuable insights for the design of high‐performance alloy‐oxide composite electrocatalysts.</w:t>
      </w:r>
    </w:p>
    <w:p>
      <w:pPr>
        <w:spacing w:before="120" w:after="120"/>
      </w:pPr>
      <w:r>
        <w:rPr>
          <w:sz w:val="18"/>
        </w:rPr>
        <w:t>——————————————————————————————————————————————————————————————————————</w:t>
      </w:r>
    </w:p>
    <w:p>
      <w:pPr>
        <w:spacing w:before="160" w:after="40" w:line="240" w:lineRule="auto"/>
      </w:pPr>
      <w:r>
        <w:rPr>
          <w:b/>
        </w:rPr>
        <w:t xml:space="preserve">[694] </w:t>
      </w:r>
      <w:hyperlink r:id="rId1183">
        <w:r>
          <w:rPr>
            <w:color w:val="1155CC"/>
            <w:u w:val="single"/>
          </w:rPr>
          <w:t>纳米封闭沉积使能高能源密度Mg金属电池</w:t>
        </w:r>
      </w:hyperlink>
    </w:p>
    <w:p>
      <w:pPr>
        <w:spacing w:before="0" w:after="80"/>
      </w:pPr>
      <w:r>
        <w:rPr>
          <w:i/>
          <w:sz w:val="20"/>
        </w:rPr>
        <w:t>EN: Nanoconfined Deposition Enables High‐Energy‐Density Mg Metal Batteries</w:t>
      </w:r>
    </w:p>
    <w:p>
      <w:pPr>
        <w:spacing w:before="0" w:after="120"/>
      </w:pPr>
      <w:r>
        <w:rPr>
          <w:b/>
        </w:rPr>
        <w:t xml:space="preserve">Source: </w:t>
      </w:r>
      <w:r>
        <w:t>Wiley: Advanced Materials: Table of Contents</w:t>
      </w:r>
      <w:r>
        <w:t xml:space="preserve">    </w:t>
      </w:r>
      <w:r>
        <w:rPr>
          <w:b/>
        </w:rPr>
        <w:t xml:space="preserve">Pub date: </w:t>
      </w:r>
      <w:r>
        <w:t>2026-01-07 10:27:59+00:00</w:t>
      </w:r>
      <w:r>
        <w:t xml:space="preserve">    </w:t>
      </w:r>
      <w:r>
        <w:rPr>
          <w:b/>
        </w:rPr>
        <w:t xml:space="preserve">DOI: </w:t>
      </w:r>
      <w:hyperlink r:id="rId1184">
        <w:r>
          <w:rPr>
            <w:color w:val="1155CC"/>
            <w:u w:val="single"/>
          </w:rPr>
          <w:t>10.1002/adma.202520754</w:t>
        </w:r>
      </w:hyperlink>
    </w:p>
    <w:p>
      <w:pPr>
        <w:spacing w:before="0" w:after="120"/>
      </w:pPr>
      <w:r>
        <w:rPr>
          <w:b/>
        </w:rPr>
        <w:t xml:space="preserve">Notes: </w:t>
      </w:r>
      <w:r>
        <w:t>abstract_source=crossref</w:t>
      </w:r>
    </w:p>
    <w:p>
      <w:pPr>
        <w:spacing w:before="0" w:after="80" w:lineRule="auto" w:line="276"/>
      </w:pPr>
      <w:r>
        <w:rPr>
          <w:b/>
        </w:rPr>
        <w:t xml:space="preserve">摘要（ZH）: </w:t>
      </w:r>
      <w:r>
        <w:t>ABSTACT ABSTACT 由无异性镁电镀和脱氧折合阳极完整性导致的登地增长,严重限制了金属镁电池可实现的能量密度。要应对这一挑战,就必须控制核聚点分布的空间统一性、镁离离子通量和界面。在这里,在镁硫化物上设计了一个可伸缩的表层结构,形成一个兼容的纳米表网络,最大限度地减少空间不一致性,以确保统一核聚和镁金属沉积。在定量描述该网络的稳定性以调节镁离子沉积时,引入了封闭指数。</w:t>
      </w:r>
    </w:p>
    <w:p>
      <w:pPr>
        <w:spacing w:before="0" w:after="200" w:lineRule="auto" w:line="276"/>
      </w:pPr>
      <w:r>
        <w:rPr>
          <w:b/>
        </w:rPr>
        <w:t xml:space="preserve">Abstract (EN): </w:t>
      </w:r>
      <w:r>
        <w:t>Dendritic growth resulting from inhomogeneous magnesium plating and stripping compromises anode integrity, critically limiting the achievable energy density of magnesium metal batteries. Addressing this challenge requires controlling the spatial uniformity of nucleation site distribution, magnesium ion flux, and interfaces. Herein, a scalable surface architecture is engineered on magnesium foil, forming a conformal nanosheet network that minimizes spatial inconsistencies to ensure uniform nucleation and deposition of magnesium metal. The confinement index is introduced to quantitatively describe the network's stability to regulate magnesium ion deposition. The optimized magnesium anode exhibited exceptional stability, achieving over 500 h of reversible plating/stripping under harsh conditions. After 5 days of air exposure, the optimized magnesium anode maintains cycling performance with no degradation, highlighting its outstanding resistance to atmospheric oxidation. Paired with a high mass loading of 17.4 mg cm</w:t>
      </w:r>
      <w:r>
        <w:t xml:space="preserve"> </w:t>
      </w:r>
      <w:r>
        <w:t>−2</w:t>
      </w:r>
      <w:r>
        <w:t xml:space="preserve"> </w:t>
      </w:r>
      <w:r>
        <w:t>Mo</w:t>
      </w:r>
      <w:r>
        <w:rPr>
          <w:vertAlign w:val="subscript"/>
        </w:rPr>
        <w:t>6</w:t>
      </w:r>
      <w:r>
        <w:t>S</w:t>
      </w:r>
      <w:r>
        <w:rPr>
          <w:vertAlign w:val="subscript"/>
        </w:rPr>
        <w:t>8</w:t>
      </w:r>
      <w:r>
        <w:t>, full cells demonstrate remarkable cycling stability throughout 3000 cycles. Moreover, large‐sized pouch cells incorporating optimized magnesium anodes demonstrate stable cycling performance over 600 cycles when paired with a high mass loading Mo</w:t>
      </w:r>
      <w:r>
        <w:rPr>
          <w:vertAlign w:val="subscript"/>
        </w:rPr>
        <w:t>6</w:t>
      </w:r>
      <w:r>
        <w:t>S</w:t>
      </w:r>
      <w:r>
        <w:rPr>
          <w:vertAlign w:val="subscript"/>
        </w:rPr>
        <w:t>8</w:t>
      </w:r>
      <w:r>
        <w:t>cathode, while achieving a high energy density of 143.74 Wh kg</w:t>
      </w:r>
      <w:r>
        <w:t xml:space="preserve"> </w:t>
      </w:r>
      <w:r>
        <w:t>−1</w:t>
      </w:r>
      <w:r>
        <w:t xml:space="preserve"> </w:t>
      </w:r>
      <w:r>
        <w:t>in combination with a Cu</w:t>
      </w:r>
      <w:r>
        <w:t xml:space="preserve"> </w:t>
      </w:r>
      <w:r>
        <w:t>2−x</w:t>
      </w:r>
      <w:r>
        <w:t xml:space="preserve"> </w:t>
      </w:r>
      <w:r>
        <w:t>Se cathode. These results substantiate the practical applicability and technological promise of an optimized magnesium anode in advanced battery systems.</w:t>
      </w:r>
    </w:p>
    <w:p>
      <w:pPr>
        <w:spacing w:before="120" w:after="120"/>
      </w:pPr>
      <w:r>
        <w:rPr>
          <w:sz w:val="18"/>
        </w:rPr>
        <w:t>——————————————————————————————————————————————————————————————————————</w:t>
      </w:r>
    </w:p>
    <w:p>
      <w:pPr>
        <w:spacing w:before="160" w:after="40" w:line="240" w:lineRule="auto"/>
      </w:pPr>
      <w:r>
        <w:rPr>
          <w:b/>
        </w:rPr>
        <w:t xml:space="preserve">[695] </w:t>
      </w:r>
      <w:hyperlink r:id="rId1185">
        <w:r>
          <w:rPr>
            <w:color w:val="1155CC"/>
            <w:u w:val="single"/>
          </w:rPr>
          <w:t>将多效酸性可塑性塑料循环循环到阿兰宁</w:t>
        </w:r>
      </w:hyperlink>
    </w:p>
    <w:p>
      <w:pPr>
        <w:spacing w:before="0" w:after="80"/>
      </w:pPr>
      <w:r>
        <w:rPr>
          <w:i/>
          <w:sz w:val="20"/>
        </w:rPr>
        <w:t>EN: Solar‐Biohybrid Upcycling of Polylactic Acid Plastics to Alanine</w:t>
      </w:r>
    </w:p>
    <w:p>
      <w:pPr>
        <w:spacing w:before="0" w:after="120"/>
      </w:pPr>
      <w:r>
        <w:rPr>
          <w:b/>
        </w:rPr>
        <w:t xml:space="preserve">Source: </w:t>
      </w:r>
      <w:r>
        <w:t>Wiley: Angewandte Chemie International Edition: Table of Contents</w:t>
      </w:r>
      <w:r>
        <w:t xml:space="preserve">    </w:t>
      </w:r>
      <w:r>
        <w:rPr>
          <w:b/>
        </w:rPr>
        <w:t xml:space="preserve">Pub date: </w:t>
      </w:r>
      <w:r>
        <w:t>2026-01-07 10:28:18+00:00</w:t>
      </w:r>
      <w:r>
        <w:t xml:space="preserve">    </w:t>
      </w:r>
      <w:r>
        <w:rPr>
          <w:b/>
        </w:rPr>
        <w:t xml:space="preserve">DOI: </w:t>
      </w:r>
      <w:hyperlink r:id="rId1186">
        <w:r>
          <w:rPr>
            <w:color w:val="1155CC"/>
            <w:u w:val="single"/>
          </w:rPr>
          <w:t>10.1002/anie.202523771</w:t>
        </w:r>
      </w:hyperlink>
    </w:p>
    <w:p>
      <w:pPr>
        <w:spacing w:before="0" w:after="120"/>
      </w:pPr>
      <w:r>
        <w:rPr>
          <w:b/>
        </w:rPr>
        <w:t xml:space="preserve">Notes: </w:t>
      </w:r>
      <w:r>
        <w:t>abstract_source=crossref</w:t>
      </w:r>
    </w:p>
    <w:p>
      <w:pPr>
        <w:spacing w:before="0" w:after="80" w:lineRule="auto" w:line="276"/>
      </w:pPr>
      <w:r>
        <w:rPr>
          <w:b/>
        </w:rPr>
        <w:t xml:space="preserve">摘要（ZH）: </w:t>
      </w:r>
      <w:r>
        <w:t>将废塑料抽象地循环利用成氨氨酸等商品化学品,是走向负碳排放并实现循环碳经济的一个大有希望的途径,然而,现有的热催化方法通常需要苛刻的条件。虽然光催催催性中上层循环在温和条件下运作,但光催催化性中循环循环在温和条件下运作,但依赖高温水解步骤进行塑料预处理会损害其总体实用性。我们在此报告,一个将多元酸(PLA)塑料在环境条件下转化成阿lanine的生物-硫催化混合系统。综合系统始于PLA的酶脱聚合化,在55°C和pH 10时,92%的转化,由从中衍生出的一个工程幼虫催化的催化。</w:t>
      </w:r>
    </w:p>
    <w:p>
      <w:pPr>
        <w:spacing w:before="0" w:after="200" w:lineRule="auto" w:line="276"/>
      </w:pPr>
      <w:r>
        <w:rPr>
          <w:b/>
        </w:rPr>
        <w:t xml:space="preserve">Abstract (EN): </w:t>
      </w:r>
      <w:r>
        <w:t>Upcycling of waste plastics into commodity chemicals such as amino acids represents a promising route toward achieving negative carbon emissions and enabling a circular carbon economy. However, existing thermocatalytic methods typically require harsh conditions. While photocatalytic upcycling operates under mild conditions, its dependence on a high‐temperature hydrolysis step for plastic pretreatment undermines its overall practicality. Here we report a bio‐photocatalytic hybrid system that converts polylactic acid (PLA) plastics into alanine under ambient conditions. The integrated system begins with enzymatic depolymerization of PLA to lactic acid (LA) with 92% conversion at 55°C and pH 10, catalyzed by an engineered peptidase derived from the</w:t>
      </w:r>
      <w:r>
        <w:t xml:space="preserve"> </w:t>
      </w:r>
      <w:r>
        <w:t>Micromonospora</w:t>
      </w:r>
      <w:r>
        <w:t xml:space="preserve"> </w:t>
      </w:r>
      <w:r>
        <w:t>sp. strain. Without any purification, the resulting hydrolysate is fed directly to the photosynthesis system, where the LA monomers are converted to alanine over a Ni/ZnIn</w:t>
      </w:r>
      <w:r>
        <w:rPr>
          <w:vertAlign w:val="subscript"/>
        </w:rPr>
        <w:t>2</w:t>
      </w:r>
      <w:r>
        <w:t>S</w:t>
      </w:r>
      <w:r>
        <w:rPr>
          <w:vertAlign w:val="subscript"/>
        </w:rPr>
        <w:t>4</w:t>
      </w:r>
      <w:r>
        <w:t>catalyst using ammonia as a nitrogen source. This photocatalytic process, which proceeds via an oxygen‐centered radical intermediate pathway, achieves an alanine production rate of 61.91 mmol g</w:t>
      </w:r>
      <w:r>
        <w:t xml:space="preserve"> </w:t>
      </w:r>
      <w:r>
        <w:t>−1</w:t>
      </w:r>
      <w:r>
        <w:t xml:space="preserve"> </w:t>
      </w:r>
      <w:r>
        <w:t>h</w:t>
      </w:r>
      <w:r>
        <w:t xml:space="preserve"> </w:t>
      </w:r>
      <w:r>
        <w:t>−1</w:t>
      </w:r>
      <w:r>
        <w:t xml:space="preserve"> </w:t>
      </w:r>
      <w:r>
        <w:t>and an overall yield of 60%. Life cycle assessment demonstrates that our tandem bio‐photoconversion system substantially reduces the carbon footprint compared to single‐step thermocatalytic and photocatalytic systems. This work thus establishes a sustainable route for valued chemicals production from low‐cost feedstocks.</w:t>
      </w:r>
    </w:p>
    <w:p>
      <w:pPr>
        <w:spacing w:before="120" w:after="120"/>
      </w:pPr>
      <w:r>
        <w:rPr>
          <w:sz w:val="18"/>
        </w:rPr>
        <w:t>——————————————————————————————————————————————————————————————————————</w:t>
      </w:r>
    </w:p>
    <w:p>
      <w:pPr>
        <w:spacing w:before="160" w:after="40" w:line="240" w:lineRule="auto"/>
      </w:pPr>
      <w:r>
        <w:rPr>
          <w:b/>
        </w:rPr>
        <w:t xml:space="preserve">[696] </w:t>
      </w:r>
      <w:hyperlink r:id="rId1187">
        <w:r>
          <w:rPr>
            <w:color w:val="1155CC"/>
            <w:u w:val="single"/>
          </w:rPr>
          <w:t>Perovskite Opto电子设备中集成金属卤化物</w:t>
        </w:r>
      </w:hyperlink>
    </w:p>
    <w:p>
      <w:pPr>
        <w:spacing w:before="0" w:after="80"/>
      </w:pPr>
      <w:r>
        <w:rPr>
          <w:i/>
          <w:sz w:val="20"/>
        </w:rPr>
        <w:t>EN: van der Waals Lamination for Integrating Metal Halide in Perovskite Optoelectronic Devices</w:t>
      </w:r>
    </w:p>
    <w:p>
      <w:pPr>
        <w:spacing w:before="0" w:after="120"/>
      </w:pPr>
      <w:r>
        <w:rPr>
          <w:b/>
        </w:rPr>
        <w:t xml:space="preserve">Source: </w:t>
      </w:r>
      <w:r>
        <w:t>Wiley: Advanced Materials: Table of Contents</w:t>
      </w:r>
      <w:r>
        <w:t xml:space="preserve">    </w:t>
      </w:r>
      <w:r>
        <w:rPr>
          <w:b/>
        </w:rPr>
        <w:t xml:space="preserve">Pub date: </w:t>
      </w:r>
      <w:r>
        <w:t>2026-01-07 10:35:59+00:00</w:t>
      </w:r>
      <w:r>
        <w:t xml:space="preserve">    </w:t>
      </w:r>
      <w:r>
        <w:rPr>
          <w:b/>
        </w:rPr>
        <w:t xml:space="preserve">DOI: </w:t>
      </w:r>
      <w:hyperlink r:id="rId1188">
        <w:r>
          <w:rPr>
            <w:color w:val="1155CC"/>
            <w:u w:val="single"/>
          </w:rPr>
          <w:t>10.1002/adma.202517111</w:t>
        </w:r>
      </w:hyperlink>
    </w:p>
    <w:p>
      <w:pPr>
        <w:spacing w:before="0" w:after="120"/>
      </w:pPr>
      <w:r>
        <w:rPr>
          <w:b/>
        </w:rPr>
        <w:t xml:space="preserve">Notes: </w:t>
      </w:r>
      <w:r>
        <w:t>abstract_source=crossref</w:t>
      </w:r>
    </w:p>
    <w:p>
      <w:pPr>
        <w:spacing w:before="0" w:after="80" w:lineRule="auto" w:line="276"/>
      </w:pPr>
      <w:r>
        <w:rPr>
          <w:b/>
        </w:rPr>
        <w:t xml:space="preserve">摘要（ZH）: </w:t>
      </w:r>
      <w:r>
        <w:t>ABSTACT金属卤化全氟辛基磺酰胺(MHPs)由于其特殊的光电子特性,如高吸收系数、金枪鱼可乐带宽和低成本溶液处理能力等,已成为有希望用于光电子应用的材料,但是,由于热稳定性和溶剂敏感度有限,因此与常规加工技术不兼容,将MHP与用于光电子设备制造的其他功能组成部分结合起来仍然具有挑战性。为了应对这些挑战,van der Waals(VdW)的脱层作为替代的“无损害”整合方法出现。</w:t>
      </w:r>
    </w:p>
    <w:p>
      <w:pPr>
        <w:spacing w:before="0" w:after="200" w:lineRule="auto" w:line="276"/>
      </w:pPr>
      <w:r>
        <w:rPr>
          <w:b/>
        </w:rPr>
        <w:t xml:space="preserve">Abstract (EN): </w:t>
      </w:r>
      <w:r>
        <w:t>Metal halide perovskites (MHPs) have emerged as promising materials for optoelectronic applications owing to their exceptional optoelectronic properties such as high absorption coefficients, tunable bandgaps, and low‐cost solution processability. However, integrating MHPs with other functional components for optoelectronic device fabrication remains challenging because of limited thermal stability and solvent sensitivity, resulting in their incompatibility with conventional processing techniques. To address these challenges, van der Waals (vdW) lamination has emerged as an alternative “damage‐free” integration approach. This review compares vdW lamination with conventional integration methods, highlighting the fundamental principles and distinct advantages of the vdW lamination approach. In MHP‐based optoelectronics, vdW lamination strategies are categorized according to component dimensionality: one‐dimensional/three‐dimensional (1D/3D) lamination using nanowires or carbon nanotubes; two‐dimensional/three‐dimensional (2D/3D) lamination using 2D semiconductors such as graphene and transition metal dichalcogenides (TMDCs); and three‐dimensional/three‐dimensional (3D/3D) lamination involving metals, semiconductors, and insulators. High‐performance and stable perovskite‐based devices can be achieved by carefully selecting the materials and optimizing the van der Waals lamination conditions. Finally, we summarize the recent advances in vdW lamination‐based integration for perovskite optoelectronics. Critical issues that hinder further development and practical implementation of vdW lamination in MHPs are identified, and potential strategies are discussed to stimulate future research within the field.</w:t>
      </w:r>
    </w:p>
    <w:p>
      <w:pPr>
        <w:spacing w:before="120" w:after="120"/>
      </w:pPr>
      <w:r>
        <w:rPr>
          <w:sz w:val="18"/>
        </w:rPr>
        <w:t>——————————————————————————————————————————————————————————————————————</w:t>
      </w:r>
    </w:p>
    <w:p>
      <w:pPr>
        <w:spacing w:before="160" w:after="40" w:line="240" w:lineRule="auto"/>
      </w:pPr>
      <w:r>
        <w:rPr>
          <w:b/>
        </w:rPr>
        <w:t xml:space="preserve">[697] </w:t>
      </w:r>
      <w:hyperlink r:id="rId1189">
        <w:r>
          <w:rPr>
            <w:color w:val="1155CC"/>
            <w:u w:val="single"/>
          </w:rPr>
          <w:t>[ASAP] 氧氧进化反应和小有机分子氧化电的电催化器中的电动反应和小有机分子氧化</w:t>
        </w:r>
      </w:hyperlink>
    </w:p>
    <w:p>
      <w:pPr>
        <w:spacing w:before="0" w:after="80"/>
      </w:pPr>
      <w:r>
        <w:rPr>
          <w:i/>
          <w:sz w:val="20"/>
        </w:rPr>
        <w:t>EN: [ASAP] Anion Effect in Electrocatalysts for Oxygen Evolution Reaction and Small Organic Molecule Oxidation</w:t>
      </w:r>
    </w:p>
    <w:p>
      <w:pPr>
        <w:spacing w:before="0" w:after="120"/>
      </w:pPr>
      <w:r>
        <w:rPr>
          <w:b/>
        </w:rPr>
        <w:t xml:space="preserve">Source: </w:t>
      </w:r>
      <w:r>
        <w:t>ACS Energy Letters: Latest Articles (ACS Publications)</w:t>
      </w:r>
      <w:r>
        <w:t xml:space="preserve">    </w:t>
      </w:r>
      <w:r>
        <w:rPr>
          <w:b/>
        </w:rPr>
        <w:t xml:space="preserve">Pub date: </w:t>
      </w:r>
      <w:r>
        <w:t>2026-01-07 10:40:21+00:00</w:t>
      </w:r>
      <w:r>
        <w:t xml:space="preserve">    </w:t>
      </w:r>
      <w:r>
        <w:rPr>
          <w:b/>
        </w:rPr>
        <w:t xml:space="preserve">DOI: </w:t>
      </w:r>
      <w:hyperlink r:id="rId1190">
        <w:r>
          <w:rPr>
            <w:color w:val="1155CC"/>
            <w:u w:val="single"/>
          </w:rPr>
          <w:t>10.1021/acsenergylett.5c04078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[698] </w:t>
      </w:r>
      <w:hyperlink r:id="rId1191">
        <w:r>
          <w:rPr>
            <w:color w:val="1155CC"/>
            <w:u w:val="single"/>
          </w:rPr>
          <w:t>与不饱和的NiO(OH)协调的混合氢生产(Adv. Energy Matter. 1/2026)</w:t>
        </w:r>
      </w:hyperlink>
    </w:p>
    <w:p>
      <w:pPr>
        <w:spacing w:before="0" w:after="80"/>
      </w:pPr>
      <w:r>
        <w:rPr>
          <w:i/>
          <w:sz w:val="20"/>
        </w:rPr>
        <w:t>EN: Highly Active Electrocatalytic Alcohol Oxidation Coupled Hydrogen Production with Unsaturated Ni‐O(OH) Coordination (Adv. Energy Mater. 1/2026)</w:t>
      </w:r>
    </w:p>
    <w:p>
      <w:pPr>
        <w:spacing w:before="0" w:after="120"/>
      </w:pPr>
      <w:r>
        <w:rPr>
          <w:b/>
        </w:rPr>
        <w:t xml:space="preserve">Source: </w:t>
      </w:r>
      <w:r>
        <w:t>Wiley: Advanced Energy Materials: Table of Contents</w:t>
      </w:r>
      <w:r>
        <w:t xml:space="preserve">    </w:t>
      </w:r>
      <w:r>
        <w:rPr>
          <w:b/>
        </w:rPr>
        <w:t xml:space="preserve">Pub date: </w:t>
      </w:r>
      <w:r>
        <w:t>2026-01-07 10:43:40+00:00</w:t>
      </w:r>
      <w:r>
        <w:t xml:space="preserve">    </w:t>
      </w:r>
      <w:r>
        <w:rPr>
          <w:b/>
        </w:rPr>
        <w:t xml:space="preserve">DOI: </w:t>
      </w:r>
      <w:hyperlink r:id="rId1192">
        <w:r>
          <w:rPr>
            <w:color w:val="1155CC"/>
            <w:u w:val="single"/>
          </w:rPr>
          <w:t>10.1002/aenm.70448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[699] </w:t>
      </w:r>
      <w:hyperlink r:id="rId1193">
        <w:r>
          <w:rPr>
            <w:color w:val="1155CC"/>
            <w:u w:val="single"/>
          </w:rPr>
          <w:t>MOF: 与智能PC屏幕时间管理自创超级电容器集成的DC TRibolvoltac 纳米生化器(Adv. Energy Matter. 1/2026)</w:t>
        </w:r>
      </w:hyperlink>
    </w:p>
    <w:p>
      <w:pPr>
        <w:spacing w:before="0" w:after="80"/>
      </w:pPr>
      <w:r>
        <w:rPr>
          <w:i/>
          <w:sz w:val="20"/>
        </w:rPr>
        <w:t>EN: MOF‐Decorated DC‐Tribovoltaic Nanogenerator Integrated with Self‐Charging Supercapacitor for Smart PC Screen Time Management (Adv. Energy Mater. 1/2026)</w:t>
      </w:r>
    </w:p>
    <w:p>
      <w:pPr>
        <w:spacing w:before="0" w:after="120"/>
      </w:pPr>
      <w:r>
        <w:rPr>
          <w:b/>
        </w:rPr>
        <w:t xml:space="preserve">Source: </w:t>
      </w:r>
      <w:r>
        <w:t>Wiley: Advanced Energy Materials: Table of Contents</w:t>
      </w:r>
      <w:r>
        <w:t xml:space="preserve">    </w:t>
      </w:r>
      <w:r>
        <w:rPr>
          <w:b/>
        </w:rPr>
        <w:t xml:space="preserve">Pub date: </w:t>
      </w:r>
      <w:r>
        <w:t>2026-01-07 10:43:40+00:00</w:t>
      </w:r>
      <w:r>
        <w:t xml:space="preserve">    </w:t>
      </w:r>
      <w:r>
        <w:rPr>
          <w:b/>
        </w:rPr>
        <w:t xml:space="preserve">DOI: </w:t>
      </w:r>
      <w:hyperlink r:id="rId1194">
        <w:r>
          <w:rPr>
            <w:color w:val="1155CC"/>
            <w:u w:val="single"/>
          </w:rPr>
          <w:t>10.1002/aenm.70449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[700] </w:t>
      </w:r>
      <w:hyperlink r:id="rId1195">
        <w:r>
          <w:rPr>
            <w:color w:val="1155CC"/>
            <w:u w:val="single"/>
          </w:rPr>
          <w:t>[ASAP] 微粒水晶适应性感动感动感动感动感动感动感动感动感动感动感动感动感动感动感动感动感动感动</w:t>
        </w:r>
      </w:hyperlink>
    </w:p>
    <w:p>
      <w:pPr>
        <w:spacing w:before="0" w:after="80"/>
      </w:pPr>
      <w:r>
        <w:rPr>
          <w:i/>
          <w:sz w:val="20"/>
        </w:rPr>
        <w:t>EN: [ASAP] Click-Enabled Grafting for Adaptive Chiral Recognition in Porous Crystals</w:t>
      </w:r>
    </w:p>
    <w:p>
      <w:pPr>
        <w:spacing w:before="0" w:after="120"/>
      </w:pPr>
      <w:r>
        <w:rPr>
          <w:b/>
        </w:rPr>
        <w:t xml:space="preserve">Source: </w:t>
      </w:r>
      <w:r>
        <w:t>Journal of the American Chemical Society: Latest Articles (ACS Publications)</w:t>
      </w:r>
      <w:r>
        <w:t xml:space="preserve">    </w:t>
      </w:r>
      <w:r>
        <w:rPr>
          <w:b/>
        </w:rPr>
        <w:t xml:space="preserve">Pub date: </w:t>
      </w:r>
      <w:r>
        <w:t>2026-01-07 11:11:18+00:00</w:t>
      </w:r>
      <w:r>
        <w:t xml:space="preserve">    </w:t>
      </w:r>
      <w:r>
        <w:rPr>
          <w:b/>
        </w:rPr>
        <w:t xml:space="preserve">DOI: </w:t>
      </w:r>
      <w:hyperlink r:id="rId1196">
        <w:r>
          <w:rPr>
            <w:color w:val="1155CC"/>
            <w:u w:val="single"/>
          </w:rPr>
          <w:t>10.1021/jacs.5c17377</w:t>
        </w:r>
      </w:hyperlink>
    </w:p>
    <w:p>
      <w:pPr>
        <w:spacing w:before="0" w:after="120"/>
      </w:pPr>
      <w:r>
        <w:rPr>
          <w:b/>
        </w:rPr>
        <w:t xml:space="preserve">Notes: </w:t>
      </w:r>
      <w:r>
        <w:t>abstract_source=pubmed</w:t>
      </w:r>
    </w:p>
    <w:p>
      <w:pPr>
        <w:spacing w:before="0" w:after="80" w:lineRule="auto" w:line="276"/>
      </w:pPr>
      <w:r>
        <w:rPr>
          <w:b/>
        </w:rPr>
        <w:t xml:space="preserve">摘要（ZH）: </w:t>
      </w:r>
      <w:r>
        <w:t>纵向框架是手性环境的有希望的候选环境,但大多数依赖静态立体单位,在对应选择性承认中忽略了适应性的宿主-访客互动。我们报告了一个模块式后合成点击战略,在UiO-68框架内安装氨酸衍生物微粒,而不会损害晶体特性。只有硬体-功能化材料显示对丙基苯的对应选择性程度很高。模拟显示适应性互动口袋,强调在手感分子识别方面当地孔状重组的重要性。</w:t>
      </w:r>
    </w:p>
    <w:p>
      <w:pPr>
        <w:spacing w:before="0" w:after="200" w:lineRule="auto" w:line="276"/>
      </w:pPr>
      <w:r>
        <w:rPr>
          <w:b/>
        </w:rPr>
        <w:t xml:space="preserve">Abstract (EN): </w:t>
      </w:r>
      <w:r>
        <w:t>Reticular frameworks are promising candidates for chiral environments, yet most rely on static stereogenic units, overlooking adaptive host-guest interactions in enantioselective recognition. We report a modular postsynthetic click strategy to install amino acid-derived peptidic moieties into UiO-68 frameworks without compromising crystallinity. Only the histidine-functionalized material exhibits high enantioselectivity for cetirizine. Simulations reveal adaptive interaction pockets, emphasizing the importance of local pore reorganization in chiral molecular recognition.</w:t>
      </w:r>
    </w:p>
    <w:p>
      <w:pPr>
        <w:spacing w:before="120" w:after="120"/>
      </w:pPr>
      <w:r>
        <w:rPr>
          <w:sz w:val="18"/>
        </w:rPr>
        <w:t>——————————————————————————————————————————————————————————————————————</w:t>
      </w:r>
    </w:p>
    <w:p>
      <w:pPr>
        <w:spacing w:before="160" w:after="40" w:line="240" w:lineRule="auto"/>
      </w:pPr>
      <w:r>
        <w:rPr>
          <w:b/>
        </w:rPr>
        <w:t xml:space="preserve">[701] </w:t>
      </w:r>
      <w:hyperlink r:id="rId1197">
        <w:r>
          <w:rPr>
            <w:color w:val="1155CC"/>
            <w:u w:val="single"/>
          </w:rPr>
          <w:t>[ASAP] 超不稳定铜超环</w:t>
        </w:r>
      </w:hyperlink>
    </w:p>
    <w:p>
      <w:pPr>
        <w:spacing w:before="0" w:after="80"/>
      </w:pPr>
      <w:r>
        <w:rPr>
          <w:i/>
          <w:sz w:val="20"/>
        </w:rPr>
        <w:t>EN: [ASAP] Ultrastable Copper Superatom</w:t>
      </w:r>
    </w:p>
    <w:p>
      <w:pPr>
        <w:spacing w:before="0" w:after="120"/>
      </w:pPr>
      <w:r>
        <w:rPr>
          <w:b/>
        </w:rPr>
        <w:t xml:space="preserve">Source: </w:t>
      </w:r>
      <w:r>
        <w:t>Journal of the American Chemical Society: Latest Articles (ACS Publications)</w:t>
      </w:r>
      <w:r>
        <w:t xml:space="preserve">    </w:t>
      </w:r>
      <w:r>
        <w:rPr>
          <w:b/>
        </w:rPr>
        <w:t xml:space="preserve">Pub date: </w:t>
      </w:r>
      <w:r>
        <w:t>2026-01-07 11:12:02+00:00</w:t>
      </w:r>
      <w:r>
        <w:t xml:space="preserve">    </w:t>
      </w:r>
      <w:r>
        <w:rPr>
          <w:b/>
        </w:rPr>
        <w:t xml:space="preserve">DOI: </w:t>
      </w:r>
      <w:hyperlink r:id="rId1198">
        <w:r>
          <w:rPr>
            <w:color w:val="1155CC"/>
            <w:u w:val="single"/>
          </w:rPr>
          <w:t>10.1021/jacs.5c17976</w:t>
        </w:r>
      </w:hyperlink>
    </w:p>
    <w:p>
      <w:pPr>
        <w:spacing w:before="0" w:after="120"/>
      </w:pPr>
      <w:r>
        <w:rPr>
          <w:b/>
        </w:rPr>
        <w:t xml:space="preserve">Notes: </w:t>
      </w:r>
      <w:r>
        <w:t>abstract_source=pubmed</w:t>
      </w:r>
    </w:p>
    <w:p>
      <w:pPr>
        <w:spacing w:before="0" w:after="80" w:lineRule="auto" w:line="276"/>
      </w:pPr>
      <w:r>
        <w:rPr>
          <w:b/>
        </w:rPr>
        <w:t xml:space="preserve">摘要（ZH）: </w:t>
      </w:r>
      <w:r>
        <w:t>在催解、光化学和能源转换等各种应用中,硬质金属硬质金属纳米集束非常吸引各种应用,包括催解、光化学和能源转换。虽然Cu纳米集束成本低,但其发展落后于Au和Ag对等企业的发展落后于Cu(I)/Cu(0)减少潜力低造成的内在不稳定,因此,含有稳定的Cu(0)纳米集集集成合成含有稳定的Cu(0)含纳米集成物的Cu(DFT)仍是一项艰巨的挑战。在此,我们报告第一批6-电子超电子超离子铜纳集,[Cu45H6(CCR)18(OAc)15](Cu45),该组群具有显著的稳定性,耐热、氧化、再处理、酸和基本处理的抗药性。单晶X射线反射分析以及基于时间的DFT计算表明CU45的突出稳定性可归因于Cu45。</w:t>
      </w:r>
    </w:p>
    <w:p>
      <w:pPr>
        <w:spacing w:before="0" w:after="200" w:lineRule="auto" w:line="276"/>
      </w:pPr>
      <w:r>
        <w:rPr>
          <w:b/>
        </w:rPr>
        <w:t xml:space="preserve">Abstract (EN): </w:t>
      </w:r>
      <w:r>
        <w:t>Atomically coinage metal nanoclusters are highly attractive for various applications including catalysis, photochemistry, and energy conversion. While Cu nanoclusters are low cost, their development has lagged behind that of Au and Ag counterparts due to their inherent instability primarily caused by the low Cu(I)/Cu(0) reduction potential. Therefore, the synthesis of stable Cu(0)-containing nanoclusters remains a formidable challenge. Herein, we report the first 6-electron superatomic copper nanocluster, [Cu45H6(C≡CR)18(OAc)15] (Cu45). This cluster has remarkable stability, being resistant to thermal, oxidative, reductive, acidic, and basic treatments. Single-crystal X-ray diffraction analysis and time-dependent DFT calculations reveal that the outstanding stability of Cu45 is attributed to its superatomic electronic configuration (1S21P4) and strong copper-ligand interactions. Furthermore, Cu45 is the first well-defined Cu superatom electrocatalyst used for CO2-to-C2H4 electrocatalysis, which exhibits outstanding performance with a maximum Faradaic efficiency for C2+ products of 81.8% (58% for ethene), surpassing all known copper cluster catalysts. In situ ATR-SEIRAS and theoretical calculations reveal that Cu45 effectively activates CO2 and promotes C-C coupling, thereby facilitating the formation of C2+ products. This work provides new insights into the design of robust Cu nanoclusters for electrocatalytic applications, enabling their broader application in future research and technology development.</w:t>
      </w:r>
    </w:p>
    <w:p>
      <w:pPr>
        <w:spacing w:before="120" w:after="120"/>
      </w:pPr>
      <w:r>
        <w:rPr>
          <w:sz w:val="18"/>
        </w:rPr>
        <w:t>——————————————————————————————————————————————————————————————————————</w:t>
      </w:r>
    </w:p>
    <w:p>
      <w:pPr>
        <w:spacing w:before="160" w:after="40" w:line="240" w:lineRule="auto"/>
      </w:pPr>
      <w:r>
        <w:rPr>
          <w:b/>
        </w:rPr>
        <w:t xml:space="preserve">[702] </w:t>
      </w:r>
      <w:hyperlink r:id="rId1199">
        <w:r>
          <w:rPr>
            <w:color w:val="1155CC"/>
            <w:u w:val="single"/>
          </w:rPr>
          <w:t>SS13 使用孤立的CO2+ 站点作为高效和耐久的无氧化性乙烷脱氢催化系统</w:t>
        </w:r>
      </w:hyperlink>
    </w:p>
    <w:p>
      <w:pPr>
        <w:spacing w:before="0" w:after="80"/>
      </w:pPr>
      <w:r>
        <w:rPr>
          <w:i/>
          <w:sz w:val="20"/>
        </w:rPr>
        <w:t>EN: SSZ‐13 Zeolite with Isolated Co2+ Sites as an Efficient and Durable Catalyst System for Non‐Oxidative Ethane Dehydrogenation</w:t>
      </w:r>
    </w:p>
    <w:p>
      <w:pPr>
        <w:spacing w:before="0" w:after="120"/>
      </w:pPr>
      <w:r>
        <w:rPr>
          <w:b/>
        </w:rPr>
        <w:t xml:space="preserve">Source: </w:t>
      </w:r>
      <w:r>
        <w:t>Wiley: Angewandte Chemie International Edition: Table of Contents</w:t>
      </w:r>
      <w:r>
        <w:t xml:space="preserve">    </w:t>
      </w:r>
      <w:r>
        <w:rPr>
          <w:b/>
        </w:rPr>
        <w:t xml:space="preserve">Pub date: </w:t>
      </w:r>
      <w:r>
        <w:t>2026-01-07 11:45:33+00:00</w:t>
      </w:r>
      <w:r>
        <w:t xml:space="preserve">    </w:t>
      </w:r>
      <w:r>
        <w:rPr>
          <w:b/>
        </w:rPr>
        <w:t xml:space="preserve">DOI: </w:t>
      </w:r>
      <w:hyperlink r:id="rId1200">
        <w:r>
          <w:rPr>
            <w:color w:val="1155CC"/>
            <w:u w:val="single"/>
          </w:rPr>
          <w:t>10.1002/anie.202519600</w:t>
        </w:r>
      </w:hyperlink>
    </w:p>
    <w:p>
      <w:pPr>
        <w:spacing w:before="0" w:after="120"/>
      </w:pPr>
      <w:r>
        <w:rPr>
          <w:b/>
        </w:rPr>
        <w:t xml:space="preserve">Notes: </w:t>
      </w:r>
      <w:r>
        <w:t>abstract_source=crossref</w:t>
      </w:r>
    </w:p>
    <w:p>
      <w:pPr>
        <w:spacing w:before="0" w:after="80" w:lineRule="auto" w:line="276"/>
      </w:pPr>
      <w:r>
        <w:rPr>
          <w:b/>
        </w:rPr>
        <w:t xml:space="preserve">摘要（ZH）: </w:t>
      </w:r>
      <w:r>
        <w:t>乙烷的非氧化性脱氢(EDH)摘要是用于生产六氯乙烯的一种有吸引力的方法,但实现高活度,特别是使用以土金属为基础的催化剂的耐久性仍具有挑战性。在此,我们引入了Co/SS13系统,其纯二价钴(Co 2+)离子(Co 2+)符合上述要求。使用补充性定性技术,使我们能够揭示两个Co 2+ 物种:Co 2+ +  2位于六环窗口中,[Co(OH)] +  位于八环窗口中,wi。</w:t>
      </w:r>
    </w:p>
    <w:p>
      <w:pPr>
        <w:spacing w:before="0" w:after="200" w:lineRule="auto" w:line="276"/>
      </w:pPr>
      <w:r>
        <w:rPr>
          <w:b/>
        </w:rPr>
        <w:t xml:space="preserve">Abstract (EN): </w:t>
      </w:r>
      <w:r>
        <w:t>Non‐oxidative dehydrogenation of ethane (EDH) is an attractive method for on‐purpose ethene production, but achieving high activity and, especially, durability with catalysts based on earth‐abundant metals remains challenging. Herein, we introduce the Co/SSZ‐13 system with exclusively divalent cobalt (Co</w:t>
      </w:r>
      <w:r>
        <w:t xml:space="preserve"> </w:t>
      </w:r>
      <w:r>
        <w:t>2+</w:t>
      </w:r>
      <w:r>
        <w:t xml:space="preserve"> </w:t>
      </w:r>
      <w:r>
        <w:t>) ions that meets the above requirements. The use of complementary characterization techniques enabled us to reveal two Co</w:t>
      </w:r>
      <w:r>
        <w:t xml:space="preserve"> </w:t>
      </w:r>
      <w:r>
        <w:t>2+</w:t>
      </w:r>
      <w:r>
        <w:t xml:space="preserve"> </w:t>
      </w:r>
      <w:r>
        <w:t>species: Co</w:t>
      </w:r>
      <w:r>
        <w:t xml:space="preserve"> </w:t>
      </w:r>
      <w:r>
        <w:t>2+</w:t>
      </w:r>
      <w:r>
        <w:t xml:space="preserve"> </w:t>
      </w:r>
      <w:r>
        <w:t>─Z</w:t>
      </w:r>
      <w:r>
        <w:rPr>
          <w:vertAlign w:val="subscript"/>
        </w:rPr>
        <w:t>2</w:t>
      </w:r>
      <w:r>
        <w:t>located in the six‐membered‐ring windows and [Co(OH)]</w:t>
      </w:r>
      <w:r>
        <w:t xml:space="preserve"> </w:t>
      </w:r>
      <w:r>
        <w:t>+</w:t>
      </w:r>
      <w:r>
        <w:t xml:space="preserve"> </w:t>
      </w:r>
      <w:r>
        <w:t>─Z in the eight‐membered‐ring windows, with Z representing a charged zeolite framework site. A quantitative correlation between the rate of ethene formation and the site population establishes Co</w:t>
      </w:r>
      <w:r>
        <w:t xml:space="preserve"> </w:t>
      </w:r>
      <w:r>
        <w:t>2+</w:t>
      </w:r>
      <w:r>
        <w:t xml:space="preserve"> </w:t>
      </w:r>
      <w:r>
        <w:t>─Z</w:t>
      </w:r>
      <w:r>
        <w:rPr>
          <w:vertAlign w:val="subscript"/>
        </w:rPr>
        <w:t>2</w:t>
      </w:r>
      <w:r>
        <w:t>as the active species. In situ X‐ray absorption spectroscopy confirms their structural and electronic stability under high‐temperature reaction conditions. The optimized 0.9Co/SSZ‐13 (0.9Co) catalyst showed highly durable operation over 200 dehydrogenation/oxidative regeneration cycles at 600–650°C lasting for 150 h with industrially relevant productivity. In this regard, it outperforms almost all previously developed catalysts even those with platinum as an active component. The obtained results uncover the atomic‐level origins of EDH activity/durability of the Co/SSZ‐13 system and highlight the critical role of metal site location in designing highly active, selective, and durable catalysts for on‐purpose ethene production.</w:t>
      </w:r>
    </w:p>
    <w:p>
      <w:pPr>
        <w:spacing w:before="120" w:after="120"/>
      </w:pPr>
      <w:r>
        <w:rPr>
          <w:sz w:val="18"/>
        </w:rPr>
        <w:t>——————————————————————————————————————————————————————————————————————</w:t>
      </w:r>
    </w:p>
    <w:p>
      <w:pPr>
        <w:spacing w:before="160" w:after="40" w:line="240" w:lineRule="auto"/>
      </w:pPr>
      <w:r>
        <w:rPr>
          <w:b/>
        </w:rPr>
        <w:t xml:space="preserve">[703] </w:t>
      </w:r>
      <w:hyperlink r:id="rId1201">
        <w:r>
          <w:rPr>
            <w:color w:val="1155CC"/>
            <w:u w:val="single"/>
          </w:rPr>
          <w:t>二氢苯并苯乙烯基共价有机框架的能源水平工程,通过扩大核心面积实现坦迪姆光催化聚合化</w:t>
        </w:r>
      </w:hyperlink>
    </w:p>
    <w:p>
      <w:pPr>
        <w:spacing w:before="0" w:after="80"/>
      </w:pPr>
      <w:r>
        <w:rPr>
          <w:i/>
          <w:sz w:val="20"/>
        </w:rPr>
        <w:t>EN: Energy Level Engineering of Dihydrophenazine‐Based Covalent Organic Frameworks Through π‐Expansion of Cores Toward Tandem Photocatalytic Polymerization</w:t>
      </w:r>
    </w:p>
    <w:p>
      <w:pPr>
        <w:spacing w:before="0" w:after="120"/>
      </w:pPr>
      <w:r>
        <w:rPr>
          <w:b/>
        </w:rPr>
        <w:t xml:space="preserve">Source: </w:t>
      </w:r>
      <w:r>
        <w:t>Wiley: Angewandte Chemie International Edition: Table of Contents</w:t>
      </w:r>
      <w:r>
        <w:t xml:space="preserve">    </w:t>
      </w:r>
      <w:r>
        <w:rPr>
          <w:b/>
        </w:rPr>
        <w:t xml:space="preserve">Pub date: </w:t>
      </w:r>
      <w:r>
        <w:t>2026-01-07 11:45:40+00:00</w:t>
      </w:r>
      <w:r>
        <w:t xml:space="preserve">    </w:t>
      </w:r>
      <w:r>
        <w:rPr>
          <w:b/>
        </w:rPr>
        <w:t xml:space="preserve">DOI: </w:t>
      </w:r>
      <w:hyperlink r:id="rId1202">
        <w:r>
          <w:rPr>
            <w:color w:val="1155CC"/>
            <w:u w:val="single"/>
          </w:rPr>
          <w:t>10.1002/anie.202523520</w:t>
        </w:r>
      </w:hyperlink>
    </w:p>
    <w:p>
      <w:pPr>
        <w:spacing w:before="0" w:after="120"/>
      </w:pPr>
      <w:r>
        <w:rPr>
          <w:b/>
        </w:rPr>
        <w:t xml:space="preserve">Notes: </w:t>
      </w:r>
      <w:r>
        <w:t>abstract_source=crossref</w:t>
      </w:r>
    </w:p>
    <w:p>
      <w:pPr>
        <w:spacing w:before="0" w:after="80" w:lineRule="auto" w:line="276"/>
      </w:pPr>
      <w:r>
        <w:rPr>
          <w:b/>
        </w:rPr>
        <w:t xml:space="preserve">摘要（ZH）: </w:t>
      </w:r>
      <w:r>
        <w:t>在这项工作中,我们设计和合成一系列三维(3D)碳氟化碳,并配以不同的扩展二氢苯乙烯核心,以取得较高的光化性能。这些三维碳化碳显示出极好的晶度、高表面积和显著的化学稳定性。更重要的是,它们可以发挥高效和可回收的催化剂的作用,利用聚苯乙烯和氟烷烃碘化氢化物作为亚酸盐,产生含氟丙烯酸聚苯乙烯的聚苯乙烯聚合物,产生分解性极窄的氟烷基聚苯乙烯聚合物。</w:t>
      </w:r>
    </w:p>
    <w:p>
      <w:pPr>
        <w:spacing w:before="0" w:after="200" w:lineRule="auto" w:line="276"/>
      </w:pPr>
      <w:r>
        <w:rPr>
          <w:b/>
        </w:rPr>
        <w:t xml:space="preserve">Abstract (EN): </w:t>
      </w:r>
      <w:r>
        <w:t>Covalent organic frameworks (COFs) incorporating photoredox‐active motifs show great promise as heterogeneous catalysts, yet their applications have been largely confined to one‐step transformations. In this work, we design and synthesize a series of three‐dimensional (3D) COFs with different π‐extended dihydrophenazine cores to achieve superior photocatalytic performance. These 3D COFs exhibit excellent crystallinity, high surface areas, and remarkable chemical stability. More importantly, they can work as highly efficient and recyclable catalysts for photocatalytic tandem polymerization reactions using styrene and fluoroalkyl anhydrides as substrates, yielding fluoroalkylated polystyrene polymers with narrow dispersity. These COFs constitute the first examples as tandem photocatalysts toward polymerization reactions. Moreover, optimal energy level alignment and enhanced photophysical properties are identified as key factors contributing to their high efficacy. This work not only provides a viable design strategy for multifunctional COF catalysts, but also expands their utility in complex synthetic sequences involving tandem catalytic processes.</w:t>
      </w:r>
    </w:p>
    <w:p>
      <w:pPr>
        <w:spacing w:before="120" w:after="120"/>
      </w:pPr>
      <w:r>
        <w:rPr>
          <w:sz w:val="18"/>
        </w:rPr>
        <w:t>——————————————————————————————————————————————————————————————————————</w:t>
      </w:r>
    </w:p>
    <w:p>
      <w:pPr>
        <w:spacing w:before="160" w:after="40" w:line="240" w:lineRule="auto"/>
      </w:pPr>
      <w:r>
        <w:rPr>
          <w:b/>
        </w:rPr>
        <w:t xml:space="preserve">[704] </w:t>
      </w:r>
      <w:hyperlink r:id="rId1203">
        <w:r>
          <w:rPr>
            <w:color w:val="1155CC"/>
            <w:u w:val="single"/>
          </w:rPr>
          <w:t>[ASAP] 利用含有三氧化沙林共聚光氨氨基甲氨基甲氨基甲胺的新光光反应聚聚性微地核核分裂物质,探测具有5-五倍重要光学重要性的五-形式细胞改变[ASAP]</w:t>
        </w:r>
      </w:hyperlink>
    </w:p>
    <w:p>
      <w:pPr>
        <w:spacing w:before="0" w:after="80"/>
      </w:pPr>
      <w:r>
        <w:rPr>
          <w:i/>
          <w:sz w:val="20"/>
        </w:rPr>
        <w:t>EN: [ASAP] Detection of Epigenetically Important 5-Formylcytosine Modifications Using Novel Photoreactive Oligonucleotides Containing a Trioxsalen-Conjugated Guanosine</w:t>
      </w:r>
    </w:p>
    <w:p>
      <w:pPr>
        <w:spacing w:before="0" w:after="120"/>
      </w:pPr>
      <w:r>
        <w:rPr>
          <w:b/>
        </w:rPr>
        <w:t xml:space="preserve">Source: </w:t>
      </w:r>
      <w:r>
        <w:t>Journal of the American Chemical Society: Latest Articles (ACS Publications)</w:t>
      </w:r>
      <w:r>
        <w:t xml:space="preserve">    </w:t>
      </w:r>
      <w:r>
        <w:rPr>
          <w:b/>
        </w:rPr>
        <w:t xml:space="preserve">Pub date: </w:t>
      </w:r>
      <w:r>
        <w:t>2026-01-07 11:48:40+00:00</w:t>
      </w:r>
      <w:r>
        <w:t xml:space="preserve">    </w:t>
      </w:r>
      <w:r>
        <w:rPr>
          <w:b/>
        </w:rPr>
        <w:t xml:space="preserve">DOI: </w:t>
      </w:r>
      <w:hyperlink r:id="rId1204">
        <w:r>
          <w:rPr>
            <w:color w:val="1155CC"/>
            <w:u w:val="single"/>
          </w:rPr>
          <w:t>10.1021/jacs.5c11463</w:t>
        </w:r>
      </w:hyperlink>
    </w:p>
    <w:p>
      <w:pPr>
        <w:spacing w:before="0" w:after="120"/>
      </w:pPr>
      <w:r>
        <w:rPr>
          <w:b/>
        </w:rPr>
        <w:t xml:space="preserve">Notes: </w:t>
      </w:r>
      <w:r>
        <w:t>abstract_source=pubmed</w:t>
      </w:r>
    </w:p>
    <w:p>
      <w:pPr>
        <w:spacing w:before="0" w:after="80" w:lineRule="auto" w:line="276"/>
      </w:pPr>
      <w:r>
        <w:rPr>
          <w:b/>
        </w:rPr>
        <w:t xml:space="preserve">摘要（ZH）: </w:t>
      </w:r>
      <w:r>
        <w:t>控制特定基因表达方式的外生基因变异控制严格地调节了转基因,其中一种变异是5-甲基细胞素(5mC),这种变异是通过DNA甲基转移酶和基因促销者转录消音器的功能而形成,由细胞甲基甲基甲基化成的5-甲基细胞素(5mC),并发挥基因促销者转录消化器的作用。由10-Even转移酶(TET)对随后的变异进行动态调节,催化5mC的连续氧化,以产生5-羟基甲基细胞素、5-乙基苯基苯乙烯(5fC)和5-corboxycycytosine。最近,这些氧化的细胞素衍生物在脱甲基化过程中被指为不仅仅是中间体;然而,每一种衍生物在生物方面起着独特的相关作用。一种用于检测这些细胞素改变的可相互连接的显像性寡核素探针可以支持SPASPA。</w:t>
      </w:r>
    </w:p>
    <w:p>
      <w:pPr>
        <w:spacing w:before="0" w:after="200" w:lineRule="auto" w:line="276"/>
      </w:pPr>
      <w:r>
        <w:rPr>
          <w:b/>
        </w:rPr>
        <w:t xml:space="preserve">Abstract (EN): </w:t>
      </w:r>
      <w:r>
        <w:t>Transcription is tightly regulated by epigenetic modifications that control the expression of specific genes. One such modification is 5-methylcytosine (5mC) that is formed by cytosine methylation via DNA methyltransferases and functions as a transcriptional silencer of gene promoters. Dynamically regulated subsequent modifications by ten-eleven translocation (TET) enzymes catalyze the sequential oxidation of 5mC for generating 5-hydroxymethylcytosine, 5-formylcytosine (5fC), and 5-carboxylcytosine. Recently, these oxidized cytosine derivatives were indicated as not merely intermediates in the demethylation process; however, each derivative plays a unique biologically relevant role. A photo-crosslinkable oligonucleotide probe for detecting these cytosine modifications could support the spatiotemporal functional analysis of cytosine derivatives via a light stimulus. Herein, we designed novel photoreactive nucleosides by conjugating a psoralen (Ps) derivative, trioxsalen, to the C2' position of guanosine (GPs and GPs2) and developed photo-crosslinkable oligonucleotides (GPs-Oligo and GPs2-Oligo). In particular, GPs-Oligo demonstrated an intriguing and unique ability of photo-crosslinking with 5fC. GPs-Oligo was employed to detect 5fC using a DNA chip glass plate, which demonstrated the potential of GPs-Oligo for future investigation of the function of 5fC inside cells.</w:t>
      </w:r>
    </w:p>
    <w:p>
      <w:pPr>
        <w:spacing w:before="120" w:after="120"/>
      </w:pPr>
      <w:r>
        <w:rPr>
          <w:sz w:val="18"/>
        </w:rPr>
        <w:t>——————————————————————————————————————————————————————————————————————</w:t>
      </w:r>
    </w:p>
    <w:p>
      <w:pPr>
        <w:spacing w:before="160" w:after="40" w:line="240" w:lineRule="auto"/>
      </w:pPr>
      <w:r>
        <w:rPr>
          <w:b/>
        </w:rPr>
        <w:t xml:space="preserve">[705] </w:t>
      </w:r>
      <w:hyperlink r:id="rId1205">
        <w:r>
          <w:rPr>
            <w:color w:val="1155CC"/>
            <w:u w:val="single"/>
          </w:rPr>
          <w:t>[ASAP]利用动态核极化15N、35Cl、77Se和113Cd固态NMR光谱仪检测利用动态核极化15NN、35Cl、77Se和113Cd NMR光谱仪的探探探探探探探探地雷/CLOID-Passed CdSe Nancrystal的表面结构</w:t>
        </w:r>
      </w:hyperlink>
    </w:p>
    <w:p>
      <w:pPr>
        <w:spacing w:before="0" w:after="80"/>
      </w:pPr>
      <w:r>
        <w:rPr>
          <w:i/>
          <w:sz w:val="20"/>
        </w:rPr>
        <w:t>EN: [ASAP] Probing the Surface Structure of Amine/Chloride-Passivated CdSe Nanocrystals Using Dynamic Nuclear Polarization-Enhanced 15N, 35Cl, 77Se, and 113Cd Solid-State NMR Spectroscopy</w:t>
      </w:r>
    </w:p>
    <w:p>
      <w:pPr>
        <w:spacing w:before="0" w:after="120"/>
      </w:pPr>
      <w:r>
        <w:rPr>
          <w:b/>
        </w:rPr>
        <w:t xml:space="preserve">Source: </w:t>
      </w:r>
      <w:r>
        <w:t>Journal of the American Chemical Society: Latest Articles (ACS Publications)</w:t>
      </w:r>
      <w:r>
        <w:t xml:space="preserve">    </w:t>
      </w:r>
      <w:r>
        <w:rPr>
          <w:b/>
        </w:rPr>
        <w:t xml:space="preserve">Pub date: </w:t>
      </w:r>
      <w:r>
        <w:t>2026-01-07 13:20:56+00:00</w:t>
      </w:r>
      <w:r>
        <w:t xml:space="preserve">    </w:t>
      </w:r>
      <w:r>
        <w:rPr>
          <w:b/>
        </w:rPr>
        <w:t xml:space="preserve">DOI: </w:t>
      </w:r>
      <w:hyperlink r:id="rId1206">
        <w:r>
          <w:rPr>
            <w:color w:val="1155CC"/>
            <w:u w:val="single"/>
          </w:rPr>
          <w:t>10.1021/jacs.5c18223</w:t>
        </w:r>
      </w:hyperlink>
    </w:p>
    <w:p>
      <w:pPr>
        <w:spacing w:before="0" w:after="120"/>
      </w:pPr>
      <w:r>
        <w:rPr>
          <w:b/>
        </w:rPr>
        <w:t xml:space="preserve">Notes: </w:t>
      </w:r>
      <w:r>
        <w:t>abstract_source=pubmed</w:t>
      </w:r>
    </w:p>
    <w:p>
      <w:pPr>
        <w:spacing w:before="0" w:after="80" w:lineRule="auto" w:line="276"/>
      </w:pPr>
      <w:r>
        <w:rPr>
          <w:b/>
        </w:rPr>
        <w:t xml:space="preserve">摘要（ZH）: </w:t>
      </w:r>
      <w:r>
        <w:t>在这项研究中,我们合成了以幼类覆盖的CdSe NCNS(CdSe) NCNS(MAT),将其与聚氨酯/CdCl2交换,并使用了动态核极化(DNP)增强固态NMR光谱仪,以确定与离子(Ncs)结合的表面Cd原子的结构。 113Cd和77Se NMR实验区分了CdSe NCNS(CdSe NCS)中不同类型的113Cd和77Se NMR环境。DNP-增强113Cd 的113Cd魔角转动(MAT)实验使得能够确定CdSe NCs的1个散装和2个表面CD环境,而DNP-增强15N{1H}和15N{113Cd}热核相关实验揭示了CdSe表面协调的氮原子。</w:t>
      </w:r>
    </w:p>
    <w:p>
      <w:pPr>
        <w:spacing w:before="0" w:after="200" w:lineRule="auto" w:line="276"/>
      </w:pPr>
      <w:r>
        <w:rPr>
          <w:b/>
        </w:rPr>
        <w:t xml:space="preserve">Abstract (EN): </w:t>
      </w:r>
      <w:r>
        <w:t>Ligands have been extensively used to modulate and improve the photophysical properties of nanocrystals (NCs). However, the surface structure of many NCs remains unknown. In this study, we synthesized oleate-capped CdSe NCs, exchanged them with oleylamine/CdCl2, and used dynamic nuclear polarization (DNP)-enhanced solid-state NMR spectroscopy to determine the structure of surface Cd atoms bound to ligands. 113Cd and 77Se NMR experiments distinguish different types of 113Cd and 77Se environments in the CdSe NCs. DNP-enhanced 113Cd magic angle turning (MAT) experiments enable the identification of one bulk and two surface Cd environments in CdSe NCs, while DNP-enhanced 15N{1H} and 15N{113Cd} heteronuclear correlation experiments reveal nitrogen coordinated Cd atoms on the surface of the CdSe NCs. Indirect detection of chloride ligands was achieved using DNP-enhanced 113Cd{35Cl} J-resolved experiments, revealing that the chlorides bridge between surface Cd atoms. Comparing the experimental NMR spectra to relativistic density functional theory calculation models establishes two distinct surface Cd environments that differ by their ligand environments: one site is coordinated by one amine and a bridging chloride, while the other is coordinated by two amines.</w:t>
      </w:r>
    </w:p>
    <w:p>
      <w:pPr>
        <w:spacing w:before="120" w:after="120"/>
      </w:pPr>
      <w:r>
        <w:rPr>
          <w:sz w:val="18"/>
        </w:rPr>
        <w:t>——————————————————————————————————————————————————————————————————————</w:t>
      </w:r>
    </w:p>
    <w:p>
      <w:pPr>
        <w:spacing w:before="160" w:after="40" w:line="240" w:lineRule="auto"/>
      </w:pPr>
      <w:r>
        <w:rPr>
          <w:b/>
        </w:rPr>
        <w:t xml:space="preserve">[706] </w:t>
      </w:r>
      <w:hyperlink r:id="rId1207">
        <w:r>
          <w:rPr>
            <w:color w:val="1155CC"/>
            <w:u w:val="single"/>
          </w:rPr>
          <w:t>[ASAP] 含有主导铜和氧化氧化物化学的电池电池阴极</w:t>
        </w:r>
      </w:hyperlink>
    </w:p>
    <w:p>
      <w:pPr>
        <w:spacing w:before="0" w:after="80"/>
      </w:pPr>
      <w:r>
        <w:rPr>
          <w:i/>
          <w:sz w:val="20"/>
        </w:rPr>
        <w:t>EN: [ASAP] Sodium-Ion Battery Cathode with Dominating Copper and Oxygen Redox Chemistry</w:t>
      </w:r>
    </w:p>
    <w:p>
      <w:pPr>
        <w:spacing w:before="0" w:after="120"/>
      </w:pPr>
      <w:r>
        <w:rPr>
          <w:b/>
        </w:rPr>
        <w:t xml:space="preserve">Source: </w:t>
      </w:r>
      <w:r>
        <w:t>ACS Energy Letters: Latest Articles (ACS Publications)</w:t>
      </w:r>
      <w:r>
        <w:t xml:space="preserve">    </w:t>
      </w:r>
      <w:r>
        <w:rPr>
          <w:b/>
        </w:rPr>
        <w:t xml:space="preserve">Pub date: </w:t>
      </w:r>
      <w:r>
        <w:t>2026-01-07 14:11:25+00:00</w:t>
      </w:r>
      <w:r>
        <w:t xml:space="preserve">    </w:t>
      </w:r>
      <w:r>
        <w:rPr>
          <w:b/>
        </w:rPr>
        <w:t xml:space="preserve">DOI: </w:t>
      </w:r>
      <w:hyperlink r:id="rId1208">
        <w:r>
          <w:rPr>
            <w:color w:val="1155CC"/>
            <w:u w:val="single"/>
          </w:rPr>
          <w:t>10.1021/acsenergylett.5c03483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[707] </w:t>
      </w:r>
      <w:hyperlink r:id="rId1209">
        <w:r>
          <w:rPr>
            <w:color w:val="1155CC"/>
            <w:u w:val="single"/>
          </w:rPr>
          <w:t>[ASAP] 用于酸氧进化的稳定的金属多盘 RuO2催化器双描述器-指导筛选</w:t>
        </w:r>
      </w:hyperlink>
    </w:p>
    <w:p>
      <w:pPr>
        <w:spacing w:before="0" w:after="80"/>
      </w:pPr>
      <w:r>
        <w:rPr>
          <w:i/>
          <w:sz w:val="20"/>
        </w:rPr>
        <w:t>EN: [ASAP] Dual-Descriptor-Guided Screening of Stable Metal-Doped RuO2 Catalysts for Acidic Oxygen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2026-01-07 14:20:52+00:00</w:t>
      </w:r>
      <w:r>
        <w:t xml:space="preserve">    </w:t>
      </w:r>
      <w:r>
        <w:rPr>
          <w:b/>
        </w:rPr>
        <w:t xml:space="preserve">DOI: </w:t>
      </w:r>
      <w:hyperlink r:id="rId1210">
        <w:r>
          <w:rPr>
            <w:color w:val="1155CC"/>
            <w:u w:val="single"/>
          </w:rPr>
          <w:t>10.1021/jacs.5c17145</w:t>
        </w:r>
      </w:hyperlink>
    </w:p>
    <w:p>
      <w:pPr>
        <w:spacing w:before="0" w:after="120"/>
      </w:pPr>
      <w:r>
        <w:rPr>
          <w:b/>
        </w:rPr>
        <w:t xml:space="preserve">Notes: </w:t>
      </w:r>
      <w:r>
        <w:t>abstract_source=pubmed</w:t>
      </w:r>
    </w:p>
    <w:p>
      <w:pPr>
        <w:spacing w:before="0" w:after="80" w:lineRule="auto" w:line="276"/>
      </w:pPr>
      <w:r>
        <w:rPr>
          <w:b/>
        </w:rPr>
        <w:t xml:space="preserve">摘要（ZH）: </w:t>
      </w:r>
      <w:r>
        <w:t>将金属元素添加到 RuO2 中, 提高质子交换膜水电解器( PEMWES)的效率, 然而,由于结构、电子和热力因素的复杂相互作用, 确定最佳的多管动物仍然具有挑战性。 在这里, 计算以 E- PH 为基础的 Pourbaix 图表, 加上 Ru- O 债券长度分析, 成为评估 RuO2 的阴道诱导稳定的双重描述符。 首先, 通过比较M- Ru2 表面的三个氧协调国家的形成能量, 暴露出各种多关的热动力偏好: O- 覆盖 ( Oc)、 纯净化 和 O- 消耗 ( Od) 。 第二, 用于 M- RuO2 的由 Rub2 构成的pH 函数 的第一条原则衍生 Pourbaix 图表, 反映了氧化过程中的质子/ 和电子转移 。</w:t>
      </w:r>
    </w:p>
    <w:p>
      <w:pPr>
        <w:spacing w:before="0" w:after="200" w:lineRule="auto" w:line="276"/>
      </w:pPr>
      <w:r>
        <w:rPr>
          <w:b/>
        </w:rPr>
        <w:t xml:space="preserve">Abstract (EN): </w:t>
      </w:r>
      <w:r>
        <w:t>Doping metallic elements into RuO2 enhances the efficiency of proton-exchange membrane water electrolyzers (PEMWEs), yet identifying optimal dopants remains challenging due to a complex interplay of structural, electronic, and thermodynamic factors. Herein, computed E-pH-based Pourbaix diagrams combined with Ru-O bond-length analysis served as dual descriptors to evaluate the dopant-induced stability of RuO2. First, thermodynamic preferences of various dopants were revealed by comparing the formation energies of three oxygen-coordination states on M-RuO2 surfaces: O-covered (Oc), pristine, and O-depleted (Od). Second, first-principles-derived Pourbaix diagrams for M-RuO2, constructed as a function of pH from the formation energy, reflected the proton/electron transfer during oxidation and revealed metal-dependent thermodynamic stability. These diagrams defined distinct stability regions (SRs), governed by triple-point pH and phase-transition potentials (RuO2 to Ru3+/RuO4), serving as effective descriptors for dopant screening. Third, the Ru-O bond length (BL) acted as a structural descriptor, revealing that longer Ru*O-O (Ru*O: Ru with O adsorption) bonds suppress RuO4 formation, while shorter RuOv-O (RuOv: Ru with O vacancies) bonds reduce Ru3+ formation. This led to a volcano-type relationship between the SR and BLs, establishing two thresholds for dopant selection. Finally, eight dopants (Rh, Zn, Ga, Bi, Mn, Nb, Sn, and Os) were identified at the volcano peak, consistent with the experiments. Together, these thermodynamic structural descriptors offer a robust, universal framework for screening stable Ru-based electrocatalysts.</w:t>
      </w:r>
    </w:p>
    <w:p>
      <w:pPr>
        <w:spacing w:before="120" w:after="120"/>
      </w:pPr>
      <w:r>
        <w:rPr>
          <w:sz w:val="18"/>
        </w:rPr>
        <w:t>——————————————————————————————————————————————————————————————————————</w:t>
      </w:r>
    </w:p>
    <w:p>
      <w:pPr>
        <w:spacing w:before="160" w:after="40" w:line="240" w:lineRule="auto"/>
      </w:pPr>
      <w:r>
        <w:rPr>
          <w:b/>
        </w:rPr>
        <w:t xml:space="preserve">[708] </w:t>
      </w:r>
      <w:hyperlink r:id="rId1211">
        <w:r>
          <w:rPr>
            <w:color w:val="1155CC"/>
            <w:u w:val="single"/>
          </w:rPr>
          <w:t>[ASAP] 高集中电解解器中的锂键</w:t>
        </w:r>
      </w:hyperlink>
    </w:p>
    <w:p>
      <w:pPr>
        <w:spacing w:before="0" w:after="80"/>
      </w:pPr>
      <w:r>
        <w:rPr>
          <w:i/>
          <w:sz w:val="20"/>
        </w:rPr>
        <w:t>EN: [ASAP] Lithium Bond in High-Concentration Electrolytes</w:t>
      </w:r>
    </w:p>
    <w:p>
      <w:pPr>
        <w:spacing w:before="0" w:after="120"/>
      </w:pPr>
      <w:r>
        <w:rPr>
          <w:b/>
        </w:rPr>
        <w:t xml:space="preserve">Source: </w:t>
      </w:r>
      <w:r>
        <w:t>ACS Energy Letters: Latest Articles (ACS Publications)</w:t>
      </w:r>
      <w:r>
        <w:t xml:space="preserve">    </w:t>
      </w:r>
      <w:r>
        <w:rPr>
          <w:b/>
        </w:rPr>
        <w:t xml:space="preserve">Pub date: </w:t>
      </w:r>
      <w:r>
        <w:t>2026-01-07 14:48:08+00:00</w:t>
      </w:r>
      <w:r>
        <w:t xml:space="preserve">    </w:t>
      </w:r>
      <w:r>
        <w:rPr>
          <w:b/>
        </w:rPr>
        <w:t xml:space="preserve">DOI: </w:t>
      </w:r>
      <w:hyperlink r:id="rId1212">
        <w:r>
          <w:rPr>
            <w:color w:val="1155CC"/>
            <w:u w:val="single"/>
          </w:rPr>
          <w:t>10.1021/acsenergylett.5c03804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[709] </w:t>
      </w:r>
      <w:hyperlink r:id="rId1213">
        <w:r>
          <w:rPr>
            <w:color w:val="1155CC"/>
            <w:u w:val="single"/>
          </w:rPr>
          <w:t>Ribozyme催解的遗传编码RNA小滴的生长、分解和分离</w:t>
        </w:r>
      </w:hyperlink>
    </w:p>
    <w:p>
      <w:pPr>
        <w:spacing w:before="0" w:after="80"/>
      </w:pPr>
      <w:r>
        <w:rPr>
          <w:i/>
          <w:sz w:val="20"/>
        </w:rPr>
        <w:t>EN: Growth, Dissolution and Segregation of Genetically Encoded RNA Droplets by Ribozyme Catalysis</w:t>
      </w:r>
    </w:p>
    <w:p>
      <w:pPr>
        <w:spacing w:before="0" w:after="120"/>
      </w:pPr>
      <w:r>
        <w:rPr>
          <w:b/>
        </w:rPr>
        <w:t xml:space="preserve">Source: </w:t>
      </w:r>
      <w:r>
        <w:t>Wiley: Angewandte Chemie International Edition: Table of Contents</w:t>
      </w:r>
      <w:r>
        <w:t xml:space="preserve">    </w:t>
      </w:r>
      <w:r>
        <w:rPr>
          <w:b/>
        </w:rPr>
        <w:t xml:space="preserve">Pub date: </w:t>
      </w:r>
      <w:r>
        <w:t>2026-01-07 15:15:19+00:00</w:t>
      </w:r>
      <w:r>
        <w:t xml:space="preserve">    </w:t>
      </w:r>
      <w:r>
        <w:rPr>
          <w:b/>
        </w:rPr>
        <w:t xml:space="preserve">DOI: </w:t>
      </w:r>
      <w:hyperlink r:id="rId1214">
        <w:r>
          <w:rPr>
            <w:color w:val="1155CC"/>
            <w:u w:val="single"/>
          </w:rPr>
          <w:t>10.1002/anie.202519002</w:t>
        </w:r>
      </w:hyperlink>
    </w:p>
    <w:p>
      <w:pPr>
        <w:spacing w:before="0" w:after="120"/>
      </w:pPr>
      <w:r>
        <w:rPr>
          <w:b/>
        </w:rPr>
        <w:t xml:space="preserve">Notes: </w:t>
      </w:r>
      <w:r>
        <w:t>abstract_source=crossref</w:t>
      </w:r>
    </w:p>
    <w:p>
      <w:pPr>
        <w:spacing w:before="0" w:after="80" w:lineRule="auto" w:line="276"/>
      </w:pPr>
      <w:r>
        <w:rPr>
          <w:b/>
        </w:rPr>
        <w:t xml:space="preserve">摘要（ZH）: </w:t>
      </w:r>
      <w:r>
        <w:t>由内部化学反应驱动的抽象活性滴子、无膜隔板,是蛋白细胞和合成生命的令人信服的模型。一个中心挑战是如何利用遗传遗传信息规划其动态行为,这将赋予它们进化能力。在这里,我们通过将树枝状液滴子的催解点直接整合到自组序列中来创建短暂活性RNA液滴子,4纳瓦-RNA纳米恒星。为了能够渗透并观察随时间推移产生的动态,我们开发了一种方法,通过定点的现场光聚合来捕捉凝胶笼中的单个滴子。这使我们能够量化序列-可编程滴子解体,并通过在快(大头)之间选择来控制退化的动能。</w:t>
      </w:r>
    </w:p>
    <w:p>
      <w:pPr>
        <w:spacing w:before="0" w:after="200" w:lineRule="auto" w:line="276"/>
      </w:pPr>
      <w:r>
        <w:rPr>
          <w:b/>
        </w:rPr>
        <w:t xml:space="preserve">Abstract (EN): </w:t>
      </w:r>
      <w:r>
        <w:t>Active droplets, membraneless compartments driven by internal chemical reactions, are compelling models for protocells and synthetic life. A central challenge is to program their dynamic behaviors using heritable genetic information, which would grant them the capacity to evolve. Here, we create transiently active RNA droplets by integrating sites for ribozyme catalysis directly into the sequence of self‐assembling, four‐arm RNA nanostars. To enable perfusion and observe the resulting dynamics over time, we develop a method for trapping individual droplets in hydrogel cages by targeted in situ photopolymerization. This enables us to quantify the sequence‐programmable droplet dissolution and to control the degradation kinetics by choosing between fast (hammerhead) and slow (hairpin) ribozymes. Furthermore, we trigger the segregation of mixed droplet populations via the sequence‐specific cleavage of a chimeric linker RNA. The droplet‐encapsulated DNA templates code for the regrowth of new droplets, establishing the proof‐of‐principle for a minimal, genetically encoded cycle of dissolution and regrowth. By directly linking RNA sequence to droplet stability, composition, and life‐cycle dynamics, our work provides a robust platform for engineering evolvable materials and advancing the bottom‐up construction of synthetic cells.</w:t>
      </w:r>
    </w:p>
    <w:p>
      <w:pPr>
        <w:spacing w:before="120" w:after="120"/>
      </w:pPr>
      <w:r>
        <w:rPr>
          <w:sz w:val="18"/>
        </w:rPr>
        <w:t>——————————————————————————————————————————————————————————————————————</w:t>
      </w:r>
    </w:p>
    <w:p>
      <w:pPr>
        <w:spacing w:before="160" w:after="40" w:line="240" w:lineRule="auto"/>
      </w:pPr>
      <w:r>
        <w:rPr>
          <w:b/>
        </w:rPr>
        <w:t xml:space="preserve">[710] </w:t>
      </w:r>
      <w:hyperlink r:id="rId1215">
        <w:r>
          <w:rPr>
            <w:color w:val="1155CC"/>
            <w:u w:val="single"/>
          </w:rPr>
          <w:t>将基于铜的催化剂中的二氧化碳减为甲醇:机械透视和工业前景</w:t>
        </w:r>
      </w:hyperlink>
    </w:p>
    <w:p>
      <w:pPr>
        <w:spacing w:before="0" w:after="80"/>
      </w:pPr>
      <w:r>
        <w:rPr>
          <w:i/>
          <w:sz w:val="20"/>
        </w:rPr>
        <w:t>EN: Electrochemical Carbon Dioxide Reduction to Methanol on Copper‐Based Catalysts: Mechanistic Insights and Industrial Prospects</w:t>
      </w:r>
    </w:p>
    <w:p>
      <w:pPr>
        <w:spacing w:before="0" w:after="120"/>
      </w:pPr>
      <w:r>
        <w:rPr>
          <w:b/>
        </w:rPr>
        <w:t xml:space="preserve">Source: </w:t>
      </w:r>
      <w:r>
        <w:t>Wiley: Advanced Materials: Table of Contents</w:t>
      </w:r>
      <w:r>
        <w:t xml:space="preserve">    </w:t>
      </w:r>
      <w:r>
        <w:rPr>
          <w:b/>
        </w:rPr>
        <w:t xml:space="preserve">Pub date: </w:t>
      </w:r>
      <w:r>
        <w:t>2026-01-07 15:16:09+00:00</w:t>
      </w:r>
      <w:r>
        <w:t xml:space="preserve">    </w:t>
      </w:r>
      <w:r>
        <w:rPr>
          <w:b/>
        </w:rPr>
        <w:t xml:space="preserve">DOI: </w:t>
      </w:r>
      <w:hyperlink r:id="rId1216">
        <w:r>
          <w:rPr>
            <w:color w:val="1155CC"/>
            <w:u w:val="single"/>
          </w:rPr>
          <w:t>10.1002/adma.202514994</w:t>
        </w:r>
      </w:hyperlink>
    </w:p>
    <w:p>
      <w:pPr>
        <w:spacing w:before="0" w:after="120"/>
      </w:pPr>
      <w:r>
        <w:rPr>
          <w:b/>
        </w:rPr>
        <w:t xml:space="preserve">Notes: </w:t>
      </w:r>
      <w:r>
        <w:t>abstract_source=crossref</w:t>
      </w:r>
    </w:p>
    <w:p>
      <w:pPr>
        <w:spacing w:before="0" w:after="80" w:lineRule="auto" w:line="276"/>
      </w:pPr>
      <w:r>
        <w:rPr>
          <w:b/>
        </w:rPr>
        <w:t xml:space="preserve">摘要（ZH）: </w:t>
      </w:r>
      <w:r>
        <w:t>电化学CO 2 削减(ECO 2 R)为利用可再生能源将CO 2 转化为高增值化学品提供了一条有希望的道路,在不同的ECO 2 R产品中,将CO 2 选择性转换为甲醇(CH 3 OH)作为燃料和化学原料具有重要的工业重要性,这一审查全面概述了铜(Cu)基催化剂在选择EC 2 R 到CH 3 OH方面的最新进展。</w:t>
      </w:r>
    </w:p>
    <w:p>
      <w:pPr>
        <w:spacing w:before="0" w:after="200" w:lineRule="auto" w:line="276"/>
      </w:pPr>
      <w:r>
        <w:rPr>
          <w:b/>
        </w:rPr>
        <w:t xml:space="preserve">Abstract (EN): </w:t>
      </w:r>
      <w:r>
        <w:t>Electrochemical CO</w:t>
      </w:r>
      <w:r>
        <w:rPr>
          <w:vertAlign w:val="subscript"/>
        </w:rPr>
        <w:t>2</w:t>
      </w:r>
      <w:r>
        <w:t>reduction (ECO</w:t>
      </w:r>
      <w:r>
        <w:rPr>
          <w:vertAlign w:val="subscript"/>
        </w:rPr>
        <w:t>2</w:t>
      </w:r>
      <w:r>
        <w:t>R) offers a promising route to convert CO</w:t>
      </w:r>
      <w:r>
        <w:rPr>
          <w:vertAlign w:val="subscript"/>
        </w:rPr>
        <w:t>2</w:t>
      </w:r>
      <w:r>
        <w:t>into high‐value‐added chemicals using renewable energy. Among the diverse ECO</w:t>
      </w:r>
      <w:r>
        <w:rPr>
          <w:vertAlign w:val="subscript"/>
        </w:rPr>
        <w:t>2</w:t>
      </w:r>
      <w:r>
        <w:t>R products, the selective conversion of CO</w:t>
      </w:r>
      <w:r>
        <w:rPr>
          <w:vertAlign w:val="subscript"/>
        </w:rPr>
        <w:t>2</w:t>
      </w:r>
      <w:r>
        <w:t>to methanol (CH</w:t>
      </w:r>
      <w:r>
        <w:rPr>
          <w:vertAlign w:val="subscript"/>
        </w:rPr>
        <w:t>3</w:t>
      </w:r>
      <w:r>
        <w:t>OH) holds significant industrial importance as a fuel and chemical feedstock. This review provides a comprehensive overview of recent progress in Copper (Cu)‐based catalysts for selective ECO</w:t>
      </w:r>
      <w:r>
        <w:rPr>
          <w:vertAlign w:val="subscript"/>
        </w:rPr>
        <w:t>2</w:t>
      </w:r>
      <w:r>
        <w:t>R to CH</w:t>
      </w:r>
      <w:r>
        <w:rPr>
          <w:vertAlign w:val="subscript"/>
        </w:rPr>
        <w:t>3</w:t>
      </w:r>
      <w:r>
        <w:t>OH. Key advancements in catalyst design and synthesis are discussed, followed by mechanistic insights obtained through computational modeling and advanced characterization techniques. Special focus is given to the structure‐activity relationship that controls CH</w:t>
      </w:r>
      <w:r>
        <w:rPr>
          <w:vertAlign w:val="subscript"/>
        </w:rPr>
        <w:t>3</w:t>
      </w:r>
      <w:r>
        <w:t>OH selectivity, disclosing the importance of intermediate stabilization and electronic structure tuning. Further, state‐of‐the‐art Cu‐based materials and benchmarking their performances under various operating conditions, including the role of electrolyzer configurations, electrolytes, and ion‐exchange membranes, is summarized. Moreover, we analyze challenges in upscaling, such as stability, selectivity under high current densities, and integration with renewable energy sources. Besides, the potential of tandem and hybrid systems to improve reaction pathways is also emphasized. Finally, techno‐economic considerations are explored to evaluate the feasibility of large‐scale CH</w:t>
      </w:r>
      <w:r>
        <w:rPr>
          <w:vertAlign w:val="subscript"/>
        </w:rPr>
        <w:t>3</w:t>
      </w:r>
      <w:r>
        <w:t>OH production. By combining fundamental understanding with practical implementation, this review provides strategic direction toward the rational design of Cu‐based electrocatalysts and the development of commercially viable ECO</w:t>
      </w:r>
      <w:r>
        <w:rPr>
          <w:vertAlign w:val="subscript"/>
        </w:rPr>
        <w:t>2</w:t>
      </w:r>
      <w:r>
        <w:t>R systems for sustainable CH</w:t>
      </w:r>
      <w:r>
        <w:rPr>
          <w:vertAlign w:val="subscript"/>
        </w:rPr>
        <w:t>3</w:t>
      </w:r>
      <w:r>
        <w:t>OH synthesis.</w:t>
      </w:r>
    </w:p>
    <w:p>
      <w:pPr>
        <w:spacing w:before="120" w:after="120"/>
      </w:pPr>
      <w:r>
        <w:rPr>
          <w:sz w:val="18"/>
        </w:rPr>
        <w:t>——————————————————————————————————————————————————————————————————————</w:t>
      </w:r>
    </w:p>
    <w:p>
      <w:pPr>
        <w:spacing w:before="160" w:after="40" w:line="240" w:lineRule="auto"/>
      </w:pPr>
      <w:r>
        <w:rPr>
          <w:b/>
        </w:rPr>
        <w:t xml:space="preserve">[711] </w:t>
      </w:r>
      <w:hyperlink r:id="rId1217">
        <w:r>
          <w:rPr>
            <w:color w:val="1155CC"/>
            <w:u w:val="single"/>
          </w:rPr>
          <w:t>利用纳诺波尔生物VO4 以原子层为基地的光电层进行无生物太阳能和低氧化氢生产</w:t>
        </w:r>
      </w:hyperlink>
    </w:p>
    <w:p>
      <w:pPr>
        <w:spacing w:before="0" w:after="80"/>
      </w:pPr>
      <w:r>
        <w:rPr>
          <w:i/>
          <w:sz w:val="20"/>
        </w:rPr>
        <w:t>EN: Bias‐Free Solar‐To‐Hydrogen Peroxide Production Using Nanoporous BiVO4‐Based Photoanode With Atomic Layer Deposited SnO2</w:t>
      </w:r>
    </w:p>
    <w:p>
      <w:pPr>
        <w:spacing w:before="0" w:after="120"/>
      </w:pPr>
      <w:r>
        <w:rPr>
          <w:b/>
        </w:rPr>
        <w:t xml:space="preserve">Source: </w:t>
      </w:r>
      <w:r>
        <w:t>Wiley: Advanced Energy Materials: Table of Contents</w:t>
      </w:r>
      <w:r>
        <w:t xml:space="preserve">    </w:t>
      </w:r>
      <w:r>
        <w:rPr>
          <w:b/>
        </w:rPr>
        <w:t xml:space="preserve">Pub date: </w:t>
      </w:r>
      <w:r>
        <w:t>2026-01-07 15:18:30+00:00</w:t>
      </w:r>
      <w:r>
        <w:t xml:space="preserve">    </w:t>
      </w:r>
      <w:r>
        <w:rPr>
          <w:b/>
        </w:rPr>
        <w:t xml:space="preserve">DOI: </w:t>
      </w:r>
      <w:hyperlink r:id="rId1218">
        <w:r>
          <w:rPr>
            <w:color w:val="1155CC"/>
            <w:u w:val="single"/>
          </w:rPr>
          <w:t>10.1002/aenm.202505447</w:t>
        </w:r>
      </w:hyperlink>
    </w:p>
    <w:p>
      <w:pPr>
        <w:spacing w:before="0" w:after="120"/>
      </w:pPr>
      <w:r>
        <w:rPr>
          <w:b/>
        </w:rPr>
        <w:t xml:space="preserve">Notes: </w:t>
      </w:r>
      <w:r>
        <w:t>abstract_source=crossref</w:t>
      </w:r>
    </w:p>
    <w:p>
      <w:pPr>
        <w:spacing w:before="0" w:after="80" w:lineRule="auto" w:line="276"/>
      </w:pPr>
      <w:r>
        <w:rPr>
          <w:b/>
        </w:rPr>
        <w:t xml:space="preserve">摘要（ZH）: </w:t>
      </w:r>
      <w:r>
        <w:t>ABSTACT 氢过氧化氢(H 2 O 2 ) 是一种绿色氧化剂,其能量密度与压缩氢相似,因此成为化学能源储存的可行选择。 通过光电化学水氧化反应将可再生能源转换为H 2 O 2 提供了可持续的途径,然而相互竞争的氧气进化反应限制了太阳化转换效率。在这里,我们开发了一种基于BiVo 4的光氮与符合的SnO 2 钝化层相结合的BiVo 4光氮。</w:t>
      </w:r>
    </w:p>
    <w:p>
      <w:pPr>
        <w:spacing w:before="0" w:after="200" w:lineRule="auto" w:line="276"/>
      </w:pPr>
      <w:r>
        <w:rPr>
          <w:b/>
        </w:rPr>
        <w:t xml:space="preserve">Abstract (EN): </w:t>
      </w:r>
      <w:r>
        <w:t>Hydrogen peroxide (H</w:t>
      </w:r>
      <w:r>
        <w:rPr>
          <w:vertAlign w:val="subscript"/>
        </w:rPr>
        <w:t>2</w:t>
      </w:r>
      <w:r>
        <w:t>O</w:t>
      </w:r>
      <w:r>
        <w:rPr>
          <w:vertAlign w:val="subscript"/>
        </w:rPr>
        <w:t>2</w:t>
      </w:r>
      <w:r>
        <w:t>) is a green oxidant with an energy density comparable to that of compressed hydrogen, making it a promising candidate for chemical energy storage. Converting renewable energy into H</w:t>
      </w:r>
      <w:r>
        <w:rPr>
          <w:vertAlign w:val="subscript"/>
        </w:rPr>
        <w:t>2</w:t>
      </w:r>
      <w:r>
        <w:t>O</w:t>
      </w:r>
      <w:r>
        <w:rPr>
          <w:vertAlign w:val="subscript"/>
        </w:rPr>
        <w:t>2</w:t>
      </w:r>
      <w:r>
        <w:t>via the photoelectrochemical water oxidation reaction offers a sustainable pathway, yet the competing oxygen evolution reaction limits the solar‐to‐chemical conversion (SCC) efficiency. Here, we develop a BiVO</w:t>
      </w:r>
      <w:r>
        <w:rPr>
          <w:vertAlign w:val="subscript"/>
        </w:rPr>
        <w:t>4</w:t>
      </w:r>
      <w:r>
        <w:t>based photoanode combined with a conformal SnO</w:t>
      </w:r>
      <w:r>
        <w:rPr>
          <w:vertAlign w:val="subscript"/>
        </w:rPr>
        <w:t>2</w:t>
      </w:r>
      <w:r>
        <w:t>passivation layer. A built‐in electric field is established at the SnO</w:t>
      </w:r>
      <w:r>
        <w:rPr>
          <w:vertAlign w:val="subscript"/>
        </w:rPr>
        <w:t>2</w:t>
      </w:r>
      <w:r>
        <w:t>/BiVO</w:t>
      </w:r>
      <w:r>
        <w:rPr>
          <w:vertAlign w:val="subscript"/>
        </w:rPr>
        <w:t>4</w:t>
      </w:r>
      <w:r>
        <w:t>heterojunction, which facilitates charge separation and promoting hole transport toward the SnO</w:t>
      </w:r>
      <w:r>
        <w:rPr>
          <w:vertAlign w:val="subscript"/>
        </w:rPr>
        <w:t>2</w:t>
      </w:r>
      <w:r>
        <w:t>surface. The valence band edge of SnO</w:t>
      </w:r>
      <w:r>
        <w:rPr>
          <w:vertAlign w:val="subscript"/>
        </w:rPr>
        <w:t>2</w:t>
      </w:r>
      <w:r>
        <w:t>is also thermodynamically favorable for H</w:t>
      </w:r>
      <w:r>
        <w:rPr>
          <w:vertAlign w:val="subscript"/>
        </w:rPr>
        <w:t>2</w:t>
      </w:r>
      <w:r>
        <w:t>O</w:t>
      </w:r>
      <w:r>
        <w:rPr>
          <w:vertAlign w:val="subscript"/>
        </w:rPr>
        <w:t>2</w:t>
      </w:r>
      <w:r>
        <w:t>production. To further improve H</w:t>
      </w:r>
      <w:r>
        <w:rPr>
          <w:vertAlign w:val="subscript"/>
        </w:rPr>
        <w:t>2</w:t>
      </w:r>
      <w:r>
        <w:t>O</w:t>
      </w:r>
      <w:r>
        <w:rPr>
          <w:vertAlign w:val="subscript"/>
        </w:rPr>
        <w:t>2</w:t>
      </w:r>
      <w:r>
        <w:t>production, a CaSnO</w:t>
      </w:r>
      <w:r>
        <w:rPr>
          <w:vertAlign w:val="subscript"/>
        </w:rPr>
        <w:t>3</w:t>
      </w:r>
      <w:r>
        <w:t>cocatalyst is integrated on the photoanode, enabling enhanced reaction kinetics and selectivity toward 2e</w:t>
      </w:r>
      <w:r>
        <w:t xml:space="preserve"> </w:t>
      </w:r>
      <w:r>
        <w:t>−</w:t>
      </w:r>
      <w:r>
        <w:t>water oxidation pathway. The resulting CaSnO</w:t>
      </w:r>
      <w:r>
        <w:rPr>
          <w:vertAlign w:val="subscript"/>
        </w:rPr>
        <w:t>3</w:t>
      </w:r>
      <w:r>
        <w:t>/SnO</w:t>
      </w:r>
      <w:r>
        <w:rPr>
          <w:vertAlign w:val="subscript"/>
        </w:rPr>
        <w:t>2</w:t>
      </w:r>
      <w:r>
        <w:t>/BiVO</w:t>
      </w:r>
      <w:r>
        <w:rPr>
          <w:vertAlign w:val="subscript"/>
        </w:rPr>
        <w:t>4</w:t>
      </w:r>
      <w:r>
        <w:t>photoanode achieves an average Faradaic efficiency of 90% over wide potential range of 0.6–2.1 V</w:t>
      </w:r>
      <w:r>
        <w:t xml:space="preserve"> </w:t>
      </w:r>
      <w:r>
        <w:t>RHE</w:t>
      </w:r>
      <w:r>
        <w:t xml:space="preserve"> </w:t>
      </w:r>
      <w:r>
        <w:t>, with a H</w:t>
      </w:r>
      <w:r>
        <w:rPr>
          <w:vertAlign w:val="subscript"/>
        </w:rPr>
        <w:t>2</w:t>
      </w:r>
      <w:r>
        <w:t>O</w:t>
      </w:r>
      <w:r>
        <w:rPr>
          <w:vertAlign w:val="subscript"/>
        </w:rPr>
        <w:t>2</w:t>
      </w:r>
      <w:r>
        <w:t>generation rate of 0.838 µmol cm</w:t>
      </w:r>
      <w:r>
        <w:t xml:space="preserve"> </w:t>
      </w:r>
      <w:r>
        <w:t>−2</w:t>
      </w:r>
      <w:r>
        <w:t xml:space="preserve"> </w:t>
      </w:r>
      <w:r>
        <w:t>min</w:t>
      </w:r>
      <w:r>
        <w:t xml:space="preserve"> </w:t>
      </w:r>
      <w:r>
        <w:t>−1</w:t>
      </w:r>
      <w:r>
        <w:t xml:space="preserve"> </w:t>
      </w:r>
      <w:r>
        <w:t>and a photocurrent density of 5.44 mA·cm</w:t>
      </w:r>
      <w:r>
        <w:t xml:space="preserve"> </w:t>
      </w:r>
      <w:r>
        <w:t>−2</w:t>
      </w:r>
      <w:r>
        <w:t xml:space="preserve"> </w:t>
      </w:r>
      <w:r>
        <w:t>at 1.23 V</w:t>
      </w:r>
      <w:r>
        <w:t xml:space="preserve"> </w:t>
      </w:r>
      <w:r>
        <w:t>RHE</w:t>
      </w:r>
      <w:r>
        <w:t xml:space="preserve"> </w:t>
      </w:r>
      <w:r>
        <w:t>. Photoelectrochemical device composed of CaSnO</w:t>
      </w:r>
      <w:r>
        <w:rPr>
          <w:vertAlign w:val="subscript"/>
        </w:rPr>
        <w:t>3</w:t>
      </w:r>
      <w:r>
        <w:t>/SnO</w:t>
      </w:r>
      <w:r>
        <w:rPr>
          <w:vertAlign w:val="subscript"/>
        </w:rPr>
        <w:t>2</w:t>
      </w:r>
      <w:r>
        <w:t>/BiVO</w:t>
      </w:r>
      <w:r>
        <w:rPr>
          <w:vertAlign w:val="subscript"/>
        </w:rPr>
        <w:t>4</w:t>
      </w:r>
      <w:r>
        <w:t>photoanode and perovskite/Si photovoltaic simultaneously produce H</w:t>
      </w:r>
      <w:r>
        <w:rPr>
          <w:vertAlign w:val="subscript"/>
        </w:rPr>
        <w:t>2</w:t>
      </w:r>
      <w:r>
        <w:t>O</w:t>
      </w:r>
      <w:r>
        <w:rPr>
          <w:vertAlign w:val="subscript"/>
        </w:rPr>
        <w:t>2</w:t>
      </w:r>
      <w:r>
        <w:t>and H</w:t>
      </w:r>
      <w:r>
        <w:rPr>
          <w:vertAlign w:val="subscript"/>
        </w:rPr>
        <w:t>2</w:t>
      </w:r>
      <w:r>
        <w:t>without applied bias, which achieving SCC efficiency of 1.12%, the highest record to date for bias‐free H</w:t>
      </w:r>
      <w:r>
        <w:rPr>
          <w:vertAlign w:val="subscript"/>
        </w:rPr>
        <w:t>2</w:t>
      </w:r>
      <w:r>
        <w:t>O</w:t>
      </w:r>
      <w:r>
        <w:rPr>
          <w:vertAlign w:val="subscript"/>
        </w:rPr>
        <w:t>2</w:t>
      </w:r>
      <w:r>
        <w:t>production at a single photoanode.</w:t>
      </w:r>
    </w:p>
    <w:p>
      <w:pPr>
        <w:spacing w:before="120" w:after="120"/>
      </w:pPr>
      <w:r>
        <w:rPr>
          <w:sz w:val="18"/>
        </w:rPr>
        <w:t>——————————————————————————————————————————————————————————————————————</w:t>
      </w:r>
    </w:p>
    <w:p>
      <w:pPr>
        <w:spacing w:before="160" w:after="40" w:line="240" w:lineRule="auto"/>
      </w:pPr>
      <w:r>
        <w:rPr>
          <w:b/>
        </w:rPr>
        <w:t xml:space="preserve">[712] </w:t>
      </w:r>
      <w:hyperlink r:id="rId1219">
        <w:r>
          <w:rPr>
            <w:color w:val="1155CC"/>
            <w:u w:val="single"/>
          </w:rPr>
          <w:t>在DA有机半导体中向电泵激光</w:t>
        </w:r>
      </w:hyperlink>
    </w:p>
    <w:p>
      <w:pPr>
        <w:spacing w:before="0" w:after="80"/>
      </w:pPr>
      <w:r>
        <w:rPr>
          <w:i/>
          <w:sz w:val="20"/>
        </w:rPr>
        <w:t>EN: Suppressing Exciton‐Polaron Annihilation in a D‐π‐A Organic Semiconductor Toward Electrically Pumped Lasing</w:t>
      </w:r>
    </w:p>
    <w:p>
      <w:pPr>
        <w:spacing w:before="0" w:after="120"/>
      </w:pPr>
      <w:r>
        <w:rPr>
          <w:b/>
        </w:rPr>
        <w:t xml:space="preserve">Source: </w:t>
      </w:r>
      <w:r>
        <w:t>Wiley: Advanced Materials: Table of Contents</w:t>
      </w:r>
      <w:r>
        <w:t xml:space="preserve">    </w:t>
      </w:r>
      <w:r>
        <w:rPr>
          <w:b/>
        </w:rPr>
        <w:t xml:space="preserve">Pub date: </w:t>
      </w:r>
      <w:r>
        <w:t>2026-01-07 15:18:38+00:00</w:t>
      </w:r>
      <w:r>
        <w:t xml:space="preserve">    </w:t>
      </w:r>
      <w:r>
        <w:rPr>
          <w:b/>
        </w:rPr>
        <w:t xml:space="preserve">DOI: </w:t>
      </w:r>
      <w:hyperlink r:id="rId1220">
        <w:r>
          <w:rPr>
            <w:color w:val="1155CC"/>
            <w:u w:val="single"/>
          </w:rPr>
          <w:t>10.1002/adma.202519708</w:t>
        </w:r>
      </w:hyperlink>
    </w:p>
    <w:p>
      <w:pPr>
        <w:spacing w:before="0" w:after="120"/>
      </w:pPr>
      <w:r>
        <w:rPr>
          <w:b/>
        </w:rPr>
        <w:t xml:space="preserve">Notes: </w:t>
      </w:r>
      <w:r>
        <w:t>abstract_source=crossref</w:t>
      </w:r>
    </w:p>
    <w:p>
      <w:pPr>
        <w:spacing w:before="0" w:after="80" w:lineRule="auto" w:line="276"/>
      </w:pPr>
      <w:r>
        <w:rPr>
          <w:b/>
        </w:rPr>
        <w:t xml:space="preserve">摘要（ZH）: </w:t>
      </w:r>
      <w:r>
        <w:t>ABSTACT 电气泵的有机激光器为下一代光电子应用提供了巨大的潜力,然而,由于有害的异丙烯-极原灭绝,这些激光器的实现仍是一项巨大的挑战,这是在电力振荡下有机半导体中最公认但最尚未解决的异质损失之一,被确认为与极地有关的毁灭过程的主要起因是电荷不均匀的载体动员。在这项工作中,我们通过开发一个具有突出光益增益和平衡载体聚变特点的螺旋球-DA复合体来解决这一问题。如果将其纳入有机光排放二极管(OLED)结构,新开发的材料展品提高了装置的性能并减少了ef,则通过开发一个具有突出光益和平衡性能特点的螺旋状体-DA复合体来解决这一问题。</w:t>
      </w:r>
    </w:p>
    <w:p>
      <w:pPr>
        <w:spacing w:before="0" w:after="200" w:lineRule="auto" w:line="276"/>
      </w:pPr>
      <w:r>
        <w:rPr>
          <w:b/>
        </w:rPr>
        <w:t xml:space="preserve">Abstract (EN): </w:t>
      </w:r>
      <w:r>
        <w:t>Electrically pumped organic lasers hold tremendous potential for next‐generation optoelectronic applications. However, their realization remains a grand challenge due to detrimental exciton‐polaron annihilation, which is one of the most recognized yet unresolved exciton losses in organic semiconductors under electrical excitation. Unbalanced charge carrier mobilities have been identified as the primary cause of polaron‐related annihilation processes. In this work, we address this issue by developing a spirofluorene‐cored D‐π‐A compound that features both outstanding optical gain and balanced carrier mobilities. When integrated into an organic light‐emitting diode (OLED) architecture, the newly developed material exhibits enhanced device performance and reduced efficiency roll‐off, which can be ascribed to the inhibition of polaron accumulation, as evidenced by the time‐resolved electroluminescent measurements. More importantly, electrically pumped transient absorption spectroscopy further confirms the suppression of polaron‐induced nonradiative losses, which is crucial for maintaining population inversion and achieving optically pumped lasing in the operating OLED. These findings shed light on how chemical modifications can mitigate exciton‐polaron annihilation in operating devices, opening a promising avenue toward the realization of electrically pumped organic lasers.</w:t>
      </w:r>
    </w:p>
    <w:p>
      <w:pPr>
        <w:spacing w:before="120" w:after="120"/>
      </w:pPr>
      <w:r>
        <w:rPr>
          <w:sz w:val="18"/>
        </w:rPr>
        <w:t>——————————————————————————————————————————————————————————————————————</w:t>
      </w:r>
    </w:p>
    <w:p>
      <w:pPr>
        <w:spacing w:before="160" w:after="40" w:line="240" w:lineRule="auto"/>
      </w:pPr>
      <w:r>
        <w:rPr>
          <w:b/>
        </w:rPr>
        <w:t xml:space="preserve">[713] </w:t>
      </w:r>
      <w:hyperlink r:id="rId1221">
        <w:r>
          <w:rPr>
            <w:color w:val="1155CC"/>
            <w:u w:val="single"/>
          </w:rPr>
          <w:t>从水-Oil-Eectrode界面“电”三氧化二氮(2,2--------------------------------------------------------------------------------------------------------</w:t>
        </w:r>
      </w:hyperlink>
    </w:p>
    <w:p>
      <w:pPr>
        <w:spacing w:before="0" w:after="80"/>
      </w:pPr>
      <w:r>
        <w:rPr>
          <w:i/>
          <w:sz w:val="20"/>
        </w:rPr>
        <w:t>EN: Radical Electroprecipitation from a Water|Oil|Electrode Interface Prolongs “Electro”Chemiluminescence of the Tris(2,2′‐bipyridyl)Ruthenium(II) and Benzoyl Peroxide System by 103</w:t>
      </w:r>
    </w:p>
    <w:p>
      <w:pPr>
        <w:spacing w:before="0" w:after="120"/>
      </w:pPr>
      <w:r>
        <w:rPr>
          <w:b/>
        </w:rPr>
        <w:t xml:space="preserve">Source: </w:t>
      </w:r>
      <w:r>
        <w:t>Wiley: Angewandte Chemie International Edition: Table of Contents</w:t>
      </w:r>
      <w:r>
        <w:t xml:space="preserve">    </w:t>
      </w:r>
      <w:r>
        <w:rPr>
          <w:b/>
        </w:rPr>
        <w:t xml:space="preserve">Pub date: </w:t>
      </w:r>
      <w:r>
        <w:t>2026-01-07 15:19:35+00:00</w:t>
      </w:r>
      <w:r>
        <w:t xml:space="preserve">    </w:t>
      </w:r>
      <w:r>
        <w:rPr>
          <w:b/>
        </w:rPr>
        <w:t xml:space="preserve">DOI: </w:t>
      </w:r>
      <w:hyperlink r:id="rId1222">
        <w:r>
          <w:rPr>
            <w:color w:val="1155CC"/>
            <w:u w:val="single"/>
          </w:rPr>
          <w:t>10.1002/anie.202521454</w:t>
        </w:r>
      </w:hyperlink>
    </w:p>
    <w:p>
      <w:pPr>
        <w:spacing w:before="0" w:after="120"/>
      </w:pPr>
      <w:r>
        <w:rPr>
          <w:b/>
        </w:rPr>
        <w:t xml:space="preserve">Notes: </w:t>
      </w:r>
      <w:r>
        <w:t>abstract_source=crossref</w:t>
      </w:r>
    </w:p>
    <w:p>
      <w:pPr>
        <w:spacing w:before="0" w:after="80" w:lineRule="auto" w:line="276"/>
      </w:pPr>
      <w:r>
        <w:rPr>
          <w:b/>
        </w:rPr>
        <w:t xml:space="preserve">摘要（ZH）: </w:t>
      </w:r>
      <w:r>
        <w:t>抽象活性中间体,包括基体和其他短寿命分子,在纯化学过程中无处不在,而且往往极难分离。最近,我们发现有活力、反应性激进物种可以通过电沉降被困住,这里的沉淀物含有反应性中间体。 原则是直向的:如果溶性平衡能够在反应的中间寿命期之前被超越,中间体可以被加速。 典型的,电子化学照明(ECL)是一个将电力转移到化学能源的过程,然后化学能源以光排放的形式释放(通常是在电活性发光体存在的情况下)。</w:t>
      </w:r>
    </w:p>
    <w:p>
      <w:pPr>
        <w:spacing w:before="0" w:after="200" w:lineRule="auto" w:line="276"/>
      </w:pPr>
      <w:r>
        <w:rPr>
          <w:b/>
        </w:rPr>
        <w:t xml:space="preserve">Abstract (EN): </w:t>
      </w:r>
      <w:r>
        <w:t>Reactive intermediates, including radicals and other short‐lived molecules, are ubiquitous in pure chemical processes and often highly difficult to isolate. Recently, we found that energetic, reactive radical species can be trapped through electroprecipitation, where the precipitate contains a reactive intermediate. The principle is straight‐forward: If a solubility equilibrium can be exceeded before the reactive intermediate lifetime, the intermediate can be precipitated. Classically, electrochemiluminescence (ECL) is a process where electrical energy is transferred to chemical energy, and then the chemical energy is released in the form of light emission (often in the presence of an electroactive luminophore). The apparent luminescence lifetime, limited by radical lifetimes, of ECL reactions in solution is short (sub‐microsecond), and thus can hinder the performance of the technique as light emission is confined to the electrode surface and occurs only when the electrical potential to the system is applied. Here, we show that with a high concentration (10–250 mM) of benzoyl peroxide (BPO) being co‐reduced with a tris(2,2′‐bipyridyl)ruthenium(II) complex, we can achieve an ECL emission that lasts for hundreds of seconds after potential arrest, corresponding to a thousand‐fold (10</w:t>
      </w:r>
      <w:r>
        <w:rPr>
          <w:vertAlign w:val="subscript"/>
        </w:rPr>
        <w:t>3</w:t>
      </w:r>
      <w:r>
        <w:t>) increase in apparent afterglow chemiluminescence lifetimes. This electroprecipitation process occurs at an aqueous|organic multiphase boundary, which are present all through nature and are arguably more representative of natural chemical processes. Furthermore, experimental parameters, including BPO concentration, applied potential, and electrode material, were investigated. Competitive and parasitic processes, such as the hydrogen evolution reaction and decarboxylation, diminish the electroprecipitation of reactive intermediates, and we detail mitigation and optimization efforts. Overall, this work reveals that multiphase interfaces can be used to electroprecipitate reactive radicals, separating their use in space and time.</w:t>
      </w:r>
    </w:p>
    <w:p>
      <w:pPr>
        <w:spacing w:before="120" w:after="120"/>
      </w:pPr>
      <w:r>
        <w:rPr>
          <w:sz w:val="18"/>
        </w:rPr>
        <w:t>——————————————————————————————————————————————————————————————————————</w:t>
      </w:r>
    </w:p>
    <w:p>
      <w:pPr>
        <w:spacing w:before="160" w:after="40" w:line="240" w:lineRule="auto"/>
      </w:pPr>
      <w:r>
        <w:rPr>
          <w:b/>
        </w:rPr>
        <w:t xml:space="preserve">[714] </w:t>
      </w:r>
      <w:hyperlink r:id="rId1223">
        <w:r>
          <w:rPr>
            <w:color w:val="1155CC"/>
            <w:u w:val="single"/>
          </w:rPr>
          <w:t>[ASAP]对蛋白质中相互竞争的信号传输模式的效率进行量化的框架</w:t>
        </w:r>
      </w:hyperlink>
    </w:p>
    <w:p>
      <w:pPr>
        <w:spacing w:before="0" w:after="80"/>
      </w:pPr>
      <w:r>
        <w:rPr>
          <w:i/>
          <w:sz w:val="20"/>
        </w:rPr>
        <w:t>EN: [ASAP] Framework for Quantifying the Efficiency of Competing Signal Transmission Modes in Proteins</w:t>
      </w:r>
    </w:p>
    <w:p>
      <w:pPr>
        <w:spacing w:before="0" w:after="120"/>
      </w:pPr>
      <w:r>
        <w:rPr>
          <w:b/>
        </w:rPr>
        <w:t xml:space="preserve">Source: </w:t>
      </w:r>
      <w:r>
        <w:t>Journal of the American Chemical Society: Latest Articles (ACS Publications)</w:t>
      </w:r>
      <w:r>
        <w:t xml:space="preserve">    </w:t>
      </w:r>
      <w:r>
        <w:rPr>
          <w:b/>
        </w:rPr>
        <w:t xml:space="preserve">Pub date: </w:t>
      </w:r>
      <w:r>
        <w:t>2026-01-07 15:22:06+00:00</w:t>
      </w:r>
      <w:r>
        <w:t xml:space="preserve">    </w:t>
      </w:r>
      <w:r>
        <w:rPr>
          <w:b/>
        </w:rPr>
        <w:t xml:space="preserve">DOI: </w:t>
      </w:r>
      <w:hyperlink r:id="rId1224">
        <w:r>
          <w:rPr>
            <w:color w:val="1155CC"/>
            <w:u w:val="single"/>
          </w:rPr>
          <w:t>10.1021/jacs.5c14419</w:t>
        </w:r>
      </w:hyperlink>
    </w:p>
    <w:p>
      <w:pPr>
        <w:spacing w:before="0" w:after="120"/>
      </w:pPr>
      <w:r>
        <w:rPr>
          <w:b/>
        </w:rPr>
        <w:t xml:space="preserve">Notes: </w:t>
      </w:r>
      <w:r>
        <w:t>abstract_source=pubmed</w:t>
      </w:r>
    </w:p>
    <w:p>
      <w:pPr>
        <w:spacing w:before="0" w:after="80" w:lineRule="auto" w:line="276"/>
      </w:pPr>
      <w:r>
        <w:rPr>
          <w:b/>
        </w:rPr>
        <w:t xml:space="preserve">摘要（ZH）: </w:t>
      </w:r>
      <w:r>
        <w:t>在微粒层一级,生物信号传输依赖于涉及传感器和效应模块的 Alostestic 蛋白质中信号传输的时间尺度和微粒细节往往不明确,尽管关于信号蛋白的结构性信息过多。根据线性反应理论,我们开发理论框架,以界定依赖频率的力量和迁移的功能,通过蛋白质以及更一般的粘结介质来界定依赖频率的力量和迁移的功能。传输功能量化一个地点局部时间依附的扰动的一小部分,无论它是一种畸形、一种力量或多种力量,在遥远的地点生存。它们的定义是模拟或实验的均衡波动。</w:t>
      </w:r>
    </w:p>
    <w:p>
      <w:pPr>
        <w:spacing w:before="0" w:after="200" w:lineRule="auto" w:line="276"/>
      </w:pPr>
      <w:r>
        <w:rPr>
          <w:b/>
        </w:rPr>
        <w:t xml:space="preserve">Abstract (EN): </w:t>
      </w:r>
      <w:r>
        <w:t>On the microscopic level, biological signal transmission relies on coordinated transient structural changes in allosteric proteins that involve sensor and effector modules. The time scales and microscopic details of signal transmission in proteins are often unclear, despite a plethora of structural information on signaling proteins. Based on linear-response theory, we develop the theoretical framework to define frequency-dependent force and displacement transmit functions through proteins and, more generally, viscoelastic media. Transmit functions quantify the fraction of a local time-dependent perturbation at one site, be it a deformation, a force or a combination thereof, that survives at a distant site. They are defined in terms of equilibrium fluctuations from simulations or experimental observations. We apply the framework to our all-atom molecular dynamics simulations of a bacterial histidine kinase protein extensively studied in experiments. For the isolated coiled-coil (CC) motif that connects sensor and effector modules, our analysis reveals that signal propagation through the CC is possible via shift, splay, and twist deformation modes, which is confirmed by simulations of the entire protein. Based on mutation experiments, we infer that the most relevant mode for the biological function of the histidine kinase is the splay deformation. For the β2-adrenergic receptor, a transmembrane protein involved in the G-protein signaling pathway, we compare signal transmission across its different structural domains involved in receptor activation.</w:t>
      </w:r>
    </w:p>
    <w:p>
      <w:pPr>
        <w:spacing w:before="120" w:after="120"/>
      </w:pPr>
      <w:r>
        <w:rPr>
          <w:sz w:val="18"/>
        </w:rPr>
        <w:t>——————————————————————————————————————————————————————————————————————</w:t>
      </w:r>
    </w:p>
    <w:p>
      <w:pPr>
        <w:spacing w:before="160" w:after="40" w:line="240" w:lineRule="auto"/>
      </w:pPr>
      <w:r>
        <w:rPr>
          <w:b/>
        </w:rPr>
        <w:t xml:space="preserve">[715] </w:t>
      </w:r>
      <w:hyperlink r:id="rId1225">
        <w:r>
          <w:rPr>
            <w:color w:val="1155CC"/>
            <w:u w:val="single"/>
          </w:rPr>
          <w:t>[ASAP] 金枪鱼本多点质子混合电子传输调解员:减少基底活体相互竞争氢气进化的独特途径</w:t>
        </w:r>
      </w:hyperlink>
    </w:p>
    <w:p>
      <w:pPr>
        <w:spacing w:before="0" w:after="80"/>
      </w:pPr>
      <w:r>
        <w:rPr>
          <w:i/>
          <w:sz w:val="20"/>
        </w:rPr>
        <w:t>EN: [ASAP] Tunable Multisite Proton-Coupled Electron Transfer Mediators: Distinct Pathways for Substrate Reduction Versus Competing Hydrogen Evolution</w:t>
      </w:r>
    </w:p>
    <w:p>
      <w:pPr>
        <w:spacing w:before="0" w:after="120"/>
      </w:pPr>
      <w:r>
        <w:rPr>
          <w:b/>
        </w:rPr>
        <w:t xml:space="preserve">Source: </w:t>
      </w:r>
      <w:r>
        <w:t>Journal of the American Chemical Society: Latest Articles (ACS Publications)</w:t>
      </w:r>
      <w:r>
        <w:t xml:space="preserve">    </w:t>
      </w:r>
      <w:r>
        <w:rPr>
          <w:b/>
        </w:rPr>
        <w:t xml:space="preserve">Pub date: </w:t>
      </w:r>
      <w:r>
        <w:t>2026-01-07 15:52:57+00:00</w:t>
      </w:r>
      <w:r>
        <w:t xml:space="preserve">    </w:t>
      </w:r>
      <w:r>
        <w:rPr>
          <w:b/>
        </w:rPr>
        <w:t xml:space="preserve">DOI: </w:t>
      </w:r>
      <w:hyperlink r:id="rId1226">
        <w:r>
          <w:rPr>
            <w:color w:val="1155CC"/>
            <w:u w:val="single"/>
          </w:rPr>
          <w:t>10.1021/jacs.5c18522</w:t>
        </w:r>
      </w:hyperlink>
    </w:p>
    <w:p>
      <w:pPr>
        <w:spacing w:before="0" w:after="120"/>
      </w:pPr>
      <w:r>
        <w:rPr>
          <w:b/>
        </w:rPr>
        <w:t xml:space="preserve">Notes: </w:t>
      </w:r>
      <w:r>
        <w:t>abstract_source=pubmed</w:t>
      </w:r>
    </w:p>
    <w:p>
      <w:pPr>
        <w:spacing w:before="0" w:after="80" w:lineRule="auto" w:line="276"/>
      </w:pPr>
      <w:r>
        <w:rPr>
          <w:b/>
        </w:rPr>
        <w:t xml:space="preserve">摘要（ZH）: </w:t>
      </w:r>
      <w:r>
        <w:t>质子混合电子转移试剂已成为从相对薄弱的X-H债券中将净H原子从净H原子转移到有机子基质的强大工具,使用该物质试剂的一个好处是,通过独立地改变其红氧化潜力和/或pKa来选择性地减少基质,X-H债券强度的金枪鱼性;然而,基于这些特征的模块催化性PCET试剂的合理开发仍然不发达。在这里,我们处理与实验室以前引入的二甲基碘补充钴基苯基的PCET调解人有关的重要机械问题。具体地说,我们研究的是,在Brønsted基础修改后的钴调解器的反应器(II,NH)+中间体中,哪里发生了质化,是否出现了子质变和氢化。</w:t>
      </w:r>
    </w:p>
    <w:p>
      <w:pPr>
        <w:spacing w:before="0" w:after="200" w:lineRule="auto" w:line="276"/>
      </w:pPr>
      <w:r>
        <w:rPr>
          <w:b/>
        </w:rPr>
        <w:t xml:space="preserve">Abstract (EN): </w:t>
      </w:r>
      <w:r>
        <w:t>Proton-coupled electron transfer (PCET) reagents have emerged as powerful tools for transferring net H atoms to organic substrates from relatively weak X-H bonds. One advantage of employing PCET reagents is the tunability of the X-H bond strength by independently varying their redox potential and/or pKa for selective substrate reductions; however, the rational development of modular catalytic PCET reagents based on these features remains underdeveloped. Here, we address important mechanistic questions relevant to a dimethylaniline-appended cobaltocene PCET mediator that our lab has previously introduced. Specifically, we examine where protonation occurs within the reactive Co(II, NH)+ intermediate of a Brønsted-base modified cobaltocene mediator, whether substrate reduction and hydrogen evolution reaction (HER) proceed by a common or bifurcated mechanistic pathway, and how the redox, acid-base, and structural properties of PCET mediators can dictate their reactivity and selectivity. We show that substrate compatibility can be tuned and, via a model study with N-aryl imine substrates, provide data pointing to a multisite PCET (MS-PCET) pathway. Moreover, we rigorously characterize the site of protonation in the reactive reduced, protonated form of the mediator, and through kinetic analysis establish that the pathway for undesired competing HER is fundamentally different and involves Cp-ring protonation. Our findings point to a high degree of flexibility in the design of reductive PCET mediators.</w:t>
      </w:r>
    </w:p>
    <w:p>
      <w:pPr>
        <w:spacing w:before="120" w:after="120"/>
      </w:pPr>
      <w:r>
        <w:rPr>
          <w:sz w:val="18"/>
        </w:rPr>
        <w:t>——————————————————————————————————————————————————————————————————————</w:t>
      </w:r>
    </w:p>
    <w:p>
      <w:pPr>
        <w:spacing w:before="160" w:after="40" w:line="240" w:lineRule="auto"/>
      </w:pPr>
      <w:r>
        <w:rPr>
          <w:b/>
        </w:rPr>
        <w:t xml:space="preserve">[716] </w:t>
      </w:r>
      <w:hyperlink r:id="rId1227">
        <w:r>
          <w:rPr>
            <w:color w:val="1155CC"/>
            <w:u w:val="single"/>
          </w:rPr>
          <w:t>[ASAP]通过定时模块动态控制DNAOrigami自大</w:t>
        </w:r>
      </w:hyperlink>
    </w:p>
    <w:p>
      <w:pPr>
        <w:spacing w:before="0" w:after="80"/>
      </w:pPr>
      <w:r>
        <w:rPr>
          <w:i/>
          <w:sz w:val="20"/>
        </w:rPr>
        <w:t>EN: [ASAP] Dynamic Control of DNA Origami Self-Assembly by Transcriptional Modules</w:t>
      </w:r>
    </w:p>
    <w:p>
      <w:pPr>
        <w:spacing w:before="0" w:after="120"/>
      </w:pPr>
      <w:r>
        <w:rPr>
          <w:b/>
        </w:rPr>
        <w:t xml:space="preserve">Source: </w:t>
      </w:r>
      <w:r>
        <w:t>Journal of the American Chemical Society: Latest Articles (ACS Publications)</w:t>
      </w:r>
      <w:r>
        <w:t xml:space="preserve">    </w:t>
      </w:r>
      <w:r>
        <w:rPr>
          <w:b/>
        </w:rPr>
        <w:t xml:space="preserve">Pub date: </w:t>
      </w:r>
      <w:r>
        <w:t>2026-01-07 15:57:56+00:00</w:t>
      </w:r>
      <w:r>
        <w:t xml:space="preserve">    </w:t>
      </w:r>
      <w:r>
        <w:rPr>
          <w:b/>
        </w:rPr>
        <w:t xml:space="preserve">DOI: </w:t>
      </w:r>
      <w:hyperlink r:id="rId1228">
        <w:r>
          <w:rPr>
            <w:color w:val="1155CC"/>
            <w:u w:val="single"/>
          </w:rPr>
          <w:t>10.1021/jacs.5c18964</w:t>
        </w:r>
      </w:hyperlink>
    </w:p>
    <w:p>
      <w:pPr>
        <w:spacing w:before="0" w:after="120"/>
      </w:pPr>
      <w:r>
        <w:rPr>
          <w:b/>
        </w:rPr>
        <w:t xml:space="preserve">Notes: </w:t>
      </w:r>
      <w:r>
        <w:t>abstract_source=pubmed</w:t>
      </w:r>
    </w:p>
    <w:p>
      <w:pPr>
        <w:spacing w:before="0" w:after="80" w:lineRule="auto" w:line="276"/>
      </w:pPr>
      <w:r>
        <w:rPr>
          <w:b/>
        </w:rPr>
        <w:t xml:space="preserve">摘要（ZH）: </w:t>
      </w:r>
      <w:r>
        <w:t>生物细胞通过通过感测、处理和传输环境信息来动态调节自我组装,从而实现适应性和反应性行为。 模拟这一点是工程具有生命功能的动态合成材料的关键。 在大多数现有的动态自我组装系统中,反应是通过外部投入(如分子、光或pH)引起的自由能源景观变化实现的,外部投入(如分子、光或pH)将系统推向新的稳定的热力平衡。 相比之下,实现生命系统的持续和复杂过程特征需要一种包含连续能量消散的无平衡方法。 在这里,我们提出一种通过直接组合来动态控制DNA或铁质自组装的新战略。</w:t>
      </w:r>
    </w:p>
    <w:p>
      <w:pPr>
        <w:spacing w:before="0" w:after="200" w:lineRule="auto" w:line="276"/>
      </w:pPr>
      <w:r>
        <w:rPr>
          <w:b/>
        </w:rPr>
        <w:t xml:space="preserve">Abstract (EN): </w:t>
      </w:r>
      <w:r>
        <w:t>Biological cells achieve adaptive and responsive behaviors by dynamically regulating self-assembly through sensing, processing, and transmitting environmental information. Emulating this is key to engineering dynamic synthetic materials with life-like functions. In most existing dynamic self-assembly systems, the responses are achieved by changes in the free energy landscape induced by external inputs (such as molecules, light, or pH) that push the system toward a new stable thermodynamic equilibrium. In contrast, achieving the sustained and complex processes characteristic of living systems requires a nonequilibrium approach involving continuous energy dissipation. Here, we present a new strategy for dynamic control of DNA origami tile self-assembly by directly coupling a transcriptional module's activity to the tiles' assembly state. Transcription is triggered only upon tile dimerization, which brings the module components into close proximity. The resulting RNA blocker strands then disassemble into dimers via strand displacement, establishing a dissipative, autonomous feedback loop. We demonstrated that integrating two mutually inhibitory tile pairs constructs a bistable system whose state can be switched by using RNA inducers or upstream transcriptional circuits. Simulations of larger networks further predict complex, nonequilibrium temporal behaviors (including sustained oscillations and pulses) that are maintained only through continuous energy consumption. This work presents a generalizable strategy for dynamic control of DNA origami tile self-assembly via transcriptional modules, paving the way for applications in nanorobotics, biosensing, biomedicine, and artificial life systems.</w:t>
      </w:r>
    </w:p>
    <w:p>
      <w:pPr>
        <w:spacing w:before="120" w:after="120"/>
      </w:pPr>
      <w:r>
        <w:rPr>
          <w:sz w:val="18"/>
        </w:rPr>
        <w:t>——————————————————————————————————————————————————————————————————————</w:t>
      </w:r>
    </w:p>
    <w:p>
      <w:pPr>
        <w:spacing w:before="160" w:after="40" w:line="240" w:lineRule="auto"/>
      </w:pPr>
      <w:r>
        <w:rPr>
          <w:b/>
        </w:rPr>
        <w:t xml:space="preserve">[717] </w:t>
      </w:r>
      <w:hyperlink r:id="rId1229">
        <w:r>
          <w:rPr>
            <w:color w:val="1155CC"/>
            <w:u w:val="single"/>
          </w:rPr>
          <w:t>[ASAP] 用于宽度电温电池的以甲基推进剂为基础的电解解工艺</w:t>
        </w:r>
      </w:hyperlink>
    </w:p>
    <w:p>
      <w:pPr>
        <w:spacing w:before="0" w:after="80"/>
      </w:pPr>
      <w:r>
        <w:rPr>
          <w:i/>
          <w:sz w:val="20"/>
        </w:rPr>
        <w:t>EN: [ASAP] A Methyl Propionate-Based Electrolyte for Wide-Temperature Sodium-Ion Batteries</w:t>
      </w:r>
    </w:p>
    <w:p>
      <w:pPr>
        <w:spacing w:before="0" w:after="120"/>
      </w:pPr>
      <w:r>
        <w:rPr>
          <w:b/>
        </w:rPr>
        <w:t xml:space="preserve">Source: </w:t>
      </w:r>
      <w:r>
        <w:t>ACS Energy Letters: Latest Articles (ACS Publications)</w:t>
      </w:r>
      <w:r>
        <w:t xml:space="preserve">    </w:t>
      </w:r>
      <w:r>
        <w:rPr>
          <w:b/>
        </w:rPr>
        <w:t xml:space="preserve">Pub date: </w:t>
      </w:r>
      <w:r>
        <w:t>2026-01-07 16:26:29+00:00</w:t>
      </w:r>
      <w:r>
        <w:t xml:space="preserve">    </w:t>
      </w:r>
      <w:r>
        <w:rPr>
          <w:b/>
        </w:rPr>
        <w:t xml:space="preserve">DOI: </w:t>
      </w:r>
      <w:hyperlink r:id="rId1230">
        <w:r>
          <w:rPr>
            <w:color w:val="1155CC"/>
            <w:u w:val="single"/>
          </w:rPr>
          <w:t>10.1021/acsenergylett.5c02835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[718] </w:t>
      </w:r>
      <w:hyperlink r:id="rId1231">
        <w:r>
          <w:rPr>
            <w:color w:val="1155CC"/>
            <w:u w:val="single"/>
          </w:rPr>
          <w:t>[ASAP] 利用质子隧道效应,从催化金属基质基底迅速喷发单层硫烯</w:t>
        </w:r>
      </w:hyperlink>
    </w:p>
    <w:p>
      <w:pPr>
        <w:spacing w:before="0" w:after="80"/>
      </w:pPr>
      <w:r>
        <w:rPr>
          <w:i/>
          <w:sz w:val="20"/>
        </w:rPr>
        <w:t>EN: [ASAP] Rapid Exfoliation of Monolayer Graphene from Catalytic Metal Substrate Using Proton Tunneling Effect</w:t>
      </w:r>
    </w:p>
    <w:p>
      <w:pPr>
        <w:spacing w:before="0" w:after="120"/>
      </w:pPr>
      <w:r>
        <w:rPr>
          <w:b/>
        </w:rPr>
        <w:t xml:space="preserve">Source: </w:t>
      </w:r>
      <w:r>
        <w:t>Journal of the American Chemical Society: Latest Articles (ACS Publications)</w:t>
      </w:r>
      <w:r>
        <w:t xml:space="preserve">    </w:t>
      </w:r>
      <w:r>
        <w:rPr>
          <w:b/>
        </w:rPr>
        <w:t xml:space="preserve">Pub date: </w:t>
      </w:r>
      <w:r>
        <w:t>2026-01-07 17:09:36+00:00</w:t>
      </w:r>
      <w:r>
        <w:t xml:space="preserve">    </w:t>
      </w:r>
      <w:r>
        <w:rPr>
          <w:b/>
        </w:rPr>
        <w:t xml:space="preserve">DOI: </w:t>
      </w:r>
      <w:hyperlink r:id="rId1232">
        <w:r>
          <w:rPr>
            <w:color w:val="1155CC"/>
            <w:u w:val="single"/>
          </w:rPr>
          <w:t>10.1021/jacs.5c19015</w:t>
        </w:r>
      </w:hyperlink>
    </w:p>
    <w:p>
      <w:pPr>
        <w:spacing w:before="0" w:after="120"/>
      </w:pPr>
      <w:r>
        <w:rPr>
          <w:b/>
        </w:rPr>
        <w:t xml:space="preserve">Notes: </w:t>
      </w:r>
      <w:r>
        <w:t>abstract_source=pubmed</w:t>
      </w:r>
    </w:p>
    <w:p>
      <w:pPr>
        <w:spacing w:before="0" w:after="80" w:lineRule="auto" w:line="276"/>
      </w:pPr>
      <w:r>
        <w:rPr>
          <w:b/>
        </w:rPr>
        <w:t xml:space="preserve">摘要（ZH）: </w:t>
      </w:r>
      <w:r>
        <w:t>据知,单层石墨可渗透到质子(H+),而它能渗透到所有其他离子、原子和分子。石墨渗透性质子的根基机制在量子隧道和古典热迁移之间仍然有争议。在这里,我们直接提供证据表明,石墨的质子渗入主要是在应用电子化学潜力的情况下由量子隧道效应造成的。利用这种洞见,我们展示了石墨从金属催化剂表面迅速从石墨通过化学蒸气沉积合成的金属催化剂表面挥发出来。石墨从催化剂表面转移到不同子体的处理时间可以从常规基底伸展剂的数小时缩短。</w:t>
      </w:r>
    </w:p>
    <w:p>
      <w:pPr>
        <w:spacing w:before="0" w:after="200" w:lineRule="auto" w:line="276"/>
      </w:pPr>
      <w:r>
        <w:rPr>
          <w:b/>
        </w:rPr>
        <w:t xml:space="preserve">Abstract (EN): </w:t>
      </w:r>
      <w:r>
        <w:t>Monolayer graphene is known to be permeable to protons (H+), while it is impermeable to all other ions, atoms, and molecules. The mechanism that underlies the proton permeability of graphene is still in contention between quantum tunneling and classical thermal transport. Here, we provide direct evidence that the proton permeation of graphene is dominantly caused by the quantum tunneling effect under application of electrochemical potentials. Leveraging this insight, we demonstrate a rapid electrochemical exfoliation of graphene from a metal catalyst surface where the graphene is synthesized by chemical vapor deposition. The processing time for the transfer of graphene from the catalyst surface onto different substrates can be reduced from several hours in the conventional substrate-etching method to only 10 s in this technique.</w:t>
      </w:r>
    </w:p>
    <w:p>
      <w:pPr>
        <w:spacing w:before="120" w:after="120"/>
      </w:pPr>
      <w:r>
        <w:rPr>
          <w:sz w:val="18"/>
        </w:rPr>
        <w:t>——————————————————————————————————————————————————————————————————————</w:t>
      </w:r>
    </w:p>
    <w:p>
      <w:pPr>
        <w:spacing w:before="160" w:after="40" w:line="240" w:lineRule="auto"/>
      </w:pPr>
      <w:r>
        <w:rPr>
          <w:b/>
        </w:rPr>
        <w:t xml:space="preserve">[719] </w:t>
      </w:r>
      <w:hyperlink r:id="rId1233">
        <w:r>
          <w:rPr>
            <w:color w:val="1155CC"/>
            <w:u w:val="single"/>
          </w:rPr>
          <w:t>[ASAP]1,1-二代异索色人催化性对等选择性合成合成</w:t>
        </w:r>
      </w:hyperlink>
    </w:p>
    <w:p>
      <w:pPr>
        <w:spacing w:before="0" w:after="80"/>
      </w:pPr>
      <w:r>
        <w:rPr>
          <w:i/>
          <w:sz w:val="20"/>
        </w:rPr>
        <w:t>EN: [ASAP] Catalytic Enantioselective Synthesis of 1,1-Disubstituted Isochromans</w:t>
      </w:r>
    </w:p>
    <w:p>
      <w:pPr>
        <w:spacing w:before="0" w:after="120"/>
      </w:pPr>
      <w:r>
        <w:rPr>
          <w:b/>
        </w:rPr>
        <w:t xml:space="preserve">Source: </w:t>
      </w:r>
      <w:r>
        <w:t>Journal of the American Chemical Society: Latest Articles (ACS Publications)</w:t>
      </w:r>
      <w:r>
        <w:t xml:space="preserve">    </w:t>
      </w:r>
      <w:r>
        <w:rPr>
          <w:b/>
        </w:rPr>
        <w:t xml:space="preserve">Pub date: </w:t>
      </w:r>
      <w:r>
        <w:t>2026-01-07 18:31:30+00:00</w:t>
      </w:r>
      <w:r>
        <w:t xml:space="preserve">    </w:t>
      </w:r>
      <w:r>
        <w:rPr>
          <w:b/>
        </w:rPr>
        <w:t xml:space="preserve">DOI: </w:t>
      </w:r>
      <w:hyperlink r:id="rId1234">
        <w:r>
          <w:rPr>
            <w:color w:val="1155CC"/>
            <w:u w:val="single"/>
          </w:rPr>
          <w:t>10.1021/jacs.5c19331</w:t>
        </w:r>
      </w:hyperlink>
    </w:p>
    <w:p>
      <w:pPr>
        <w:spacing w:before="0" w:after="120"/>
      </w:pPr>
      <w:r>
        <w:rPr>
          <w:b/>
        </w:rPr>
        <w:t xml:space="preserve">Notes: </w:t>
      </w:r>
      <w:r>
        <w:t>abstract_source=pubmed</w:t>
      </w:r>
    </w:p>
    <w:p>
      <w:pPr>
        <w:spacing w:before="0" w:after="80" w:lineRule="auto" w:line="276"/>
      </w:pPr>
      <w:r>
        <w:rPr>
          <w:b/>
        </w:rPr>
        <w:t xml:space="preserve">摘要（ZH）: </w:t>
      </w:r>
      <w:r>
        <w:t>在新开发的稳定碱基碳酸催化剂(CBSCA)存在的情况下,含有氢质保证金捐献点的β-aryl乙醇与金塔发生对应的选择性选择性反应,以提供1-aryl、1-alkyl-isochmans,使其产量优于优于优于优于优于产量和对等功率。在总体反应中,尽量减少催化剂聚合被确定为一个关键因素,催化剂含量较低,导致对等选择性显著改善。详细的动力学、非线性效应和DFT研究显示,催化剂聚合在调节再活性和对应选择性方面发挥着关键作用,而C-C通过一种内分子加上一种带有催化剂的氧化碳离子形成C-C债券构成抗毒处理步骤。</w:t>
      </w:r>
    </w:p>
    <w:p>
      <w:pPr>
        <w:spacing w:before="0" w:after="200" w:lineRule="auto" w:line="276"/>
      </w:pPr>
      <w:r>
        <w:rPr>
          <w:b/>
        </w:rPr>
        <w:t xml:space="preserve">Abstract (EN): </w:t>
      </w:r>
      <w:r>
        <w:t>In the presence of a newly developed conjugate-base-stabilized carboxylic acid (CBSCA) catalyst, β-aryl ethanols containing a hydrogen bond donor site undergo enantioselective oxa-Pictet-Spengler reactions with ketals to provide 1-aryl,1-alkyl-isochromans in good to excellent yields and enantioselectivities. The minimization of catalyst aggregation was identified as a critical factor in the overall reaction, with lower catalyst loadings resulting in significant improvements in enantioselectivity. Detailed kinetic, nonlinear effect, and DFT studies reveal that catalyst aggregation plays a key role in modulating reactivity and enantioselectivity, and that C-C bond formation via an intramolecular addition to a catalyst-bound oxocarbenium ion constitutes the enantiodetermining step. Energy decomposition and noncovalent interaction analyses further delineate the steric and electronic factors governing asymmetric induction. These findings establish a general platform for the catalytic asymmetric synthesis of tertiary ether-containing heterocycles and offer fundamental insight into the mechanism of chiral Bro̷nsted acid catalysis.</w:t>
      </w:r>
    </w:p>
    <w:p>
      <w:pPr>
        <w:spacing w:before="120" w:after="120"/>
      </w:pPr>
      <w:r>
        <w:rPr>
          <w:sz w:val="18"/>
        </w:rPr>
        <w:t>——————————————————————————————————————————————————————————————————————</w:t>
      </w:r>
    </w:p>
    <w:p>
      <w:pPr>
        <w:spacing w:before="160" w:after="40" w:line="240" w:lineRule="auto"/>
      </w:pPr>
      <w:r>
        <w:rPr>
          <w:b/>
        </w:rPr>
        <w:t xml:space="preserve">[720] </w:t>
      </w:r>
      <w:hyperlink r:id="rId1235">
        <w:r>
          <w:rPr>
            <w:color w:val="1155CC"/>
            <w:u w:val="single"/>
          </w:rPr>
          <w:t>[ASAP]通过Peptidyl-Cu(I)-与远程立体控制进行解析,对二硝基乙烷进行非对称不相称的硫化反应</w:t>
        </w:r>
      </w:hyperlink>
    </w:p>
    <w:p>
      <w:pPr>
        <w:spacing w:before="0" w:after="80"/>
      </w:pPr>
      <w:r>
        <w:rPr>
          <w:i/>
          <w:sz w:val="20"/>
        </w:rPr>
        <w:t>EN: [ASAP] Asymmetric Desymmetrizing Sulfonylation of Diarylmethanes via Peptidyl-Cu(I)-Catalysis with Remote Stereocontrol</w:t>
      </w:r>
    </w:p>
    <w:p>
      <w:pPr>
        <w:spacing w:before="0" w:after="120"/>
      </w:pPr>
      <w:r>
        <w:rPr>
          <w:b/>
        </w:rPr>
        <w:t xml:space="preserve">Source: </w:t>
      </w:r>
      <w:r>
        <w:t>Journal of the American Chemical Society: Latest Articles (ACS Publications)</w:t>
      </w:r>
      <w:r>
        <w:t xml:space="preserve">    </w:t>
      </w:r>
      <w:r>
        <w:rPr>
          <w:b/>
        </w:rPr>
        <w:t xml:space="preserve">Pub date: </w:t>
      </w:r>
      <w:r>
        <w:t>2026-01-07 18:50:01+00:00</w:t>
      </w:r>
      <w:r>
        <w:t xml:space="preserve">    </w:t>
      </w:r>
      <w:r>
        <w:rPr>
          <w:b/>
        </w:rPr>
        <w:t xml:space="preserve">DOI: </w:t>
      </w:r>
      <w:hyperlink r:id="rId1236">
        <w:r>
          <w:rPr>
            <w:color w:val="1155CC"/>
            <w:u w:val="single"/>
          </w:rPr>
          <w:t>10.1021/jacs.5c20554</w:t>
        </w:r>
      </w:hyperlink>
    </w:p>
    <w:p>
      <w:pPr>
        <w:spacing w:before="0" w:after="120"/>
      </w:pPr>
      <w:r>
        <w:rPr>
          <w:b/>
        </w:rPr>
        <w:t xml:space="preserve">Notes: </w:t>
      </w:r>
      <w:r>
        <w:t>abstract_source=pubmed</w:t>
      </w:r>
    </w:p>
    <w:p>
      <w:pPr>
        <w:spacing w:before="0" w:after="80" w:lineRule="auto" w:line="276"/>
      </w:pPr>
      <w:r>
        <w:rPr>
          <w:b/>
        </w:rPr>
        <w:t xml:space="preserve">摘要（ZH）: </w:t>
      </w:r>
      <w:r>
        <w:t>日日志甲烷与有机硫化物的不对称催化分解交叉结合,已经开发出一种非对称催化分解,日日志甲烷与有机硫化物的交叉结合,蛋白性和非氨基氨基酸的变异使得有可能在铜催化催化法下调制不开立立的气压调节器的固化聚氨基螺旋藻,在组织以反反应效应调节的亚甲二氯二苯并呋喃化合物的几何测量方面可能具有重要意义,以有效对应选择性氧化添加为调制;通过二级动能分辨率,并在机械学研究的证实下,对全氟辛烷磺酸产品进一步进行抗富化。</w:t>
      </w:r>
    </w:p>
    <w:p>
      <w:pPr>
        <w:spacing w:before="0" w:after="200" w:lineRule="auto" w:line="276"/>
      </w:pPr>
      <w:r>
        <w:rPr>
          <w:b/>
        </w:rPr>
        <w:t xml:space="preserve">Abstract (EN): </w:t>
      </w:r>
      <w:r>
        <w:t>An asymmetric catalytic desymmetrizing cross-coupling of diarylmethanes with organosulfinates has been developed. Permutations of proteinogenic and noncanonical amino acids allow access to guanidinylated peptide-based ligands that may be tuned for distal stereocontrol under copper catalysis. Noncovalent attractive interactions are likely significant in organizing the geometry of substrate-copper-peptide ternary complexes, modulated by countercation effects, for effective enantioselective oxidative addition; further enantioenrichment of the sulfone products occurs via secondary kinetic resolution, corroborated by mechanistic studies. The mild protocols disclosed herein expand asymmetric and site-selective catalysis mediated by peptides first to enable C-S bond-forming cross-coupling reactions with remote stereocontrol.</w:t>
      </w:r>
    </w:p>
    <w:p>
      <w:pPr>
        <w:spacing w:before="120" w:after="120"/>
      </w:pPr>
      <w:r>
        <w:rPr>
          <w:sz w:val="18"/>
        </w:rPr>
        <w:t>——————————————————————————————————————————————————————————————————————</w:t>
      </w:r>
    </w:p>
    <w:p>
      <w:pPr>
        <w:spacing w:before="160" w:after="40" w:line="240" w:lineRule="auto"/>
      </w:pPr>
      <w:r>
        <w:rPr>
          <w:b/>
        </w:rPr>
        <w:t xml:space="preserve">[721] </w:t>
      </w:r>
      <w:hyperlink r:id="rId1237">
        <w:r>
          <w:rPr>
            <w:color w:val="1155CC"/>
            <w:u w:val="single"/>
          </w:rPr>
          <w:t>[ASAP] 用于神经信号物理再编码的细胞膜界面的地形学</w:t>
        </w:r>
      </w:hyperlink>
    </w:p>
    <w:p>
      <w:pPr>
        <w:spacing w:before="0" w:after="80"/>
      </w:pPr>
      <w:r>
        <w:rPr>
          <w:i/>
          <w:sz w:val="20"/>
        </w:rPr>
        <w:t>EN: [ASAP] Topology of the Cell Membrane Interface for the Physical Re-Encoding of Neural Signals</w:t>
      </w:r>
    </w:p>
    <w:p>
      <w:pPr>
        <w:spacing w:before="0" w:after="120"/>
      </w:pPr>
      <w:r>
        <w:rPr>
          <w:b/>
        </w:rPr>
        <w:t xml:space="preserve">Source: </w:t>
      </w:r>
      <w:r>
        <w:t>Journal of the American Chemical Society: Latest Articles (ACS Publications)</w:t>
      </w:r>
      <w:r>
        <w:t xml:space="preserve">    </w:t>
      </w:r>
      <w:r>
        <w:rPr>
          <w:b/>
        </w:rPr>
        <w:t xml:space="preserve">Pub date: </w:t>
      </w:r>
      <w:r>
        <w:t>2026-01-07 18:52:19+00:00</w:t>
      </w:r>
      <w:r>
        <w:t xml:space="preserve">    </w:t>
      </w:r>
      <w:r>
        <w:rPr>
          <w:b/>
        </w:rPr>
        <w:t xml:space="preserve">DOI: </w:t>
      </w:r>
      <w:hyperlink r:id="rId1238">
        <w:r>
          <w:rPr>
            <w:color w:val="1155CC"/>
            <w:u w:val="single"/>
          </w:rPr>
          <w:t>10.1021/jacs.5c17879</w:t>
        </w:r>
      </w:hyperlink>
    </w:p>
    <w:p>
      <w:pPr>
        <w:spacing w:before="0" w:after="120"/>
      </w:pPr>
      <w:r>
        <w:rPr>
          <w:b/>
        </w:rPr>
        <w:t xml:space="preserve">Notes: </w:t>
      </w:r>
      <w:r>
        <w:t>abstract_source=pubmed</w:t>
      </w:r>
    </w:p>
    <w:p>
      <w:pPr>
        <w:spacing w:before="0" w:after="80" w:lineRule="auto" w:line="276"/>
      </w:pPr>
      <w:r>
        <w:rPr>
          <w:b/>
        </w:rPr>
        <w:t xml:space="preserve">摘要（ZH）: </w:t>
      </w:r>
      <w:r>
        <w:t>有效的神经信号编码能够影响感官和认知信息,这对调控情绪和行为至关重要。当前的编码战略主要侧重于信号输入的积极离子渠道,往往忽略了膜结构特性在信号转换中的作用。在这里,我们提出了一个膜界面表层学战略,以重塑膜结构,促成神经信号重新编码和改变信息输出。我们设计了涂有生物过敏聚聚多多多功能胺(Au@PDA)的金纳米药,它们紧紧粘着膜,形成一个表层界面。我们的结果显示,在这个界面内,物理电路相互作用重新编码了潜在行动模式,导致神经发烧敏感度下降,并导致Plas的调整。</w:t>
      </w:r>
    </w:p>
    <w:p>
      <w:pPr>
        <w:spacing w:before="0" w:after="200" w:lineRule="auto" w:line="276"/>
      </w:pPr>
      <w:r>
        <w:rPr>
          <w:b/>
        </w:rPr>
        <w:t xml:space="preserve">Abstract (EN): </w:t>
      </w:r>
      <w:r>
        <w:t>Efficient encoding of neural signals can influence sensory and cognitive information, which is crucial for regulating emotions and behaviors. Current encoding strategies primarily focus on active ion channels for signal inputs, often overlooking the role of membrane structural properties in signal transduction. Here, we present a membrane interface topology strategy to reshape membrane structure, enabling neural signal re-encoding and altering information output. We design gold nanorods coated with bioadhesive polydopamine (Au@PDA), which tightly adhere to membranes, forming a topological interface. Our results demonstrate that physical electrical interactions within this interface re-encode action potential patterns, leading to decreased neuronal firing sensitivity and adjustments in plasticity. Typically, the membrane time constant (τm), influenced by membrane structural properties, increases by 68%, resulting from a 34% increase in membrane capacitance (Cm) and a 112% increase in membrane resistance (Rm). We attribute the increased Cm to the electric polarization of Au@PDA within the membrane's electrical field and the increased Rm to the binding of Au@PDA with Na+ and K+ ions under electric polarization. In vitro, Au@PDA significantly reduces calcium influx caused by high potassium stimulation in the long term, and in vivo, it contributes to pain relief in mice with spared nerve injury and aids in restoring nerve function following spinal cord injury. This study introduces a method for re-encoding neural information via membrane interface topology, offering significant potential for enhancing neuroplasticity and treating chronic neurological diseases.</w:t>
      </w:r>
    </w:p>
    <w:p>
      <w:pPr>
        <w:spacing w:before="120" w:after="120"/>
      </w:pPr>
      <w:r>
        <w:rPr>
          <w:sz w:val="18"/>
        </w:rPr>
        <w:t>——————————————————————————————————————————————————————————————————————</w:t>
      </w:r>
    </w:p>
    <w:p>
      <w:pPr>
        <w:spacing w:before="160" w:after="40" w:line="240" w:lineRule="auto"/>
      </w:pPr>
      <w:r>
        <w:rPr>
          <w:b/>
        </w:rPr>
        <w:t xml:space="preserve">[722] </w:t>
      </w:r>
      <w:hyperlink r:id="rId1239">
        <w:r>
          <w:rPr>
            <w:color w:val="1155CC"/>
            <w:u w:val="single"/>
          </w:rPr>
          <w:t>[ASAP]在用N-多纸碳丁层修改的Znte电极上将二氧化碳减为甲醇的光电化学剂</w:t>
        </w:r>
      </w:hyperlink>
    </w:p>
    <w:p>
      <w:pPr>
        <w:spacing w:before="0" w:after="80"/>
      </w:pPr>
      <w:r>
        <w:rPr>
          <w:i/>
          <w:sz w:val="20"/>
        </w:rPr>
        <w:t>EN: [ASAP] Photoelectrochemical Reduction of Carbon Dioxide to Methanol on a ZnTe Electrode Modified with a N-Doped Carbon Thin Layer</w:t>
      </w:r>
    </w:p>
    <w:p>
      <w:pPr>
        <w:spacing w:before="0" w:after="120"/>
      </w:pPr>
      <w:r>
        <w:rPr>
          <w:b/>
        </w:rPr>
        <w:t xml:space="preserve">Source: </w:t>
      </w:r>
      <w:r>
        <w:t>ACS Energy Letters: Latest Articles (ACS Publications)</w:t>
      </w:r>
      <w:r>
        <w:t xml:space="preserve">    </w:t>
      </w:r>
      <w:r>
        <w:rPr>
          <w:b/>
        </w:rPr>
        <w:t xml:space="preserve">Pub date: </w:t>
      </w:r>
      <w:r>
        <w:t>2026-01-07 19:50:47+00:00</w:t>
      </w:r>
      <w:r>
        <w:t xml:space="preserve">    </w:t>
      </w:r>
      <w:r>
        <w:rPr>
          <w:b/>
        </w:rPr>
        <w:t xml:space="preserve">DOI: </w:t>
      </w:r>
      <w:hyperlink r:id="rId1240">
        <w:r>
          <w:rPr>
            <w:color w:val="1155CC"/>
            <w:u w:val="single"/>
          </w:rPr>
          <w:t>10.1021/acsenergylett.5c03612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[723] </w:t>
      </w:r>
      <w:hyperlink r:id="rId1241">
        <w:r>
          <w:rPr>
            <w:color w:val="1155CC"/>
            <w:u w:val="single"/>
          </w:rPr>
          <w:t>[ASAP] Vilmotenitine A 和Hemsleyaconitine F 结构订正的对称合成总量</w:t>
        </w:r>
      </w:hyperlink>
    </w:p>
    <w:p>
      <w:pPr>
        <w:spacing w:before="0" w:after="80"/>
      </w:pPr>
      <w:r>
        <w:rPr>
          <w:i/>
          <w:sz w:val="20"/>
        </w:rPr>
        <w:t>EN: [ASAP] Asymmetric Total Synthesis of Vilmotenitine A and Structural Revision of Hemsleyaconitine F</w:t>
      </w:r>
    </w:p>
    <w:p>
      <w:pPr>
        <w:spacing w:before="0" w:after="120"/>
      </w:pPr>
      <w:r>
        <w:rPr>
          <w:b/>
        </w:rPr>
        <w:t xml:space="preserve">Source: </w:t>
      </w:r>
      <w:r>
        <w:t>Journal of the American Chemical Society: Latest Articles (ACS Publications)</w:t>
      </w:r>
      <w:r>
        <w:t xml:space="preserve">    </w:t>
      </w:r>
      <w:r>
        <w:rPr>
          <w:b/>
        </w:rPr>
        <w:t xml:space="preserve">Pub date: </w:t>
      </w:r>
      <w:r>
        <w:t>2026-01-07 19:51:17+00:00</w:t>
      </w:r>
      <w:r>
        <w:t xml:space="preserve">    </w:t>
      </w:r>
      <w:r>
        <w:rPr>
          <w:b/>
        </w:rPr>
        <w:t xml:space="preserve">DOI: </w:t>
      </w:r>
      <w:hyperlink r:id="rId1242">
        <w:r>
          <w:rPr>
            <w:color w:val="1155CC"/>
            <w:u w:val="single"/>
          </w:rPr>
          <w:t>10.1021/jacs.5c19459</w:t>
        </w:r>
      </w:hyperlink>
    </w:p>
    <w:p>
      <w:pPr>
        <w:spacing w:before="0" w:after="120"/>
      </w:pPr>
      <w:r>
        <w:rPr>
          <w:b/>
        </w:rPr>
        <w:t xml:space="preserve">Notes: </w:t>
      </w:r>
      <w:r>
        <w:t>abstract_source=pubmed</w:t>
      </w:r>
    </w:p>
    <w:p>
      <w:pPr>
        <w:spacing w:before="0" w:after="80" w:lineRule="auto" w:line="276"/>
      </w:pPr>
      <w:r>
        <w:rPr>
          <w:b/>
        </w:rPr>
        <w:t xml:space="preserve">摘要（ZH）: </w:t>
      </w:r>
      <w:r>
        <w:t>从战略上讲,我们使用了一种对应选择性的迈克尔(Michael)加法,以建造C4全碳四氟乙基立体中子和氧化性重铁内分离性/diel-Alder循环加环以组装A/B环系统的C4全碳四甲甲立体和氧化性低离聚性/Diels-Alder循环加环。</w:t>
      </w:r>
    </w:p>
    <w:p>
      <w:pPr>
        <w:spacing w:before="0" w:after="200" w:lineRule="auto" w:line="276"/>
      </w:pPr>
      <w:r>
        <w:rPr>
          <w:b/>
        </w:rPr>
        <w:t xml:space="preserve">Abstract (EN): </w:t>
      </w:r>
      <w:r>
        <w:t>The first asymmetric total synthesis of the diterpenoid alkaloid (+)-vilmotenitine A has been accomplished. Strategically, we employed an enantioselective Michael addition to construct the C4 all-carbon quaternary stereocenter and an oxidative dearomatization/Diels-Alder cycloaddition for assembly of the A/B-ring system. Initial attempts to install the E-ring via hydrodealkenylative fragmentation/reductive amination in the presence of the D-ring, or conversely, to construct the D-ring via a Robinson-type annulation with the E-ring in place, were fruitless. The successful route ultimately relied on a hydrodealkenylative fragmentation/Mannich cyclization sequence to forge the E-ring as well as a biogenetically inspired Grob fragmentation to access the complete framework through cleavage of the C7-C17 bond and formation of the requisite C7-C8 double bond. The successful Grob fragmentation provides support for the proposed biosynthetic pathway. This work also leads to definitive revision of the structure originally assigned to hemsleyaconitine F.</w:t>
      </w:r>
    </w:p>
    <w:p>
      <w:pPr>
        <w:spacing w:before="120" w:after="120"/>
      </w:pPr>
      <w:r>
        <w:rPr>
          <w:sz w:val="18"/>
        </w:rPr>
        <w:t>——————————————————————————————————————————————————————————————————————</w:t>
      </w:r>
    </w:p>
    <w:p>
      <w:pPr>
        <w:spacing w:before="160" w:after="40" w:line="240" w:lineRule="auto"/>
      </w:pPr>
      <w:r>
        <w:rPr>
          <w:b/>
        </w:rPr>
        <w:t xml:space="preserve">[724] </w:t>
      </w:r>
      <w:hyperlink r:id="rId1243">
        <w:r>
          <w:rPr>
            <w:color w:val="1155CC"/>
            <w:u w:val="single"/>
          </w:rPr>
          <w:t>[ASAP] 光成像成像和治疗生物分子转弯</w:t>
        </w:r>
      </w:hyperlink>
    </w:p>
    <w:p>
      <w:pPr>
        <w:spacing w:before="0" w:after="80"/>
      </w:pPr>
      <w:r>
        <w:rPr>
          <w:i/>
          <w:sz w:val="20"/>
        </w:rPr>
        <w:t>EN: [ASAP] Bioorthogonal Molecular Turn-On Optical Imaging and Therapy</w:t>
      </w:r>
    </w:p>
    <w:p>
      <w:pPr>
        <w:spacing w:before="0" w:after="120"/>
      </w:pPr>
      <w:r>
        <w:rPr>
          <w:b/>
        </w:rPr>
        <w:t xml:space="preserve">Source: </w:t>
      </w:r>
      <w:r>
        <w:t>Chemical Reviews: Latest Articles (ACS Publications)</w:t>
      </w:r>
      <w:r>
        <w:t xml:space="preserve">    </w:t>
      </w:r>
      <w:r>
        <w:rPr>
          <w:b/>
        </w:rPr>
        <w:t xml:space="preserve">Pub date: </w:t>
      </w:r>
      <w:r>
        <w:t>2026-01-07 20:31:27+00:00</w:t>
      </w:r>
      <w:r>
        <w:t xml:space="preserve">    </w:t>
      </w:r>
      <w:r>
        <w:rPr>
          <w:b/>
        </w:rPr>
        <w:t xml:space="preserve">DOI: </w:t>
      </w:r>
      <w:hyperlink r:id="rId1244">
        <w:r>
          <w:rPr>
            <w:color w:val="1155CC"/>
            <w:u w:val="single"/>
          </w:rPr>
          <w:t>10.1021/acs.chemrev.5c00825</w:t>
        </w:r>
      </w:hyperlink>
    </w:p>
    <w:p>
      <w:pPr>
        <w:spacing w:before="0" w:after="120"/>
      </w:pPr>
      <w:r>
        <w:rPr>
          <w:b/>
        </w:rPr>
        <w:t xml:space="preserve">Notes: </w:t>
      </w:r>
      <w:r>
        <w:t>abstract_source=pubmed</w:t>
      </w:r>
    </w:p>
    <w:p>
      <w:pPr>
        <w:spacing w:before="0" w:after="80" w:lineRule="auto" w:line="276"/>
      </w:pPr>
      <w:r>
        <w:rPr>
          <w:b/>
        </w:rPr>
        <w:t xml:space="preserve">摘要（ZH）: </w:t>
      </w:r>
      <w:r>
        <w:t>20年来,在分子开关光学成像和治疗方面引入了生物激素化学,这一领域的一个关键创新是开发生物多向开光学探针(BioTOPs),该探针将生物多向手与成象剂相结合,以利用选择性的生物博向反应激活光学信号,使生物分子在生物系统中的高调和实时直观化。对信号激活的精确的波向时控也能够使离目标治疗达到最低限度。本审查总结了生物TOP的设计和应用方面的最新进展。我们首先讨论了生物多向开关光学成像的两步前目标战略。然后,我们将用于Si的生物激素反应分类。我们首先讨论了生物多向开关开关光学成像的两步前目标战略。</w:t>
      </w:r>
    </w:p>
    <w:p>
      <w:pPr>
        <w:spacing w:before="0" w:after="200" w:lineRule="auto" w:line="276"/>
      </w:pPr>
      <w:r>
        <w:rPr>
          <w:b/>
        </w:rPr>
        <w:t xml:space="preserve">Abstract (EN): </w:t>
      </w:r>
      <w:r>
        <w:t>Bioorthogonal chemistry was introduced in the context of the molecular turn-on optical imaging and therapy over 20 years. A pivotal innovation in this field is the development of bioorthogonal turn-on optical probes (BioTOPs), which integrate bioorthogonal handles with imaging agents to leverage selective bioorthogonal reactions for activating optical signals, enabling high-contrast and real-time visualization of biomolecules in living systems. The precise spatiotemporal control over signal activation also enables minimal off-target therapy. This review summarizes recent advances in the design and application of BioTOPs. We first discuss the two-step pretargeted strategy of bioorthogonal turn-on optical imaging. Then, we categorize the bioorthogonal reactions that have been employed for signal activation, including Staudinger ligations, strain-promoted cycloadditions, metal-catalyzed reactions, ketone/aldehyde condensations, boron compound-enabled reactions, and thiol-selective bioconjugations, alongside the activation mechanisms, such as click-to-release, energy/electron dequenching, steric hindrance dequenching, bioorthogonal handle decaging, fluorogenic handle conjugation, and fluorogenic self-assembly, which collectively offer tunable kinetics and high signal turn-on folds. We conclude with applications in diagnostic and therapeutic contexts, from biomolecule profiling and mapping to cancer diagnosis and disease-specific interventions while offering a perspective on the future transformative potential of this technology for molecular diagnostics.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ture.com/articles/s41467-025-68193-3" TargetMode="External"/><Relationship Id="rId10" Type="http://schemas.openxmlformats.org/officeDocument/2006/relationships/hyperlink" Target="https://www.sciencedirect.com/science/article/pii/S0306261925020276?dgcid=rss_sd_all" TargetMode="External"/><Relationship Id="rId11" Type="http://schemas.openxmlformats.org/officeDocument/2006/relationships/hyperlink" Target="https://www.nature.com/articles/s41467-025-67945-5" TargetMode="External"/><Relationship Id="rId12" Type="http://schemas.openxmlformats.org/officeDocument/2006/relationships/hyperlink" Target="https://www.sciencedirect.com/science/article/pii/S0306261925019713?dgcid=rss_sd_all" TargetMode="External"/><Relationship Id="rId13" Type="http://schemas.openxmlformats.org/officeDocument/2006/relationships/hyperlink" Target="https://www.sciencedirect.com/science/article/pii/S030626192501966X?dgcid=rss_sd_all" TargetMode="External"/><Relationship Id="rId14" Type="http://schemas.openxmlformats.org/officeDocument/2006/relationships/hyperlink" Target="https://www.sciencedirect.com/science/article/pii/S0306261925020367?dgcid=rss_sd_all" TargetMode="External"/><Relationship Id="rId15" Type="http://schemas.openxmlformats.org/officeDocument/2006/relationships/hyperlink" Target="https://www.nature.com/articles/s41467-025-68047-y" TargetMode="External"/><Relationship Id="rId16" Type="http://schemas.openxmlformats.org/officeDocument/2006/relationships/hyperlink" Target="https://www.sciencedirect.com/science/article/pii/S0306261925020380?dgcid=rss_sd_all" TargetMode="External"/><Relationship Id="rId17" Type="http://schemas.openxmlformats.org/officeDocument/2006/relationships/hyperlink" Target="https://www.nature.com/articles/s41467-025-68268-1" TargetMode="External"/><Relationship Id="rId18" Type="http://schemas.openxmlformats.org/officeDocument/2006/relationships/hyperlink" Target="https://www.sciencedirect.com/science/article/pii/S0306261925020471?dgcid=rss_sd_all" TargetMode="External"/><Relationship Id="rId19" Type="http://schemas.openxmlformats.org/officeDocument/2006/relationships/hyperlink" Target="https://www.sciencedirect.com/science/article/pii/S0301421525005567?dgcid=rss_sd_all" TargetMode="External"/><Relationship Id="rId20" Type="http://schemas.openxmlformats.org/officeDocument/2006/relationships/hyperlink" Target="https://www.sciencedirect.com/science/article/pii/S0306261925020495?dgcid=rss_sd_all" TargetMode="External"/><Relationship Id="rId21" Type="http://schemas.openxmlformats.org/officeDocument/2006/relationships/hyperlink" Target="https://www.sciencedirect.com/science/article/pii/S0306261925020094?dgcid=rss_sd_all" TargetMode="External"/><Relationship Id="rId22" Type="http://schemas.openxmlformats.org/officeDocument/2006/relationships/hyperlink" Target="https://www.sciencedirect.com/science/article/pii/S0306261925020501?dgcid=rss_sd_all" TargetMode="External"/><Relationship Id="rId23" Type="http://schemas.openxmlformats.org/officeDocument/2006/relationships/hyperlink" Target="https://www.nature.com/articles/s41467-025-68125-1" TargetMode="External"/><Relationship Id="rId24" Type="http://schemas.openxmlformats.org/officeDocument/2006/relationships/hyperlink" Target="https://www.sciencedirect.com/science/article/pii/S0306261925020574?dgcid=rss_sd_all" TargetMode="External"/><Relationship Id="rId25" Type="http://schemas.openxmlformats.org/officeDocument/2006/relationships/hyperlink" Target="https://www.sciencedirect.com/science/article/pii/S0306261925020586?dgcid=rss_sd_all" TargetMode="External"/><Relationship Id="rId26" Type="http://schemas.openxmlformats.org/officeDocument/2006/relationships/hyperlink" Target="https://www.sciencedirect.com/science/article/pii/S0306261925020598?dgcid=rss_sd_all" TargetMode="External"/><Relationship Id="rId27" Type="http://schemas.openxmlformats.org/officeDocument/2006/relationships/hyperlink" Target="https://www.sciencedirect.com/science/article/pii/S0306261925020616?dgcid=rss_sd_all" TargetMode="External"/><Relationship Id="rId28" Type="http://schemas.openxmlformats.org/officeDocument/2006/relationships/hyperlink" Target="https://www.nature.com/articles/s41467-025-68179-1" TargetMode="External"/><Relationship Id="rId29" Type="http://schemas.openxmlformats.org/officeDocument/2006/relationships/hyperlink" Target="https://www.sciencedirect.com/science/article/pii/S0306261925020641?dgcid=rss_sd_all" TargetMode="External"/><Relationship Id="rId30" Type="http://schemas.openxmlformats.org/officeDocument/2006/relationships/hyperlink" Target="https://www.sciencedirect.com/science/article/pii/S0301421525005166?dgcid=rss_sd_all" TargetMode="External"/><Relationship Id="rId31" Type="http://schemas.openxmlformats.org/officeDocument/2006/relationships/hyperlink" Target="https://www.sciencedirect.com/science/article/pii/S0306261925020677?dgcid=rss_sd_all" TargetMode="External"/><Relationship Id="rId32" Type="http://schemas.openxmlformats.org/officeDocument/2006/relationships/hyperlink" Target="https://www.sciencedirect.com/science/article/pii/S1369702125005553?dgcid=rss_sd_all" TargetMode="External"/><Relationship Id="rId33" Type="http://schemas.openxmlformats.org/officeDocument/2006/relationships/hyperlink" Target="https://www.sciencedirect.com/science/article/pii/S1369702125005589?dgcid=rss_sd_all" TargetMode="External"/><Relationship Id="rId34" Type="http://schemas.openxmlformats.org/officeDocument/2006/relationships/hyperlink" Target="https://www.nature.com/articles/s41467-025-68074-9" TargetMode="External"/><Relationship Id="rId35" Type="http://schemas.openxmlformats.org/officeDocument/2006/relationships/hyperlink" Target="https://advanced.onlinelibrary.wiley.com/doi/10.1002/adma.202515482?af=R" TargetMode="External"/><Relationship Id="rId36" Type="http://schemas.openxmlformats.org/officeDocument/2006/relationships/hyperlink" Target="https://doi.org/10.1002/adma.202515482" TargetMode="External"/><Relationship Id="rId37" Type="http://schemas.openxmlformats.org/officeDocument/2006/relationships/hyperlink" Target="https://advanced.onlinelibrary.wiley.com/doi/10.1002/adma.202517514?af=R" TargetMode="External"/><Relationship Id="rId38" Type="http://schemas.openxmlformats.org/officeDocument/2006/relationships/hyperlink" Target="https://doi.org/10.1002/adma.202517514" TargetMode="External"/><Relationship Id="rId39" Type="http://schemas.openxmlformats.org/officeDocument/2006/relationships/hyperlink" Target="https://advanced.onlinelibrary.wiley.com/doi/10.1002/adma.202513610?af=R" TargetMode="External"/><Relationship Id="rId40" Type="http://schemas.openxmlformats.org/officeDocument/2006/relationships/hyperlink" Target="https://doi.org/10.1002/adma.202513610" TargetMode="External"/><Relationship Id="rId41" Type="http://schemas.openxmlformats.org/officeDocument/2006/relationships/hyperlink" Target="https://advanced.onlinelibrary.wiley.com/doi/10.1002/adma.202520865?af=R" TargetMode="External"/><Relationship Id="rId42" Type="http://schemas.openxmlformats.org/officeDocument/2006/relationships/hyperlink" Target="https://doi.org/10.1002/adma.202520865" TargetMode="External"/><Relationship Id="rId43" Type="http://schemas.openxmlformats.org/officeDocument/2006/relationships/hyperlink" Target="https://advanced.onlinelibrary.wiley.com/doi/10.1002/adma.202514708?af=R" TargetMode="External"/><Relationship Id="rId44" Type="http://schemas.openxmlformats.org/officeDocument/2006/relationships/hyperlink" Target="https://doi.org/10.1002/adma.202514708" TargetMode="External"/><Relationship Id="rId45" Type="http://schemas.openxmlformats.org/officeDocument/2006/relationships/hyperlink" Target="https://advanced.onlinelibrary.wiley.com/doi/10.1002/adma.202510404?af=R" TargetMode="External"/><Relationship Id="rId46" Type="http://schemas.openxmlformats.org/officeDocument/2006/relationships/hyperlink" Target="https://doi.org/10.1002/adma.202510404" TargetMode="External"/><Relationship Id="rId47" Type="http://schemas.openxmlformats.org/officeDocument/2006/relationships/hyperlink" Target="https://onlinelibrary.wiley.com/doi/10.1002/anie.202519077?af=R" TargetMode="External"/><Relationship Id="rId48" Type="http://schemas.openxmlformats.org/officeDocument/2006/relationships/hyperlink" Target="https://doi.org/10.1002/anie.202519077" TargetMode="External"/><Relationship Id="rId49" Type="http://schemas.openxmlformats.org/officeDocument/2006/relationships/hyperlink" Target="https://advanced.onlinelibrary.wiley.com/doi/10.1002/adma.202521229?af=R" TargetMode="External"/><Relationship Id="rId50" Type="http://schemas.openxmlformats.org/officeDocument/2006/relationships/hyperlink" Target="https://doi.org/10.1002/adma.202521229" TargetMode="External"/><Relationship Id="rId51" Type="http://schemas.openxmlformats.org/officeDocument/2006/relationships/hyperlink" Target="https://onlinelibrary.wiley.com/doi/10.1002/anie.202522940?af=R" TargetMode="External"/><Relationship Id="rId52" Type="http://schemas.openxmlformats.org/officeDocument/2006/relationships/hyperlink" Target="https://doi.org/10.1002/anie.202522940" TargetMode="External"/><Relationship Id="rId53" Type="http://schemas.openxmlformats.org/officeDocument/2006/relationships/hyperlink" Target="https://advanced.onlinelibrary.wiley.com/doi/10.1002/adma.202509630?af=R" TargetMode="External"/><Relationship Id="rId54" Type="http://schemas.openxmlformats.org/officeDocument/2006/relationships/hyperlink" Target="https://doi.org/10.1002/adma.202509630" TargetMode="External"/><Relationship Id="rId55" Type="http://schemas.openxmlformats.org/officeDocument/2006/relationships/hyperlink" Target="https://onlinelibrary.wiley.com/doi/10.1002/anie.202520866?af=R" TargetMode="External"/><Relationship Id="rId56" Type="http://schemas.openxmlformats.org/officeDocument/2006/relationships/hyperlink" Target="https://doi.org/10.1002/anie.202520866" TargetMode="External"/><Relationship Id="rId57" Type="http://schemas.openxmlformats.org/officeDocument/2006/relationships/hyperlink" Target="https://advanced.onlinelibrary.wiley.com/doi/10.1002/adma.202523371?af=R" TargetMode="External"/><Relationship Id="rId58" Type="http://schemas.openxmlformats.org/officeDocument/2006/relationships/hyperlink" Target="https://doi.org/10.1002/adma.202523371" TargetMode="External"/><Relationship Id="rId59" Type="http://schemas.openxmlformats.org/officeDocument/2006/relationships/hyperlink" Target="https://onlinelibrary.wiley.com/doi/10.1002/anie.202520365?af=R" TargetMode="External"/><Relationship Id="rId60" Type="http://schemas.openxmlformats.org/officeDocument/2006/relationships/hyperlink" Target="https://doi.org/10.1002/anie.202520365" TargetMode="External"/><Relationship Id="rId61" Type="http://schemas.openxmlformats.org/officeDocument/2006/relationships/hyperlink" Target="https://onlinelibrary.wiley.com/doi/10.1002/anie.202521455?af=R" TargetMode="External"/><Relationship Id="rId62" Type="http://schemas.openxmlformats.org/officeDocument/2006/relationships/hyperlink" Target="https://doi.org/10.1002/anie.202521455" TargetMode="External"/><Relationship Id="rId63" Type="http://schemas.openxmlformats.org/officeDocument/2006/relationships/hyperlink" Target="https://onlinelibrary.wiley.com/doi/10.1002/anie.202516299?af=R" TargetMode="External"/><Relationship Id="rId64" Type="http://schemas.openxmlformats.org/officeDocument/2006/relationships/hyperlink" Target="https://doi.org/10.1002/anie.202516299" TargetMode="External"/><Relationship Id="rId65" Type="http://schemas.openxmlformats.org/officeDocument/2006/relationships/hyperlink" Target="https://onlinelibrary.wiley.com/doi/10.1002/anie.202520385?af=R" TargetMode="External"/><Relationship Id="rId66" Type="http://schemas.openxmlformats.org/officeDocument/2006/relationships/hyperlink" Target="https://doi.org/10.1002/anie.202520385" TargetMode="External"/><Relationship Id="rId67" Type="http://schemas.openxmlformats.org/officeDocument/2006/relationships/hyperlink" Target="https://onlinelibrary.wiley.com/doi/10.1002/anie.202520547?af=R" TargetMode="External"/><Relationship Id="rId68" Type="http://schemas.openxmlformats.org/officeDocument/2006/relationships/hyperlink" Target="https://doi.org/10.1002/anie.202520547" TargetMode="External"/><Relationship Id="rId69" Type="http://schemas.openxmlformats.org/officeDocument/2006/relationships/hyperlink" Target="https://onlinelibrary.wiley.com/doi/10.1002/anie.202521182?af=R" TargetMode="External"/><Relationship Id="rId70" Type="http://schemas.openxmlformats.org/officeDocument/2006/relationships/hyperlink" Target="https://doi.org/10.1002/anie.202521182" TargetMode="External"/><Relationship Id="rId71" Type="http://schemas.openxmlformats.org/officeDocument/2006/relationships/hyperlink" Target="https://onlinelibrary.wiley.com/doi/10.1002/anie.202516140?af=R" TargetMode="External"/><Relationship Id="rId72" Type="http://schemas.openxmlformats.org/officeDocument/2006/relationships/hyperlink" Target="https://doi.org/10.1002/anie.202516140" TargetMode="External"/><Relationship Id="rId73" Type="http://schemas.openxmlformats.org/officeDocument/2006/relationships/hyperlink" Target="https://onlinelibrary.wiley.com/doi/10.1002/anie.202516235?af=R" TargetMode="External"/><Relationship Id="rId74" Type="http://schemas.openxmlformats.org/officeDocument/2006/relationships/hyperlink" Target="https://doi.org/10.1002/anie.202516235" TargetMode="External"/><Relationship Id="rId75" Type="http://schemas.openxmlformats.org/officeDocument/2006/relationships/hyperlink" Target="https://onlinelibrary.wiley.com/doi/10.1002/anie.202516207?af=R" TargetMode="External"/><Relationship Id="rId76" Type="http://schemas.openxmlformats.org/officeDocument/2006/relationships/hyperlink" Target="https://doi.org/10.1002/anie.202516207" TargetMode="External"/><Relationship Id="rId77" Type="http://schemas.openxmlformats.org/officeDocument/2006/relationships/hyperlink" Target="https://onlinelibrary.wiley.com/doi/10.1002/anie.202516178?af=R" TargetMode="External"/><Relationship Id="rId78" Type="http://schemas.openxmlformats.org/officeDocument/2006/relationships/hyperlink" Target="https://doi.org/10.1002/anie.202516178" TargetMode="External"/><Relationship Id="rId79" Type="http://schemas.openxmlformats.org/officeDocument/2006/relationships/hyperlink" Target="https://onlinelibrary.wiley.com/doi/10.1002/anie.202516163?af=R" TargetMode="External"/><Relationship Id="rId80" Type="http://schemas.openxmlformats.org/officeDocument/2006/relationships/hyperlink" Target="https://doi.org/10.1002/anie.202516163" TargetMode="External"/><Relationship Id="rId81" Type="http://schemas.openxmlformats.org/officeDocument/2006/relationships/hyperlink" Target="https://onlinelibrary.wiley.com/doi/10.1002/anie.202515665?af=R" TargetMode="External"/><Relationship Id="rId82" Type="http://schemas.openxmlformats.org/officeDocument/2006/relationships/hyperlink" Target="https://doi.org/10.1002/anie.202515665" TargetMode="External"/><Relationship Id="rId83" Type="http://schemas.openxmlformats.org/officeDocument/2006/relationships/hyperlink" Target="https://onlinelibrary.wiley.com/doi/10.1002/anie.202521029?af=R" TargetMode="External"/><Relationship Id="rId84" Type="http://schemas.openxmlformats.org/officeDocument/2006/relationships/hyperlink" Target="https://doi.org/10.1002/anie.202521029" TargetMode="External"/><Relationship Id="rId85" Type="http://schemas.openxmlformats.org/officeDocument/2006/relationships/hyperlink" Target="https://onlinelibrary.wiley.com/doi/10.1002/anie.202516032?af=R" TargetMode="External"/><Relationship Id="rId86" Type="http://schemas.openxmlformats.org/officeDocument/2006/relationships/hyperlink" Target="https://doi.org/10.1002/anie.202516032" TargetMode="External"/><Relationship Id="rId87" Type="http://schemas.openxmlformats.org/officeDocument/2006/relationships/hyperlink" Target="https://onlinelibrary.wiley.com/doi/10.1002/anie.202521747?af=R" TargetMode="External"/><Relationship Id="rId88" Type="http://schemas.openxmlformats.org/officeDocument/2006/relationships/hyperlink" Target="https://doi.org/10.1002/anie.202521747" TargetMode="External"/><Relationship Id="rId89" Type="http://schemas.openxmlformats.org/officeDocument/2006/relationships/hyperlink" Target="https://onlinelibrary.wiley.com/doi/10.1002/anie.202521171?af=R" TargetMode="External"/><Relationship Id="rId90" Type="http://schemas.openxmlformats.org/officeDocument/2006/relationships/hyperlink" Target="https://doi.org/10.1002/anie.202521171" TargetMode="External"/><Relationship Id="rId91" Type="http://schemas.openxmlformats.org/officeDocument/2006/relationships/hyperlink" Target="https://onlinelibrary.wiley.com/doi/10.1002/anie.202520549?af=R" TargetMode="External"/><Relationship Id="rId92" Type="http://schemas.openxmlformats.org/officeDocument/2006/relationships/hyperlink" Target="https://doi.org/10.1002/anie.202520549" TargetMode="External"/><Relationship Id="rId93" Type="http://schemas.openxmlformats.org/officeDocument/2006/relationships/hyperlink" Target="https://onlinelibrary.wiley.com/doi/10.1002/anie.202520673?af=R" TargetMode="External"/><Relationship Id="rId94" Type="http://schemas.openxmlformats.org/officeDocument/2006/relationships/hyperlink" Target="https://doi.org/10.1002/anie.202520673" TargetMode="External"/><Relationship Id="rId95" Type="http://schemas.openxmlformats.org/officeDocument/2006/relationships/hyperlink" Target="https://onlinelibrary.wiley.com/doi/10.1002/anie.202522719?af=R" TargetMode="External"/><Relationship Id="rId96" Type="http://schemas.openxmlformats.org/officeDocument/2006/relationships/hyperlink" Target="https://doi.org/10.1002/anie.202522719" TargetMode="External"/><Relationship Id="rId97" Type="http://schemas.openxmlformats.org/officeDocument/2006/relationships/hyperlink" Target="https://onlinelibrary.wiley.com/doi/10.1002/anie.202515058?af=R" TargetMode="External"/><Relationship Id="rId98" Type="http://schemas.openxmlformats.org/officeDocument/2006/relationships/hyperlink" Target="https://doi.org/10.1002/anie.202515058" TargetMode="External"/><Relationship Id="rId99" Type="http://schemas.openxmlformats.org/officeDocument/2006/relationships/hyperlink" Target="https://onlinelibrary.wiley.com/doi/10.1002/anie.202519826?af=R" TargetMode="External"/><Relationship Id="rId100" Type="http://schemas.openxmlformats.org/officeDocument/2006/relationships/hyperlink" Target="https://doi.org/10.1002/anie.202519826" TargetMode="External"/><Relationship Id="rId101" Type="http://schemas.openxmlformats.org/officeDocument/2006/relationships/hyperlink" Target="https://onlinelibrary.wiley.com/doi/10.1002/anie.202515469?af=R" TargetMode="External"/><Relationship Id="rId102" Type="http://schemas.openxmlformats.org/officeDocument/2006/relationships/hyperlink" Target="https://doi.org/10.1002/anie.202515469" TargetMode="External"/><Relationship Id="rId103" Type="http://schemas.openxmlformats.org/officeDocument/2006/relationships/hyperlink" Target="https://onlinelibrary.wiley.com/doi/10.1002/anie.202515515?af=R" TargetMode="External"/><Relationship Id="rId104" Type="http://schemas.openxmlformats.org/officeDocument/2006/relationships/hyperlink" Target="https://doi.org/10.1002/anie.202515515" TargetMode="External"/><Relationship Id="rId105" Type="http://schemas.openxmlformats.org/officeDocument/2006/relationships/hyperlink" Target="https://onlinelibrary.wiley.com/doi/10.1002/anie.202515517?af=R" TargetMode="External"/><Relationship Id="rId106" Type="http://schemas.openxmlformats.org/officeDocument/2006/relationships/hyperlink" Target="https://doi.org/10.1002/anie.202515517" TargetMode="External"/><Relationship Id="rId107" Type="http://schemas.openxmlformats.org/officeDocument/2006/relationships/hyperlink" Target="https://onlinelibrary.wiley.com/doi/10.1002/anie.202514392?af=R" TargetMode="External"/><Relationship Id="rId108" Type="http://schemas.openxmlformats.org/officeDocument/2006/relationships/hyperlink" Target="https://doi.org/10.1002/anie.202514392" TargetMode="External"/><Relationship Id="rId109" Type="http://schemas.openxmlformats.org/officeDocument/2006/relationships/hyperlink" Target="https://onlinelibrary.wiley.com/doi/10.1002/anie.202514136?af=R" TargetMode="External"/><Relationship Id="rId110" Type="http://schemas.openxmlformats.org/officeDocument/2006/relationships/hyperlink" Target="https://doi.org/10.1002/anie.202514136" TargetMode="External"/><Relationship Id="rId111" Type="http://schemas.openxmlformats.org/officeDocument/2006/relationships/hyperlink" Target="https://onlinelibrary.wiley.com/doi/10.1002/anie.202513921?af=R" TargetMode="External"/><Relationship Id="rId112" Type="http://schemas.openxmlformats.org/officeDocument/2006/relationships/hyperlink" Target="https://doi.org/10.1002/anie.202513921" TargetMode="External"/><Relationship Id="rId113" Type="http://schemas.openxmlformats.org/officeDocument/2006/relationships/hyperlink" Target="https://onlinelibrary.wiley.com/doi/10.1002/anie.202520766?af=R" TargetMode="External"/><Relationship Id="rId114" Type="http://schemas.openxmlformats.org/officeDocument/2006/relationships/hyperlink" Target="https://doi.org/10.1002/anie.202520766" TargetMode="External"/><Relationship Id="rId115" Type="http://schemas.openxmlformats.org/officeDocument/2006/relationships/hyperlink" Target="https://onlinelibrary.wiley.com/doi/10.1002/anie.202513808?af=R" TargetMode="External"/><Relationship Id="rId116" Type="http://schemas.openxmlformats.org/officeDocument/2006/relationships/hyperlink" Target="https://doi.org/10.1002/anie.202513808" TargetMode="External"/><Relationship Id="rId117" Type="http://schemas.openxmlformats.org/officeDocument/2006/relationships/hyperlink" Target="https://onlinelibrary.wiley.com/doi/10.1002/anie.202513687?af=R" TargetMode="External"/><Relationship Id="rId118" Type="http://schemas.openxmlformats.org/officeDocument/2006/relationships/hyperlink" Target="https://doi.org/10.1002/anie.202513687" TargetMode="External"/><Relationship Id="rId119" Type="http://schemas.openxmlformats.org/officeDocument/2006/relationships/hyperlink" Target="https://onlinelibrary.wiley.com/doi/10.1002/anie.202515582?af=R" TargetMode="External"/><Relationship Id="rId120" Type="http://schemas.openxmlformats.org/officeDocument/2006/relationships/hyperlink" Target="https://doi.org/10.1002/anie.202515582" TargetMode="External"/><Relationship Id="rId121" Type="http://schemas.openxmlformats.org/officeDocument/2006/relationships/hyperlink" Target="https://onlinelibrary.wiley.com/doi/10.1002/anie.202513466?af=R" TargetMode="External"/><Relationship Id="rId122" Type="http://schemas.openxmlformats.org/officeDocument/2006/relationships/hyperlink" Target="https://doi.org/10.1002/anie.202513466" TargetMode="External"/><Relationship Id="rId123" Type="http://schemas.openxmlformats.org/officeDocument/2006/relationships/hyperlink" Target="https://onlinelibrary.wiley.com/doi/10.1002/anie.202513456?af=R" TargetMode="External"/><Relationship Id="rId124" Type="http://schemas.openxmlformats.org/officeDocument/2006/relationships/hyperlink" Target="https://doi.org/10.1002/anie.202513456" TargetMode="External"/><Relationship Id="rId125" Type="http://schemas.openxmlformats.org/officeDocument/2006/relationships/hyperlink" Target="https://onlinelibrary.wiley.com/doi/10.1002/anie.202513104?af=R" TargetMode="External"/><Relationship Id="rId126" Type="http://schemas.openxmlformats.org/officeDocument/2006/relationships/hyperlink" Target="https://doi.org/10.1002/anie.202513104" TargetMode="External"/><Relationship Id="rId127" Type="http://schemas.openxmlformats.org/officeDocument/2006/relationships/hyperlink" Target="https://onlinelibrary.wiley.com/doi/10.1002/anie.202512139?af=R" TargetMode="External"/><Relationship Id="rId128" Type="http://schemas.openxmlformats.org/officeDocument/2006/relationships/hyperlink" Target="https://doi.org/10.1002/anie.202512139" TargetMode="External"/><Relationship Id="rId129" Type="http://schemas.openxmlformats.org/officeDocument/2006/relationships/hyperlink" Target="https://onlinelibrary.wiley.com/doi/10.1002/anie.202524764?af=R" TargetMode="External"/><Relationship Id="rId130" Type="http://schemas.openxmlformats.org/officeDocument/2006/relationships/hyperlink" Target="https://doi.org/10.1002/anie.202524764" TargetMode="External"/><Relationship Id="rId131" Type="http://schemas.openxmlformats.org/officeDocument/2006/relationships/hyperlink" Target="https://onlinelibrary.wiley.com/doi/10.1002/anie.202523766?af=R" TargetMode="External"/><Relationship Id="rId132" Type="http://schemas.openxmlformats.org/officeDocument/2006/relationships/hyperlink" Target="https://doi.org/10.1002/anie.202523766" TargetMode="External"/><Relationship Id="rId133" Type="http://schemas.openxmlformats.org/officeDocument/2006/relationships/hyperlink" Target="https://onlinelibrary.wiley.com/doi/10.1002/anie.202502611?af=R" TargetMode="External"/><Relationship Id="rId134" Type="http://schemas.openxmlformats.org/officeDocument/2006/relationships/hyperlink" Target="https://doi.org/10.1002/anie.202502611" TargetMode="External"/><Relationship Id="rId135" Type="http://schemas.openxmlformats.org/officeDocument/2006/relationships/hyperlink" Target="https://onlinelibrary.wiley.com/doi/10.1002/anie.202520085?af=R" TargetMode="External"/><Relationship Id="rId136" Type="http://schemas.openxmlformats.org/officeDocument/2006/relationships/hyperlink" Target="https://doi.org/10.1002/anie.202520085" TargetMode="External"/><Relationship Id="rId137" Type="http://schemas.openxmlformats.org/officeDocument/2006/relationships/hyperlink" Target="https://onlinelibrary.wiley.com/doi/10.1002/anie.202520212?af=R" TargetMode="External"/><Relationship Id="rId138" Type="http://schemas.openxmlformats.org/officeDocument/2006/relationships/hyperlink" Target="https://doi.org/10.1002/anie.202520212" TargetMode="External"/><Relationship Id="rId139" Type="http://schemas.openxmlformats.org/officeDocument/2006/relationships/hyperlink" Target="https://onlinelibrary.wiley.com/doi/10.1002/anie.202522979?af=R" TargetMode="External"/><Relationship Id="rId140" Type="http://schemas.openxmlformats.org/officeDocument/2006/relationships/hyperlink" Target="https://doi.org/10.1002/anie.202522979" TargetMode="External"/><Relationship Id="rId141" Type="http://schemas.openxmlformats.org/officeDocument/2006/relationships/hyperlink" Target="https://onlinelibrary.wiley.com/doi/10.1002/anie.202520253?af=R" TargetMode="External"/><Relationship Id="rId142" Type="http://schemas.openxmlformats.org/officeDocument/2006/relationships/hyperlink" Target="https://doi.org/10.1002/anie.202520253" TargetMode="External"/><Relationship Id="rId143" Type="http://schemas.openxmlformats.org/officeDocument/2006/relationships/hyperlink" Target="https://onlinelibrary.wiley.com/doi/10.1002/anie.202522461?af=R" TargetMode="External"/><Relationship Id="rId144" Type="http://schemas.openxmlformats.org/officeDocument/2006/relationships/hyperlink" Target="https://doi.org/10.1002/anie.202522461" TargetMode="External"/><Relationship Id="rId145" Type="http://schemas.openxmlformats.org/officeDocument/2006/relationships/hyperlink" Target="https://onlinelibrary.wiley.com/doi/10.1002/anie.202512620?af=R" TargetMode="External"/><Relationship Id="rId146" Type="http://schemas.openxmlformats.org/officeDocument/2006/relationships/hyperlink" Target="https://doi.org/10.1002/anie.202512620" TargetMode="External"/><Relationship Id="rId147" Type="http://schemas.openxmlformats.org/officeDocument/2006/relationships/hyperlink" Target="https://onlinelibrary.wiley.com/doi/10.1002/anie.202520955?af=R" TargetMode="External"/><Relationship Id="rId148" Type="http://schemas.openxmlformats.org/officeDocument/2006/relationships/hyperlink" Target="https://doi.org/10.1002/anie.202520955" TargetMode="External"/><Relationship Id="rId149" Type="http://schemas.openxmlformats.org/officeDocument/2006/relationships/hyperlink" Target="https://onlinelibrary.wiley.com/doi/10.1002/anie.202518367?af=R" TargetMode="External"/><Relationship Id="rId150" Type="http://schemas.openxmlformats.org/officeDocument/2006/relationships/hyperlink" Target="https://doi.org/10.1002/anie.202518367" TargetMode="External"/><Relationship Id="rId151" Type="http://schemas.openxmlformats.org/officeDocument/2006/relationships/hyperlink" Target="https://onlinelibrary.wiley.com/doi/10.1002/anie.202518341?af=R" TargetMode="External"/><Relationship Id="rId152" Type="http://schemas.openxmlformats.org/officeDocument/2006/relationships/hyperlink" Target="https://doi.org/10.1002/anie.202518341" TargetMode="External"/><Relationship Id="rId153" Type="http://schemas.openxmlformats.org/officeDocument/2006/relationships/hyperlink" Target="https://onlinelibrary.wiley.com/doi/10.1002/anie.202519695?af=R" TargetMode="External"/><Relationship Id="rId154" Type="http://schemas.openxmlformats.org/officeDocument/2006/relationships/hyperlink" Target="https://doi.org/10.1002/anie.202519695" TargetMode="External"/><Relationship Id="rId155" Type="http://schemas.openxmlformats.org/officeDocument/2006/relationships/hyperlink" Target="https://onlinelibrary.wiley.com/doi/10.1002/anie.202518508?af=R" TargetMode="External"/><Relationship Id="rId156" Type="http://schemas.openxmlformats.org/officeDocument/2006/relationships/hyperlink" Target="https://doi.org/10.1002/anie.202518508" TargetMode="External"/><Relationship Id="rId157" Type="http://schemas.openxmlformats.org/officeDocument/2006/relationships/hyperlink" Target="https://onlinelibrary.wiley.com/doi/10.1002/anie.202518534?af=R" TargetMode="External"/><Relationship Id="rId158" Type="http://schemas.openxmlformats.org/officeDocument/2006/relationships/hyperlink" Target="https://doi.org/10.1002/anie.202518534" TargetMode="External"/><Relationship Id="rId159" Type="http://schemas.openxmlformats.org/officeDocument/2006/relationships/hyperlink" Target="https://onlinelibrary.wiley.com/doi/10.1002/anie.202520084?af=R" TargetMode="External"/><Relationship Id="rId160" Type="http://schemas.openxmlformats.org/officeDocument/2006/relationships/hyperlink" Target="https://doi.org/10.1002/anie.202520084" TargetMode="External"/><Relationship Id="rId161" Type="http://schemas.openxmlformats.org/officeDocument/2006/relationships/hyperlink" Target="https://onlinelibrary.wiley.com/doi/10.1002/anie.202518599?af=R" TargetMode="External"/><Relationship Id="rId162" Type="http://schemas.openxmlformats.org/officeDocument/2006/relationships/hyperlink" Target="https://doi.org/10.1002/anie.202518599" TargetMode="External"/><Relationship Id="rId163" Type="http://schemas.openxmlformats.org/officeDocument/2006/relationships/hyperlink" Target="https://onlinelibrary.wiley.com/doi/10.1002/anie.202520880?af=R" TargetMode="External"/><Relationship Id="rId164" Type="http://schemas.openxmlformats.org/officeDocument/2006/relationships/hyperlink" Target="https://doi.org/10.1002/anie.202520880" TargetMode="External"/><Relationship Id="rId165" Type="http://schemas.openxmlformats.org/officeDocument/2006/relationships/hyperlink" Target="https://onlinelibrary.wiley.com/doi/10.1002/anie.202520839?af=R" TargetMode="External"/><Relationship Id="rId166" Type="http://schemas.openxmlformats.org/officeDocument/2006/relationships/hyperlink" Target="https://doi.org/10.1002/anie.202520839" TargetMode="External"/><Relationship Id="rId167" Type="http://schemas.openxmlformats.org/officeDocument/2006/relationships/hyperlink" Target="https://onlinelibrary.wiley.com/doi/10.1002/anie.202520825?af=R" TargetMode="External"/><Relationship Id="rId168" Type="http://schemas.openxmlformats.org/officeDocument/2006/relationships/hyperlink" Target="https://doi.org/10.1002/anie.202520825" TargetMode="External"/><Relationship Id="rId169" Type="http://schemas.openxmlformats.org/officeDocument/2006/relationships/hyperlink" Target="https://onlinelibrary.wiley.com/doi/10.1002/anie.202518861?af=R" TargetMode="External"/><Relationship Id="rId170" Type="http://schemas.openxmlformats.org/officeDocument/2006/relationships/hyperlink" Target="https://doi.org/10.1002/anie.202518861" TargetMode="External"/><Relationship Id="rId171" Type="http://schemas.openxmlformats.org/officeDocument/2006/relationships/hyperlink" Target="https://onlinelibrary.wiley.com/doi/10.1002/anie.202516381?af=R" TargetMode="External"/><Relationship Id="rId172" Type="http://schemas.openxmlformats.org/officeDocument/2006/relationships/hyperlink" Target="https://doi.org/10.1002/anie.202516381" TargetMode="External"/><Relationship Id="rId173" Type="http://schemas.openxmlformats.org/officeDocument/2006/relationships/hyperlink" Target="https://onlinelibrary.wiley.com/doi/10.1002/anie.202518966?af=R" TargetMode="External"/><Relationship Id="rId174" Type="http://schemas.openxmlformats.org/officeDocument/2006/relationships/hyperlink" Target="https://doi.org/10.1002/anie.202518966" TargetMode="External"/><Relationship Id="rId175" Type="http://schemas.openxmlformats.org/officeDocument/2006/relationships/hyperlink" Target="https://onlinelibrary.wiley.com/doi/10.1002/anie.202518997?af=R" TargetMode="External"/><Relationship Id="rId176" Type="http://schemas.openxmlformats.org/officeDocument/2006/relationships/hyperlink" Target="https://doi.org/10.1002/anie.202518997" TargetMode="External"/><Relationship Id="rId177" Type="http://schemas.openxmlformats.org/officeDocument/2006/relationships/hyperlink" Target="https://onlinelibrary.wiley.com/doi/10.1002/anie.202520021?af=R" TargetMode="External"/><Relationship Id="rId178" Type="http://schemas.openxmlformats.org/officeDocument/2006/relationships/hyperlink" Target="https://doi.org/10.1002/anie.202520021" TargetMode="External"/><Relationship Id="rId179" Type="http://schemas.openxmlformats.org/officeDocument/2006/relationships/hyperlink" Target="https://onlinelibrary.wiley.com/doi/10.1002/anie.202519031?af=R" TargetMode="External"/><Relationship Id="rId180" Type="http://schemas.openxmlformats.org/officeDocument/2006/relationships/hyperlink" Target="https://doi.org/10.1002/anie.202519031" TargetMode="External"/><Relationship Id="rId181" Type="http://schemas.openxmlformats.org/officeDocument/2006/relationships/hyperlink" Target="https://onlinelibrary.wiley.com/doi/10.1002/anie.202519037?af=R" TargetMode="External"/><Relationship Id="rId182" Type="http://schemas.openxmlformats.org/officeDocument/2006/relationships/hyperlink" Target="https://doi.org/10.1002/anie.202519037" TargetMode="External"/><Relationship Id="rId183" Type="http://schemas.openxmlformats.org/officeDocument/2006/relationships/hyperlink" Target="https://onlinelibrary.wiley.com/doi/10.1002/anie.202520553?af=R" TargetMode="External"/><Relationship Id="rId184" Type="http://schemas.openxmlformats.org/officeDocument/2006/relationships/hyperlink" Target="https://doi.org/10.1002/anie.202520553" TargetMode="External"/><Relationship Id="rId185" Type="http://schemas.openxmlformats.org/officeDocument/2006/relationships/hyperlink" Target="https://onlinelibrary.wiley.com/doi/10.1002/anie.202519108?af=R" TargetMode="External"/><Relationship Id="rId186" Type="http://schemas.openxmlformats.org/officeDocument/2006/relationships/hyperlink" Target="https://doi.org/10.1002/anie.202519108" TargetMode="External"/><Relationship Id="rId187" Type="http://schemas.openxmlformats.org/officeDocument/2006/relationships/hyperlink" Target="https://onlinelibrary.wiley.com/doi/10.1002/anie.202520663?af=R" TargetMode="External"/><Relationship Id="rId188" Type="http://schemas.openxmlformats.org/officeDocument/2006/relationships/hyperlink" Target="https://doi.org/10.1002/anie.202520663" TargetMode="External"/><Relationship Id="rId189" Type="http://schemas.openxmlformats.org/officeDocument/2006/relationships/hyperlink" Target="https://onlinelibrary.wiley.com/doi/10.1002/anie.202519905?af=R" TargetMode="External"/><Relationship Id="rId190" Type="http://schemas.openxmlformats.org/officeDocument/2006/relationships/hyperlink" Target="https://doi.org/10.1002/anie.202519905" TargetMode="External"/><Relationship Id="rId191" Type="http://schemas.openxmlformats.org/officeDocument/2006/relationships/hyperlink" Target="https://onlinelibrary.wiley.com/doi/10.1002/anie.202519324?af=R" TargetMode="External"/><Relationship Id="rId192" Type="http://schemas.openxmlformats.org/officeDocument/2006/relationships/hyperlink" Target="https://doi.org/10.1002/anie.202519324" TargetMode="External"/><Relationship Id="rId193" Type="http://schemas.openxmlformats.org/officeDocument/2006/relationships/hyperlink" Target="https://onlinelibrary.wiley.com/doi/10.1002/anie.202519425?af=R" TargetMode="External"/><Relationship Id="rId194" Type="http://schemas.openxmlformats.org/officeDocument/2006/relationships/hyperlink" Target="https://doi.org/10.1002/anie.202519425" TargetMode="External"/><Relationship Id="rId195" Type="http://schemas.openxmlformats.org/officeDocument/2006/relationships/hyperlink" Target="https://onlinelibrary.wiley.com/doi/10.1002/anie.202519571?af=R" TargetMode="External"/><Relationship Id="rId196" Type="http://schemas.openxmlformats.org/officeDocument/2006/relationships/hyperlink" Target="https://doi.org/10.1002/anie.202519571" TargetMode="External"/><Relationship Id="rId197" Type="http://schemas.openxmlformats.org/officeDocument/2006/relationships/hyperlink" Target="https://onlinelibrary.wiley.com/doi/10.1002/anie.202519577?af=R" TargetMode="External"/><Relationship Id="rId198" Type="http://schemas.openxmlformats.org/officeDocument/2006/relationships/hyperlink" Target="https://doi.org/10.1002/anie.202519577" TargetMode="External"/><Relationship Id="rId199" Type="http://schemas.openxmlformats.org/officeDocument/2006/relationships/hyperlink" Target="https://onlinelibrary.wiley.com/doi/10.1002/anie.202520816?af=R" TargetMode="External"/><Relationship Id="rId200" Type="http://schemas.openxmlformats.org/officeDocument/2006/relationships/hyperlink" Target="https://doi.org/10.1002/anie.202520816" TargetMode="External"/><Relationship Id="rId201" Type="http://schemas.openxmlformats.org/officeDocument/2006/relationships/hyperlink" Target="https://onlinelibrary.wiley.com/doi/10.1002/anie.202520932?af=R" TargetMode="External"/><Relationship Id="rId202" Type="http://schemas.openxmlformats.org/officeDocument/2006/relationships/hyperlink" Target="https://doi.org/10.1002/anie.202520932" TargetMode="External"/><Relationship Id="rId203" Type="http://schemas.openxmlformats.org/officeDocument/2006/relationships/hyperlink" Target="https://onlinelibrary.wiley.com/doi/10.1002/anie.202520814?af=R" TargetMode="External"/><Relationship Id="rId204" Type="http://schemas.openxmlformats.org/officeDocument/2006/relationships/hyperlink" Target="https://doi.org/10.1002/anie.202520814" TargetMode="External"/><Relationship Id="rId205" Type="http://schemas.openxmlformats.org/officeDocument/2006/relationships/hyperlink" Target="https://onlinelibrary.wiley.com/doi/10.1002/anie.202519659?af=R" TargetMode="External"/><Relationship Id="rId206" Type="http://schemas.openxmlformats.org/officeDocument/2006/relationships/hyperlink" Target="https://doi.org/10.1002/anie.202519659" TargetMode="External"/><Relationship Id="rId207" Type="http://schemas.openxmlformats.org/officeDocument/2006/relationships/hyperlink" Target="https://onlinelibrary.wiley.com/doi/10.1002/anie.202516964?af=R" TargetMode="External"/><Relationship Id="rId208" Type="http://schemas.openxmlformats.org/officeDocument/2006/relationships/hyperlink" Target="https://doi.org/10.1002/anie.202516964" TargetMode="External"/><Relationship Id="rId209" Type="http://schemas.openxmlformats.org/officeDocument/2006/relationships/hyperlink" Target="https://onlinelibrary.wiley.com/doi/10.1002/anie.202516745?af=R" TargetMode="External"/><Relationship Id="rId210" Type="http://schemas.openxmlformats.org/officeDocument/2006/relationships/hyperlink" Target="https://doi.org/10.1002/anie.202516745" TargetMode="External"/><Relationship Id="rId211" Type="http://schemas.openxmlformats.org/officeDocument/2006/relationships/hyperlink" Target="https://onlinelibrary.wiley.com/doi/10.1002/anie.202516917?af=R" TargetMode="External"/><Relationship Id="rId212" Type="http://schemas.openxmlformats.org/officeDocument/2006/relationships/hyperlink" Target="https://doi.org/10.1002/anie.202516917" TargetMode="External"/><Relationship Id="rId213" Type="http://schemas.openxmlformats.org/officeDocument/2006/relationships/hyperlink" Target="https://onlinelibrary.wiley.com/doi/10.1002/anie.202518107?af=R" TargetMode="External"/><Relationship Id="rId214" Type="http://schemas.openxmlformats.org/officeDocument/2006/relationships/hyperlink" Target="https://doi.org/10.1002/anie.202518107" TargetMode="External"/><Relationship Id="rId215" Type="http://schemas.openxmlformats.org/officeDocument/2006/relationships/hyperlink" Target="https://onlinelibrary.wiley.com/doi/10.1002/anie.202516987?af=R" TargetMode="External"/><Relationship Id="rId216" Type="http://schemas.openxmlformats.org/officeDocument/2006/relationships/hyperlink" Target="https://doi.org/10.1002/anie.202516987" TargetMode="External"/><Relationship Id="rId217" Type="http://schemas.openxmlformats.org/officeDocument/2006/relationships/hyperlink" Target="https://onlinelibrary.wiley.com/doi/10.1002/anie.202517120?af=R" TargetMode="External"/><Relationship Id="rId218" Type="http://schemas.openxmlformats.org/officeDocument/2006/relationships/hyperlink" Target="https://doi.org/10.1002/anie.202517120" TargetMode="External"/><Relationship Id="rId219" Type="http://schemas.openxmlformats.org/officeDocument/2006/relationships/hyperlink" Target="https://onlinelibrary.wiley.com/doi/10.1002/anie.202517142?af=R" TargetMode="External"/><Relationship Id="rId220" Type="http://schemas.openxmlformats.org/officeDocument/2006/relationships/hyperlink" Target="https://doi.org/10.1002/anie.202517142" TargetMode="External"/><Relationship Id="rId221" Type="http://schemas.openxmlformats.org/officeDocument/2006/relationships/hyperlink" Target="https://onlinelibrary.wiley.com/doi/10.1002/anie.202517155?af=R" TargetMode="External"/><Relationship Id="rId222" Type="http://schemas.openxmlformats.org/officeDocument/2006/relationships/hyperlink" Target="https://doi.org/10.1002/anie.202517155" TargetMode="External"/><Relationship Id="rId223" Type="http://schemas.openxmlformats.org/officeDocument/2006/relationships/hyperlink" Target="https://onlinelibrary.wiley.com/doi/10.1002/anie.202516712?af=R" TargetMode="External"/><Relationship Id="rId224" Type="http://schemas.openxmlformats.org/officeDocument/2006/relationships/hyperlink" Target="https://doi.org/10.1002/anie.202516712" TargetMode="External"/><Relationship Id="rId225" Type="http://schemas.openxmlformats.org/officeDocument/2006/relationships/hyperlink" Target="https://onlinelibrary.wiley.com/doi/10.1002/anie.202516629?af=R" TargetMode="External"/><Relationship Id="rId226" Type="http://schemas.openxmlformats.org/officeDocument/2006/relationships/hyperlink" Target="https://doi.org/10.1002/anie.202516629" TargetMode="External"/><Relationship Id="rId227" Type="http://schemas.openxmlformats.org/officeDocument/2006/relationships/hyperlink" Target="https://onlinelibrary.wiley.com/doi/10.1002/anie.202516598?af=R" TargetMode="External"/><Relationship Id="rId228" Type="http://schemas.openxmlformats.org/officeDocument/2006/relationships/hyperlink" Target="https://doi.org/10.1002/anie.202516598" TargetMode="External"/><Relationship Id="rId229" Type="http://schemas.openxmlformats.org/officeDocument/2006/relationships/hyperlink" Target="https://onlinelibrary.wiley.com/doi/10.1002/anie.202516826?af=R" TargetMode="External"/><Relationship Id="rId230" Type="http://schemas.openxmlformats.org/officeDocument/2006/relationships/hyperlink" Target="https://doi.org/10.1002/anie.202516826" TargetMode="External"/><Relationship Id="rId231" Type="http://schemas.openxmlformats.org/officeDocument/2006/relationships/hyperlink" Target="https://onlinelibrary.wiley.com/doi/10.1002/anie.202516790?af=R" TargetMode="External"/><Relationship Id="rId232" Type="http://schemas.openxmlformats.org/officeDocument/2006/relationships/hyperlink" Target="https://doi.org/10.1002/anie.202516790" TargetMode="External"/><Relationship Id="rId233" Type="http://schemas.openxmlformats.org/officeDocument/2006/relationships/hyperlink" Target="https://onlinelibrary.wiley.com/doi/10.1002/anie.202517523?af=R" TargetMode="External"/><Relationship Id="rId234" Type="http://schemas.openxmlformats.org/officeDocument/2006/relationships/hyperlink" Target="https://doi.org/10.1002/anie.202517523" TargetMode="External"/><Relationship Id="rId235" Type="http://schemas.openxmlformats.org/officeDocument/2006/relationships/hyperlink" Target="https://onlinelibrary.wiley.com/doi/10.1002/anie.202517656?af=R" TargetMode="External"/><Relationship Id="rId236" Type="http://schemas.openxmlformats.org/officeDocument/2006/relationships/hyperlink" Target="https://doi.org/10.1002/anie.202517656" TargetMode="External"/><Relationship Id="rId237" Type="http://schemas.openxmlformats.org/officeDocument/2006/relationships/hyperlink" Target="https://onlinelibrary.wiley.com/doi/10.1002/anie.202517715?af=R" TargetMode="External"/><Relationship Id="rId238" Type="http://schemas.openxmlformats.org/officeDocument/2006/relationships/hyperlink" Target="https://doi.org/10.1002/anie.202517715" TargetMode="External"/><Relationship Id="rId239" Type="http://schemas.openxmlformats.org/officeDocument/2006/relationships/hyperlink" Target="https://onlinelibrary.wiley.com/doi/10.1002/anie.202517720?af=R" TargetMode="External"/><Relationship Id="rId240" Type="http://schemas.openxmlformats.org/officeDocument/2006/relationships/hyperlink" Target="https://doi.org/10.1002/anie.202517720" TargetMode="External"/><Relationship Id="rId241" Type="http://schemas.openxmlformats.org/officeDocument/2006/relationships/hyperlink" Target="https://onlinelibrary.wiley.com/doi/10.1002/anie.202517934?af=R" TargetMode="External"/><Relationship Id="rId242" Type="http://schemas.openxmlformats.org/officeDocument/2006/relationships/hyperlink" Target="https://doi.org/10.1002/anie.202517934" TargetMode="External"/><Relationship Id="rId243" Type="http://schemas.openxmlformats.org/officeDocument/2006/relationships/hyperlink" Target="https://onlinelibrary.wiley.com/doi/10.1002/anie.202517958?af=R" TargetMode="External"/><Relationship Id="rId244" Type="http://schemas.openxmlformats.org/officeDocument/2006/relationships/hyperlink" Target="https://doi.org/10.1002/anie.202517958" TargetMode="External"/><Relationship Id="rId245" Type="http://schemas.openxmlformats.org/officeDocument/2006/relationships/hyperlink" Target="https://onlinelibrary.wiley.com/doi/10.1002/anie.202516581?af=R" TargetMode="External"/><Relationship Id="rId246" Type="http://schemas.openxmlformats.org/officeDocument/2006/relationships/hyperlink" Target="https://doi.org/10.1002/anie.202516581" TargetMode="External"/><Relationship Id="rId247" Type="http://schemas.openxmlformats.org/officeDocument/2006/relationships/hyperlink" Target="https://onlinelibrary.wiley.com/doi/10.1002/anie.202516556?af=R" TargetMode="External"/><Relationship Id="rId248" Type="http://schemas.openxmlformats.org/officeDocument/2006/relationships/hyperlink" Target="https://doi.org/10.1002/anie.202516556" TargetMode="External"/><Relationship Id="rId249" Type="http://schemas.openxmlformats.org/officeDocument/2006/relationships/hyperlink" Target="https://onlinelibrary.wiley.com/doi/10.1002/anie.202518092?af=R" TargetMode="External"/><Relationship Id="rId250" Type="http://schemas.openxmlformats.org/officeDocument/2006/relationships/hyperlink" Target="https://doi.org/10.1002/anie.202518092" TargetMode="External"/><Relationship Id="rId251" Type="http://schemas.openxmlformats.org/officeDocument/2006/relationships/hyperlink" Target="https://onlinelibrary.wiley.com/doi/10.1002/anie.202517516?af=R" TargetMode="External"/><Relationship Id="rId252" Type="http://schemas.openxmlformats.org/officeDocument/2006/relationships/hyperlink" Target="https://doi.org/10.1002/anie.202517516" TargetMode="External"/><Relationship Id="rId253" Type="http://schemas.openxmlformats.org/officeDocument/2006/relationships/hyperlink" Target="https://advanced.onlinelibrary.wiley.com/doi/10.1002/adma.202516778?af=R" TargetMode="External"/><Relationship Id="rId254" Type="http://schemas.openxmlformats.org/officeDocument/2006/relationships/hyperlink" Target="https://doi.org/10.1002/adma.202516778" TargetMode="External"/><Relationship Id="rId255" Type="http://schemas.openxmlformats.org/officeDocument/2006/relationships/hyperlink" Target="https://advanced.onlinelibrary.wiley.com/doi/10.1002/adma.202519934?af=R" TargetMode="External"/><Relationship Id="rId256" Type="http://schemas.openxmlformats.org/officeDocument/2006/relationships/hyperlink" Target="https://doi.org/10.1002/adma.202519934" TargetMode="External"/><Relationship Id="rId257" Type="http://schemas.openxmlformats.org/officeDocument/2006/relationships/hyperlink" Target="https://onlinelibrary.wiley.com/doi/10.1002/anie.202516352?af=R" TargetMode="External"/><Relationship Id="rId258" Type="http://schemas.openxmlformats.org/officeDocument/2006/relationships/hyperlink" Target="https://doi.org/10.1002/anie.202516352" TargetMode="External"/><Relationship Id="rId259" Type="http://schemas.openxmlformats.org/officeDocument/2006/relationships/hyperlink" Target="https://advanced.onlinelibrary.wiley.com/doi/10.1002/adma.202512712?af=R" TargetMode="External"/><Relationship Id="rId260" Type="http://schemas.openxmlformats.org/officeDocument/2006/relationships/hyperlink" Target="https://doi.org/10.1002/adma.202512712" TargetMode="External"/><Relationship Id="rId261" Type="http://schemas.openxmlformats.org/officeDocument/2006/relationships/hyperlink" Target="https://advanced.onlinelibrary.wiley.com/doi/10.1002/adma.202513056?af=R" TargetMode="External"/><Relationship Id="rId262" Type="http://schemas.openxmlformats.org/officeDocument/2006/relationships/hyperlink" Target="https://doi.org/10.1002/adma.202513056" TargetMode="External"/><Relationship Id="rId263" Type="http://schemas.openxmlformats.org/officeDocument/2006/relationships/hyperlink" Target="https://advanced.onlinelibrary.wiley.com/doi/10.1002/adma.202512788?af=R" TargetMode="External"/><Relationship Id="rId264" Type="http://schemas.openxmlformats.org/officeDocument/2006/relationships/hyperlink" Target="https://doi.org/10.1002/adma.202512788" TargetMode="External"/><Relationship Id="rId265" Type="http://schemas.openxmlformats.org/officeDocument/2006/relationships/hyperlink" Target="https://advanced.onlinelibrary.wiley.com/doi/10.1002/adma.202513365?af=R" TargetMode="External"/><Relationship Id="rId266" Type="http://schemas.openxmlformats.org/officeDocument/2006/relationships/hyperlink" Target="https://doi.org/10.1002/adma.202513365" TargetMode="External"/><Relationship Id="rId267" Type="http://schemas.openxmlformats.org/officeDocument/2006/relationships/hyperlink" Target="https://advanced.onlinelibrary.wiley.com/doi/10.1002/adma.202512554?af=R" TargetMode="External"/><Relationship Id="rId268" Type="http://schemas.openxmlformats.org/officeDocument/2006/relationships/hyperlink" Target="https://doi.org/10.1002/adma.202512554" TargetMode="External"/><Relationship Id="rId269" Type="http://schemas.openxmlformats.org/officeDocument/2006/relationships/hyperlink" Target="https://advanced.onlinelibrary.wiley.com/doi/10.1002/adma.202512793?af=R" TargetMode="External"/><Relationship Id="rId270" Type="http://schemas.openxmlformats.org/officeDocument/2006/relationships/hyperlink" Target="https://doi.org/10.1002/adma.202512793" TargetMode="External"/><Relationship Id="rId271" Type="http://schemas.openxmlformats.org/officeDocument/2006/relationships/hyperlink" Target="https://advanced.onlinelibrary.wiley.com/doi/10.1002/adma.202513405?af=R" TargetMode="External"/><Relationship Id="rId272" Type="http://schemas.openxmlformats.org/officeDocument/2006/relationships/hyperlink" Target="https://doi.org/10.1002/adma.202513405" TargetMode="External"/><Relationship Id="rId273" Type="http://schemas.openxmlformats.org/officeDocument/2006/relationships/hyperlink" Target="https://advanced.onlinelibrary.wiley.com/doi/10.1002/adma.202512998?af=R" TargetMode="External"/><Relationship Id="rId274" Type="http://schemas.openxmlformats.org/officeDocument/2006/relationships/hyperlink" Target="https://doi.org/10.1002/adma.202512998" TargetMode="External"/><Relationship Id="rId275" Type="http://schemas.openxmlformats.org/officeDocument/2006/relationships/hyperlink" Target="https://advanced.onlinelibrary.wiley.com/doi/10.1002/adma.202513457?af=R" TargetMode="External"/><Relationship Id="rId276" Type="http://schemas.openxmlformats.org/officeDocument/2006/relationships/hyperlink" Target="https://doi.org/10.1002/adma.202513457" TargetMode="External"/><Relationship Id="rId277" Type="http://schemas.openxmlformats.org/officeDocument/2006/relationships/hyperlink" Target="https://advanced.onlinelibrary.wiley.com/doi/10.1002/adma.202513526?af=R" TargetMode="External"/><Relationship Id="rId278" Type="http://schemas.openxmlformats.org/officeDocument/2006/relationships/hyperlink" Target="https://doi.org/10.1002/adma.202513526" TargetMode="External"/><Relationship Id="rId279" Type="http://schemas.openxmlformats.org/officeDocument/2006/relationships/hyperlink" Target="https://advanced.onlinelibrary.wiley.com/doi/10.1002/adma.202513547?af=R" TargetMode="External"/><Relationship Id="rId280" Type="http://schemas.openxmlformats.org/officeDocument/2006/relationships/hyperlink" Target="https://doi.org/10.1002/adma.202513547" TargetMode="External"/><Relationship Id="rId281" Type="http://schemas.openxmlformats.org/officeDocument/2006/relationships/hyperlink" Target="https://advanced.onlinelibrary.wiley.com/doi/10.1002/adma.202513548?af=R" TargetMode="External"/><Relationship Id="rId282" Type="http://schemas.openxmlformats.org/officeDocument/2006/relationships/hyperlink" Target="https://doi.org/10.1002/adma.202513548" TargetMode="External"/><Relationship Id="rId283" Type="http://schemas.openxmlformats.org/officeDocument/2006/relationships/hyperlink" Target="https://advanced.onlinelibrary.wiley.com/doi/10.1002/adma.202513600?af=R" TargetMode="External"/><Relationship Id="rId284" Type="http://schemas.openxmlformats.org/officeDocument/2006/relationships/hyperlink" Target="https://doi.org/10.1002/adma.202513600" TargetMode="External"/><Relationship Id="rId285" Type="http://schemas.openxmlformats.org/officeDocument/2006/relationships/hyperlink" Target="https://advanced.onlinelibrary.wiley.com/doi/10.1002/adma.202513080?af=R" TargetMode="External"/><Relationship Id="rId286" Type="http://schemas.openxmlformats.org/officeDocument/2006/relationships/hyperlink" Target="https://doi.org/10.1002/adma.202513080" TargetMode="External"/><Relationship Id="rId287" Type="http://schemas.openxmlformats.org/officeDocument/2006/relationships/hyperlink" Target="https://advanced.onlinelibrary.wiley.com/doi/10.1002/adma.202513003?af=R" TargetMode="External"/><Relationship Id="rId288" Type="http://schemas.openxmlformats.org/officeDocument/2006/relationships/hyperlink" Target="https://doi.org/10.1002/adma.202513003" TargetMode="External"/><Relationship Id="rId289" Type="http://schemas.openxmlformats.org/officeDocument/2006/relationships/hyperlink" Target="https://advanced.onlinelibrary.wiley.com/doi/10.1002/adma.202515697?af=R" TargetMode="External"/><Relationship Id="rId290" Type="http://schemas.openxmlformats.org/officeDocument/2006/relationships/hyperlink" Target="https://doi.org/10.1002/adma.202515697" TargetMode="External"/><Relationship Id="rId291" Type="http://schemas.openxmlformats.org/officeDocument/2006/relationships/hyperlink" Target="https://advanced.onlinelibrary.wiley.com/doi/10.1002/adma.202513868?af=R" TargetMode="External"/><Relationship Id="rId292" Type="http://schemas.openxmlformats.org/officeDocument/2006/relationships/hyperlink" Target="https://doi.org/10.1002/adma.202513868" TargetMode="External"/><Relationship Id="rId293" Type="http://schemas.openxmlformats.org/officeDocument/2006/relationships/hyperlink" Target="https://advanced.onlinelibrary.wiley.com/doi/10.1002/adma.202512523?af=R" TargetMode="External"/><Relationship Id="rId294" Type="http://schemas.openxmlformats.org/officeDocument/2006/relationships/hyperlink" Target="https://doi.org/10.1002/adma.202512523" TargetMode="External"/><Relationship Id="rId295" Type="http://schemas.openxmlformats.org/officeDocument/2006/relationships/hyperlink" Target="https://advanced.onlinelibrary.wiley.com/doi/10.1002/adma.71872?af=R" TargetMode="External"/><Relationship Id="rId296" Type="http://schemas.openxmlformats.org/officeDocument/2006/relationships/hyperlink" Target="https://doi.org/10.1002/adma.71872" TargetMode="External"/><Relationship Id="rId297" Type="http://schemas.openxmlformats.org/officeDocument/2006/relationships/hyperlink" Target="https://advanced.onlinelibrary.wiley.com/doi/10.1002/adma.71873?af=R" TargetMode="External"/><Relationship Id="rId298" Type="http://schemas.openxmlformats.org/officeDocument/2006/relationships/hyperlink" Target="https://doi.org/10.1002/adma.71873" TargetMode="External"/><Relationship Id="rId299" Type="http://schemas.openxmlformats.org/officeDocument/2006/relationships/hyperlink" Target="https://advanced.onlinelibrary.wiley.com/doi/10.1002/adma.71874?af=R" TargetMode="External"/><Relationship Id="rId300" Type="http://schemas.openxmlformats.org/officeDocument/2006/relationships/hyperlink" Target="https://doi.org/10.1002/adma.71874" TargetMode="External"/><Relationship Id="rId301" Type="http://schemas.openxmlformats.org/officeDocument/2006/relationships/hyperlink" Target="https://advanced.onlinelibrary.wiley.com/doi/10.1002/adma.71875?af=R" TargetMode="External"/><Relationship Id="rId302" Type="http://schemas.openxmlformats.org/officeDocument/2006/relationships/hyperlink" Target="https://doi.org/10.1002/adma.71875" TargetMode="External"/><Relationship Id="rId303" Type="http://schemas.openxmlformats.org/officeDocument/2006/relationships/hyperlink" Target="https://advanced.onlinelibrary.wiley.com/doi/10.1002/adma.71876?af=R" TargetMode="External"/><Relationship Id="rId304" Type="http://schemas.openxmlformats.org/officeDocument/2006/relationships/hyperlink" Target="https://doi.org/10.1002/adma.71876" TargetMode="External"/><Relationship Id="rId305" Type="http://schemas.openxmlformats.org/officeDocument/2006/relationships/hyperlink" Target="https://advanced.onlinelibrary.wiley.com/doi/10.1002/adma.71878?af=R" TargetMode="External"/><Relationship Id="rId306" Type="http://schemas.openxmlformats.org/officeDocument/2006/relationships/hyperlink" Target="https://doi.org/10.1002/adma.71878" TargetMode="External"/><Relationship Id="rId307" Type="http://schemas.openxmlformats.org/officeDocument/2006/relationships/hyperlink" Target="https://advanced.onlinelibrary.wiley.com/doi/10.1002/adma.202516069?af=R" TargetMode="External"/><Relationship Id="rId308" Type="http://schemas.openxmlformats.org/officeDocument/2006/relationships/hyperlink" Target="https://doi.org/10.1002/adma.202516069" TargetMode="External"/><Relationship Id="rId309" Type="http://schemas.openxmlformats.org/officeDocument/2006/relationships/hyperlink" Target="https://advanced.onlinelibrary.wiley.com/doi/10.1002/adma.202514719?af=R" TargetMode="External"/><Relationship Id="rId310" Type="http://schemas.openxmlformats.org/officeDocument/2006/relationships/hyperlink" Target="https://doi.org/10.1002/adma.202514719" TargetMode="External"/><Relationship Id="rId311" Type="http://schemas.openxmlformats.org/officeDocument/2006/relationships/hyperlink" Target="https://advanced.onlinelibrary.wiley.com/doi/10.1002/adma.202514268?af=R" TargetMode="External"/><Relationship Id="rId312" Type="http://schemas.openxmlformats.org/officeDocument/2006/relationships/hyperlink" Target="https://doi.org/10.1002/adma.202514268" TargetMode="External"/><Relationship Id="rId313" Type="http://schemas.openxmlformats.org/officeDocument/2006/relationships/hyperlink" Target="https://advanced.onlinelibrary.wiley.com/doi/10.1002/adma.202514266?af=R" TargetMode="External"/><Relationship Id="rId314" Type="http://schemas.openxmlformats.org/officeDocument/2006/relationships/hyperlink" Target="https://doi.org/10.1002/adma.202514266" TargetMode="External"/><Relationship Id="rId315" Type="http://schemas.openxmlformats.org/officeDocument/2006/relationships/hyperlink" Target="https://advanced.onlinelibrary.wiley.com/doi/10.1002/adma.202514202?af=R" TargetMode="External"/><Relationship Id="rId316" Type="http://schemas.openxmlformats.org/officeDocument/2006/relationships/hyperlink" Target="https://doi.org/10.1002/adma.202514202" TargetMode="External"/><Relationship Id="rId317" Type="http://schemas.openxmlformats.org/officeDocument/2006/relationships/hyperlink" Target="https://advanced.onlinelibrary.wiley.com/doi/10.1002/adma.202514184?af=R" TargetMode="External"/><Relationship Id="rId318" Type="http://schemas.openxmlformats.org/officeDocument/2006/relationships/hyperlink" Target="https://doi.org/10.1002/adma.202514184" TargetMode="External"/><Relationship Id="rId319" Type="http://schemas.openxmlformats.org/officeDocument/2006/relationships/hyperlink" Target="https://advanced.onlinelibrary.wiley.com/doi/10.1002/adma.202514166?af=R" TargetMode="External"/><Relationship Id="rId320" Type="http://schemas.openxmlformats.org/officeDocument/2006/relationships/hyperlink" Target="https://doi.org/10.1002/adma.202514166" TargetMode="External"/><Relationship Id="rId321" Type="http://schemas.openxmlformats.org/officeDocument/2006/relationships/hyperlink" Target="https://advanced.onlinelibrary.wiley.com/doi/10.1002/adma.202514164?af=R" TargetMode="External"/><Relationship Id="rId322" Type="http://schemas.openxmlformats.org/officeDocument/2006/relationships/hyperlink" Target="https://doi.org/10.1002/adma.202514164" TargetMode="External"/><Relationship Id="rId323" Type="http://schemas.openxmlformats.org/officeDocument/2006/relationships/hyperlink" Target="https://advanced.onlinelibrary.wiley.com/doi/10.1002/adma.202513884?af=R" TargetMode="External"/><Relationship Id="rId324" Type="http://schemas.openxmlformats.org/officeDocument/2006/relationships/hyperlink" Target="https://doi.org/10.1002/adma.202513884" TargetMode="External"/><Relationship Id="rId325" Type="http://schemas.openxmlformats.org/officeDocument/2006/relationships/hyperlink" Target="https://advanced.onlinelibrary.wiley.com/doi/10.1002/adma.202513876?af=R" TargetMode="External"/><Relationship Id="rId326" Type="http://schemas.openxmlformats.org/officeDocument/2006/relationships/hyperlink" Target="https://doi.org/10.1002/adma.202513876" TargetMode="External"/><Relationship Id="rId327" Type="http://schemas.openxmlformats.org/officeDocument/2006/relationships/hyperlink" Target="https://advanced.onlinelibrary.wiley.com/doi/10.1002/adma.202513684?af=R" TargetMode="External"/><Relationship Id="rId328" Type="http://schemas.openxmlformats.org/officeDocument/2006/relationships/hyperlink" Target="https://doi.org/10.1002/adma.202513684" TargetMode="External"/><Relationship Id="rId329" Type="http://schemas.openxmlformats.org/officeDocument/2006/relationships/hyperlink" Target="https://advanced.onlinelibrary.wiley.com/doi/10.1002/adma.202512417?af=R" TargetMode="External"/><Relationship Id="rId330" Type="http://schemas.openxmlformats.org/officeDocument/2006/relationships/hyperlink" Target="https://doi.org/10.1002/adma.202512417" TargetMode="External"/><Relationship Id="rId331" Type="http://schemas.openxmlformats.org/officeDocument/2006/relationships/hyperlink" Target="https://advanced.onlinelibrary.wiley.com/doi/10.1002/adma.202513609?af=R" TargetMode="External"/><Relationship Id="rId332" Type="http://schemas.openxmlformats.org/officeDocument/2006/relationships/hyperlink" Target="https://doi.org/10.1002/adma.202513609" TargetMode="External"/><Relationship Id="rId333" Type="http://schemas.openxmlformats.org/officeDocument/2006/relationships/hyperlink" Target="https://advanced.onlinelibrary.wiley.com/doi/10.1002/adma.202512221?af=R" TargetMode="External"/><Relationship Id="rId334" Type="http://schemas.openxmlformats.org/officeDocument/2006/relationships/hyperlink" Target="https://doi.org/10.1002/adma.202512221" TargetMode="External"/><Relationship Id="rId335" Type="http://schemas.openxmlformats.org/officeDocument/2006/relationships/hyperlink" Target="https://advanced.onlinelibrary.wiley.com/doi/10.1002/adma.202509954?af=R" TargetMode="External"/><Relationship Id="rId336" Type="http://schemas.openxmlformats.org/officeDocument/2006/relationships/hyperlink" Target="https://doi.org/10.1002/adma.202509954" TargetMode="External"/><Relationship Id="rId337" Type="http://schemas.openxmlformats.org/officeDocument/2006/relationships/hyperlink" Target="https://advanced.onlinelibrary.wiley.com/doi/10.1002/adma.202509842?af=R" TargetMode="External"/><Relationship Id="rId338" Type="http://schemas.openxmlformats.org/officeDocument/2006/relationships/hyperlink" Target="https://doi.org/10.1002/adma.202509842" TargetMode="External"/><Relationship Id="rId339" Type="http://schemas.openxmlformats.org/officeDocument/2006/relationships/hyperlink" Target="https://advanced.onlinelibrary.wiley.com/doi/10.1002/adma.202509686?af=R" TargetMode="External"/><Relationship Id="rId340" Type="http://schemas.openxmlformats.org/officeDocument/2006/relationships/hyperlink" Target="https://doi.org/10.1002/adma.202509686" TargetMode="External"/><Relationship Id="rId341" Type="http://schemas.openxmlformats.org/officeDocument/2006/relationships/hyperlink" Target="https://advanced.onlinelibrary.wiley.com/doi/10.1002/adma.202509425?af=R" TargetMode="External"/><Relationship Id="rId342" Type="http://schemas.openxmlformats.org/officeDocument/2006/relationships/hyperlink" Target="https://doi.org/10.1002/adma.202509425" TargetMode="External"/><Relationship Id="rId343" Type="http://schemas.openxmlformats.org/officeDocument/2006/relationships/hyperlink" Target="https://advanced.onlinelibrary.wiley.com/doi/10.1002/adma.202508500?af=R" TargetMode="External"/><Relationship Id="rId344" Type="http://schemas.openxmlformats.org/officeDocument/2006/relationships/hyperlink" Target="https://doi.org/10.1002/adma.202508500" TargetMode="External"/><Relationship Id="rId345" Type="http://schemas.openxmlformats.org/officeDocument/2006/relationships/hyperlink" Target="https://advanced.onlinelibrary.wiley.com/doi/10.1002/adma.202508413?af=R" TargetMode="External"/><Relationship Id="rId346" Type="http://schemas.openxmlformats.org/officeDocument/2006/relationships/hyperlink" Target="https://doi.org/10.1002/adma.202508413" TargetMode="External"/><Relationship Id="rId347" Type="http://schemas.openxmlformats.org/officeDocument/2006/relationships/hyperlink" Target="https://advanced.onlinelibrary.wiley.com/doi/10.1002/adma.202508347?af=R" TargetMode="External"/><Relationship Id="rId348" Type="http://schemas.openxmlformats.org/officeDocument/2006/relationships/hyperlink" Target="https://doi.org/10.1002/adma.202508347" TargetMode="External"/><Relationship Id="rId349" Type="http://schemas.openxmlformats.org/officeDocument/2006/relationships/hyperlink" Target="https://advanced.onlinelibrary.wiley.com/doi/10.1002/adma.202508137?af=R" TargetMode="External"/><Relationship Id="rId350" Type="http://schemas.openxmlformats.org/officeDocument/2006/relationships/hyperlink" Target="https://doi.org/10.1002/adma.202508137" TargetMode="External"/><Relationship Id="rId351" Type="http://schemas.openxmlformats.org/officeDocument/2006/relationships/hyperlink" Target="https://advanced.onlinelibrary.wiley.com/doi/10.1002/adma.202508022?af=R" TargetMode="External"/><Relationship Id="rId352" Type="http://schemas.openxmlformats.org/officeDocument/2006/relationships/hyperlink" Target="https://doi.org/10.1002/adma.202508022" TargetMode="External"/><Relationship Id="rId353" Type="http://schemas.openxmlformats.org/officeDocument/2006/relationships/hyperlink" Target="https://advanced.onlinelibrary.wiley.com/doi/10.1002/adma.202507979?af=R" TargetMode="External"/><Relationship Id="rId354" Type="http://schemas.openxmlformats.org/officeDocument/2006/relationships/hyperlink" Target="https://doi.org/10.1002/adma.202507979" TargetMode="External"/><Relationship Id="rId355" Type="http://schemas.openxmlformats.org/officeDocument/2006/relationships/hyperlink" Target="https://advanced.onlinelibrary.wiley.com/doi/10.1002/adma.202507961?af=R" TargetMode="External"/><Relationship Id="rId356" Type="http://schemas.openxmlformats.org/officeDocument/2006/relationships/hyperlink" Target="https://doi.org/10.1002/adma.202507961" TargetMode="External"/><Relationship Id="rId357" Type="http://schemas.openxmlformats.org/officeDocument/2006/relationships/hyperlink" Target="https://advanced.onlinelibrary.wiley.com/doi/10.1002/adma.202512274?af=R" TargetMode="External"/><Relationship Id="rId358" Type="http://schemas.openxmlformats.org/officeDocument/2006/relationships/hyperlink" Target="https://doi.org/10.1002/adma.202512274" TargetMode="External"/><Relationship Id="rId359" Type="http://schemas.openxmlformats.org/officeDocument/2006/relationships/hyperlink" Target="https://advanced.onlinelibrary.wiley.com/doi/10.1002/adma.202507536?af=R" TargetMode="External"/><Relationship Id="rId360" Type="http://schemas.openxmlformats.org/officeDocument/2006/relationships/hyperlink" Target="https://doi.org/10.1002/adma.202507536" TargetMode="External"/><Relationship Id="rId361" Type="http://schemas.openxmlformats.org/officeDocument/2006/relationships/hyperlink" Target="https://advanced.onlinelibrary.wiley.com/doi/10.1002/adma.202507233?af=R" TargetMode="External"/><Relationship Id="rId362" Type="http://schemas.openxmlformats.org/officeDocument/2006/relationships/hyperlink" Target="https://doi.org/10.1002/adma.202507233" TargetMode="External"/><Relationship Id="rId363" Type="http://schemas.openxmlformats.org/officeDocument/2006/relationships/hyperlink" Target="https://advanced.onlinelibrary.wiley.com/doi/10.1002/adma.202509989?af=R" TargetMode="External"/><Relationship Id="rId364" Type="http://schemas.openxmlformats.org/officeDocument/2006/relationships/hyperlink" Target="https://doi.org/10.1002/adma.202509989" TargetMode="External"/><Relationship Id="rId365" Type="http://schemas.openxmlformats.org/officeDocument/2006/relationships/hyperlink" Target="https://advanced.onlinelibrary.wiley.com/doi/10.1002/adma.202507054?af=R" TargetMode="External"/><Relationship Id="rId366" Type="http://schemas.openxmlformats.org/officeDocument/2006/relationships/hyperlink" Target="https://doi.org/10.1002/adma.202507054" TargetMode="External"/><Relationship Id="rId367" Type="http://schemas.openxmlformats.org/officeDocument/2006/relationships/hyperlink" Target="https://advanced.onlinelibrary.wiley.com/doi/10.1002/adma.202506031?af=R" TargetMode="External"/><Relationship Id="rId368" Type="http://schemas.openxmlformats.org/officeDocument/2006/relationships/hyperlink" Target="https://doi.org/10.1002/adma.202506031" TargetMode="External"/><Relationship Id="rId369" Type="http://schemas.openxmlformats.org/officeDocument/2006/relationships/hyperlink" Target="https://advanced.onlinelibrary.wiley.com/doi/10.1002/adma.202505959?af=R" TargetMode="External"/><Relationship Id="rId370" Type="http://schemas.openxmlformats.org/officeDocument/2006/relationships/hyperlink" Target="https://doi.org/10.1002/adma.202505959" TargetMode="External"/><Relationship Id="rId371" Type="http://schemas.openxmlformats.org/officeDocument/2006/relationships/hyperlink" Target="https://advanced.onlinelibrary.wiley.com/doi/10.1002/adma.202505360?af=R" TargetMode="External"/><Relationship Id="rId372" Type="http://schemas.openxmlformats.org/officeDocument/2006/relationships/hyperlink" Target="https://doi.org/10.1002/adma.202505360" TargetMode="External"/><Relationship Id="rId373" Type="http://schemas.openxmlformats.org/officeDocument/2006/relationships/hyperlink" Target="https://advanced.onlinelibrary.wiley.com/doi/10.1002/adma.202504455?af=R" TargetMode="External"/><Relationship Id="rId374" Type="http://schemas.openxmlformats.org/officeDocument/2006/relationships/hyperlink" Target="https://doi.org/10.1002/adma.202504455" TargetMode="External"/><Relationship Id="rId375" Type="http://schemas.openxmlformats.org/officeDocument/2006/relationships/hyperlink" Target="https://advanced.onlinelibrary.wiley.com/doi/10.1002/adma.202503524?af=R" TargetMode="External"/><Relationship Id="rId376" Type="http://schemas.openxmlformats.org/officeDocument/2006/relationships/hyperlink" Target="https://doi.org/10.1002/adma.202503524" TargetMode="External"/><Relationship Id="rId377" Type="http://schemas.openxmlformats.org/officeDocument/2006/relationships/hyperlink" Target="https://advanced.onlinelibrary.wiley.com/doi/10.1002/adma.202503479?af=R" TargetMode="External"/><Relationship Id="rId378" Type="http://schemas.openxmlformats.org/officeDocument/2006/relationships/hyperlink" Target="https://doi.org/10.1002/adma.202503479" TargetMode="External"/><Relationship Id="rId379" Type="http://schemas.openxmlformats.org/officeDocument/2006/relationships/hyperlink" Target="https://advanced.onlinelibrary.wiley.com/doi/10.1002/adma.202503475?af=R" TargetMode="External"/><Relationship Id="rId380" Type="http://schemas.openxmlformats.org/officeDocument/2006/relationships/hyperlink" Target="https://doi.org/10.1002/adma.202503475" TargetMode="External"/><Relationship Id="rId381" Type="http://schemas.openxmlformats.org/officeDocument/2006/relationships/hyperlink" Target="https://advanced.onlinelibrary.wiley.com/doi/10.1002/adma.202503218?af=R" TargetMode="External"/><Relationship Id="rId382" Type="http://schemas.openxmlformats.org/officeDocument/2006/relationships/hyperlink" Target="https://doi.org/10.1002/adma.202503218" TargetMode="External"/><Relationship Id="rId383" Type="http://schemas.openxmlformats.org/officeDocument/2006/relationships/hyperlink" Target="https://advanced.onlinelibrary.wiley.com/doi/10.1002/adma.202502427?af=R" TargetMode="External"/><Relationship Id="rId384" Type="http://schemas.openxmlformats.org/officeDocument/2006/relationships/hyperlink" Target="https://doi.org/10.1002/adma.202502427" TargetMode="External"/><Relationship Id="rId385" Type="http://schemas.openxmlformats.org/officeDocument/2006/relationships/hyperlink" Target="https://advanced.onlinelibrary.wiley.com/doi/10.1002/adma.202502362?af=R" TargetMode="External"/><Relationship Id="rId386" Type="http://schemas.openxmlformats.org/officeDocument/2006/relationships/hyperlink" Target="https://doi.org/10.1002/adma.202502362" TargetMode="External"/><Relationship Id="rId387" Type="http://schemas.openxmlformats.org/officeDocument/2006/relationships/hyperlink" Target="https://advanced.onlinelibrary.wiley.com/doi/10.1002/adma.202501894?af=R" TargetMode="External"/><Relationship Id="rId388" Type="http://schemas.openxmlformats.org/officeDocument/2006/relationships/hyperlink" Target="https://doi.org/10.1002/adma.202501894" TargetMode="External"/><Relationship Id="rId389" Type="http://schemas.openxmlformats.org/officeDocument/2006/relationships/hyperlink" Target="https://advanced.onlinelibrary.wiley.com/doi/10.1002/adma.202501779?af=R" TargetMode="External"/><Relationship Id="rId390" Type="http://schemas.openxmlformats.org/officeDocument/2006/relationships/hyperlink" Target="https://doi.org/10.1002/adma.202501779" TargetMode="External"/><Relationship Id="rId391" Type="http://schemas.openxmlformats.org/officeDocument/2006/relationships/hyperlink" Target="https://advanced.onlinelibrary.wiley.com/doi/10.1002/adma.202413353?af=R" TargetMode="External"/><Relationship Id="rId392" Type="http://schemas.openxmlformats.org/officeDocument/2006/relationships/hyperlink" Target="https://doi.org/10.1002/adma.202413353" TargetMode="External"/><Relationship Id="rId393" Type="http://schemas.openxmlformats.org/officeDocument/2006/relationships/hyperlink" Target="https://advanced.onlinelibrary.wiley.com/doi/10.1002/adma.202407831?af=R" TargetMode="External"/><Relationship Id="rId394" Type="http://schemas.openxmlformats.org/officeDocument/2006/relationships/hyperlink" Target="https://doi.org/10.1002/adma.202407831" TargetMode="External"/><Relationship Id="rId395" Type="http://schemas.openxmlformats.org/officeDocument/2006/relationships/hyperlink" Target="https://advanced.onlinelibrary.wiley.com/doi/10.1002/adma.202506128?af=R" TargetMode="External"/><Relationship Id="rId396" Type="http://schemas.openxmlformats.org/officeDocument/2006/relationships/hyperlink" Target="https://doi.org/10.1002/adma.202506128" TargetMode="External"/><Relationship Id="rId397" Type="http://schemas.openxmlformats.org/officeDocument/2006/relationships/hyperlink" Target="https://advanced.onlinelibrary.wiley.com/doi/10.1002/adma.202510031?af=R" TargetMode="External"/><Relationship Id="rId398" Type="http://schemas.openxmlformats.org/officeDocument/2006/relationships/hyperlink" Target="https://doi.org/10.1002/adma.202510031" TargetMode="External"/><Relationship Id="rId399" Type="http://schemas.openxmlformats.org/officeDocument/2006/relationships/hyperlink" Target="https://advanced.onlinelibrary.wiley.com/doi/10.1002/adma.202509997?af=R" TargetMode="External"/><Relationship Id="rId400" Type="http://schemas.openxmlformats.org/officeDocument/2006/relationships/hyperlink" Target="https://doi.org/10.1002/adma.202509997" TargetMode="External"/><Relationship Id="rId401" Type="http://schemas.openxmlformats.org/officeDocument/2006/relationships/hyperlink" Target="https://advanced.onlinelibrary.wiley.com/doi/10.1002/adma.202510083?af=R" TargetMode="External"/><Relationship Id="rId402" Type="http://schemas.openxmlformats.org/officeDocument/2006/relationships/hyperlink" Target="https://doi.org/10.1002/adma.202510083" TargetMode="External"/><Relationship Id="rId403" Type="http://schemas.openxmlformats.org/officeDocument/2006/relationships/hyperlink" Target="https://advanced.onlinelibrary.wiley.com/doi/10.1002/adma.202512209?af=R" TargetMode="External"/><Relationship Id="rId404" Type="http://schemas.openxmlformats.org/officeDocument/2006/relationships/hyperlink" Target="https://doi.org/10.1002/adma.202512209" TargetMode="External"/><Relationship Id="rId405" Type="http://schemas.openxmlformats.org/officeDocument/2006/relationships/hyperlink" Target="https://advanced.onlinelibrary.wiley.com/doi/10.1002/adma.202512171?af=R" TargetMode="External"/><Relationship Id="rId406" Type="http://schemas.openxmlformats.org/officeDocument/2006/relationships/hyperlink" Target="https://doi.org/10.1002/adma.202512171" TargetMode="External"/><Relationship Id="rId407" Type="http://schemas.openxmlformats.org/officeDocument/2006/relationships/hyperlink" Target="https://advanced.onlinelibrary.wiley.com/doi/10.1002/adma.202512075?af=R" TargetMode="External"/><Relationship Id="rId408" Type="http://schemas.openxmlformats.org/officeDocument/2006/relationships/hyperlink" Target="https://doi.org/10.1002/adma.202512075" TargetMode="External"/><Relationship Id="rId409" Type="http://schemas.openxmlformats.org/officeDocument/2006/relationships/hyperlink" Target="https://advanced.onlinelibrary.wiley.com/doi/10.1002/adma.202512066?af=R" TargetMode="External"/><Relationship Id="rId410" Type="http://schemas.openxmlformats.org/officeDocument/2006/relationships/hyperlink" Target="https://doi.org/10.1002/adma.202512066" TargetMode="External"/><Relationship Id="rId411" Type="http://schemas.openxmlformats.org/officeDocument/2006/relationships/hyperlink" Target="https://advanced.onlinelibrary.wiley.com/doi/10.1002/adma.202512029?af=R" TargetMode="External"/><Relationship Id="rId412" Type="http://schemas.openxmlformats.org/officeDocument/2006/relationships/hyperlink" Target="https://doi.org/10.1002/adma.202512029" TargetMode="External"/><Relationship Id="rId413" Type="http://schemas.openxmlformats.org/officeDocument/2006/relationships/hyperlink" Target="https://advanced.onlinelibrary.wiley.com/doi/10.1002/adma.202512001?af=R" TargetMode="External"/><Relationship Id="rId414" Type="http://schemas.openxmlformats.org/officeDocument/2006/relationships/hyperlink" Target="https://doi.org/10.1002/adma.202512001" TargetMode="External"/><Relationship Id="rId415" Type="http://schemas.openxmlformats.org/officeDocument/2006/relationships/hyperlink" Target="https://advanced.onlinelibrary.wiley.com/doi/10.1002/adma.202511943?af=R" TargetMode="External"/><Relationship Id="rId416" Type="http://schemas.openxmlformats.org/officeDocument/2006/relationships/hyperlink" Target="https://doi.org/10.1002/adma.202511943" TargetMode="External"/><Relationship Id="rId417" Type="http://schemas.openxmlformats.org/officeDocument/2006/relationships/hyperlink" Target="https://advanced.onlinelibrary.wiley.com/doi/10.1002/adma.202511852?af=R" TargetMode="External"/><Relationship Id="rId418" Type="http://schemas.openxmlformats.org/officeDocument/2006/relationships/hyperlink" Target="https://doi.org/10.1002/adma.202511852" TargetMode="External"/><Relationship Id="rId419" Type="http://schemas.openxmlformats.org/officeDocument/2006/relationships/hyperlink" Target="https://advanced.onlinelibrary.wiley.com/doi/10.1002/adma.202511754?af=R" TargetMode="External"/><Relationship Id="rId420" Type="http://schemas.openxmlformats.org/officeDocument/2006/relationships/hyperlink" Target="https://doi.org/10.1002/adma.202511754" TargetMode="External"/><Relationship Id="rId421" Type="http://schemas.openxmlformats.org/officeDocument/2006/relationships/hyperlink" Target="https://advanced.onlinelibrary.wiley.com/doi/10.1002/adma.202511648?af=R" TargetMode="External"/><Relationship Id="rId422" Type="http://schemas.openxmlformats.org/officeDocument/2006/relationships/hyperlink" Target="https://doi.org/10.1002/adma.202511648" TargetMode="External"/><Relationship Id="rId423" Type="http://schemas.openxmlformats.org/officeDocument/2006/relationships/hyperlink" Target="https://advanced.onlinelibrary.wiley.com/doi/10.1002/adma.202511620?af=R" TargetMode="External"/><Relationship Id="rId424" Type="http://schemas.openxmlformats.org/officeDocument/2006/relationships/hyperlink" Target="https://doi.org/10.1002/adma.202511620" TargetMode="External"/><Relationship Id="rId425" Type="http://schemas.openxmlformats.org/officeDocument/2006/relationships/hyperlink" Target="https://advanced.onlinelibrary.wiley.com/doi/10.1002/adma.202511560?af=R" TargetMode="External"/><Relationship Id="rId426" Type="http://schemas.openxmlformats.org/officeDocument/2006/relationships/hyperlink" Target="https://doi.org/10.1002/adma.202511560" TargetMode="External"/><Relationship Id="rId427" Type="http://schemas.openxmlformats.org/officeDocument/2006/relationships/hyperlink" Target="https://advanced.onlinelibrary.wiley.com/doi/10.1002/adma.202511556?af=R" TargetMode="External"/><Relationship Id="rId428" Type="http://schemas.openxmlformats.org/officeDocument/2006/relationships/hyperlink" Target="https://doi.org/10.1002/adma.202511556" TargetMode="External"/><Relationship Id="rId429" Type="http://schemas.openxmlformats.org/officeDocument/2006/relationships/hyperlink" Target="https://advanced.onlinelibrary.wiley.com/doi/10.1002/adma.202511497?af=R" TargetMode="External"/><Relationship Id="rId430" Type="http://schemas.openxmlformats.org/officeDocument/2006/relationships/hyperlink" Target="https://doi.org/10.1002/adma.202511497" TargetMode="External"/><Relationship Id="rId431" Type="http://schemas.openxmlformats.org/officeDocument/2006/relationships/hyperlink" Target="https://advanced.onlinelibrary.wiley.com/doi/10.1002/adma.202511882?af=R" TargetMode="External"/><Relationship Id="rId432" Type="http://schemas.openxmlformats.org/officeDocument/2006/relationships/hyperlink" Target="https://doi.org/10.1002/adma.202511882" TargetMode="External"/><Relationship Id="rId433" Type="http://schemas.openxmlformats.org/officeDocument/2006/relationships/hyperlink" Target="https://advanced.onlinelibrary.wiley.com/doi/10.1002/adma.202511275?af=R" TargetMode="External"/><Relationship Id="rId434" Type="http://schemas.openxmlformats.org/officeDocument/2006/relationships/hyperlink" Target="https://doi.org/10.1002/adma.202511275" TargetMode="External"/><Relationship Id="rId435" Type="http://schemas.openxmlformats.org/officeDocument/2006/relationships/hyperlink" Target="https://advanced.onlinelibrary.wiley.com/doi/10.1002/adma.202511351?af=R" TargetMode="External"/><Relationship Id="rId436" Type="http://schemas.openxmlformats.org/officeDocument/2006/relationships/hyperlink" Target="https://doi.org/10.1002/adma.202511351" TargetMode="External"/><Relationship Id="rId437" Type="http://schemas.openxmlformats.org/officeDocument/2006/relationships/hyperlink" Target="https://advanced.onlinelibrary.wiley.com/doi/10.1002/adma.202510402?af=R" TargetMode="External"/><Relationship Id="rId438" Type="http://schemas.openxmlformats.org/officeDocument/2006/relationships/hyperlink" Target="https://doi.org/10.1002/adma.202510402" TargetMode="External"/><Relationship Id="rId439" Type="http://schemas.openxmlformats.org/officeDocument/2006/relationships/hyperlink" Target="https://advanced.onlinelibrary.wiley.com/doi/10.1002/adma.202511097?af=R" TargetMode="External"/><Relationship Id="rId440" Type="http://schemas.openxmlformats.org/officeDocument/2006/relationships/hyperlink" Target="https://doi.org/10.1002/adma.202511097" TargetMode="External"/><Relationship Id="rId441" Type="http://schemas.openxmlformats.org/officeDocument/2006/relationships/hyperlink" Target="https://advanced.onlinelibrary.wiley.com/doi/10.1002/adma.202511411?af=R" TargetMode="External"/><Relationship Id="rId442" Type="http://schemas.openxmlformats.org/officeDocument/2006/relationships/hyperlink" Target="https://doi.org/10.1002/adma.202511411" TargetMode="External"/><Relationship Id="rId443" Type="http://schemas.openxmlformats.org/officeDocument/2006/relationships/hyperlink" Target="https://advanced.onlinelibrary.wiley.com/doi/10.1002/adma.202511117?af=R" TargetMode="External"/><Relationship Id="rId444" Type="http://schemas.openxmlformats.org/officeDocument/2006/relationships/hyperlink" Target="https://doi.org/10.1002/adma.202511117" TargetMode="External"/><Relationship Id="rId445" Type="http://schemas.openxmlformats.org/officeDocument/2006/relationships/hyperlink" Target="https://advanced.onlinelibrary.wiley.com/doi/10.1002/adma.202511138?af=R" TargetMode="External"/><Relationship Id="rId446" Type="http://schemas.openxmlformats.org/officeDocument/2006/relationships/hyperlink" Target="https://doi.org/10.1002/adma.202511138" TargetMode="External"/><Relationship Id="rId447" Type="http://schemas.openxmlformats.org/officeDocument/2006/relationships/hyperlink" Target="https://advanced.onlinelibrary.wiley.com/doi/10.1002/adma.202510614?af=R" TargetMode="External"/><Relationship Id="rId448" Type="http://schemas.openxmlformats.org/officeDocument/2006/relationships/hyperlink" Target="https://doi.org/10.1002/adma.202510614" TargetMode="External"/><Relationship Id="rId449" Type="http://schemas.openxmlformats.org/officeDocument/2006/relationships/hyperlink" Target="https://advanced.onlinelibrary.wiley.com/doi/10.1002/adma.202511348?af=R" TargetMode="External"/><Relationship Id="rId450" Type="http://schemas.openxmlformats.org/officeDocument/2006/relationships/hyperlink" Target="https://doi.org/10.1002/adma.202511348" TargetMode="External"/><Relationship Id="rId451" Type="http://schemas.openxmlformats.org/officeDocument/2006/relationships/hyperlink" Target="https://advanced.onlinelibrary.wiley.com/doi/10.1002/adma.202511037?af=R" TargetMode="External"/><Relationship Id="rId452" Type="http://schemas.openxmlformats.org/officeDocument/2006/relationships/hyperlink" Target="https://doi.org/10.1002/adma.202511037" TargetMode="External"/><Relationship Id="rId453" Type="http://schemas.openxmlformats.org/officeDocument/2006/relationships/hyperlink" Target="https://advanced.onlinelibrary.wiley.com/doi/10.1002/adma.202511233?af=R" TargetMode="External"/><Relationship Id="rId454" Type="http://schemas.openxmlformats.org/officeDocument/2006/relationships/hyperlink" Target="https://doi.org/10.1002/adma.202511233" TargetMode="External"/><Relationship Id="rId455" Type="http://schemas.openxmlformats.org/officeDocument/2006/relationships/hyperlink" Target="https://advanced.onlinelibrary.wiley.com/doi/10.1002/adma.202511246?af=R" TargetMode="External"/><Relationship Id="rId456" Type="http://schemas.openxmlformats.org/officeDocument/2006/relationships/hyperlink" Target="https://doi.org/10.1002/adma.202511246" TargetMode="External"/><Relationship Id="rId457" Type="http://schemas.openxmlformats.org/officeDocument/2006/relationships/hyperlink" Target="https://advanced.onlinelibrary.wiley.com/doi/10.1002/adma.202522976?af=R" TargetMode="External"/><Relationship Id="rId458" Type="http://schemas.openxmlformats.org/officeDocument/2006/relationships/hyperlink" Target="https://doi.org/10.1002/adma.202522976" TargetMode="External"/><Relationship Id="rId459" Type="http://schemas.openxmlformats.org/officeDocument/2006/relationships/hyperlink" Target="https://advanced.onlinelibrary.wiley.com/doi/10.1002/adma.202521215?af=R" TargetMode="External"/><Relationship Id="rId460" Type="http://schemas.openxmlformats.org/officeDocument/2006/relationships/hyperlink" Target="https://doi.org/10.1002/adma.202521215" TargetMode="External"/><Relationship Id="rId461" Type="http://schemas.openxmlformats.org/officeDocument/2006/relationships/hyperlink" Target="https://advanced.onlinelibrary.wiley.com/doi/10.1002/adma.202507071?af=R" TargetMode="External"/><Relationship Id="rId462" Type="http://schemas.openxmlformats.org/officeDocument/2006/relationships/hyperlink" Target="https://doi.org/10.1002/adma.202507071" TargetMode="External"/><Relationship Id="rId463" Type="http://schemas.openxmlformats.org/officeDocument/2006/relationships/hyperlink" Target="https://advanced.onlinelibrary.wiley.com/doi/10.1002/adma.202511719?af=R" TargetMode="External"/><Relationship Id="rId464" Type="http://schemas.openxmlformats.org/officeDocument/2006/relationships/hyperlink" Target="https://doi.org/10.1002/adma.202511719" TargetMode="External"/><Relationship Id="rId465" Type="http://schemas.openxmlformats.org/officeDocument/2006/relationships/hyperlink" Target="https://advanced.onlinelibrary.wiley.com/doi/10.1002/adma.202506934?af=R" TargetMode="External"/><Relationship Id="rId466" Type="http://schemas.openxmlformats.org/officeDocument/2006/relationships/hyperlink" Target="https://doi.org/10.1002/adma.202506934" TargetMode="External"/><Relationship Id="rId467" Type="http://schemas.openxmlformats.org/officeDocument/2006/relationships/hyperlink" Target="https://advanced.onlinelibrary.wiley.com/doi/10.1002/adma.202509920?af=R" TargetMode="External"/><Relationship Id="rId468" Type="http://schemas.openxmlformats.org/officeDocument/2006/relationships/hyperlink" Target="https://doi.org/10.1002/adma.202509920" TargetMode="External"/><Relationship Id="rId469" Type="http://schemas.openxmlformats.org/officeDocument/2006/relationships/hyperlink" Target="https://advanced.onlinelibrary.wiley.com/doi/10.1002/adma.202420447?af=R" TargetMode="External"/><Relationship Id="rId470" Type="http://schemas.openxmlformats.org/officeDocument/2006/relationships/hyperlink" Target="https://doi.org/10.1002/adma.202420447" TargetMode="External"/><Relationship Id="rId471" Type="http://schemas.openxmlformats.org/officeDocument/2006/relationships/hyperlink" Target="https://advanced.onlinelibrary.wiley.com/doi/10.1002/adma.202504590?af=R" TargetMode="External"/><Relationship Id="rId472" Type="http://schemas.openxmlformats.org/officeDocument/2006/relationships/hyperlink" Target="https://doi.org/10.1002/adma.202504590" TargetMode="External"/><Relationship Id="rId473" Type="http://schemas.openxmlformats.org/officeDocument/2006/relationships/hyperlink" Target="https://advanced.onlinelibrary.wiley.com/doi/10.1002/adma.202512654?af=R" TargetMode="External"/><Relationship Id="rId474" Type="http://schemas.openxmlformats.org/officeDocument/2006/relationships/hyperlink" Target="https://doi.org/10.1002/adma.202512654" TargetMode="External"/><Relationship Id="rId475" Type="http://schemas.openxmlformats.org/officeDocument/2006/relationships/hyperlink" Target="https://advanced.onlinelibrary.wiley.com/doi/10.1002/adma.202518202?af=R" TargetMode="External"/><Relationship Id="rId476" Type="http://schemas.openxmlformats.org/officeDocument/2006/relationships/hyperlink" Target="https://doi.org/10.1002/adma.202518202" TargetMode="External"/><Relationship Id="rId477" Type="http://schemas.openxmlformats.org/officeDocument/2006/relationships/hyperlink" Target="https://onlinelibrary.wiley.com/doi/10.1002/anie.202512579?af=R" TargetMode="External"/><Relationship Id="rId478" Type="http://schemas.openxmlformats.org/officeDocument/2006/relationships/hyperlink" Target="https://doi.org/10.1002/anie.202512579" TargetMode="External"/><Relationship Id="rId479" Type="http://schemas.openxmlformats.org/officeDocument/2006/relationships/hyperlink" Target="https://onlinelibrary.wiley.com/doi/10.1002/anie.202519750?af=R" TargetMode="External"/><Relationship Id="rId480" Type="http://schemas.openxmlformats.org/officeDocument/2006/relationships/hyperlink" Target="https://doi.org/10.1002/anie.202519750" TargetMode="External"/><Relationship Id="rId481" Type="http://schemas.openxmlformats.org/officeDocument/2006/relationships/hyperlink" Target="https://onlinelibrary.wiley.com/doi/10.1002/anie.202519875?af=R" TargetMode="External"/><Relationship Id="rId482" Type="http://schemas.openxmlformats.org/officeDocument/2006/relationships/hyperlink" Target="https://doi.org/10.1002/anie.202519875" TargetMode="External"/><Relationship Id="rId483" Type="http://schemas.openxmlformats.org/officeDocument/2006/relationships/hyperlink" Target="https://onlinelibrary.wiley.com/doi/10.1002/anie.202519990?af=R" TargetMode="External"/><Relationship Id="rId484" Type="http://schemas.openxmlformats.org/officeDocument/2006/relationships/hyperlink" Target="https://doi.org/10.1002/anie.202519990" TargetMode="External"/><Relationship Id="rId485" Type="http://schemas.openxmlformats.org/officeDocument/2006/relationships/hyperlink" Target="https://onlinelibrary.wiley.com/doi/10.1002/anie.202519102?af=R" TargetMode="External"/><Relationship Id="rId486" Type="http://schemas.openxmlformats.org/officeDocument/2006/relationships/hyperlink" Target="https://doi.org/10.1002/anie.202519102" TargetMode="External"/><Relationship Id="rId487" Type="http://schemas.openxmlformats.org/officeDocument/2006/relationships/hyperlink" Target="https://onlinelibrary.wiley.com/doi/10.1002/anie.202518797?af=R" TargetMode="External"/><Relationship Id="rId488" Type="http://schemas.openxmlformats.org/officeDocument/2006/relationships/hyperlink" Target="https://doi.org/10.1002/anie.202518797" TargetMode="External"/><Relationship Id="rId489" Type="http://schemas.openxmlformats.org/officeDocument/2006/relationships/hyperlink" Target="https://onlinelibrary.wiley.com/doi/10.1002/anie.202518789?af=R" TargetMode="External"/><Relationship Id="rId490" Type="http://schemas.openxmlformats.org/officeDocument/2006/relationships/hyperlink" Target="https://doi.org/10.1002/anie.202518789" TargetMode="External"/><Relationship Id="rId491" Type="http://schemas.openxmlformats.org/officeDocument/2006/relationships/hyperlink" Target="https://onlinelibrary.wiley.com/doi/10.1002/anie.202518787?af=R" TargetMode="External"/><Relationship Id="rId492" Type="http://schemas.openxmlformats.org/officeDocument/2006/relationships/hyperlink" Target="https://doi.org/10.1002/anie.202518787" TargetMode="External"/><Relationship Id="rId493" Type="http://schemas.openxmlformats.org/officeDocument/2006/relationships/hyperlink" Target="https://onlinelibrary.wiley.com/doi/10.1002/anie.202518707?af=R" TargetMode="External"/><Relationship Id="rId494" Type="http://schemas.openxmlformats.org/officeDocument/2006/relationships/hyperlink" Target="https://doi.org/10.1002/anie.202518707" TargetMode="External"/><Relationship Id="rId495" Type="http://schemas.openxmlformats.org/officeDocument/2006/relationships/hyperlink" Target="https://onlinelibrary.wiley.com/doi/10.1002/anie.202518319?af=R" TargetMode="External"/><Relationship Id="rId496" Type="http://schemas.openxmlformats.org/officeDocument/2006/relationships/hyperlink" Target="https://doi.org/10.1002/anie.202518319" TargetMode="External"/><Relationship Id="rId497" Type="http://schemas.openxmlformats.org/officeDocument/2006/relationships/hyperlink" Target="https://onlinelibrary.wiley.com/doi/10.1002/anie.202518310?af=R" TargetMode="External"/><Relationship Id="rId498" Type="http://schemas.openxmlformats.org/officeDocument/2006/relationships/hyperlink" Target="https://doi.org/10.1002/anie.202518310" TargetMode="External"/><Relationship Id="rId499" Type="http://schemas.openxmlformats.org/officeDocument/2006/relationships/hyperlink" Target="https://onlinelibrary.wiley.com/doi/10.1002/anie.202518264?af=R" TargetMode="External"/><Relationship Id="rId500" Type="http://schemas.openxmlformats.org/officeDocument/2006/relationships/hyperlink" Target="https://doi.org/10.1002/anie.202518264" TargetMode="External"/><Relationship Id="rId501" Type="http://schemas.openxmlformats.org/officeDocument/2006/relationships/hyperlink" Target="https://onlinelibrary.wiley.com/doi/10.1002/anie.202518011?af=R" TargetMode="External"/><Relationship Id="rId502" Type="http://schemas.openxmlformats.org/officeDocument/2006/relationships/hyperlink" Target="https://doi.org/10.1002/anie.202518011" TargetMode="External"/><Relationship Id="rId503" Type="http://schemas.openxmlformats.org/officeDocument/2006/relationships/hyperlink" Target="https://onlinelibrary.wiley.com/doi/10.1002/anie.202517979?af=R" TargetMode="External"/><Relationship Id="rId504" Type="http://schemas.openxmlformats.org/officeDocument/2006/relationships/hyperlink" Target="https://doi.org/10.1002/anie.202517979" TargetMode="External"/><Relationship Id="rId505" Type="http://schemas.openxmlformats.org/officeDocument/2006/relationships/hyperlink" Target="https://onlinelibrary.wiley.com/doi/10.1002/anie.202517462?af=R" TargetMode="External"/><Relationship Id="rId506" Type="http://schemas.openxmlformats.org/officeDocument/2006/relationships/hyperlink" Target="https://doi.org/10.1002/anie.202517462" TargetMode="External"/><Relationship Id="rId507" Type="http://schemas.openxmlformats.org/officeDocument/2006/relationships/hyperlink" Target="https://onlinelibrary.wiley.com/doi/10.1002/anie.202517229?af=R" TargetMode="External"/><Relationship Id="rId508" Type="http://schemas.openxmlformats.org/officeDocument/2006/relationships/hyperlink" Target="https://doi.org/10.1002/anie.202517229" TargetMode="External"/><Relationship Id="rId509" Type="http://schemas.openxmlformats.org/officeDocument/2006/relationships/hyperlink" Target="https://onlinelibrary.wiley.com/doi/10.1002/anie.202516929?af=R" TargetMode="External"/><Relationship Id="rId510" Type="http://schemas.openxmlformats.org/officeDocument/2006/relationships/hyperlink" Target="https://doi.org/10.1002/anie.202516929" TargetMode="External"/><Relationship Id="rId511" Type="http://schemas.openxmlformats.org/officeDocument/2006/relationships/hyperlink" Target="https://onlinelibrary.wiley.com/doi/10.1002/anie.202511352?af=R" TargetMode="External"/><Relationship Id="rId512" Type="http://schemas.openxmlformats.org/officeDocument/2006/relationships/hyperlink" Target="https://doi.org/10.1002/anie.202511352" TargetMode="External"/><Relationship Id="rId513" Type="http://schemas.openxmlformats.org/officeDocument/2006/relationships/hyperlink" Target="https://onlinelibrary.wiley.com/doi/10.1002/anie.202516259?af=R" TargetMode="External"/><Relationship Id="rId514" Type="http://schemas.openxmlformats.org/officeDocument/2006/relationships/hyperlink" Target="https://doi.org/10.1002/anie.202516259" TargetMode="External"/><Relationship Id="rId515" Type="http://schemas.openxmlformats.org/officeDocument/2006/relationships/hyperlink" Target="https://onlinelibrary.wiley.com/doi/10.1002/anie.202515673?af=R" TargetMode="External"/><Relationship Id="rId516" Type="http://schemas.openxmlformats.org/officeDocument/2006/relationships/hyperlink" Target="https://doi.org/10.1002/anie.202515673" TargetMode="External"/><Relationship Id="rId517" Type="http://schemas.openxmlformats.org/officeDocument/2006/relationships/hyperlink" Target="https://onlinelibrary.wiley.com/doi/10.1002/anie.202510787?af=R" TargetMode="External"/><Relationship Id="rId518" Type="http://schemas.openxmlformats.org/officeDocument/2006/relationships/hyperlink" Target="https://doi.org/10.1002/anie.202510787" TargetMode="External"/><Relationship Id="rId519" Type="http://schemas.openxmlformats.org/officeDocument/2006/relationships/hyperlink" Target="https://onlinelibrary.wiley.com/doi/10.1002/anie.202514591?af=R" TargetMode="External"/><Relationship Id="rId520" Type="http://schemas.openxmlformats.org/officeDocument/2006/relationships/hyperlink" Target="https://doi.org/10.1002/anie.202514591" TargetMode="External"/><Relationship Id="rId521" Type="http://schemas.openxmlformats.org/officeDocument/2006/relationships/hyperlink" Target="https://onlinelibrary.wiley.com/doi/10.1002/anie.202510031?af=R" TargetMode="External"/><Relationship Id="rId522" Type="http://schemas.openxmlformats.org/officeDocument/2006/relationships/hyperlink" Target="https://doi.org/10.1002/anie.202510031" TargetMode="External"/><Relationship Id="rId523" Type="http://schemas.openxmlformats.org/officeDocument/2006/relationships/hyperlink" Target="https://onlinelibrary.wiley.com/doi/10.1002/anie.202507812?af=R" TargetMode="External"/><Relationship Id="rId524" Type="http://schemas.openxmlformats.org/officeDocument/2006/relationships/hyperlink" Target="https://doi.org/10.1002/anie.202507812" TargetMode="External"/><Relationship Id="rId525" Type="http://schemas.openxmlformats.org/officeDocument/2006/relationships/hyperlink" Target="https://onlinelibrary.wiley.com/doi/10.1002/anie.202513937?af=R" TargetMode="External"/><Relationship Id="rId526" Type="http://schemas.openxmlformats.org/officeDocument/2006/relationships/hyperlink" Target="https://doi.org/10.1002/anie.202513937" TargetMode="External"/><Relationship Id="rId527" Type="http://schemas.openxmlformats.org/officeDocument/2006/relationships/hyperlink" Target="https://onlinelibrary.wiley.com/doi/10.1002/anie.202512391?af=R" TargetMode="External"/><Relationship Id="rId528" Type="http://schemas.openxmlformats.org/officeDocument/2006/relationships/hyperlink" Target="https://doi.org/10.1002/anie.202512391" TargetMode="External"/><Relationship Id="rId529" Type="http://schemas.openxmlformats.org/officeDocument/2006/relationships/hyperlink" Target="https://onlinelibrary.wiley.com/doi/10.1002/anie.202519874?af=R" TargetMode="External"/><Relationship Id="rId530" Type="http://schemas.openxmlformats.org/officeDocument/2006/relationships/hyperlink" Target="https://doi.org/10.1002/anie.202519874" TargetMode="External"/><Relationship Id="rId531" Type="http://schemas.openxmlformats.org/officeDocument/2006/relationships/hyperlink" Target="https://onlinelibrary.wiley.com/doi/10.1002/anie.202525219?af=R" TargetMode="External"/><Relationship Id="rId532" Type="http://schemas.openxmlformats.org/officeDocument/2006/relationships/hyperlink" Target="https://doi.org/10.1002/anie.202525219" TargetMode="External"/><Relationship Id="rId533" Type="http://schemas.openxmlformats.org/officeDocument/2006/relationships/hyperlink" Target="https://onlinelibrary.wiley.com/doi/10.1002/anie.202521715?af=R" TargetMode="External"/><Relationship Id="rId534" Type="http://schemas.openxmlformats.org/officeDocument/2006/relationships/hyperlink" Target="https://doi.org/10.1002/anie.202521715" TargetMode="External"/><Relationship Id="rId535" Type="http://schemas.openxmlformats.org/officeDocument/2006/relationships/hyperlink" Target="https://onlinelibrary.wiley.com/doi/10.1002/anie.202521324?af=R" TargetMode="External"/><Relationship Id="rId536" Type="http://schemas.openxmlformats.org/officeDocument/2006/relationships/hyperlink" Target="https://doi.org/10.1002/anie.202521324" TargetMode="External"/><Relationship Id="rId537" Type="http://schemas.openxmlformats.org/officeDocument/2006/relationships/hyperlink" Target="https://onlinelibrary.wiley.com/doi/10.1002/anie.202521209?af=R" TargetMode="External"/><Relationship Id="rId538" Type="http://schemas.openxmlformats.org/officeDocument/2006/relationships/hyperlink" Target="https://doi.org/10.1002/anie.202521209" TargetMode="External"/><Relationship Id="rId539" Type="http://schemas.openxmlformats.org/officeDocument/2006/relationships/hyperlink" Target="http://dx.doi.org/10.1021/jacs.5c16058" TargetMode="External"/><Relationship Id="rId540" Type="http://schemas.openxmlformats.org/officeDocument/2006/relationships/hyperlink" Target="https://doi.org/10.1021/jacs.5c16058" TargetMode="External"/><Relationship Id="rId541" Type="http://schemas.openxmlformats.org/officeDocument/2006/relationships/hyperlink" Target="https://www.sciencedirect.com/science/article/pii/S0301421525005440?dgcid=rss_sd_all" TargetMode="External"/><Relationship Id="rId542" Type="http://schemas.openxmlformats.org/officeDocument/2006/relationships/hyperlink" Target="https://www.sciencedirect.com/science/article/pii/S0306261925020483?dgcid=rss_sd_all" TargetMode="External"/><Relationship Id="rId543" Type="http://schemas.openxmlformats.org/officeDocument/2006/relationships/hyperlink" Target="https://www.sciencedirect.com/science/article/pii/S0306261925020045?dgcid=rss_sd_all" TargetMode="External"/><Relationship Id="rId544" Type="http://schemas.openxmlformats.org/officeDocument/2006/relationships/hyperlink" Target="https://www.sciencedirect.com/science/article/pii/S0306261925020197?dgcid=rss_sd_all" TargetMode="External"/><Relationship Id="rId545" Type="http://schemas.openxmlformats.org/officeDocument/2006/relationships/hyperlink" Target="https://www.sciencedirect.com/science/article/pii/S030626192502046X?dgcid=rss_sd_all" TargetMode="External"/><Relationship Id="rId546" Type="http://schemas.openxmlformats.org/officeDocument/2006/relationships/hyperlink" Target="https://www.sciencedirect.com/science/article/pii/S0306261925020239?dgcid=rss_sd_all" TargetMode="External"/><Relationship Id="rId547" Type="http://schemas.openxmlformats.org/officeDocument/2006/relationships/hyperlink" Target="https://www.nature.com/articles/s41586-025-10090-2" TargetMode="External"/><Relationship Id="rId548" Type="http://schemas.openxmlformats.org/officeDocument/2006/relationships/hyperlink" Target="https://www.nature.com/articles/s41586-025-10089-9" TargetMode="External"/><Relationship Id="rId549" Type="http://schemas.openxmlformats.org/officeDocument/2006/relationships/hyperlink" Target="https://www.sciencedirect.com/science/article/pii/S0306261925020343?dgcid=rss_sd_all" TargetMode="External"/><Relationship Id="rId550" Type="http://schemas.openxmlformats.org/officeDocument/2006/relationships/hyperlink" Target="https://www.sciencedirect.com/science/article/pii/S030626192502029X?dgcid=rss_sd_all" TargetMode="External"/><Relationship Id="rId551" Type="http://schemas.openxmlformats.org/officeDocument/2006/relationships/hyperlink" Target="https://www.sciencedirect.com/science/article/pii/S0306261925020033?dgcid=rss_sd_all" TargetMode="External"/><Relationship Id="rId552" Type="http://schemas.openxmlformats.org/officeDocument/2006/relationships/hyperlink" Target="https://www.sciencedirect.com/science/article/pii/S0306261925019981?dgcid=rss_sd_all" TargetMode="External"/><Relationship Id="rId553" Type="http://schemas.openxmlformats.org/officeDocument/2006/relationships/hyperlink" Target="https://www.sciencedirect.com/science/article/pii/S0306261925020148?dgcid=rss_sd_all" TargetMode="External"/><Relationship Id="rId554" Type="http://schemas.openxmlformats.org/officeDocument/2006/relationships/hyperlink" Target="https://www.sciencedirect.com/science/article/pii/S0306261925019877?dgcid=rss_sd_all" TargetMode="External"/><Relationship Id="rId555" Type="http://schemas.openxmlformats.org/officeDocument/2006/relationships/hyperlink" Target="https://www.sciencedirect.com/science/article/pii/S0306261925020549?dgcid=rss_sd_all" TargetMode="External"/><Relationship Id="rId556" Type="http://schemas.openxmlformats.org/officeDocument/2006/relationships/hyperlink" Target="https://www.sciencedirect.com/science/article/pii/S0306261925020653?dgcid=rss_sd_all" TargetMode="External"/><Relationship Id="rId557" Type="http://schemas.openxmlformats.org/officeDocument/2006/relationships/hyperlink" Target="https://www.sciencedirect.com/science/article/pii/S030626192501863X?dgcid=rss_sd_all" TargetMode="External"/><Relationship Id="rId558" Type="http://schemas.openxmlformats.org/officeDocument/2006/relationships/hyperlink" Target="https://www.sciencedirect.com/science/article/pii/S0301421525005178?dgcid=rss_sd_all" TargetMode="External"/><Relationship Id="rId559" Type="http://schemas.openxmlformats.org/officeDocument/2006/relationships/hyperlink" Target="https://www.sciencedirect.com/science/article/pii/S0301421525005579?dgcid=rss_sd_all" TargetMode="External"/><Relationship Id="rId560" Type="http://schemas.openxmlformats.org/officeDocument/2006/relationships/hyperlink" Target="https://www.sciencedirect.com/science/article/pii/S0301421525005555?dgcid=rss_sd_all" TargetMode="External"/><Relationship Id="rId561" Type="http://schemas.openxmlformats.org/officeDocument/2006/relationships/hyperlink" Target="https://www.sciencedirect.com/science/article/pii/S0301421525005129?dgcid=rss_sd_all" TargetMode="External"/><Relationship Id="rId562" Type="http://schemas.openxmlformats.org/officeDocument/2006/relationships/hyperlink" Target="https://www.sciencedirect.com/science/article/pii/S030626192502063X?dgcid=rss_sd_all" TargetMode="External"/><Relationship Id="rId563" Type="http://schemas.openxmlformats.org/officeDocument/2006/relationships/hyperlink" Target="https://www.sciencedirect.com/science/article/pii/S0306261925020525?dgcid=rss_sd_all" TargetMode="External"/><Relationship Id="rId564" Type="http://schemas.openxmlformats.org/officeDocument/2006/relationships/hyperlink" Target="http://dx.doi.org/10.1021/jacs.5c14490" TargetMode="External"/><Relationship Id="rId565" Type="http://schemas.openxmlformats.org/officeDocument/2006/relationships/hyperlink" Target="https://doi.org/10.1021/jacs.5c14490" TargetMode="External"/><Relationship Id="rId566" Type="http://schemas.openxmlformats.org/officeDocument/2006/relationships/hyperlink" Target="http://dx.doi.org/10.1021/acsenergylett.5c03294" TargetMode="External"/><Relationship Id="rId567" Type="http://schemas.openxmlformats.org/officeDocument/2006/relationships/hyperlink" Target="https://doi.org/10.1021/acsenergylett.5c03294" TargetMode="External"/><Relationship Id="rId568" Type="http://schemas.openxmlformats.org/officeDocument/2006/relationships/hyperlink" Target="http://dx.doi.org/10.1021/jacs.5c20876" TargetMode="External"/><Relationship Id="rId569" Type="http://schemas.openxmlformats.org/officeDocument/2006/relationships/hyperlink" Target="https://doi.org/10.1021/jacs.5c20876" TargetMode="External"/><Relationship Id="rId570" Type="http://schemas.openxmlformats.org/officeDocument/2006/relationships/hyperlink" Target="http://dx.doi.org/10.1021/acsenergylett.5c04158" TargetMode="External"/><Relationship Id="rId571" Type="http://schemas.openxmlformats.org/officeDocument/2006/relationships/hyperlink" Target="https://doi.org/10.1021/acsenergylett.5c04158" TargetMode="External"/><Relationship Id="rId572" Type="http://schemas.openxmlformats.org/officeDocument/2006/relationships/hyperlink" Target="http://dx.doi.org/10.1021/jacs.5c17051" TargetMode="External"/><Relationship Id="rId573" Type="http://schemas.openxmlformats.org/officeDocument/2006/relationships/hyperlink" Target="https://doi.org/10.1021/jacs.5c17051" TargetMode="External"/><Relationship Id="rId574" Type="http://schemas.openxmlformats.org/officeDocument/2006/relationships/hyperlink" Target="http://dx.doi.org/10.1021/acsenergylett.5c03770" TargetMode="External"/><Relationship Id="rId575" Type="http://schemas.openxmlformats.org/officeDocument/2006/relationships/hyperlink" Target="https://doi.org/10.1021/acsenergylett.5c03770" TargetMode="External"/><Relationship Id="rId576" Type="http://schemas.openxmlformats.org/officeDocument/2006/relationships/hyperlink" Target="http://dx.doi.org/10.1021/jacs.5c18822" TargetMode="External"/><Relationship Id="rId577" Type="http://schemas.openxmlformats.org/officeDocument/2006/relationships/hyperlink" Target="https://doi.org/10.1021/jacs.5c18822" TargetMode="External"/><Relationship Id="rId578" Type="http://schemas.openxmlformats.org/officeDocument/2006/relationships/hyperlink" Target="http://dx.doi.org/10.1021/jacs.5c11101" TargetMode="External"/><Relationship Id="rId579" Type="http://schemas.openxmlformats.org/officeDocument/2006/relationships/hyperlink" Target="https://doi.org/10.1021/jacs.5c11101" TargetMode="External"/><Relationship Id="rId580" Type="http://schemas.openxmlformats.org/officeDocument/2006/relationships/hyperlink" Target="https://www.nature.com/articles/s44359-025-00122-5" TargetMode="External"/><Relationship Id="rId581" Type="http://schemas.openxmlformats.org/officeDocument/2006/relationships/hyperlink" Target="https://www.nature.com/articles/s41557-025-02018-0" TargetMode="External"/><Relationship Id="rId582" Type="http://schemas.openxmlformats.org/officeDocument/2006/relationships/hyperlink" Target="https://www.nature.com/articles/s41557-025-02024-2" TargetMode="External"/><Relationship Id="rId583" Type="http://schemas.openxmlformats.org/officeDocument/2006/relationships/hyperlink" Target="https://www.nature.com/articles/s41557-025-02038-w" TargetMode="External"/><Relationship Id="rId584" Type="http://schemas.openxmlformats.org/officeDocument/2006/relationships/hyperlink" Target="https://www.nature.com/articles/s41560-025-01932-4" TargetMode="External"/><Relationship Id="rId585" Type="http://schemas.openxmlformats.org/officeDocument/2006/relationships/hyperlink" Target="https://www.nature.com/articles/s41586-025-09901-3" TargetMode="External"/><Relationship Id="rId586" Type="http://schemas.openxmlformats.org/officeDocument/2006/relationships/hyperlink" Target="https://www.nature.com/articles/s41578-025-00875-2" TargetMode="External"/><Relationship Id="rId587" Type="http://schemas.openxmlformats.org/officeDocument/2006/relationships/hyperlink" Target="https://www.nature.com/articles/s44359-025-00129-y" TargetMode="External"/><Relationship Id="rId588" Type="http://schemas.openxmlformats.org/officeDocument/2006/relationships/hyperlink" Target="https://www.nature.com/articles/s41557-025-02016-2" TargetMode="External"/><Relationship Id="rId589" Type="http://schemas.openxmlformats.org/officeDocument/2006/relationships/hyperlink" Target="https://www.nature.com/articles/s41893-025-01729-z" TargetMode="External"/><Relationship Id="rId590" Type="http://schemas.openxmlformats.org/officeDocument/2006/relationships/hyperlink" Target="https://www.nature.com/articles/s41928-025-01516-w" TargetMode="External"/><Relationship Id="rId591" Type="http://schemas.openxmlformats.org/officeDocument/2006/relationships/hyperlink" Target="https://www.nature.com/articles/s41563-025-02433-1" TargetMode="External"/><Relationship Id="rId592" Type="http://schemas.openxmlformats.org/officeDocument/2006/relationships/hyperlink" Target="https://www.nature.com/articles/s41893-025-01734-2" TargetMode="External"/><Relationship Id="rId593" Type="http://schemas.openxmlformats.org/officeDocument/2006/relationships/hyperlink" Target="https://www.nature.com/articles/s41563-025-02423-3" TargetMode="External"/><Relationship Id="rId594" Type="http://schemas.openxmlformats.org/officeDocument/2006/relationships/hyperlink" Target="http://pubs.rsc.org/en/Content/ArticleLanding/2026/CS/D4CS01151A" TargetMode="External"/><Relationship Id="rId595" Type="http://schemas.openxmlformats.org/officeDocument/2006/relationships/hyperlink" Target="https://www.cell.com/chem/fulltext/S2451-9294(25)00424-3?rss=yes" TargetMode="External"/><Relationship Id="rId596" Type="http://schemas.openxmlformats.org/officeDocument/2006/relationships/hyperlink" Target="https://www.cell.com/one-earth/fulltext/S2590-3322(25)00390-2?rss=yes" TargetMode="External"/><Relationship Id="rId597" Type="http://schemas.openxmlformats.org/officeDocument/2006/relationships/hyperlink" Target="http://pubs.rsc.org/en/Content/ArticleLanding/2026/CS/D3CS00996C" TargetMode="External"/><Relationship Id="rId598" Type="http://schemas.openxmlformats.org/officeDocument/2006/relationships/hyperlink" Target="https://www.nature.com/articles/d41586-025-04151-9" TargetMode="External"/><Relationship Id="rId599" Type="http://schemas.openxmlformats.org/officeDocument/2006/relationships/hyperlink" Target="https://www.sciencedirect.com/science/article/pii/S0306261925020379?dgcid=rss_sd_all" TargetMode="External"/><Relationship Id="rId600" Type="http://schemas.openxmlformats.org/officeDocument/2006/relationships/hyperlink" Target="https://www.nature.com/articles/d41586-025-04152-8" TargetMode="External"/><Relationship Id="rId601" Type="http://schemas.openxmlformats.org/officeDocument/2006/relationships/hyperlink" Target="https://www.nature.com/articles/d41586-025-04153-7" TargetMode="External"/><Relationship Id="rId602" Type="http://schemas.openxmlformats.org/officeDocument/2006/relationships/hyperlink" Target="https://www.nature.com/articles/d41586-026-00043-8" TargetMode="External"/><Relationship Id="rId603" Type="http://schemas.openxmlformats.org/officeDocument/2006/relationships/hyperlink" Target="https://www.nature.com/articles/s41467-025-67433-w" TargetMode="External"/><Relationship Id="rId604" Type="http://schemas.openxmlformats.org/officeDocument/2006/relationships/hyperlink" Target="http://pubs.rsc.org/en/Content/ArticleLanding/2026/EE/D5EE05059F" TargetMode="External"/><Relationship Id="rId605" Type="http://schemas.openxmlformats.org/officeDocument/2006/relationships/hyperlink" Target="https://academic.oup.com/nsr/advance-article/doi/10.1093/nsr/nwag002/8414053?rss=1" TargetMode="External"/><Relationship Id="rId606" Type="http://schemas.openxmlformats.org/officeDocument/2006/relationships/hyperlink" Target="https://doi.org/10.1093/nsr/nwag002/8414053" TargetMode="External"/><Relationship Id="rId607" Type="http://schemas.openxmlformats.org/officeDocument/2006/relationships/hyperlink" Target="https://www.nature.com/articles/s41467-025-67942-8" TargetMode="External"/><Relationship Id="rId608" Type="http://schemas.openxmlformats.org/officeDocument/2006/relationships/hyperlink" Target="https://academic.oup.com/nsr/advance-article/doi/10.1093/nsr/nwag003/8414055?rss=1" TargetMode="External"/><Relationship Id="rId609" Type="http://schemas.openxmlformats.org/officeDocument/2006/relationships/hyperlink" Target="https://doi.org/10.1093/nsr/nwag003/8414055" TargetMode="External"/><Relationship Id="rId610" Type="http://schemas.openxmlformats.org/officeDocument/2006/relationships/hyperlink" Target="https://www.nature.com/articles/s41467-025-67956-2" TargetMode="External"/><Relationship Id="rId611" Type="http://schemas.openxmlformats.org/officeDocument/2006/relationships/hyperlink" Target="https://www.nature.com/articles/s41467-025-68006-7" TargetMode="External"/><Relationship Id="rId612" Type="http://schemas.openxmlformats.org/officeDocument/2006/relationships/hyperlink" Target="http://pubs.rsc.org/en/Content/ArticleLanding/2026/CS/D5CS00875A" TargetMode="External"/><Relationship Id="rId613" Type="http://schemas.openxmlformats.org/officeDocument/2006/relationships/hyperlink" Target="http://pubs.rsc.org/en/Content/ArticleLanding/2026/CS/D5CS00566C" TargetMode="External"/><Relationship Id="rId614" Type="http://schemas.openxmlformats.org/officeDocument/2006/relationships/hyperlink" Target="http://pubs.rsc.org/en/Content/ArticleLanding/2026/CS/D5CS00320B" TargetMode="External"/><Relationship Id="rId615" Type="http://schemas.openxmlformats.org/officeDocument/2006/relationships/hyperlink" Target="https://onlinelibrary.wiley.com/doi/10.1002/anie.202524271?af=R" TargetMode="External"/><Relationship Id="rId616" Type="http://schemas.openxmlformats.org/officeDocument/2006/relationships/hyperlink" Target="https://doi.org/10.1002/anie.202524271" TargetMode="External"/><Relationship Id="rId617" Type="http://schemas.openxmlformats.org/officeDocument/2006/relationships/hyperlink" Target="https://onlinelibrary.wiley.com/doi/10.1002/anie.202521145?af=R" TargetMode="External"/><Relationship Id="rId618" Type="http://schemas.openxmlformats.org/officeDocument/2006/relationships/hyperlink" Target="https://doi.org/10.1002/anie.202521145" TargetMode="External"/><Relationship Id="rId619" Type="http://schemas.openxmlformats.org/officeDocument/2006/relationships/hyperlink" Target="https://onlinelibrary.wiley.com/doi/10.1002/anie.202523565?af=R" TargetMode="External"/><Relationship Id="rId620" Type="http://schemas.openxmlformats.org/officeDocument/2006/relationships/hyperlink" Target="https://doi.org/10.1002/anie.202523565" TargetMode="External"/><Relationship Id="rId621" Type="http://schemas.openxmlformats.org/officeDocument/2006/relationships/hyperlink" Target="https://onlinelibrary.wiley.com/doi/10.1002/anie.202524953?af=R" TargetMode="External"/><Relationship Id="rId622" Type="http://schemas.openxmlformats.org/officeDocument/2006/relationships/hyperlink" Target="https://doi.org/10.1002/anie.202524953" TargetMode="External"/><Relationship Id="rId623" Type="http://schemas.openxmlformats.org/officeDocument/2006/relationships/hyperlink" Target="https://onlinelibrary.wiley.com/doi/10.1002/anie.202524265?af=R" TargetMode="External"/><Relationship Id="rId624" Type="http://schemas.openxmlformats.org/officeDocument/2006/relationships/hyperlink" Target="https://doi.org/10.1002/anie.202524265" TargetMode="External"/><Relationship Id="rId625" Type="http://schemas.openxmlformats.org/officeDocument/2006/relationships/hyperlink" Target="https://onlinelibrary.wiley.com/doi/10.1002/anie.202523659?af=R" TargetMode="External"/><Relationship Id="rId626" Type="http://schemas.openxmlformats.org/officeDocument/2006/relationships/hyperlink" Target="https://doi.org/10.1002/anie.202523659" TargetMode="External"/><Relationship Id="rId627" Type="http://schemas.openxmlformats.org/officeDocument/2006/relationships/hyperlink" Target="https://advanced.onlinelibrary.wiley.com/doi/10.1002/aenm.202505808?af=R" TargetMode="External"/><Relationship Id="rId628" Type="http://schemas.openxmlformats.org/officeDocument/2006/relationships/hyperlink" Target="https://doi.org/10.1002/aenm.202505808" TargetMode="External"/><Relationship Id="rId629" Type="http://schemas.openxmlformats.org/officeDocument/2006/relationships/hyperlink" Target="https://advanced.onlinelibrary.wiley.com/doi/10.1002/aenm.202505594?af=R" TargetMode="External"/><Relationship Id="rId630" Type="http://schemas.openxmlformats.org/officeDocument/2006/relationships/hyperlink" Target="https://doi.org/10.1002/aenm.202505594" TargetMode="External"/><Relationship Id="rId631" Type="http://schemas.openxmlformats.org/officeDocument/2006/relationships/hyperlink" Target="https://advanced.onlinelibrary.wiley.com/doi/10.1002/aenm.202505277?af=R" TargetMode="External"/><Relationship Id="rId632" Type="http://schemas.openxmlformats.org/officeDocument/2006/relationships/hyperlink" Target="https://doi.org/10.1002/aenm.202505277" TargetMode="External"/><Relationship Id="rId633" Type="http://schemas.openxmlformats.org/officeDocument/2006/relationships/hyperlink" Target="https://onlinelibrary.wiley.com/doi/10.1002/anie.202525455?af=R" TargetMode="External"/><Relationship Id="rId634" Type="http://schemas.openxmlformats.org/officeDocument/2006/relationships/hyperlink" Target="https://doi.org/10.1002/anie.202525455" TargetMode="External"/><Relationship Id="rId635" Type="http://schemas.openxmlformats.org/officeDocument/2006/relationships/hyperlink" Target="https://onlinelibrary.wiley.com/doi/10.1002/anie.202518395?af=R" TargetMode="External"/><Relationship Id="rId636" Type="http://schemas.openxmlformats.org/officeDocument/2006/relationships/hyperlink" Target="https://doi.org/10.1002/anie.202518395" TargetMode="External"/><Relationship Id="rId637" Type="http://schemas.openxmlformats.org/officeDocument/2006/relationships/hyperlink" Target="https://advanced.onlinelibrary.wiley.com/doi/10.1002/aenm.202505674?af=R" TargetMode="External"/><Relationship Id="rId638" Type="http://schemas.openxmlformats.org/officeDocument/2006/relationships/hyperlink" Target="https://doi.org/10.1002/aenm.202505674" TargetMode="External"/><Relationship Id="rId639" Type="http://schemas.openxmlformats.org/officeDocument/2006/relationships/hyperlink" Target="https://advanced.onlinelibrary.wiley.com/doi/10.1002/aenm.202505253?af=R" TargetMode="External"/><Relationship Id="rId640" Type="http://schemas.openxmlformats.org/officeDocument/2006/relationships/hyperlink" Target="https://doi.org/10.1002/aenm.202505253" TargetMode="External"/><Relationship Id="rId641" Type="http://schemas.openxmlformats.org/officeDocument/2006/relationships/hyperlink" Target="https://advanced.onlinelibrary.wiley.com/doi/10.1002/adma.202515532?af=R" TargetMode="External"/><Relationship Id="rId642" Type="http://schemas.openxmlformats.org/officeDocument/2006/relationships/hyperlink" Target="https://doi.org/10.1002/adma.202515532" TargetMode="External"/><Relationship Id="rId643" Type="http://schemas.openxmlformats.org/officeDocument/2006/relationships/hyperlink" Target="https://advanced.onlinelibrary.wiley.com/doi/10.1002/adma.202511078?af=R" TargetMode="External"/><Relationship Id="rId644" Type="http://schemas.openxmlformats.org/officeDocument/2006/relationships/hyperlink" Target="https://doi.org/10.1002/adma.202511078" TargetMode="External"/><Relationship Id="rId645" Type="http://schemas.openxmlformats.org/officeDocument/2006/relationships/hyperlink" Target="https://advanced.onlinelibrary.wiley.com/doi/10.1002/adma.202519429?af=R" TargetMode="External"/><Relationship Id="rId646" Type="http://schemas.openxmlformats.org/officeDocument/2006/relationships/hyperlink" Target="https://doi.org/10.1002/adma.202519429" TargetMode="External"/><Relationship Id="rId647" Type="http://schemas.openxmlformats.org/officeDocument/2006/relationships/hyperlink" Target="https://advanced.onlinelibrary.wiley.com/doi/10.1002/adma.202514705?af=R" TargetMode="External"/><Relationship Id="rId648" Type="http://schemas.openxmlformats.org/officeDocument/2006/relationships/hyperlink" Target="https://doi.org/10.1002/adma.202514705" TargetMode="External"/><Relationship Id="rId649" Type="http://schemas.openxmlformats.org/officeDocument/2006/relationships/hyperlink" Target="https://onlinelibrary.wiley.com/doi/10.1002/anie.202518579?af=R" TargetMode="External"/><Relationship Id="rId650" Type="http://schemas.openxmlformats.org/officeDocument/2006/relationships/hyperlink" Target="https://doi.org/10.1002/anie.202518579" TargetMode="External"/><Relationship Id="rId651" Type="http://schemas.openxmlformats.org/officeDocument/2006/relationships/hyperlink" Target="https://advanced.onlinelibrary.wiley.com/doi/10.1002/aenm.202505514?af=R" TargetMode="External"/><Relationship Id="rId652" Type="http://schemas.openxmlformats.org/officeDocument/2006/relationships/hyperlink" Target="https://doi.org/10.1002/aenm.202505514" TargetMode="External"/><Relationship Id="rId653" Type="http://schemas.openxmlformats.org/officeDocument/2006/relationships/hyperlink" Target="https://advanced.onlinelibrary.wiley.com/doi/10.1002/aenm.202505931?af=R" TargetMode="External"/><Relationship Id="rId654" Type="http://schemas.openxmlformats.org/officeDocument/2006/relationships/hyperlink" Target="https://doi.org/10.1002/aenm.202505931" TargetMode="External"/><Relationship Id="rId655" Type="http://schemas.openxmlformats.org/officeDocument/2006/relationships/hyperlink" Target="https://advanced.onlinelibrary.wiley.com/doi/10.1002/adma.202519633?af=R" TargetMode="External"/><Relationship Id="rId656" Type="http://schemas.openxmlformats.org/officeDocument/2006/relationships/hyperlink" Target="https://doi.org/10.1002/adma.202519633" TargetMode="External"/><Relationship Id="rId657" Type="http://schemas.openxmlformats.org/officeDocument/2006/relationships/hyperlink" Target="https://advanced.onlinelibrary.wiley.com/doi/10.1002/aenm.202505577?af=R" TargetMode="External"/><Relationship Id="rId658" Type="http://schemas.openxmlformats.org/officeDocument/2006/relationships/hyperlink" Target="https://doi.org/10.1002/aenm.202505577" TargetMode="External"/><Relationship Id="rId659" Type="http://schemas.openxmlformats.org/officeDocument/2006/relationships/hyperlink" Target="https://advanced.onlinelibrary.wiley.com/doi/10.1002/adma.202515834?af=R" TargetMode="External"/><Relationship Id="rId660" Type="http://schemas.openxmlformats.org/officeDocument/2006/relationships/hyperlink" Target="https://doi.org/10.1002/adma.202515834" TargetMode="External"/><Relationship Id="rId661" Type="http://schemas.openxmlformats.org/officeDocument/2006/relationships/hyperlink" Target="https://advanced.onlinelibrary.wiley.com/doi/10.1002/aenm.202505568?af=R" TargetMode="External"/><Relationship Id="rId662" Type="http://schemas.openxmlformats.org/officeDocument/2006/relationships/hyperlink" Target="https://doi.org/10.1002/aenm.202505568" TargetMode="External"/><Relationship Id="rId663" Type="http://schemas.openxmlformats.org/officeDocument/2006/relationships/hyperlink" Target="https://advanced.onlinelibrary.wiley.com/doi/10.1002/adma.202520580?af=R" TargetMode="External"/><Relationship Id="rId664" Type="http://schemas.openxmlformats.org/officeDocument/2006/relationships/hyperlink" Target="https://doi.org/10.1002/adma.202520580" TargetMode="External"/><Relationship Id="rId665" Type="http://schemas.openxmlformats.org/officeDocument/2006/relationships/hyperlink" Target="https://advanced.onlinelibrary.wiley.com/doi/10.1002/adma.202519352?af=R" TargetMode="External"/><Relationship Id="rId666" Type="http://schemas.openxmlformats.org/officeDocument/2006/relationships/hyperlink" Target="https://doi.org/10.1002/adma.202519352" TargetMode="External"/><Relationship Id="rId667" Type="http://schemas.openxmlformats.org/officeDocument/2006/relationships/hyperlink" Target="https://advanced.onlinelibrary.wiley.com/doi/10.1002/adma.202517926?af=R" TargetMode="External"/><Relationship Id="rId668" Type="http://schemas.openxmlformats.org/officeDocument/2006/relationships/hyperlink" Target="https://doi.org/10.1002/adma.202517926" TargetMode="External"/><Relationship Id="rId669" Type="http://schemas.openxmlformats.org/officeDocument/2006/relationships/hyperlink" Target="https://www.pnas.org/doi/abs/10.1073/pnas.2522417123?mi=eymic2&amp;af=R&amp;access=on&amp;content=articlesChapters&amp;publication=pnas&amp;sortBy=Earliest&amp;target=default" TargetMode="External"/><Relationship Id="rId670" Type="http://schemas.openxmlformats.org/officeDocument/2006/relationships/hyperlink" Target="https://doi.org/10.1073/pnas.2522417123" TargetMode="External"/><Relationship Id="rId671" Type="http://schemas.openxmlformats.org/officeDocument/2006/relationships/hyperlink" Target="https://www.pnas.org/doi/abs/10.1073/pnas.2510754123?mi=eymic2&amp;af=R&amp;access=on&amp;content=articlesChapters&amp;publication=pnas&amp;sortBy=Earliest&amp;target=default" TargetMode="External"/><Relationship Id="rId672" Type="http://schemas.openxmlformats.org/officeDocument/2006/relationships/hyperlink" Target="https://doi.org/10.1073/pnas.2510754123" TargetMode="External"/><Relationship Id="rId673" Type="http://schemas.openxmlformats.org/officeDocument/2006/relationships/hyperlink" Target="https://www.pnas.org/doi/abs/10.1073/pnas.2506485123?mi=eymic2&amp;af=R&amp;access=on&amp;content=articlesChapters&amp;publication=pnas&amp;sortBy=Earliest&amp;target=default" TargetMode="External"/><Relationship Id="rId674" Type="http://schemas.openxmlformats.org/officeDocument/2006/relationships/hyperlink" Target="https://doi.org/10.1073/pnas.2506485123" TargetMode="External"/><Relationship Id="rId675" Type="http://schemas.openxmlformats.org/officeDocument/2006/relationships/hyperlink" Target="https://www.pnas.org/doi/abs/10.1073/pnas.2500723123?mi=eymic2&amp;af=R&amp;access=on&amp;content=articlesChapters&amp;publication=pnas&amp;sortBy=Earliest&amp;target=default" TargetMode="External"/><Relationship Id="rId676" Type="http://schemas.openxmlformats.org/officeDocument/2006/relationships/hyperlink" Target="https://doi.org/10.1073/pnas.2500723123" TargetMode="External"/><Relationship Id="rId677" Type="http://schemas.openxmlformats.org/officeDocument/2006/relationships/hyperlink" Target="https://www.pnas.org/doi/abs/10.1073/pnas.2500436123?mi=eymic2&amp;af=R&amp;access=on&amp;content=articlesChapters&amp;publication=pnas&amp;sortBy=Earliest&amp;target=default" TargetMode="External"/><Relationship Id="rId678" Type="http://schemas.openxmlformats.org/officeDocument/2006/relationships/hyperlink" Target="https://doi.org/10.1073/pnas.2500436123" TargetMode="External"/><Relationship Id="rId679" Type="http://schemas.openxmlformats.org/officeDocument/2006/relationships/hyperlink" Target="https://www.pnas.org/doi/abs/10.1073/pnas.2427240123?mi=eymic2&amp;af=R&amp;access=on&amp;content=articlesChapters&amp;publication=pnas&amp;sortBy=Earliest&amp;target=default" TargetMode="External"/><Relationship Id="rId680" Type="http://schemas.openxmlformats.org/officeDocument/2006/relationships/hyperlink" Target="https://doi.org/10.1073/pnas.2427240123" TargetMode="External"/><Relationship Id="rId681" Type="http://schemas.openxmlformats.org/officeDocument/2006/relationships/hyperlink" Target="https://www.pnas.org/doi/abs/10.1073/pnas.2426232122?mi=eymic2&amp;af=R&amp;access=on&amp;content=articlesChapters&amp;publication=pnas&amp;sortBy=Earliest&amp;target=default" TargetMode="External"/><Relationship Id="rId682" Type="http://schemas.openxmlformats.org/officeDocument/2006/relationships/hyperlink" Target="https://doi.org/10.1073/pnas.2426232122" TargetMode="External"/><Relationship Id="rId683" Type="http://schemas.openxmlformats.org/officeDocument/2006/relationships/hyperlink" Target="https://www.pnas.org/doi/abs/10.1073/pnas.2529565123?mi=eymic2&amp;af=R&amp;access=on&amp;content=articlesChapters&amp;publication=pnas&amp;sortBy=Earliest&amp;target=default" TargetMode="External"/><Relationship Id="rId684" Type="http://schemas.openxmlformats.org/officeDocument/2006/relationships/hyperlink" Target="https://doi.org/10.1073/pnas.2529565123" TargetMode="External"/><Relationship Id="rId685" Type="http://schemas.openxmlformats.org/officeDocument/2006/relationships/hyperlink" Target="https://www.pnas.org/doi/abs/10.1073/pnas.2520871122?mi=eymic2&amp;af=R&amp;access=on&amp;content=articlesChapters&amp;publication=pnas&amp;sortBy=Earliest&amp;target=default" TargetMode="External"/><Relationship Id="rId686" Type="http://schemas.openxmlformats.org/officeDocument/2006/relationships/hyperlink" Target="https://doi.org/10.1073/pnas.2520871122" TargetMode="External"/><Relationship Id="rId687" Type="http://schemas.openxmlformats.org/officeDocument/2006/relationships/hyperlink" Target="https://www.pnas.org/doi/abs/10.1073/pnas.2512676123?mi=eymic2&amp;af=R&amp;access=on&amp;content=articlesChapters&amp;publication=pnas&amp;sortBy=Earliest&amp;target=default" TargetMode="External"/><Relationship Id="rId688" Type="http://schemas.openxmlformats.org/officeDocument/2006/relationships/hyperlink" Target="https://doi.org/10.1073/pnas.2512676123" TargetMode="External"/><Relationship Id="rId689" Type="http://schemas.openxmlformats.org/officeDocument/2006/relationships/hyperlink" Target="https://www.pnas.org/doi/abs/10.1073/pnas.2512767123?mi=eymic2&amp;af=R&amp;access=on&amp;content=articlesChapters&amp;publication=pnas&amp;sortBy=Earliest&amp;target=default" TargetMode="External"/><Relationship Id="rId690" Type="http://schemas.openxmlformats.org/officeDocument/2006/relationships/hyperlink" Target="https://doi.org/10.1073/pnas.2512767123" TargetMode="External"/><Relationship Id="rId691" Type="http://schemas.openxmlformats.org/officeDocument/2006/relationships/hyperlink" Target="https://www.pnas.org/doi/abs/10.1073/pnas.2513598123?mi=eymic2&amp;af=R&amp;access=on&amp;content=articlesChapters&amp;publication=pnas&amp;sortBy=Earliest&amp;target=default" TargetMode="External"/><Relationship Id="rId692" Type="http://schemas.openxmlformats.org/officeDocument/2006/relationships/hyperlink" Target="https://doi.org/10.1073/pnas.2513598123" TargetMode="External"/><Relationship Id="rId693" Type="http://schemas.openxmlformats.org/officeDocument/2006/relationships/hyperlink" Target="https://advanced.onlinelibrary.wiley.com/doi/10.1002/adma.202514336?af=R" TargetMode="External"/><Relationship Id="rId694" Type="http://schemas.openxmlformats.org/officeDocument/2006/relationships/hyperlink" Target="https://doi.org/10.1002/adma.202514336" TargetMode="External"/><Relationship Id="rId695" Type="http://schemas.openxmlformats.org/officeDocument/2006/relationships/hyperlink" Target="https://advanced.onlinelibrary.wiley.com/doi/10.1002/adma.202510646?af=R" TargetMode="External"/><Relationship Id="rId696" Type="http://schemas.openxmlformats.org/officeDocument/2006/relationships/hyperlink" Target="https://doi.org/10.1002/adma.202510646" TargetMode="External"/><Relationship Id="rId697" Type="http://schemas.openxmlformats.org/officeDocument/2006/relationships/hyperlink" Target="https://advanced.onlinelibrary.wiley.com/doi/10.1002/adma.202509641?af=R" TargetMode="External"/><Relationship Id="rId698" Type="http://schemas.openxmlformats.org/officeDocument/2006/relationships/hyperlink" Target="https://doi.org/10.1002/adma.202509641" TargetMode="External"/><Relationship Id="rId699" Type="http://schemas.openxmlformats.org/officeDocument/2006/relationships/hyperlink" Target="https://advanced.onlinelibrary.wiley.com/doi/10.1002/adma.202517783?af=R" TargetMode="External"/><Relationship Id="rId700" Type="http://schemas.openxmlformats.org/officeDocument/2006/relationships/hyperlink" Target="https://doi.org/10.1002/adma.202517783" TargetMode="External"/><Relationship Id="rId701" Type="http://schemas.openxmlformats.org/officeDocument/2006/relationships/hyperlink" Target="http://dx.doi.org/10.1021/jacs.5c15864" TargetMode="External"/><Relationship Id="rId702" Type="http://schemas.openxmlformats.org/officeDocument/2006/relationships/hyperlink" Target="https://doi.org/10.1021/jacs.5c15864" TargetMode="External"/><Relationship Id="rId703" Type="http://schemas.openxmlformats.org/officeDocument/2006/relationships/hyperlink" Target="http://dx.doi.org/10.1021/jacs.5c17933" TargetMode="External"/><Relationship Id="rId704" Type="http://schemas.openxmlformats.org/officeDocument/2006/relationships/hyperlink" Target="https://doi.org/10.1021/jacs.5c17933" TargetMode="External"/><Relationship Id="rId705" Type="http://schemas.openxmlformats.org/officeDocument/2006/relationships/hyperlink" Target="http://dx.doi.org/10.1021/acs.chemrev.5c00360" TargetMode="External"/><Relationship Id="rId706" Type="http://schemas.openxmlformats.org/officeDocument/2006/relationships/hyperlink" Target="https://doi.org/10.1021/acs.chemrev.5c00360" TargetMode="External"/><Relationship Id="rId707" Type="http://schemas.openxmlformats.org/officeDocument/2006/relationships/hyperlink" Target="http://dx.doi.org/10.1021/acsenergylett.5c03458" TargetMode="External"/><Relationship Id="rId708" Type="http://schemas.openxmlformats.org/officeDocument/2006/relationships/hyperlink" Target="https://doi.org/10.1021/acsenergylett.5c03458" TargetMode="External"/><Relationship Id="rId709" Type="http://schemas.openxmlformats.org/officeDocument/2006/relationships/hyperlink" Target="http://dx.doi.org/10.1021/jacs.5c19070" TargetMode="External"/><Relationship Id="rId710" Type="http://schemas.openxmlformats.org/officeDocument/2006/relationships/hyperlink" Target="https://doi.org/10.1021/jacs.5c19070" TargetMode="External"/><Relationship Id="rId711" Type="http://schemas.openxmlformats.org/officeDocument/2006/relationships/hyperlink" Target="http://dx.doi.org/10.1021/jacs.5c20000" TargetMode="External"/><Relationship Id="rId712" Type="http://schemas.openxmlformats.org/officeDocument/2006/relationships/hyperlink" Target="https://doi.org/10.1021/jacs.5c20000" TargetMode="External"/><Relationship Id="rId713" Type="http://schemas.openxmlformats.org/officeDocument/2006/relationships/hyperlink" Target="http://dx.doi.org/10.1021/jacs.5c15273" TargetMode="External"/><Relationship Id="rId714" Type="http://schemas.openxmlformats.org/officeDocument/2006/relationships/hyperlink" Target="https://doi.org/10.1021/jacs.5c15273" TargetMode="External"/><Relationship Id="rId715" Type="http://schemas.openxmlformats.org/officeDocument/2006/relationships/hyperlink" Target="http://dx.doi.org/10.1021/jacs.5c17013" TargetMode="External"/><Relationship Id="rId716" Type="http://schemas.openxmlformats.org/officeDocument/2006/relationships/hyperlink" Target="https://doi.org/10.1021/jacs.5c17013" TargetMode="External"/><Relationship Id="rId717" Type="http://schemas.openxmlformats.org/officeDocument/2006/relationships/hyperlink" Target="https://advanced.onlinelibrary.wiley.com/doi/10.1002/adma.202518840?af=R" TargetMode="External"/><Relationship Id="rId718" Type="http://schemas.openxmlformats.org/officeDocument/2006/relationships/hyperlink" Target="https://doi.org/10.1002/adma.202518840" TargetMode="External"/><Relationship Id="rId719" Type="http://schemas.openxmlformats.org/officeDocument/2006/relationships/hyperlink" Target="https://advanced.onlinelibrary.wiley.com/doi/10.1002/adma.202519450?af=R" TargetMode="External"/><Relationship Id="rId720" Type="http://schemas.openxmlformats.org/officeDocument/2006/relationships/hyperlink" Target="https://doi.org/10.1002/adma.202519450" TargetMode="External"/><Relationship Id="rId721" Type="http://schemas.openxmlformats.org/officeDocument/2006/relationships/hyperlink" Target="https://advanced.onlinelibrary.wiley.com/doi/10.1002/adma.202519976?af=R" TargetMode="External"/><Relationship Id="rId722" Type="http://schemas.openxmlformats.org/officeDocument/2006/relationships/hyperlink" Target="https://doi.org/10.1002/adma.202519976" TargetMode="External"/><Relationship Id="rId723" Type="http://schemas.openxmlformats.org/officeDocument/2006/relationships/hyperlink" Target="https://advanced.onlinelibrary.wiley.com/doi/10.1002/adma.202518752?af=R" TargetMode="External"/><Relationship Id="rId724" Type="http://schemas.openxmlformats.org/officeDocument/2006/relationships/hyperlink" Target="https://doi.org/10.1002/adma.202518752" TargetMode="External"/><Relationship Id="rId725" Type="http://schemas.openxmlformats.org/officeDocument/2006/relationships/hyperlink" Target="https://advanced.onlinelibrary.wiley.com/doi/10.1002/aenm.202505396?af=R" TargetMode="External"/><Relationship Id="rId726" Type="http://schemas.openxmlformats.org/officeDocument/2006/relationships/hyperlink" Target="https://doi.org/10.1002/aenm.202505396" TargetMode="External"/><Relationship Id="rId727" Type="http://schemas.openxmlformats.org/officeDocument/2006/relationships/hyperlink" Target="https://advanced.onlinelibrary.wiley.com/doi/10.1002/adma.202521789?af=R" TargetMode="External"/><Relationship Id="rId728" Type="http://schemas.openxmlformats.org/officeDocument/2006/relationships/hyperlink" Target="https://doi.org/10.1002/adma.202521789" TargetMode="External"/><Relationship Id="rId729" Type="http://schemas.openxmlformats.org/officeDocument/2006/relationships/hyperlink" Target="https://advanced.onlinelibrary.wiley.com/doi/10.1002/adma.72048?af=R" TargetMode="External"/><Relationship Id="rId730" Type="http://schemas.openxmlformats.org/officeDocument/2006/relationships/hyperlink" Target="https://doi.org/10.1002/adma.72048" TargetMode="External"/><Relationship Id="rId731" Type="http://schemas.openxmlformats.org/officeDocument/2006/relationships/hyperlink" Target="http://dx.doi.org/10.1021/jacs.5c17554" TargetMode="External"/><Relationship Id="rId732" Type="http://schemas.openxmlformats.org/officeDocument/2006/relationships/hyperlink" Target="https://doi.org/10.1021/jacs.5c17554" TargetMode="External"/><Relationship Id="rId733" Type="http://schemas.openxmlformats.org/officeDocument/2006/relationships/hyperlink" Target="http://dx.doi.org/10.1021/jacs.5c13553" TargetMode="External"/><Relationship Id="rId734" Type="http://schemas.openxmlformats.org/officeDocument/2006/relationships/hyperlink" Target="https://doi.org/10.1021/jacs.5c13553" TargetMode="External"/><Relationship Id="rId735" Type="http://schemas.openxmlformats.org/officeDocument/2006/relationships/hyperlink" Target="http://dx.doi.org/10.1021/jacs.5c19172" TargetMode="External"/><Relationship Id="rId736" Type="http://schemas.openxmlformats.org/officeDocument/2006/relationships/hyperlink" Target="https://doi.org/10.1021/jacs.5c19172" TargetMode="External"/><Relationship Id="rId737" Type="http://schemas.openxmlformats.org/officeDocument/2006/relationships/hyperlink" Target="http://dx.doi.org/10.1021/acsenergylett.5c03119" TargetMode="External"/><Relationship Id="rId738" Type="http://schemas.openxmlformats.org/officeDocument/2006/relationships/hyperlink" Target="https://doi.org/10.1021/acsenergylett.5c03119" TargetMode="External"/><Relationship Id="rId739" Type="http://schemas.openxmlformats.org/officeDocument/2006/relationships/hyperlink" Target="http://dx.doi.org/10.1021/jacs.5c14352" TargetMode="External"/><Relationship Id="rId740" Type="http://schemas.openxmlformats.org/officeDocument/2006/relationships/hyperlink" Target="https://doi.org/10.1021/jacs.5c14352" TargetMode="External"/><Relationship Id="rId741" Type="http://schemas.openxmlformats.org/officeDocument/2006/relationships/hyperlink" Target="http://dx.doi.org/10.1021/jacs.5c16311" TargetMode="External"/><Relationship Id="rId742" Type="http://schemas.openxmlformats.org/officeDocument/2006/relationships/hyperlink" Target="https://doi.org/10.1021/jacs.5c16311" TargetMode="External"/><Relationship Id="rId743" Type="http://schemas.openxmlformats.org/officeDocument/2006/relationships/hyperlink" Target="http://dx.doi.org/10.1021/jacs.5c19319" TargetMode="External"/><Relationship Id="rId744" Type="http://schemas.openxmlformats.org/officeDocument/2006/relationships/hyperlink" Target="https://doi.org/10.1021/jacs.5c19319" TargetMode="External"/><Relationship Id="rId745" Type="http://schemas.openxmlformats.org/officeDocument/2006/relationships/hyperlink" Target="http://dx.doi.org/10.1021/acsenergylett.5c03341" TargetMode="External"/><Relationship Id="rId746" Type="http://schemas.openxmlformats.org/officeDocument/2006/relationships/hyperlink" Target="https://doi.org/10.1021/acsenergylett.5c03341" TargetMode="External"/><Relationship Id="rId747" Type="http://schemas.openxmlformats.org/officeDocument/2006/relationships/hyperlink" Target="http://dx.doi.org/10.1021/acsenergylett.5c03617" TargetMode="External"/><Relationship Id="rId748" Type="http://schemas.openxmlformats.org/officeDocument/2006/relationships/hyperlink" Target="https://doi.org/10.1021/acsenergylett.5c03617" TargetMode="External"/><Relationship Id="rId749" Type="http://schemas.openxmlformats.org/officeDocument/2006/relationships/hyperlink" Target="http://dx.doi.org/10.1021/jacs.5c15728" TargetMode="External"/><Relationship Id="rId750" Type="http://schemas.openxmlformats.org/officeDocument/2006/relationships/hyperlink" Target="https://doi.org/10.1021/jacs.5c15728" TargetMode="External"/><Relationship Id="rId751" Type="http://schemas.openxmlformats.org/officeDocument/2006/relationships/hyperlink" Target="http://dx.doi.org/10.1021/acsenergylett.5c03937" TargetMode="External"/><Relationship Id="rId752" Type="http://schemas.openxmlformats.org/officeDocument/2006/relationships/hyperlink" Target="https://doi.org/10.1021/acsenergylett.5c03937" TargetMode="External"/><Relationship Id="rId753" Type="http://schemas.openxmlformats.org/officeDocument/2006/relationships/hyperlink" Target="http://dx.doi.org/10.1021/acsenergylett.5c03328" TargetMode="External"/><Relationship Id="rId754" Type="http://schemas.openxmlformats.org/officeDocument/2006/relationships/hyperlink" Target="https://doi.org/10.1021/acsenergylett.5c03328" TargetMode="External"/><Relationship Id="rId755" Type="http://schemas.openxmlformats.org/officeDocument/2006/relationships/hyperlink" Target="http://dx.doi.org/10.1021/jacs.5c20646" TargetMode="External"/><Relationship Id="rId756" Type="http://schemas.openxmlformats.org/officeDocument/2006/relationships/hyperlink" Target="https://doi.org/10.1021/jacs.5c20646" TargetMode="External"/><Relationship Id="rId757" Type="http://schemas.openxmlformats.org/officeDocument/2006/relationships/hyperlink" Target="http://dx.doi.org/10.1021/jacs.5c14889" TargetMode="External"/><Relationship Id="rId758" Type="http://schemas.openxmlformats.org/officeDocument/2006/relationships/hyperlink" Target="https://doi.org/10.1021/jacs.5c14889" TargetMode="External"/><Relationship Id="rId759" Type="http://schemas.openxmlformats.org/officeDocument/2006/relationships/hyperlink" Target="http://dx.doi.org/10.1021/acsenergylett.5c03159" TargetMode="External"/><Relationship Id="rId760" Type="http://schemas.openxmlformats.org/officeDocument/2006/relationships/hyperlink" Target="https://doi.org/10.1021/acsenergylett.5c03159" TargetMode="External"/><Relationship Id="rId761" Type="http://schemas.openxmlformats.org/officeDocument/2006/relationships/hyperlink" Target="https://www.sciencedirect.com/science/article/pii/S0306261925020069?dgcid=rss_sd_all" TargetMode="External"/><Relationship Id="rId762" Type="http://schemas.openxmlformats.org/officeDocument/2006/relationships/hyperlink" Target="https://www.nature.com/articles/s41893-025-01728-0" TargetMode="External"/><Relationship Id="rId763" Type="http://schemas.openxmlformats.org/officeDocument/2006/relationships/hyperlink" Target="https://www.nature.com/articles/s41893-025-01736-0" TargetMode="External"/><Relationship Id="rId764" Type="http://schemas.openxmlformats.org/officeDocument/2006/relationships/hyperlink" Target="https://www.nature.com/articles/d41586-025-03990-w" TargetMode="External"/><Relationship Id="rId765" Type="http://schemas.openxmlformats.org/officeDocument/2006/relationships/hyperlink" Target="https://www.nature.com/articles/s41893-025-01747-x" TargetMode="External"/><Relationship Id="rId766" Type="http://schemas.openxmlformats.org/officeDocument/2006/relationships/hyperlink" Target="https://www.nature.com/articles/s41928-025-01512-0" TargetMode="External"/><Relationship Id="rId767" Type="http://schemas.openxmlformats.org/officeDocument/2006/relationships/hyperlink" Target="https://www.nature.com/articles/d41586-025-04124-y" TargetMode="External"/><Relationship Id="rId768" Type="http://schemas.openxmlformats.org/officeDocument/2006/relationships/hyperlink" Target="https://www.nature.com/articles/s41563-025-02448-8" TargetMode="External"/><Relationship Id="rId769" Type="http://schemas.openxmlformats.org/officeDocument/2006/relationships/hyperlink" Target="https://www.nature.com/articles/s41563-025-02436-y" TargetMode="External"/><Relationship Id="rId770" Type="http://schemas.openxmlformats.org/officeDocument/2006/relationships/hyperlink" Target="https://www.nature.com/articles/s44359-025-00120-7" TargetMode="External"/><Relationship Id="rId771" Type="http://schemas.openxmlformats.org/officeDocument/2006/relationships/hyperlink" Target="https://www.nature.com/articles/s41560-025-01933-3" TargetMode="External"/><Relationship Id="rId772" Type="http://schemas.openxmlformats.org/officeDocument/2006/relationships/hyperlink" Target="https://www.nature.com/articles/d41586-025-04121-1" TargetMode="External"/><Relationship Id="rId773" Type="http://schemas.openxmlformats.org/officeDocument/2006/relationships/hyperlink" Target="https://www.nature.com/articles/s44359-025-00130-5" TargetMode="External"/><Relationship Id="rId774" Type="http://schemas.openxmlformats.org/officeDocument/2006/relationships/hyperlink" Target="https://www.nature.com/articles/d41586-025-04123-z" TargetMode="External"/><Relationship Id="rId775" Type="http://schemas.openxmlformats.org/officeDocument/2006/relationships/hyperlink" Target="https://www.nature.com/articles/d41586-025-03984-8" TargetMode="External"/><Relationship Id="rId776" Type="http://schemas.openxmlformats.org/officeDocument/2006/relationships/hyperlink" Target="https://www.nature.com/articles/d41586-025-04149-3" TargetMode="External"/><Relationship Id="rId777" Type="http://schemas.openxmlformats.org/officeDocument/2006/relationships/hyperlink" Target="https://www.sciencedirect.com/science/article/pii/S0306261925019531?dgcid=rss_sd_all" TargetMode="External"/><Relationship Id="rId778" Type="http://schemas.openxmlformats.org/officeDocument/2006/relationships/hyperlink" Target="http://pubs.rsc.org/en/Content/ArticleLanding/2026/CS/D5CS00531K" TargetMode="External"/><Relationship Id="rId779" Type="http://schemas.openxmlformats.org/officeDocument/2006/relationships/hyperlink" Target="https://www.nature.com/articles/s41557-025-02019-z" TargetMode="External"/><Relationship Id="rId780" Type="http://schemas.openxmlformats.org/officeDocument/2006/relationships/hyperlink" Target="http://pubs.rsc.org/en/Content/ArticleLanding/2026/CS/D5CS01270H" TargetMode="External"/><Relationship Id="rId781" Type="http://schemas.openxmlformats.org/officeDocument/2006/relationships/hyperlink" Target="https://www.nature.com/articles/s41467-025-68022-7" TargetMode="External"/><Relationship Id="rId782" Type="http://schemas.openxmlformats.org/officeDocument/2006/relationships/hyperlink" Target="https://www.sciencedirect.com/science/article/pii/S0306261925020215?dgcid=rss_sd_all" TargetMode="External"/><Relationship Id="rId783" Type="http://schemas.openxmlformats.org/officeDocument/2006/relationships/hyperlink" Target="https://www.nature.com/articles/s41557-025-02022-4" TargetMode="External"/><Relationship Id="rId784" Type="http://schemas.openxmlformats.org/officeDocument/2006/relationships/hyperlink" Target="https://www.nature.com/articles/s41557-025-02033-1" TargetMode="External"/><Relationship Id="rId785" Type="http://schemas.openxmlformats.org/officeDocument/2006/relationships/hyperlink" Target="https://www.nature.com/articles/s41557-025-02023-3" TargetMode="External"/><Relationship Id="rId786" Type="http://schemas.openxmlformats.org/officeDocument/2006/relationships/hyperlink" Target="http://pubs.rsc.org/en/Content/ArticleLanding/2026/EE/D5EE05711F" TargetMode="External"/><Relationship Id="rId787" Type="http://schemas.openxmlformats.org/officeDocument/2006/relationships/hyperlink" Target="https://www.nature.com/articles/s41557-025-02026-0" TargetMode="External"/><Relationship Id="rId788" Type="http://schemas.openxmlformats.org/officeDocument/2006/relationships/hyperlink" Target="https://www.nature.com/articles/s41557-025-02028-y" TargetMode="External"/><Relationship Id="rId789" Type="http://schemas.openxmlformats.org/officeDocument/2006/relationships/hyperlink" Target="https://www.nature.com/articles/d41586-026-00047-4" TargetMode="External"/><Relationship Id="rId790" Type="http://schemas.openxmlformats.org/officeDocument/2006/relationships/hyperlink" Target="https://www.nature.com/articles/d41586-026-00044-7" TargetMode="External"/><Relationship Id="rId791" Type="http://schemas.openxmlformats.org/officeDocument/2006/relationships/hyperlink" Target="https://www.nature.com/articles/d41586-026-00005-0" TargetMode="External"/><Relationship Id="rId792" Type="http://schemas.openxmlformats.org/officeDocument/2006/relationships/hyperlink" Target="http://pubs.rsc.org/en/Content/ArticleLanding/2026/EE/D5EE04336K" TargetMode="External"/><Relationship Id="rId793" Type="http://schemas.openxmlformats.org/officeDocument/2006/relationships/hyperlink" Target="https://www.cell.com/joule/fulltext/S2542-4351(25)00455-6?rss=yes" TargetMode="External"/><Relationship Id="rId794" Type="http://schemas.openxmlformats.org/officeDocument/2006/relationships/hyperlink" Target="https://www.nature.com/articles/d41586-025-04122-0" TargetMode="External"/><Relationship Id="rId795" Type="http://schemas.openxmlformats.org/officeDocument/2006/relationships/hyperlink" Target="https://www.sciencedirect.com/science/article/pii/S1369702126000027?dgcid=rss_sd_all" TargetMode="External"/><Relationship Id="rId796" Type="http://schemas.openxmlformats.org/officeDocument/2006/relationships/hyperlink" Target="https://www.sciencedirect.com/science/article/pii/S0306261925020689?dgcid=rss_sd_all" TargetMode="External"/><Relationship Id="rId797" Type="http://schemas.openxmlformats.org/officeDocument/2006/relationships/hyperlink" Target="https://www.sciencedirect.com/science/article/pii/S0306261925020665?dgcid=rss_sd_all" TargetMode="External"/><Relationship Id="rId798" Type="http://schemas.openxmlformats.org/officeDocument/2006/relationships/hyperlink" Target="https://www.sciencedirect.com/science/article/pii/S0306261925020288?dgcid=rss_sd_all" TargetMode="External"/><Relationship Id="rId799" Type="http://schemas.openxmlformats.org/officeDocument/2006/relationships/hyperlink" Target="https://www.sciencedirect.com/science/article/pii/S0306261925020604?dgcid=rss_sd_all" TargetMode="External"/><Relationship Id="rId800" Type="http://schemas.openxmlformats.org/officeDocument/2006/relationships/hyperlink" Target="https://www.sciencedirect.com/science/article/pii/S0306261925020318?dgcid=rss_sd_all" TargetMode="External"/><Relationship Id="rId801" Type="http://schemas.openxmlformats.org/officeDocument/2006/relationships/hyperlink" Target="https://onlinelibrary.wiley.com/doi/10.1002/anie.202519253?af=R" TargetMode="External"/><Relationship Id="rId802" Type="http://schemas.openxmlformats.org/officeDocument/2006/relationships/hyperlink" Target="https://doi.org/10.1002/anie.202519253" TargetMode="External"/><Relationship Id="rId803" Type="http://schemas.openxmlformats.org/officeDocument/2006/relationships/hyperlink" Target="https://onlinelibrary.wiley.com/doi/10.1002/anie.202525886?af=R" TargetMode="External"/><Relationship Id="rId804" Type="http://schemas.openxmlformats.org/officeDocument/2006/relationships/hyperlink" Target="https://doi.org/10.1002/anie.202525886" TargetMode="External"/><Relationship Id="rId805" Type="http://schemas.openxmlformats.org/officeDocument/2006/relationships/hyperlink" Target="https://onlinelibrary.wiley.com/doi/10.1002/anie.202525260?af=R" TargetMode="External"/><Relationship Id="rId806" Type="http://schemas.openxmlformats.org/officeDocument/2006/relationships/hyperlink" Target="https://doi.org/10.1002/anie.202525260" TargetMode="External"/><Relationship Id="rId807" Type="http://schemas.openxmlformats.org/officeDocument/2006/relationships/hyperlink" Target="https://onlinelibrary.wiley.com/doi/10.1002/anie.202521533?af=R" TargetMode="External"/><Relationship Id="rId808" Type="http://schemas.openxmlformats.org/officeDocument/2006/relationships/hyperlink" Target="https://doi.org/10.1002/anie.202521533" TargetMode="External"/><Relationship Id="rId809" Type="http://schemas.openxmlformats.org/officeDocument/2006/relationships/hyperlink" Target="https://onlinelibrary.wiley.com/doi/10.1002/anie.202523241?af=R" TargetMode="External"/><Relationship Id="rId810" Type="http://schemas.openxmlformats.org/officeDocument/2006/relationships/hyperlink" Target="https://doi.org/10.1002/anie.202523241" TargetMode="External"/><Relationship Id="rId811" Type="http://schemas.openxmlformats.org/officeDocument/2006/relationships/hyperlink" Target="https://onlinelibrary.wiley.com/doi/10.1002/anie.202522817?af=R" TargetMode="External"/><Relationship Id="rId812" Type="http://schemas.openxmlformats.org/officeDocument/2006/relationships/hyperlink" Target="https://doi.org/10.1002/anie.202522817" TargetMode="External"/><Relationship Id="rId813" Type="http://schemas.openxmlformats.org/officeDocument/2006/relationships/hyperlink" Target="https://onlinelibrary.wiley.com/doi/10.1002/anie.202524970?af=R" TargetMode="External"/><Relationship Id="rId814" Type="http://schemas.openxmlformats.org/officeDocument/2006/relationships/hyperlink" Target="https://doi.org/10.1002/anie.202524970" TargetMode="External"/><Relationship Id="rId815" Type="http://schemas.openxmlformats.org/officeDocument/2006/relationships/hyperlink" Target="https://onlinelibrary.wiley.com/doi/10.1002/anie.202524279?af=R" TargetMode="External"/><Relationship Id="rId816" Type="http://schemas.openxmlformats.org/officeDocument/2006/relationships/hyperlink" Target="https://doi.org/10.1002/anie.202524279" TargetMode="External"/><Relationship Id="rId817" Type="http://schemas.openxmlformats.org/officeDocument/2006/relationships/hyperlink" Target="https://onlinelibrary.wiley.com/doi/10.1002/anie.202524475?af=R" TargetMode="External"/><Relationship Id="rId818" Type="http://schemas.openxmlformats.org/officeDocument/2006/relationships/hyperlink" Target="https://doi.org/10.1002/anie.202524475" TargetMode="External"/><Relationship Id="rId819" Type="http://schemas.openxmlformats.org/officeDocument/2006/relationships/hyperlink" Target="https://advanced.onlinelibrary.wiley.com/doi/10.1002/aenm.202506169?af=R" TargetMode="External"/><Relationship Id="rId820" Type="http://schemas.openxmlformats.org/officeDocument/2006/relationships/hyperlink" Target="https://doi.org/10.1002/aenm.202506169" TargetMode="External"/><Relationship Id="rId821" Type="http://schemas.openxmlformats.org/officeDocument/2006/relationships/hyperlink" Target="https://advanced.onlinelibrary.wiley.com/doi/10.1002/aenm.202505956?af=R" TargetMode="External"/><Relationship Id="rId822" Type="http://schemas.openxmlformats.org/officeDocument/2006/relationships/hyperlink" Target="https://doi.org/10.1002/aenm.202505956" TargetMode="External"/><Relationship Id="rId823" Type="http://schemas.openxmlformats.org/officeDocument/2006/relationships/hyperlink" Target="https://advanced.onlinelibrary.wiley.com/doi/10.1002/aenm.202504844?af=R" TargetMode="External"/><Relationship Id="rId824" Type="http://schemas.openxmlformats.org/officeDocument/2006/relationships/hyperlink" Target="https://doi.org/10.1002/aenm.202504844" TargetMode="External"/><Relationship Id="rId825" Type="http://schemas.openxmlformats.org/officeDocument/2006/relationships/hyperlink" Target="https://onlinelibrary.wiley.com/doi/10.1002/anie.202521651?af=R" TargetMode="External"/><Relationship Id="rId826" Type="http://schemas.openxmlformats.org/officeDocument/2006/relationships/hyperlink" Target="https://doi.org/10.1002/anie.202521651" TargetMode="External"/><Relationship Id="rId827" Type="http://schemas.openxmlformats.org/officeDocument/2006/relationships/hyperlink" Target="https://onlinelibrary.wiley.com/doi/10.1002/anie.202523324?af=R" TargetMode="External"/><Relationship Id="rId828" Type="http://schemas.openxmlformats.org/officeDocument/2006/relationships/hyperlink" Target="https://doi.org/10.1002/anie.202523324" TargetMode="External"/><Relationship Id="rId829" Type="http://schemas.openxmlformats.org/officeDocument/2006/relationships/hyperlink" Target="https://onlinelibrary.wiley.com/doi/10.1002/anie.6505783?af=R" TargetMode="External"/><Relationship Id="rId830" Type="http://schemas.openxmlformats.org/officeDocument/2006/relationships/hyperlink" Target="https://doi.org/10.1002/anie.6505783" TargetMode="External"/><Relationship Id="rId831" Type="http://schemas.openxmlformats.org/officeDocument/2006/relationships/hyperlink" Target="https://onlinelibrary.wiley.com/doi/10.1002/anie.202525487?af=R" TargetMode="External"/><Relationship Id="rId832" Type="http://schemas.openxmlformats.org/officeDocument/2006/relationships/hyperlink" Target="https://doi.org/10.1002/anie.202525487" TargetMode="External"/><Relationship Id="rId833" Type="http://schemas.openxmlformats.org/officeDocument/2006/relationships/hyperlink" Target="https://www.pnas.org/doi/abs/10.1073/iti0126123?mi=eymic2&amp;af=R&amp;access=on&amp;content=articlesChapters&amp;publication=pnas&amp;sortBy=Earliest&amp;target=default" TargetMode="External"/><Relationship Id="rId834" Type="http://schemas.openxmlformats.org/officeDocument/2006/relationships/hyperlink" Target="https://doi.org/10.1073/iti0126123" TargetMode="External"/><Relationship Id="rId835" Type="http://schemas.openxmlformats.org/officeDocument/2006/relationships/hyperlink" Target="https://www.pnas.org/doi/abs/10.1073/pnas.2535307123?mi=eymic2&amp;af=R&amp;access=on&amp;content=articlesChapters&amp;publication=pnas&amp;sortBy=Earliest&amp;target=default" TargetMode="External"/><Relationship Id="rId836" Type="http://schemas.openxmlformats.org/officeDocument/2006/relationships/hyperlink" Target="https://doi.org/10.1073/pnas.2535307123" TargetMode="External"/><Relationship Id="rId837" Type="http://schemas.openxmlformats.org/officeDocument/2006/relationships/hyperlink" Target="https://www.pnas.org/doi/abs/10.1073/pnas.2515454123?mi=eymic2&amp;af=R&amp;access=on&amp;content=articlesChapters&amp;publication=pnas&amp;sortBy=Earliest&amp;target=default" TargetMode="External"/><Relationship Id="rId838" Type="http://schemas.openxmlformats.org/officeDocument/2006/relationships/hyperlink" Target="https://doi.org/10.1073/pnas.2515454123" TargetMode="External"/><Relationship Id="rId839" Type="http://schemas.openxmlformats.org/officeDocument/2006/relationships/hyperlink" Target="https://www.pnas.org/doi/abs/10.1073/pnas.2516263123?mi=eymic2&amp;af=R&amp;access=on&amp;content=articlesChapters&amp;publication=pnas&amp;sortBy=Earliest&amp;target=default" TargetMode="External"/><Relationship Id="rId840" Type="http://schemas.openxmlformats.org/officeDocument/2006/relationships/hyperlink" Target="https://doi.org/10.1073/pnas.2516263123" TargetMode="External"/><Relationship Id="rId841" Type="http://schemas.openxmlformats.org/officeDocument/2006/relationships/hyperlink" Target="https://www.pnas.org/doi/abs/10.1073/pnas.2518051123?mi=eymic2&amp;af=R&amp;access=on&amp;content=articlesChapters&amp;publication=pnas&amp;sortBy=Earliest&amp;target=default" TargetMode="External"/><Relationship Id="rId842" Type="http://schemas.openxmlformats.org/officeDocument/2006/relationships/hyperlink" Target="https://doi.org/10.1073/pnas.2518051123" TargetMode="External"/><Relationship Id="rId843" Type="http://schemas.openxmlformats.org/officeDocument/2006/relationships/hyperlink" Target="https://www.pnas.org/doi/abs/10.1073/pnas.2508541123?mi=eymic2&amp;af=R&amp;access=on&amp;content=articlesChapters&amp;publication=pnas&amp;sortBy=Earliest&amp;target=default" TargetMode="External"/><Relationship Id="rId844" Type="http://schemas.openxmlformats.org/officeDocument/2006/relationships/hyperlink" Target="https://doi.org/10.1073/pnas.2508541123" TargetMode="External"/><Relationship Id="rId845" Type="http://schemas.openxmlformats.org/officeDocument/2006/relationships/hyperlink" Target="https://www.pnas.org/doi/abs/10.1073/pnas.2506263123?mi=eymic2&amp;af=R&amp;access=on&amp;content=articlesChapters&amp;publication=pnas&amp;sortBy=Earliest&amp;target=default" TargetMode="External"/><Relationship Id="rId846" Type="http://schemas.openxmlformats.org/officeDocument/2006/relationships/hyperlink" Target="https://doi.org/10.1073/pnas.2506263123" TargetMode="External"/><Relationship Id="rId847" Type="http://schemas.openxmlformats.org/officeDocument/2006/relationships/hyperlink" Target="https://www.pnas.org/doi/abs/10.1073/pnas.2512429123?mi=eymic2&amp;af=R&amp;access=on&amp;content=articlesChapters&amp;publication=pnas&amp;sortBy=Earliest&amp;target=default" TargetMode="External"/><Relationship Id="rId848" Type="http://schemas.openxmlformats.org/officeDocument/2006/relationships/hyperlink" Target="https://doi.org/10.1073/pnas.2512429123" TargetMode="External"/><Relationship Id="rId849" Type="http://schemas.openxmlformats.org/officeDocument/2006/relationships/hyperlink" Target="http://dx.doi.org/10.1021/jacs.5c12062" TargetMode="External"/><Relationship Id="rId850" Type="http://schemas.openxmlformats.org/officeDocument/2006/relationships/hyperlink" Target="https://doi.org/10.1021/jacs.5c12062" TargetMode="External"/><Relationship Id="rId851" Type="http://schemas.openxmlformats.org/officeDocument/2006/relationships/hyperlink" Target="http://dx.doi.org/10.1021/acsenergylett.5c04022" TargetMode="External"/><Relationship Id="rId852" Type="http://schemas.openxmlformats.org/officeDocument/2006/relationships/hyperlink" Target="https://doi.org/10.1021/acsenergylett.5c04022" TargetMode="External"/><Relationship Id="rId853" Type="http://schemas.openxmlformats.org/officeDocument/2006/relationships/hyperlink" Target="https://advanced.onlinelibrary.wiley.com/doi/10.1002/adma.202516522?af=R" TargetMode="External"/><Relationship Id="rId854" Type="http://schemas.openxmlformats.org/officeDocument/2006/relationships/hyperlink" Target="https://doi.org/10.1002/adma.202516522" TargetMode="External"/><Relationship Id="rId855" Type="http://schemas.openxmlformats.org/officeDocument/2006/relationships/hyperlink" Target="https://advanced.onlinelibrary.wiley.com/doi/10.1002/adma.202514332?af=R" TargetMode="External"/><Relationship Id="rId856" Type="http://schemas.openxmlformats.org/officeDocument/2006/relationships/hyperlink" Target="https://doi.org/10.1002/adma.202514332" TargetMode="External"/><Relationship Id="rId857" Type="http://schemas.openxmlformats.org/officeDocument/2006/relationships/hyperlink" Target="https://advanced.onlinelibrary.wiley.com/doi/10.1002/adma.202521611?af=R" TargetMode="External"/><Relationship Id="rId858" Type="http://schemas.openxmlformats.org/officeDocument/2006/relationships/hyperlink" Target="https://doi.org/10.1002/adma.202521611" TargetMode="External"/><Relationship Id="rId859" Type="http://schemas.openxmlformats.org/officeDocument/2006/relationships/hyperlink" Target="https://advanced.onlinelibrary.wiley.com/doi/10.1002/adma.202522811?af=R" TargetMode="External"/><Relationship Id="rId860" Type="http://schemas.openxmlformats.org/officeDocument/2006/relationships/hyperlink" Target="https://doi.org/10.1002/adma.202522811" TargetMode="External"/><Relationship Id="rId861" Type="http://schemas.openxmlformats.org/officeDocument/2006/relationships/hyperlink" Target="https://advanced.onlinelibrary.wiley.com/doi/10.1002/adma.202514659?af=R" TargetMode="External"/><Relationship Id="rId862" Type="http://schemas.openxmlformats.org/officeDocument/2006/relationships/hyperlink" Target="https://doi.org/10.1002/adma.202514659" TargetMode="External"/><Relationship Id="rId863" Type="http://schemas.openxmlformats.org/officeDocument/2006/relationships/hyperlink" Target="https://advanced.onlinelibrary.wiley.com/doi/10.1002/adma.202522179?af=R" TargetMode="External"/><Relationship Id="rId864" Type="http://schemas.openxmlformats.org/officeDocument/2006/relationships/hyperlink" Target="https://doi.org/10.1002/adma.202522179" TargetMode="External"/><Relationship Id="rId865" Type="http://schemas.openxmlformats.org/officeDocument/2006/relationships/hyperlink" Target="https://advanced.onlinelibrary.wiley.com/doi/10.1002/adma.202521147?af=R" TargetMode="External"/><Relationship Id="rId866" Type="http://schemas.openxmlformats.org/officeDocument/2006/relationships/hyperlink" Target="https://doi.org/10.1002/adma.202521147" TargetMode="External"/><Relationship Id="rId867" Type="http://schemas.openxmlformats.org/officeDocument/2006/relationships/hyperlink" Target="https://advanced.onlinelibrary.wiley.com/doi/10.1002/adma.202517406?af=R" TargetMode="External"/><Relationship Id="rId868" Type="http://schemas.openxmlformats.org/officeDocument/2006/relationships/hyperlink" Target="https://doi.org/10.1002/adma.202517406" TargetMode="External"/><Relationship Id="rId869" Type="http://schemas.openxmlformats.org/officeDocument/2006/relationships/hyperlink" Target="https://advanced.onlinelibrary.wiley.com/doi/10.1002/adma.202521036?af=R" TargetMode="External"/><Relationship Id="rId870" Type="http://schemas.openxmlformats.org/officeDocument/2006/relationships/hyperlink" Target="https://doi.org/10.1002/adma.202521036" TargetMode="External"/><Relationship Id="rId871" Type="http://schemas.openxmlformats.org/officeDocument/2006/relationships/hyperlink" Target="https://onlinelibrary.wiley.com/doi/10.1002/anie.8150745?af=R" TargetMode="External"/><Relationship Id="rId872" Type="http://schemas.openxmlformats.org/officeDocument/2006/relationships/hyperlink" Target="https://doi.org/10.1002/anie.8150745" TargetMode="External"/><Relationship Id="rId873" Type="http://schemas.openxmlformats.org/officeDocument/2006/relationships/hyperlink" Target="http://dx.doi.org/10.1021/jacs.5c20740" TargetMode="External"/><Relationship Id="rId874" Type="http://schemas.openxmlformats.org/officeDocument/2006/relationships/hyperlink" Target="https://doi.org/10.1021/jacs.5c20740" TargetMode="External"/><Relationship Id="rId875" Type="http://schemas.openxmlformats.org/officeDocument/2006/relationships/hyperlink" Target="http://dx.doi.org/10.1021/jacs.5c20342" TargetMode="External"/><Relationship Id="rId876" Type="http://schemas.openxmlformats.org/officeDocument/2006/relationships/hyperlink" Target="https://doi.org/10.1021/jacs.5c20342" TargetMode="External"/><Relationship Id="rId877" Type="http://schemas.openxmlformats.org/officeDocument/2006/relationships/hyperlink" Target="http://dx.doi.org/10.1021/jacs.5c18952" TargetMode="External"/><Relationship Id="rId878" Type="http://schemas.openxmlformats.org/officeDocument/2006/relationships/hyperlink" Target="https://doi.org/10.1021/jacs.5c18952" TargetMode="External"/><Relationship Id="rId879" Type="http://schemas.openxmlformats.org/officeDocument/2006/relationships/hyperlink" Target="http://dx.doi.org/10.1021/acsenergylett.5c04167" TargetMode="External"/><Relationship Id="rId880" Type="http://schemas.openxmlformats.org/officeDocument/2006/relationships/hyperlink" Target="https://doi.org/10.1021/acsenergylett.5c04167" TargetMode="External"/><Relationship Id="rId881" Type="http://schemas.openxmlformats.org/officeDocument/2006/relationships/hyperlink" Target="http://dx.doi.org/10.1021/jacs.5c15958" TargetMode="External"/><Relationship Id="rId882" Type="http://schemas.openxmlformats.org/officeDocument/2006/relationships/hyperlink" Target="https://doi.org/10.1021/jacs.5c15958" TargetMode="External"/><Relationship Id="rId883" Type="http://schemas.openxmlformats.org/officeDocument/2006/relationships/hyperlink" Target="http://dx.doi.org/10.1021/jacs.5c17945" TargetMode="External"/><Relationship Id="rId884" Type="http://schemas.openxmlformats.org/officeDocument/2006/relationships/hyperlink" Target="https://doi.org/10.1021/jacs.5c17945" TargetMode="External"/><Relationship Id="rId885" Type="http://schemas.openxmlformats.org/officeDocument/2006/relationships/hyperlink" Target="http://dx.doi.org/10.1021/jacs.5c16298" TargetMode="External"/><Relationship Id="rId886" Type="http://schemas.openxmlformats.org/officeDocument/2006/relationships/hyperlink" Target="https://doi.org/10.1021/jacs.5c16298" TargetMode="External"/><Relationship Id="rId887" Type="http://schemas.openxmlformats.org/officeDocument/2006/relationships/hyperlink" Target="http://dx.doi.org/10.1021/jacs.5c17553" TargetMode="External"/><Relationship Id="rId888" Type="http://schemas.openxmlformats.org/officeDocument/2006/relationships/hyperlink" Target="https://doi.org/10.1021/jacs.5c17553" TargetMode="External"/><Relationship Id="rId889" Type="http://schemas.openxmlformats.org/officeDocument/2006/relationships/hyperlink" Target="http://dx.doi.org/10.1021/jacs.5c09790" TargetMode="External"/><Relationship Id="rId890" Type="http://schemas.openxmlformats.org/officeDocument/2006/relationships/hyperlink" Target="https://doi.org/10.1021/jacs.5c09790" TargetMode="External"/><Relationship Id="rId891" Type="http://schemas.openxmlformats.org/officeDocument/2006/relationships/hyperlink" Target="http://dx.doi.org/10.1021/jacs.5c18955" TargetMode="External"/><Relationship Id="rId892" Type="http://schemas.openxmlformats.org/officeDocument/2006/relationships/hyperlink" Target="https://doi.org/10.1021/jacs.5c18955" TargetMode="External"/><Relationship Id="rId893" Type="http://schemas.openxmlformats.org/officeDocument/2006/relationships/hyperlink" Target="http://dx.doi.org/10.1021/jacs.5c18907" TargetMode="External"/><Relationship Id="rId894" Type="http://schemas.openxmlformats.org/officeDocument/2006/relationships/hyperlink" Target="https://doi.org/10.1021/jacs.5c18907" TargetMode="External"/><Relationship Id="rId895" Type="http://schemas.openxmlformats.org/officeDocument/2006/relationships/hyperlink" Target="http://dx.doi.org/10.1021/jacs.5c17198" TargetMode="External"/><Relationship Id="rId896" Type="http://schemas.openxmlformats.org/officeDocument/2006/relationships/hyperlink" Target="https://doi.org/10.1021/jacs.5c17198" TargetMode="External"/><Relationship Id="rId897" Type="http://schemas.openxmlformats.org/officeDocument/2006/relationships/hyperlink" Target="http://dx.doi.org/10.1021/jacs.5c16623" TargetMode="External"/><Relationship Id="rId898" Type="http://schemas.openxmlformats.org/officeDocument/2006/relationships/hyperlink" Target="https://doi.org/10.1021/jacs.5c16623" TargetMode="External"/><Relationship Id="rId899" Type="http://schemas.openxmlformats.org/officeDocument/2006/relationships/hyperlink" Target="http://dx.doi.org/10.1021/jacs.5c10238" TargetMode="External"/><Relationship Id="rId900" Type="http://schemas.openxmlformats.org/officeDocument/2006/relationships/hyperlink" Target="https://doi.org/10.1021/jacs.5c10238" TargetMode="External"/><Relationship Id="rId901" Type="http://schemas.openxmlformats.org/officeDocument/2006/relationships/hyperlink" Target="http://dx.doi.org/10.1021/jacs.5c19313" TargetMode="External"/><Relationship Id="rId902" Type="http://schemas.openxmlformats.org/officeDocument/2006/relationships/hyperlink" Target="https://doi.org/10.1021/jacs.5c19313" TargetMode="External"/><Relationship Id="rId903" Type="http://schemas.openxmlformats.org/officeDocument/2006/relationships/hyperlink" Target="http://dx.doi.org/10.1021/jacs.5c15860" TargetMode="External"/><Relationship Id="rId904" Type="http://schemas.openxmlformats.org/officeDocument/2006/relationships/hyperlink" Target="https://doi.org/10.1021/jacs.5c15860" TargetMode="External"/><Relationship Id="rId905" Type="http://schemas.openxmlformats.org/officeDocument/2006/relationships/hyperlink" Target="http://dx.doi.org/10.1021/acsenergylett.5c03558" TargetMode="External"/><Relationship Id="rId906" Type="http://schemas.openxmlformats.org/officeDocument/2006/relationships/hyperlink" Target="https://doi.org/10.1021/acsenergylett.5c03558" TargetMode="External"/><Relationship Id="rId907" Type="http://schemas.openxmlformats.org/officeDocument/2006/relationships/hyperlink" Target="http://dx.doi.org/10.1021/acsenergylett.5c03502" TargetMode="External"/><Relationship Id="rId908" Type="http://schemas.openxmlformats.org/officeDocument/2006/relationships/hyperlink" Target="https://doi.org/10.1021/acsenergylett.5c03502" TargetMode="External"/><Relationship Id="rId909" Type="http://schemas.openxmlformats.org/officeDocument/2006/relationships/hyperlink" Target="http://dx.doi.org/10.1021/jacs.5c13501" TargetMode="External"/><Relationship Id="rId910" Type="http://schemas.openxmlformats.org/officeDocument/2006/relationships/hyperlink" Target="https://doi.org/10.1021/jacs.5c13501" TargetMode="External"/><Relationship Id="rId911" Type="http://schemas.openxmlformats.org/officeDocument/2006/relationships/hyperlink" Target="http://dx.doi.org/10.1021/jacs.5c17294" TargetMode="External"/><Relationship Id="rId912" Type="http://schemas.openxmlformats.org/officeDocument/2006/relationships/hyperlink" Target="https://doi.org/10.1021/jacs.5c17294" TargetMode="External"/><Relationship Id="rId913" Type="http://schemas.openxmlformats.org/officeDocument/2006/relationships/hyperlink" Target="http://dx.doi.org/10.1021/jacs.5c18741" TargetMode="External"/><Relationship Id="rId914" Type="http://schemas.openxmlformats.org/officeDocument/2006/relationships/hyperlink" Target="https://doi.org/10.1021/jacs.5c18741" TargetMode="External"/><Relationship Id="rId915" Type="http://schemas.openxmlformats.org/officeDocument/2006/relationships/hyperlink" Target="http://dx.doi.org/10.1021/jacs.5c21178" TargetMode="External"/><Relationship Id="rId916" Type="http://schemas.openxmlformats.org/officeDocument/2006/relationships/hyperlink" Target="https://doi.org/10.1021/jacs.5c21178" TargetMode="External"/><Relationship Id="rId917" Type="http://schemas.openxmlformats.org/officeDocument/2006/relationships/hyperlink" Target="http://dx.doi.org/10.1021/jacs.5c17816" TargetMode="External"/><Relationship Id="rId918" Type="http://schemas.openxmlformats.org/officeDocument/2006/relationships/hyperlink" Target="https://doi.org/10.1021/jacs.5c17816" TargetMode="External"/><Relationship Id="rId919" Type="http://schemas.openxmlformats.org/officeDocument/2006/relationships/hyperlink" Target="http://dx.doi.org/10.1021/jacs.5c18831" TargetMode="External"/><Relationship Id="rId920" Type="http://schemas.openxmlformats.org/officeDocument/2006/relationships/hyperlink" Target="https://doi.org/10.1021/jacs.5c18831" TargetMode="External"/><Relationship Id="rId921" Type="http://schemas.openxmlformats.org/officeDocument/2006/relationships/hyperlink" Target="http://dx.doi.org/10.1021/acsenergylett.5c03297" TargetMode="External"/><Relationship Id="rId922" Type="http://schemas.openxmlformats.org/officeDocument/2006/relationships/hyperlink" Target="https://doi.org/10.1021/acsenergylett.5c03297" TargetMode="External"/><Relationship Id="rId923" Type="http://schemas.openxmlformats.org/officeDocument/2006/relationships/hyperlink" Target="http://dx.doi.org/10.1021/acs.chemrev.5c00433" TargetMode="External"/><Relationship Id="rId924" Type="http://schemas.openxmlformats.org/officeDocument/2006/relationships/hyperlink" Target="https://doi.org/10.1021/acs.chemrev.5c00433" TargetMode="External"/><Relationship Id="rId925" Type="http://schemas.openxmlformats.org/officeDocument/2006/relationships/hyperlink" Target="http://dx.doi.org/10.1021/acsenergylett.5c03124" TargetMode="External"/><Relationship Id="rId926" Type="http://schemas.openxmlformats.org/officeDocument/2006/relationships/hyperlink" Target="https://doi.org/10.1021/acsenergylett.5c03124" TargetMode="External"/><Relationship Id="rId927" Type="http://schemas.openxmlformats.org/officeDocument/2006/relationships/hyperlink" Target="http://dx.doi.org/10.1021/acsenergylett.5c03733" TargetMode="External"/><Relationship Id="rId928" Type="http://schemas.openxmlformats.org/officeDocument/2006/relationships/hyperlink" Target="https://doi.org/10.1021/acsenergylett.5c03733" TargetMode="External"/><Relationship Id="rId929" Type="http://schemas.openxmlformats.org/officeDocument/2006/relationships/hyperlink" Target="http://dx.doi.org/10.1021/acsenergylett.5c03855" TargetMode="External"/><Relationship Id="rId930" Type="http://schemas.openxmlformats.org/officeDocument/2006/relationships/hyperlink" Target="https://doi.org/10.1021/acsenergylett.5c03855" TargetMode="External"/><Relationship Id="rId931" Type="http://schemas.openxmlformats.org/officeDocument/2006/relationships/hyperlink" Target="https://www.nature.com/articles/s41586-025-09909-9" TargetMode="External"/><Relationship Id="rId932" Type="http://schemas.openxmlformats.org/officeDocument/2006/relationships/hyperlink" Target="https://www.nature.com/articles/s41586-025-09914-y" TargetMode="External"/><Relationship Id="rId933" Type="http://schemas.openxmlformats.org/officeDocument/2006/relationships/hyperlink" Target="https://www.nature.com/articles/s41893-025-01735-1" TargetMode="External"/><Relationship Id="rId934" Type="http://schemas.openxmlformats.org/officeDocument/2006/relationships/hyperlink" Target="https://www.nature.com/articles/s41586-025-09915-x" TargetMode="External"/><Relationship Id="rId935" Type="http://schemas.openxmlformats.org/officeDocument/2006/relationships/hyperlink" Target="https://www.nature.com/articles/s41586-025-09908-w" TargetMode="External"/><Relationship Id="rId936" Type="http://schemas.openxmlformats.org/officeDocument/2006/relationships/hyperlink" Target="https://www.nature.com/articles/s41586-025-09921-z" TargetMode="External"/><Relationship Id="rId937" Type="http://schemas.openxmlformats.org/officeDocument/2006/relationships/hyperlink" Target="https://www.nature.com/articles/s41586-025-09948-2" TargetMode="External"/><Relationship Id="rId938" Type="http://schemas.openxmlformats.org/officeDocument/2006/relationships/hyperlink" Target="https://www.nature.com/articles/s41586-025-10002-4" TargetMode="External"/><Relationship Id="rId939" Type="http://schemas.openxmlformats.org/officeDocument/2006/relationships/hyperlink" Target="https://www.nature.com/articles/s41586-025-10040-y" TargetMode="External"/><Relationship Id="rId940" Type="http://schemas.openxmlformats.org/officeDocument/2006/relationships/hyperlink" Target="https://www.nature.com/articles/s41586-025-09907-x" TargetMode="External"/><Relationship Id="rId941" Type="http://schemas.openxmlformats.org/officeDocument/2006/relationships/hyperlink" Target="https://www.nature.com/articles/s41586-025-09903-1" TargetMode="External"/><Relationship Id="rId942" Type="http://schemas.openxmlformats.org/officeDocument/2006/relationships/hyperlink" Target="https://www.sciencedirect.com/science/article/pii/S1369702126000015?dgcid=rss_sd_all" TargetMode="External"/><Relationship Id="rId943" Type="http://schemas.openxmlformats.org/officeDocument/2006/relationships/hyperlink" Target="https://www.nature.com/articles/s41586-025-09910-2" TargetMode="External"/><Relationship Id="rId944" Type="http://schemas.openxmlformats.org/officeDocument/2006/relationships/hyperlink" Target="https://www.nature.com/articles/s41928-025-01540-w" TargetMode="External"/><Relationship Id="rId945" Type="http://schemas.openxmlformats.org/officeDocument/2006/relationships/hyperlink" Target="https://www.nature.com/articles/s41893-025-01755-x" TargetMode="External"/><Relationship Id="rId946" Type="http://schemas.openxmlformats.org/officeDocument/2006/relationships/hyperlink" Target="https://www.sciencedirect.com/science/article/pii/S0306261925020513?dgcid=rss_sd_all" TargetMode="External"/><Relationship Id="rId947" Type="http://schemas.openxmlformats.org/officeDocument/2006/relationships/hyperlink" Target="https://www.sciencedirect.com/science/article/pii/S0306261925020252?dgcid=rss_sd_all" TargetMode="External"/><Relationship Id="rId948" Type="http://schemas.openxmlformats.org/officeDocument/2006/relationships/hyperlink" Target="https://www.nature.com/articles/s44359-025-00135-0" TargetMode="External"/><Relationship Id="rId949" Type="http://schemas.openxmlformats.org/officeDocument/2006/relationships/hyperlink" Target="https://www.sciencedirect.com/science/article/pii/S0306261925020719?dgcid=rss_sd_all" TargetMode="External"/><Relationship Id="rId950" Type="http://schemas.openxmlformats.org/officeDocument/2006/relationships/hyperlink" Target="https://www.nature.com/articles/s44359-025-00133-2" TargetMode="External"/><Relationship Id="rId951" Type="http://schemas.openxmlformats.org/officeDocument/2006/relationships/hyperlink" Target="https://www.sciencedirect.com/science/article/pii/S0306261925020744?dgcid=rss_sd_all" TargetMode="External"/><Relationship Id="rId952" Type="http://schemas.openxmlformats.org/officeDocument/2006/relationships/hyperlink" Target="https://www.sciencedirect.com/science/article/pii/S1369702125005590?dgcid=rss_sd_all" TargetMode="External"/><Relationship Id="rId953" Type="http://schemas.openxmlformats.org/officeDocument/2006/relationships/hyperlink" Target="https://www.sciencedirect.com/science/article/pii/S0306261925020562?dgcid=rss_sd_all" TargetMode="External"/><Relationship Id="rId954" Type="http://schemas.openxmlformats.org/officeDocument/2006/relationships/hyperlink" Target="https://www.nature.com/articles/s41586-025-09902-2" TargetMode="External"/><Relationship Id="rId955" Type="http://schemas.openxmlformats.org/officeDocument/2006/relationships/hyperlink" Target="https://www.sciencedirect.com/science/article/pii/S030626192502077X?dgcid=rss_sd_all" TargetMode="External"/><Relationship Id="rId956" Type="http://schemas.openxmlformats.org/officeDocument/2006/relationships/hyperlink" Target="https://www.sciencedirect.com/science/article/pii/S0306261925020781?dgcid=rss_sd_all" TargetMode="External"/><Relationship Id="rId957" Type="http://schemas.openxmlformats.org/officeDocument/2006/relationships/hyperlink" Target="https://www.sciencedirect.com/science/article/pii/S1369702125004869?dgcid=rss_sd_all" TargetMode="External"/><Relationship Id="rId958" Type="http://schemas.openxmlformats.org/officeDocument/2006/relationships/hyperlink" Target="https://www.sciencedirect.com/science/article/pii/S1369702125005462?dgcid=rss_sd_all" TargetMode="External"/><Relationship Id="rId959" Type="http://schemas.openxmlformats.org/officeDocument/2006/relationships/hyperlink" Target="https://www.nature.com/articles/s41928-025-01504-0" TargetMode="External"/><Relationship Id="rId960" Type="http://schemas.openxmlformats.org/officeDocument/2006/relationships/hyperlink" Target="https://www.sciencedirect.com/science/article/pii/S0306261925020768?dgcid=rss_sd_all" TargetMode="External"/><Relationship Id="rId961" Type="http://schemas.openxmlformats.org/officeDocument/2006/relationships/hyperlink" Target="https://www.sciencedirect.com/science/article/pii/S0306261925020707?dgcid=rss_sd_all" TargetMode="External"/><Relationship Id="rId962" Type="http://schemas.openxmlformats.org/officeDocument/2006/relationships/hyperlink" Target="https://www.nature.com/articles/s41586-025-09906-y" TargetMode="External"/><Relationship Id="rId963" Type="http://schemas.openxmlformats.org/officeDocument/2006/relationships/hyperlink" Target="https://www.nature.com/articles/s41586-025-09898-9" TargetMode="External"/><Relationship Id="rId964" Type="http://schemas.openxmlformats.org/officeDocument/2006/relationships/hyperlink" Target="https://www.nature.com/articles/s41467-025-68204-3" TargetMode="External"/><Relationship Id="rId965" Type="http://schemas.openxmlformats.org/officeDocument/2006/relationships/hyperlink" Target="https://www.nature.com/articles/s41467-025-68192-4" TargetMode="External"/><Relationship Id="rId966" Type="http://schemas.openxmlformats.org/officeDocument/2006/relationships/hyperlink" Target="https://www.nature.com/articles/s41467-025-68180-8" TargetMode="External"/><Relationship Id="rId967" Type="http://schemas.openxmlformats.org/officeDocument/2006/relationships/hyperlink" Target="http://pubs.rsc.org/en/Content/ArticleLanding/2026/CS/D5CS00280J" TargetMode="External"/><Relationship Id="rId968" Type="http://schemas.openxmlformats.org/officeDocument/2006/relationships/hyperlink" Target="http://pubs.rsc.org/en/Content/ArticleLanding/2026/CS/D5CS00472A" TargetMode="External"/><Relationship Id="rId969" Type="http://schemas.openxmlformats.org/officeDocument/2006/relationships/hyperlink" Target="https://www.nature.com/articles/s41467-025-68117-1" TargetMode="External"/><Relationship Id="rId970" Type="http://schemas.openxmlformats.org/officeDocument/2006/relationships/hyperlink" Target="https://www.nature.com/articles/s41467-025-68100-w" TargetMode="External"/><Relationship Id="rId971" Type="http://schemas.openxmlformats.org/officeDocument/2006/relationships/hyperlink" Target="http://pubs.rsc.org/en/Content/ArticleLanding/2026/EE/D5EE04880J" TargetMode="External"/><Relationship Id="rId972" Type="http://schemas.openxmlformats.org/officeDocument/2006/relationships/hyperlink" Target="https://www.nature.com/articles/s41467-025-67944-6" TargetMode="External"/><Relationship Id="rId973" Type="http://schemas.openxmlformats.org/officeDocument/2006/relationships/hyperlink" Target="http://pubs.rsc.org/en/Content/ArticleLanding/2026/EE/D5EE06738C" TargetMode="External"/><Relationship Id="rId974" Type="http://schemas.openxmlformats.org/officeDocument/2006/relationships/hyperlink" Target="https://www.nature.com/articles/s41467-025-67701-9" TargetMode="External"/><Relationship Id="rId975" Type="http://schemas.openxmlformats.org/officeDocument/2006/relationships/hyperlink" Target="https://www.nature.com/articles/s41586-025-09899-8" TargetMode="External"/><Relationship Id="rId976" Type="http://schemas.openxmlformats.org/officeDocument/2006/relationships/hyperlink" Target="https://www.nature.com/articles/d41586-026-00064-3" TargetMode="External"/><Relationship Id="rId977" Type="http://schemas.openxmlformats.org/officeDocument/2006/relationships/hyperlink" Target="https://www.nature.com/articles/d41586-026-00053-6" TargetMode="External"/><Relationship Id="rId978" Type="http://schemas.openxmlformats.org/officeDocument/2006/relationships/hyperlink" Target="https://www.nature.com/articles/d41586-026-00052-7" TargetMode="External"/><Relationship Id="rId979" Type="http://schemas.openxmlformats.org/officeDocument/2006/relationships/hyperlink" Target="https://www.nature.com/articles/d41586-026-00051-8" TargetMode="External"/><Relationship Id="rId980" Type="http://schemas.openxmlformats.org/officeDocument/2006/relationships/hyperlink" Target="https://www.nature.com/articles/d41586-025-04150-w" TargetMode="External"/><Relationship Id="rId981" Type="http://schemas.openxmlformats.org/officeDocument/2006/relationships/hyperlink" Target="https://www.nature.com/articles/d41586-025-04028-x" TargetMode="External"/><Relationship Id="rId982" Type="http://schemas.openxmlformats.org/officeDocument/2006/relationships/hyperlink" Target="https://www.nature.com/articles/d41586-025-04016-1" TargetMode="External"/><Relationship Id="rId983" Type="http://schemas.openxmlformats.org/officeDocument/2006/relationships/hyperlink" Target="https://www.nature.com/articles/d41586-025-04004-5" TargetMode="External"/><Relationship Id="rId984" Type="http://schemas.openxmlformats.org/officeDocument/2006/relationships/hyperlink" Target="https://www.nature.com/articles/d41586-025-04001-8" TargetMode="External"/><Relationship Id="rId985" Type="http://schemas.openxmlformats.org/officeDocument/2006/relationships/hyperlink" Target="https://www.nature.com/articles/d41586-025-03988-4" TargetMode="External"/><Relationship Id="rId986" Type="http://schemas.openxmlformats.org/officeDocument/2006/relationships/hyperlink" Target="https://www.nature.com/articles/d41586-025-03987-5" TargetMode="External"/><Relationship Id="rId987" Type="http://schemas.openxmlformats.org/officeDocument/2006/relationships/hyperlink" Target="https://www.nature.com/articles/d41586-025-03986-6" TargetMode="External"/><Relationship Id="rId988" Type="http://schemas.openxmlformats.org/officeDocument/2006/relationships/hyperlink" Target="https://www.nature.com/articles/d41586-025-03985-7" TargetMode="External"/><Relationship Id="rId989" Type="http://schemas.openxmlformats.org/officeDocument/2006/relationships/hyperlink" Target="https://www.nature.com/articles/d41586-025-03983-9" TargetMode="External"/><Relationship Id="rId990" Type="http://schemas.openxmlformats.org/officeDocument/2006/relationships/hyperlink" Target="https://www.cell.com/one-earth/fulltext/S2590-3322(25)00395-1?rss=yes" TargetMode="External"/><Relationship Id="rId991" Type="http://schemas.openxmlformats.org/officeDocument/2006/relationships/hyperlink" Target="https://www.cell.com/one-earth/fulltext/S2590-3322(25)00392-6?rss=yes" TargetMode="External"/><Relationship Id="rId992" Type="http://schemas.openxmlformats.org/officeDocument/2006/relationships/hyperlink" Target="https://www.sciencedirect.com/science/article/pii/S1369702126000039?dgcid=rss_sd_all" TargetMode="External"/><Relationship Id="rId993" Type="http://schemas.openxmlformats.org/officeDocument/2006/relationships/hyperlink" Target="https://www.nature.com/articles/s41467-025-68220-3" TargetMode="External"/><Relationship Id="rId994" Type="http://schemas.openxmlformats.org/officeDocument/2006/relationships/hyperlink" Target="https://www.nature.com/articles/s41557-025-02017-1" TargetMode="External"/><Relationship Id="rId995" Type="http://schemas.openxmlformats.org/officeDocument/2006/relationships/hyperlink" Target="https://www.sciencedirect.com/science/article/pii/S1369702126000040?dgcid=rss_sd_all" TargetMode="External"/><Relationship Id="rId996" Type="http://schemas.openxmlformats.org/officeDocument/2006/relationships/hyperlink" Target="https://www.nature.com/articles/s41586-025-09892-1" TargetMode="External"/><Relationship Id="rId997" Type="http://schemas.openxmlformats.org/officeDocument/2006/relationships/hyperlink" Target="https://www.nature.com/articles/s41586-025-09895-y" TargetMode="External"/><Relationship Id="rId998" Type="http://schemas.openxmlformats.org/officeDocument/2006/relationships/hyperlink" Target="https://www.nature.com/articles/s41586-025-09894-z" TargetMode="External"/><Relationship Id="rId999" Type="http://schemas.openxmlformats.org/officeDocument/2006/relationships/hyperlink" Target="https://www.nature.com/articles/s41586-025-09891-2" TargetMode="External"/><Relationship Id="rId1000" Type="http://schemas.openxmlformats.org/officeDocument/2006/relationships/hyperlink" Target="https://www.nature.com/articles/s41586-025-09889-w" TargetMode="External"/><Relationship Id="rId1001" Type="http://schemas.openxmlformats.org/officeDocument/2006/relationships/hyperlink" Target="https://www.nature.com/articles/s41586-025-09856-5" TargetMode="External"/><Relationship Id="rId1002" Type="http://schemas.openxmlformats.org/officeDocument/2006/relationships/hyperlink" Target="https://www.nature.com/articles/s41586-025-09888-x" TargetMode="External"/><Relationship Id="rId1003" Type="http://schemas.openxmlformats.org/officeDocument/2006/relationships/hyperlink" Target="https://www.nature.com/articles/s41586-025-09886-z" TargetMode="External"/><Relationship Id="rId1004" Type="http://schemas.openxmlformats.org/officeDocument/2006/relationships/hyperlink" Target="https://www.nature.com/articles/s41586-025-09885-0" TargetMode="External"/><Relationship Id="rId1005" Type="http://schemas.openxmlformats.org/officeDocument/2006/relationships/hyperlink" Target="https://www.nature.com/articles/s41586-025-09882-3" TargetMode="External"/><Relationship Id="rId1006" Type="http://schemas.openxmlformats.org/officeDocument/2006/relationships/hyperlink" Target="https://www.nature.com/articles/s41586-025-09881-4" TargetMode="External"/><Relationship Id="rId1007" Type="http://schemas.openxmlformats.org/officeDocument/2006/relationships/hyperlink" Target="https://www.nature.com/articles/s41586-025-09877-0" TargetMode="External"/><Relationship Id="rId1008" Type="http://schemas.openxmlformats.org/officeDocument/2006/relationships/hyperlink" Target="https://www.nature.com/articles/s41586-025-09867-2" TargetMode="External"/><Relationship Id="rId1009" Type="http://schemas.openxmlformats.org/officeDocument/2006/relationships/hyperlink" Target="https://www.nature.com/articles/s41586-025-09874-3" TargetMode="External"/><Relationship Id="rId1010" Type="http://schemas.openxmlformats.org/officeDocument/2006/relationships/hyperlink" Target="https://www.nature.com/articles/s41586-025-09870-7" TargetMode="External"/><Relationship Id="rId1011" Type="http://schemas.openxmlformats.org/officeDocument/2006/relationships/hyperlink" Target="https://www.nature.com/articles/s41557-025-02021-5" TargetMode="External"/><Relationship Id="rId1012" Type="http://schemas.openxmlformats.org/officeDocument/2006/relationships/hyperlink" Target="https://www.nature.com/articles/s41586-025-09852-9" TargetMode="External"/><Relationship Id="rId1013" Type="http://schemas.openxmlformats.org/officeDocument/2006/relationships/hyperlink" Target="https://www.nature.com/articles/s41586-025-09840-z" TargetMode="External"/><Relationship Id="rId1014" Type="http://schemas.openxmlformats.org/officeDocument/2006/relationships/hyperlink" Target="https://www.nature.com/articles/s41586-025-09896-x" TargetMode="External"/><Relationship Id="rId1015" Type="http://schemas.openxmlformats.org/officeDocument/2006/relationships/hyperlink" Target="https://www.nature.com/articles/s41557-025-02037-x" TargetMode="External"/><Relationship Id="rId1016" Type="http://schemas.openxmlformats.org/officeDocument/2006/relationships/hyperlink" Target="https://www.nature.com/articles/s41586-025-09897-w" TargetMode="External"/><Relationship Id="rId1017" Type="http://schemas.openxmlformats.org/officeDocument/2006/relationships/hyperlink" Target="https://www.nature.com/articles/s41586-025-09784-4" TargetMode="External"/><Relationship Id="rId1018" Type="http://schemas.openxmlformats.org/officeDocument/2006/relationships/hyperlink" Target="https://www.nature.com/articles/s41578-025-00878-z" TargetMode="External"/><Relationship Id="rId1019" Type="http://schemas.openxmlformats.org/officeDocument/2006/relationships/hyperlink" Target="https://www.nature.com/articles/s41563-025-02450-0" TargetMode="External"/><Relationship Id="rId1020" Type="http://schemas.openxmlformats.org/officeDocument/2006/relationships/hyperlink" Target="https://www.nature.com/articles/s41557-025-02044-y" TargetMode="External"/><Relationship Id="rId1021" Type="http://schemas.openxmlformats.org/officeDocument/2006/relationships/hyperlink" Target="https://www.nature.com/articles/s41560-025-01949-9" TargetMode="External"/><Relationship Id="rId1022" Type="http://schemas.openxmlformats.org/officeDocument/2006/relationships/hyperlink" Target="https://www.nature.com/articles/s41560-025-01939-x" TargetMode="External"/><Relationship Id="rId1023" Type="http://schemas.openxmlformats.org/officeDocument/2006/relationships/hyperlink" Target="https://advanced.onlinelibrary.wiley.com/doi/10.1002/adma.202522541?af=R" TargetMode="External"/><Relationship Id="rId1024" Type="http://schemas.openxmlformats.org/officeDocument/2006/relationships/hyperlink" Target="https://doi.org/10.1002/adma.202522541" TargetMode="External"/><Relationship Id="rId1025" Type="http://schemas.openxmlformats.org/officeDocument/2006/relationships/hyperlink" Target="https://advanced.onlinelibrary.wiley.com/doi/10.1002/adma.202519057?af=R" TargetMode="External"/><Relationship Id="rId1026" Type="http://schemas.openxmlformats.org/officeDocument/2006/relationships/hyperlink" Target="https://doi.org/10.1002/adma.202519057" TargetMode="External"/><Relationship Id="rId1027" Type="http://schemas.openxmlformats.org/officeDocument/2006/relationships/hyperlink" Target="https://advanced.onlinelibrary.wiley.com/doi/10.1002/aenm.202504456?af=R" TargetMode="External"/><Relationship Id="rId1028" Type="http://schemas.openxmlformats.org/officeDocument/2006/relationships/hyperlink" Target="https://doi.org/10.1002/aenm.202504456" TargetMode="External"/><Relationship Id="rId1029" Type="http://schemas.openxmlformats.org/officeDocument/2006/relationships/hyperlink" Target="https://advanced.onlinelibrary.wiley.com/doi/10.1002/adma.202511945?af=R" TargetMode="External"/><Relationship Id="rId1030" Type="http://schemas.openxmlformats.org/officeDocument/2006/relationships/hyperlink" Target="https://doi.org/10.1002/adma.202511945" TargetMode="External"/><Relationship Id="rId1031" Type="http://schemas.openxmlformats.org/officeDocument/2006/relationships/hyperlink" Target="https://advanced.onlinelibrary.wiley.com/doi/10.1002/aenm.202506699?af=R" TargetMode="External"/><Relationship Id="rId1032" Type="http://schemas.openxmlformats.org/officeDocument/2006/relationships/hyperlink" Target="https://doi.org/10.1002/aenm.202506699" TargetMode="External"/><Relationship Id="rId1033" Type="http://schemas.openxmlformats.org/officeDocument/2006/relationships/hyperlink" Target="https://advanced.onlinelibrary.wiley.com/doi/10.1002/aenm.202506172?af=R" TargetMode="External"/><Relationship Id="rId1034" Type="http://schemas.openxmlformats.org/officeDocument/2006/relationships/hyperlink" Target="https://doi.org/10.1002/aenm.202506172" TargetMode="External"/><Relationship Id="rId1035" Type="http://schemas.openxmlformats.org/officeDocument/2006/relationships/hyperlink" Target="https://advanced.onlinelibrary.wiley.com/doi/10.1002/aenm.202505418?af=R" TargetMode="External"/><Relationship Id="rId1036" Type="http://schemas.openxmlformats.org/officeDocument/2006/relationships/hyperlink" Target="https://doi.org/10.1002/aenm.202505418" TargetMode="External"/><Relationship Id="rId1037" Type="http://schemas.openxmlformats.org/officeDocument/2006/relationships/hyperlink" Target="https://advanced.onlinelibrary.wiley.com/doi/10.1002/aenm.202504607?af=R" TargetMode="External"/><Relationship Id="rId1038" Type="http://schemas.openxmlformats.org/officeDocument/2006/relationships/hyperlink" Target="https://doi.org/10.1002/aenm.202504607" TargetMode="External"/><Relationship Id="rId1039" Type="http://schemas.openxmlformats.org/officeDocument/2006/relationships/hyperlink" Target="https://advanced.onlinelibrary.wiley.com/doi/10.1002/adma.202519482?af=R" TargetMode="External"/><Relationship Id="rId1040" Type="http://schemas.openxmlformats.org/officeDocument/2006/relationships/hyperlink" Target="https://doi.org/10.1002/adma.202519482" TargetMode="External"/><Relationship Id="rId1041" Type="http://schemas.openxmlformats.org/officeDocument/2006/relationships/hyperlink" Target="https://advanced.onlinelibrary.wiley.com/doi/10.1002/aenm.202505450?af=R" TargetMode="External"/><Relationship Id="rId1042" Type="http://schemas.openxmlformats.org/officeDocument/2006/relationships/hyperlink" Target="https://doi.org/10.1002/aenm.202505450" TargetMode="External"/><Relationship Id="rId1043" Type="http://schemas.openxmlformats.org/officeDocument/2006/relationships/hyperlink" Target="https://advanced.onlinelibrary.wiley.com/doi/10.1002/aenm.202506649?af=R" TargetMode="External"/><Relationship Id="rId1044" Type="http://schemas.openxmlformats.org/officeDocument/2006/relationships/hyperlink" Target="https://doi.org/10.1002/aenm.202506649" TargetMode="External"/><Relationship Id="rId1045" Type="http://schemas.openxmlformats.org/officeDocument/2006/relationships/hyperlink" Target="https://advanced.onlinelibrary.wiley.com/doi/10.1002/adma.202517373?af=R" TargetMode="External"/><Relationship Id="rId1046" Type="http://schemas.openxmlformats.org/officeDocument/2006/relationships/hyperlink" Target="https://doi.org/10.1002/adma.202517373" TargetMode="External"/><Relationship Id="rId1047" Type="http://schemas.openxmlformats.org/officeDocument/2006/relationships/hyperlink" Target="https://advanced.onlinelibrary.wiley.com/doi/10.1002/adma.202520493?af=R" TargetMode="External"/><Relationship Id="rId1048" Type="http://schemas.openxmlformats.org/officeDocument/2006/relationships/hyperlink" Target="https://doi.org/10.1002/adma.202520493" TargetMode="External"/><Relationship Id="rId1049" Type="http://schemas.openxmlformats.org/officeDocument/2006/relationships/hyperlink" Target="https://advanced.onlinelibrary.wiley.com/doi/10.1002/aenm.202506260?af=R" TargetMode="External"/><Relationship Id="rId1050" Type="http://schemas.openxmlformats.org/officeDocument/2006/relationships/hyperlink" Target="https://doi.org/10.1002/aenm.202506260" TargetMode="External"/><Relationship Id="rId1051" Type="http://schemas.openxmlformats.org/officeDocument/2006/relationships/hyperlink" Target="https://advanced.onlinelibrary.wiley.com/doi/10.1002/adma.202512584?af=R" TargetMode="External"/><Relationship Id="rId1052" Type="http://schemas.openxmlformats.org/officeDocument/2006/relationships/hyperlink" Target="https://doi.org/10.1002/adma.202512584" TargetMode="External"/><Relationship Id="rId1053" Type="http://schemas.openxmlformats.org/officeDocument/2006/relationships/hyperlink" Target="https://advanced.onlinelibrary.wiley.com/doi/10.1002/adma.202521120?af=R" TargetMode="External"/><Relationship Id="rId1054" Type="http://schemas.openxmlformats.org/officeDocument/2006/relationships/hyperlink" Target="https://doi.org/10.1002/adma.202521120" TargetMode="External"/><Relationship Id="rId1055" Type="http://schemas.openxmlformats.org/officeDocument/2006/relationships/hyperlink" Target="https://www.science.org/doi/abs/10.1126/sciadv.adz3281?af=R" TargetMode="External"/><Relationship Id="rId1056" Type="http://schemas.openxmlformats.org/officeDocument/2006/relationships/hyperlink" Target="https://doi.org/10.1126/sciadv.adz3281" TargetMode="External"/><Relationship Id="rId1057" Type="http://schemas.openxmlformats.org/officeDocument/2006/relationships/hyperlink" Target="https://www.science.org/doi/abs/10.1126/sciadv.adz7779?af=R" TargetMode="External"/><Relationship Id="rId1058" Type="http://schemas.openxmlformats.org/officeDocument/2006/relationships/hyperlink" Target="https://doi.org/10.1126/sciadv.adz7779" TargetMode="External"/><Relationship Id="rId1059" Type="http://schemas.openxmlformats.org/officeDocument/2006/relationships/hyperlink" Target="https://www.science.org/doi/abs/10.1126/sciadv.adz4762?af=R" TargetMode="External"/><Relationship Id="rId1060" Type="http://schemas.openxmlformats.org/officeDocument/2006/relationships/hyperlink" Target="https://doi.org/10.1126/sciadv.adz4762" TargetMode="External"/><Relationship Id="rId1061" Type="http://schemas.openxmlformats.org/officeDocument/2006/relationships/hyperlink" Target="https://www.science.org/doi/abs/10.1126/sciadv.adz5902?af=R" TargetMode="External"/><Relationship Id="rId1062" Type="http://schemas.openxmlformats.org/officeDocument/2006/relationships/hyperlink" Target="https://doi.org/10.1126/sciadv.adz5902" TargetMode="External"/><Relationship Id="rId1063" Type="http://schemas.openxmlformats.org/officeDocument/2006/relationships/hyperlink" Target="https://www.science.org/doi/abs/10.1126/sciadv.adz7607?af=R" TargetMode="External"/><Relationship Id="rId1064" Type="http://schemas.openxmlformats.org/officeDocument/2006/relationships/hyperlink" Target="https://doi.org/10.1126/sciadv.adz7607" TargetMode="External"/><Relationship Id="rId1065" Type="http://schemas.openxmlformats.org/officeDocument/2006/relationships/hyperlink" Target="https://www.science.org/doi/abs/10.1126/sciadv.aea0567?af=R" TargetMode="External"/><Relationship Id="rId1066" Type="http://schemas.openxmlformats.org/officeDocument/2006/relationships/hyperlink" Target="https://doi.org/10.1126/sciadv.aea0567" TargetMode="External"/><Relationship Id="rId1067" Type="http://schemas.openxmlformats.org/officeDocument/2006/relationships/hyperlink" Target="https://www.science.org/doi/abs/10.1126/sciadv.aea6945?af=R" TargetMode="External"/><Relationship Id="rId1068" Type="http://schemas.openxmlformats.org/officeDocument/2006/relationships/hyperlink" Target="https://doi.org/10.1126/sciadv.aea6945" TargetMode="External"/><Relationship Id="rId1069" Type="http://schemas.openxmlformats.org/officeDocument/2006/relationships/hyperlink" Target="https://www.science.org/doi/abs/10.1126/sciadv.aea3712?af=R" TargetMode="External"/><Relationship Id="rId1070" Type="http://schemas.openxmlformats.org/officeDocument/2006/relationships/hyperlink" Target="https://doi.org/10.1126/sciadv.aea3712" TargetMode="External"/><Relationship Id="rId1071" Type="http://schemas.openxmlformats.org/officeDocument/2006/relationships/hyperlink" Target="https://www.science.org/doi/abs/10.1126/sciadv.aea8014?af=R" TargetMode="External"/><Relationship Id="rId1072" Type="http://schemas.openxmlformats.org/officeDocument/2006/relationships/hyperlink" Target="https://doi.org/10.1126/sciadv.aea8014" TargetMode="External"/><Relationship Id="rId1073" Type="http://schemas.openxmlformats.org/officeDocument/2006/relationships/hyperlink" Target="https://www.science.org/doi/abs/10.1126/sciadv.aea9433?af=R" TargetMode="External"/><Relationship Id="rId1074" Type="http://schemas.openxmlformats.org/officeDocument/2006/relationships/hyperlink" Target="https://doi.org/10.1126/sciadv.aea9433" TargetMode="External"/><Relationship Id="rId1075" Type="http://schemas.openxmlformats.org/officeDocument/2006/relationships/hyperlink" Target="https://www.science.org/doi/abs/10.1126/sciadv.aeb5215?af=R" TargetMode="External"/><Relationship Id="rId1076" Type="http://schemas.openxmlformats.org/officeDocument/2006/relationships/hyperlink" Target="https://doi.org/10.1126/sciadv.aeb5215" TargetMode="External"/><Relationship Id="rId1077" Type="http://schemas.openxmlformats.org/officeDocument/2006/relationships/hyperlink" Target="https://www.science.org/doi/abs/10.1126/sciadv.aee7980?af=R" TargetMode="External"/><Relationship Id="rId1078" Type="http://schemas.openxmlformats.org/officeDocument/2006/relationships/hyperlink" Target="https://doi.org/10.1126/sciadv.aee7980" TargetMode="External"/><Relationship Id="rId1079" Type="http://schemas.openxmlformats.org/officeDocument/2006/relationships/hyperlink" Target="https://www.science.org/doi/abs/10.1126/sciadv.adz1519?af=R" TargetMode="External"/><Relationship Id="rId1080" Type="http://schemas.openxmlformats.org/officeDocument/2006/relationships/hyperlink" Target="https://doi.org/10.1126/sciadv.adz1519" TargetMode="External"/><Relationship Id="rId1081" Type="http://schemas.openxmlformats.org/officeDocument/2006/relationships/hyperlink" Target="https://www.science.org/doi/abs/10.1126/sciadv.aea1329?af=R" TargetMode="External"/><Relationship Id="rId1082" Type="http://schemas.openxmlformats.org/officeDocument/2006/relationships/hyperlink" Target="https://doi.org/10.1126/sciadv.aea1329" TargetMode="External"/><Relationship Id="rId1083" Type="http://schemas.openxmlformats.org/officeDocument/2006/relationships/hyperlink" Target="https://www.science.org/doi/abs/10.1126/sciadv.adz1385?af=R" TargetMode="External"/><Relationship Id="rId1084" Type="http://schemas.openxmlformats.org/officeDocument/2006/relationships/hyperlink" Target="https://doi.org/10.1126/sciadv.adz1385" TargetMode="External"/><Relationship Id="rId1085" Type="http://schemas.openxmlformats.org/officeDocument/2006/relationships/hyperlink" Target="https://www.science.org/doi/abs/10.1126/sciadv.ady4934?af=R" TargetMode="External"/><Relationship Id="rId1086" Type="http://schemas.openxmlformats.org/officeDocument/2006/relationships/hyperlink" Target="https://doi.org/10.1126/sciadv.ady4934" TargetMode="External"/><Relationship Id="rId1087" Type="http://schemas.openxmlformats.org/officeDocument/2006/relationships/hyperlink" Target="https://www.science.org/doi/abs/10.1126/sciadv.adz1253?af=R" TargetMode="External"/><Relationship Id="rId1088" Type="http://schemas.openxmlformats.org/officeDocument/2006/relationships/hyperlink" Target="https://doi.org/10.1126/sciadv.adz1253" TargetMode="External"/><Relationship Id="rId1089" Type="http://schemas.openxmlformats.org/officeDocument/2006/relationships/hyperlink" Target="https://www.pnas.org/doi/abs/10.1073/pnas.2531077123?mi=eymic2&amp;af=R&amp;access=on&amp;content=articlesChapters&amp;publication=pnas&amp;sortBy=Earliest&amp;target=default" TargetMode="External"/><Relationship Id="rId1090" Type="http://schemas.openxmlformats.org/officeDocument/2006/relationships/hyperlink" Target="https://doi.org/10.1073/pnas.2531077123" TargetMode="External"/><Relationship Id="rId1091" Type="http://schemas.openxmlformats.org/officeDocument/2006/relationships/hyperlink" Target="https://www.pnas.org/doi/abs/10.1073/pnas.2530592122?mi=eymic2&amp;af=R&amp;access=on&amp;content=articlesChapters&amp;publication=pnas&amp;sortBy=Earliest&amp;target=default" TargetMode="External"/><Relationship Id="rId1092" Type="http://schemas.openxmlformats.org/officeDocument/2006/relationships/hyperlink" Target="https://doi.org/10.1073/pnas.2530592122" TargetMode="External"/><Relationship Id="rId1093" Type="http://schemas.openxmlformats.org/officeDocument/2006/relationships/hyperlink" Target="https://www.pnas.org/doi/abs/10.1073/pnas.2530586122?mi=eymic2&amp;af=R&amp;access=on&amp;content=articlesChapters&amp;publication=pnas&amp;sortBy=Earliest&amp;target=default" TargetMode="External"/><Relationship Id="rId1094" Type="http://schemas.openxmlformats.org/officeDocument/2006/relationships/hyperlink" Target="https://doi.org/10.1073/pnas.2530586122" TargetMode="External"/><Relationship Id="rId1095" Type="http://schemas.openxmlformats.org/officeDocument/2006/relationships/hyperlink" Target="https://www.pnas.org/doi/abs/10.1073/pnas.2530209123?mi=eymic2&amp;af=R&amp;access=on&amp;content=articlesChapters&amp;publication=pnas&amp;sortBy=Earliest&amp;target=default" TargetMode="External"/><Relationship Id="rId1096" Type="http://schemas.openxmlformats.org/officeDocument/2006/relationships/hyperlink" Target="https://doi.org/10.1073/pnas.2530209123" TargetMode="External"/><Relationship Id="rId1097" Type="http://schemas.openxmlformats.org/officeDocument/2006/relationships/hyperlink" Target="https://www.pnas.org/doi/abs/10.1073/pnas.2528643122?mi=eymic2&amp;af=R&amp;access=on&amp;content=articlesChapters&amp;publication=pnas&amp;sortBy=Earliest&amp;target=default" TargetMode="External"/><Relationship Id="rId1098" Type="http://schemas.openxmlformats.org/officeDocument/2006/relationships/hyperlink" Target="https://doi.org/10.1073/pnas.2528643122" TargetMode="External"/><Relationship Id="rId1099" Type="http://schemas.openxmlformats.org/officeDocument/2006/relationships/hyperlink" Target="https://www.pnas.org/doi/abs/10.1073/pnas.2528257123?mi=eymic2&amp;af=R&amp;access=on&amp;content=articlesChapters&amp;publication=pnas&amp;sortBy=Earliest&amp;target=default" TargetMode="External"/><Relationship Id="rId1100" Type="http://schemas.openxmlformats.org/officeDocument/2006/relationships/hyperlink" Target="https://doi.org/10.1073/pnas.2528257123" TargetMode="External"/><Relationship Id="rId1101" Type="http://schemas.openxmlformats.org/officeDocument/2006/relationships/hyperlink" Target="https://www.pnas.org/doi/abs/10.1073/pnas.2525679123?mi=eymic2&amp;af=R&amp;access=on&amp;content=articlesChapters&amp;publication=pnas&amp;sortBy=Earliest&amp;target=default" TargetMode="External"/><Relationship Id="rId1102" Type="http://schemas.openxmlformats.org/officeDocument/2006/relationships/hyperlink" Target="https://doi.org/10.1073/pnas.2525679123" TargetMode="External"/><Relationship Id="rId1103" Type="http://schemas.openxmlformats.org/officeDocument/2006/relationships/hyperlink" Target="https://www.pnas.org/doi/abs/10.1073/pnas.2524778123?mi=eymic2&amp;af=R&amp;access=on&amp;content=articlesChapters&amp;publication=pnas&amp;sortBy=Earliest&amp;target=default" TargetMode="External"/><Relationship Id="rId1104" Type="http://schemas.openxmlformats.org/officeDocument/2006/relationships/hyperlink" Target="https://doi.org/10.1073/pnas.2524778123" TargetMode="External"/><Relationship Id="rId1105" Type="http://schemas.openxmlformats.org/officeDocument/2006/relationships/hyperlink" Target="https://www.pnas.org/doi/abs/10.1073/pnas.2520747122?mi=eymic2&amp;af=R&amp;access=on&amp;content=articlesChapters&amp;publication=pnas&amp;sortBy=Earliest&amp;target=default" TargetMode="External"/><Relationship Id="rId1106" Type="http://schemas.openxmlformats.org/officeDocument/2006/relationships/hyperlink" Target="https://doi.org/10.1073/pnas.2520747122" TargetMode="External"/><Relationship Id="rId1107" Type="http://schemas.openxmlformats.org/officeDocument/2006/relationships/hyperlink" Target="https://www.pnas.org/doi/abs/10.1073/pnas.2520483123?mi=eymic2&amp;af=R&amp;access=on&amp;content=articlesChapters&amp;publication=pnas&amp;sortBy=Earliest&amp;target=default" TargetMode="External"/><Relationship Id="rId1108" Type="http://schemas.openxmlformats.org/officeDocument/2006/relationships/hyperlink" Target="https://doi.org/10.1073/pnas.2520483123" TargetMode="External"/><Relationship Id="rId1109" Type="http://schemas.openxmlformats.org/officeDocument/2006/relationships/hyperlink" Target="https://www.science.org/doi/abs/10.1126/sciadv.adz1301?af=R" TargetMode="External"/><Relationship Id="rId1110" Type="http://schemas.openxmlformats.org/officeDocument/2006/relationships/hyperlink" Target="https://doi.org/10.1126/sciadv.adz1301" TargetMode="External"/><Relationship Id="rId1111" Type="http://schemas.openxmlformats.org/officeDocument/2006/relationships/hyperlink" Target="https://www.pnas.org/doi/abs/10.1073/pnas.2518909122?mi=eymic2&amp;af=R&amp;access=on&amp;content=articlesChapters&amp;publication=pnas&amp;sortBy=Earliest&amp;target=default" TargetMode="External"/><Relationship Id="rId1112" Type="http://schemas.openxmlformats.org/officeDocument/2006/relationships/hyperlink" Target="https://doi.org/10.1073/pnas.2518909122" TargetMode="External"/><Relationship Id="rId1113" Type="http://schemas.openxmlformats.org/officeDocument/2006/relationships/hyperlink" Target="https://www.pnas.org/doi/abs/10.1073/pnas.2518060123?mi=eymic2&amp;af=R&amp;access=on&amp;content=articlesChapters&amp;publication=pnas&amp;sortBy=Earliest&amp;target=default" TargetMode="External"/><Relationship Id="rId1114" Type="http://schemas.openxmlformats.org/officeDocument/2006/relationships/hyperlink" Target="https://doi.org/10.1073/pnas.2518060123" TargetMode="External"/><Relationship Id="rId1115" Type="http://schemas.openxmlformats.org/officeDocument/2006/relationships/hyperlink" Target="https://www.pnas.org/doi/abs/10.1073/pnas.2517096123?mi=eymic2&amp;af=R&amp;access=on&amp;content=articlesChapters&amp;publication=pnas&amp;sortBy=Earliest&amp;target=default" TargetMode="External"/><Relationship Id="rId1116" Type="http://schemas.openxmlformats.org/officeDocument/2006/relationships/hyperlink" Target="https://doi.org/10.1073/pnas.2517096123" TargetMode="External"/><Relationship Id="rId1117" Type="http://schemas.openxmlformats.org/officeDocument/2006/relationships/hyperlink" Target="https://www.pnas.org/doi/abs/10.1073/pnas.2516471123?mi=eymic2&amp;af=R&amp;access=on&amp;content=articlesChapters&amp;publication=pnas&amp;sortBy=Earliest&amp;target=default" TargetMode="External"/><Relationship Id="rId1118" Type="http://schemas.openxmlformats.org/officeDocument/2006/relationships/hyperlink" Target="https://doi.org/10.1073/pnas.2516471123" TargetMode="External"/><Relationship Id="rId1119" Type="http://schemas.openxmlformats.org/officeDocument/2006/relationships/hyperlink" Target="https://www.pnas.org/doi/abs/10.1073/pnas.2510180122?mi=eymic2&amp;af=R&amp;access=on&amp;content=articlesChapters&amp;publication=pnas&amp;sortBy=Earliest&amp;target=default" TargetMode="External"/><Relationship Id="rId1120" Type="http://schemas.openxmlformats.org/officeDocument/2006/relationships/hyperlink" Target="https://doi.org/10.1073/pnas.2510180122" TargetMode="External"/><Relationship Id="rId1121" Type="http://schemas.openxmlformats.org/officeDocument/2006/relationships/hyperlink" Target="https://www.pnas.org/doi/abs/10.1073/pnas.2502486122?mi=eymic2&amp;af=R&amp;access=on&amp;content=articlesChapters&amp;publication=pnas&amp;sortBy=Earliest&amp;target=default" TargetMode="External"/><Relationship Id="rId1122" Type="http://schemas.openxmlformats.org/officeDocument/2006/relationships/hyperlink" Target="https://doi.org/10.1073/pnas.2502486122" TargetMode="External"/><Relationship Id="rId1123" Type="http://schemas.openxmlformats.org/officeDocument/2006/relationships/hyperlink" Target="https://www.pnas.org/doi/abs/10.1073/pnas.2531791123?mi=eymic2&amp;af=R&amp;access=on&amp;content=articlesChapters&amp;publication=pnas&amp;sortBy=Earliest&amp;target=default" TargetMode="External"/><Relationship Id="rId1124" Type="http://schemas.openxmlformats.org/officeDocument/2006/relationships/hyperlink" Target="https://doi.org/10.1073/pnas.2531791123" TargetMode="External"/><Relationship Id="rId1125" Type="http://schemas.openxmlformats.org/officeDocument/2006/relationships/hyperlink" Target="https://www.pnas.org/doi/abs/10.1073/pnas.2533070123?mi=eymic2&amp;af=R&amp;access=on&amp;content=articlesChapters&amp;publication=pnas&amp;sortBy=Earliest&amp;target=default" TargetMode="External"/><Relationship Id="rId1126" Type="http://schemas.openxmlformats.org/officeDocument/2006/relationships/hyperlink" Target="https://doi.org/10.1073/pnas.2533070123" TargetMode="External"/><Relationship Id="rId1127" Type="http://schemas.openxmlformats.org/officeDocument/2006/relationships/hyperlink" Target="https://www.pnas.org/doi/abs/10.1073/pnas.2518982123?mi=eymic2&amp;af=R&amp;access=on&amp;content=articlesChapters&amp;publication=pnas&amp;sortBy=Earliest&amp;target=default" TargetMode="External"/><Relationship Id="rId1128" Type="http://schemas.openxmlformats.org/officeDocument/2006/relationships/hyperlink" Target="https://doi.org/10.1073/pnas.2518982123" TargetMode="External"/><Relationship Id="rId1129" Type="http://schemas.openxmlformats.org/officeDocument/2006/relationships/hyperlink" Target="https://www.pnas.org/doi/abs/10.1073/pnas.2533905122?mi=eymic2&amp;af=R&amp;access=on&amp;content=articlesChapters&amp;publication=pnas&amp;sortBy=Earliest&amp;target=default" TargetMode="External"/><Relationship Id="rId1130" Type="http://schemas.openxmlformats.org/officeDocument/2006/relationships/hyperlink" Target="https://doi.org/10.1073/pnas.2533905122" TargetMode="External"/><Relationship Id="rId1131" Type="http://schemas.openxmlformats.org/officeDocument/2006/relationships/hyperlink" Target="https://www.science.org/doi/abs/10.1126/sciadv.adz0229?af=R" TargetMode="External"/><Relationship Id="rId1132" Type="http://schemas.openxmlformats.org/officeDocument/2006/relationships/hyperlink" Target="https://doi.org/10.1126/sciadv.adz0229" TargetMode="External"/><Relationship Id="rId1133" Type="http://schemas.openxmlformats.org/officeDocument/2006/relationships/hyperlink" Target="https://www.science.org/doi/abs/10.1126/sciadv.ady8316?af=R" TargetMode="External"/><Relationship Id="rId1134" Type="http://schemas.openxmlformats.org/officeDocument/2006/relationships/hyperlink" Target="https://doi.org/10.1126/sciadv.ady8316" TargetMode="External"/><Relationship Id="rId1135" Type="http://schemas.openxmlformats.org/officeDocument/2006/relationships/hyperlink" Target="https://www.science.org/doi/abs/10.1126/sciadv.ady6423?af=R" TargetMode="External"/><Relationship Id="rId1136" Type="http://schemas.openxmlformats.org/officeDocument/2006/relationships/hyperlink" Target="https://doi.org/10.1126/sciadv.ady6423" TargetMode="External"/><Relationship Id="rId1137" Type="http://schemas.openxmlformats.org/officeDocument/2006/relationships/hyperlink" Target="https://www.science.org/doi/abs/10.1126/sciadv.ady1111?af=R" TargetMode="External"/><Relationship Id="rId1138" Type="http://schemas.openxmlformats.org/officeDocument/2006/relationships/hyperlink" Target="https://doi.org/10.1126/sciadv.ady1111" TargetMode="External"/><Relationship Id="rId1139" Type="http://schemas.openxmlformats.org/officeDocument/2006/relationships/hyperlink" Target="https://www.pnas.org/doi/abs/10.1073/pnas.2533097122?mi=eymic2&amp;af=R&amp;access=on&amp;content=articlesChapters&amp;publication=pnas&amp;sortBy=Earliest&amp;target=default" TargetMode="External"/><Relationship Id="rId1140" Type="http://schemas.openxmlformats.org/officeDocument/2006/relationships/hyperlink" Target="https://doi.org/10.1073/pnas.2533097122" TargetMode="External"/><Relationship Id="rId1141" Type="http://schemas.openxmlformats.org/officeDocument/2006/relationships/hyperlink" Target="https://www.science.org/doi/abs/10.1126/sciadv.ady0301?af=R" TargetMode="External"/><Relationship Id="rId1142" Type="http://schemas.openxmlformats.org/officeDocument/2006/relationships/hyperlink" Target="https://doi.org/10.1126/sciadv.ady0301" TargetMode="External"/><Relationship Id="rId1143" Type="http://schemas.openxmlformats.org/officeDocument/2006/relationships/hyperlink" Target="https://www.science.org/doi/abs/10.1126/sciadv.adx9671?af=R" TargetMode="External"/><Relationship Id="rId1144" Type="http://schemas.openxmlformats.org/officeDocument/2006/relationships/hyperlink" Target="https://doi.org/10.1126/sciadv.adx9671" TargetMode="External"/><Relationship Id="rId1145" Type="http://schemas.openxmlformats.org/officeDocument/2006/relationships/hyperlink" Target="https://www.science.org/doi/abs/10.1126/sciadv.adx1754?af=R" TargetMode="External"/><Relationship Id="rId1146" Type="http://schemas.openxmlformats.org/officeDocument/2006/relationships/hyperlink" Target="https://doi.org/10.1126/sciadv.adx1754" TargetMode="External"/><Relationship Id="rId1147" Type="http://schemas.openxmlformats.org/officeDocument/2006/relationships/hyperlink" Target="https://www.science.org/doi/abs/10.1126/sciadv.adw5698?af=R" TargetMode="External"/><Relationship Id="rId1148" Type="http://schemas.openxmlformats.org/officeDocument/2006/relationships/hyperlink" Target="https://doi.org/10.1126/sciadv.adw5698" TargetMode="External"/><Relationship Id="rId1149" Type="http://schemas.openxmlformats.org/officeDocument/2006/relationships/hyperlink" Target="https://www.science.org/doi/abs/10.1126/sciadv.ady0542?af=R" TargetMode="External"/><Relationship Id="rId1150" Type="http://schemas.openxmlformats.org/officeDocument/2006/relationships/hyperlink" Target="https://doi.org/10.1126/sciadv.ady0542" TargetMode="External"/><Relationship Id="rId1151" Type="http://schemas.openxmlformats.org/officeDocument/2006/relationships/hyperlink" Target="https://www.science.org/doi/abs/10.1126/sciadv.adv7998?af=R" TargetMode="External"/><Relationship Id="rId1152" Type="http://schemas.openxmlformats.org/officeDocument/2006/relationships/hyperlink" Target="https://doi.org/10.1126/sciadv.adv7998" TargetMode="External"/><Relationship Id="rId1153" Type="http://schemas.openxmlformats.org/officeDocument/2006/relationships/hyperlink" Target="https://www.science.org/doi/abs/10.1126/sciadv.adv6891?af=R" TargetMode="External"/><Relationship Id="rId1154" Type="http://schemas.openxmlformats.org/officeDocument/2006/relationships/hyperlink" Target="https://doi.org/10.1126/sciadv.adv6891" TargetMode="External"/><Relationship Id="rId1155" Type="http://schemas.openxmlformats.org/officeDocument/2006/relationships/hyperlink" Target="https://www.pnas.org/doi/abs/10.1073/pnas.2535891123?mi=eymic2&amp;af=R&amp;access=on&amp;content=articlesChapters&amp;publication=pnas&amp;sortBy=Earliest&amp;target=default" TargetMode="External"/><Relationship Id="rId1156" Type="http://schemas.openxmlformats.org/officeDocument/2006/relationships/hyperlink" Target="https://doi.org/10.1073/pnas.2535891123" TargetMode="External"/><Relationship Id="rId1157" Type="http://schemas.openxmlformats.org/officeDocument/2006/relationships/hyperlink" Target="https://www.pnas.org/doi/abs/10.1073/pnas.2536995123?mi=eymic2&amp;af=R&amp;access=on&amp;content=articlesChapters&amp;publication=pnas&amp;sortBy=Earliest&amp;target=default" TargetMode="External"/><Relationship Id="rId1158" Type="http://schemas.openxmlformats.org/officeDocument/2006/relationships/hyperlink" Target="https://doi.org/10.1073/pnas.2536995123" TargetMode="External"/><Relationship Id="rId1159" Type="http://schemas.openxmlformats.org/officeDocument/2006/relationships/hyperlink" Target="https://www.pnas.org/doi/abs/10.1073/pnas.2536022123?mi=eymic2&amp;af=R&amp;access=on&amp;content=articlesChapters&amp;publication=pnas&amp;sortBy=Earliest&amp;target=default" TargetMode="External"/><Relationship Id="rId1160" Type="http://schemas.openxmlformats.org/officeDocument/2006/relationships/hyperlink" Target="https://doi.org/10.1073/pnas.2536022123" TargetMode="External"/><Relationship Id="rId1161" Type="http://schemas.openxmlformats.org/officeDocument/2006/relationships/hyperlink" Target="http://dx.doi.org/10.1021/jacs.5c18484" TargetMode="External"/><Relationship Id="rId1162" Type="http://schemas.openxmlformats.org/officeDocument/2006/relationships/hyperlink" Target="https://doi.org/10.1021/jacs.5c18484" TargetMode="External"/><Relationship Id="rId1163" Type="http://schemas.openxmlformats.org/officeDocument/2006/relationships/hyperlink" Target="https://advanced.onlinelibrary.wiley.com/doi/10.1002/adma.202521268?af=R" TargetMode="External"/><Relationship Id="rId1164" Type="http://schemas.openxmlformats.org/officeDocument/2006/relationships/hyperlink" Target="https://doi.org/10.1002/adma.202521268" TargetMode="External"/><Relationship Id="rId1165" Type="http://schemas.openxmlformats.org/officeDocument/2006/relationships/hyperlink" Target="https://advanced.onlinelibrary.wiley.com/doi/10.1002/adma.202510848?af=R" TargetMode="External"/><Relationship Id="rId1166" Type="http://schemas.openxmlformats.org/officeDocument/2006/relationships/hyperlink" Target="https://doi.org/10.1002/adma.202510848" TargetMode="External"/><Relationship Id="rId1167" Type="http://schemas.openxmlformats.org/officeDocument/2006/relationships/hyperlink" Target="https://onlinelibrary.wiley.com/doi/10.1002/anie.202523116?af=R" TargetMode="External"/><Relationship Id="rId1168" Type="http://schemas.openxmlformats.org/officeDocument/2006/relationships/hyperlink" Target="https://doi.org/10.1002/anie.202523116" TargetMode="External"/><Relationship Id="rId1169" Type="http://schemas.openxmlformats.org/officeDocument/2006/relationships/hyperlink" Target="https://onlinelibrary.wiley.com/doi/10.1002/anie.202519237?af=R" TargetMode="External"/><Relationship Id="rId1170" Type="http://schemas.openxmlformats.org/officeDocument/2006/relationships/hyperlink" Target="https://doi.org/10.1002/anie.202519237" TargetMode="External"/><Relationship Id="rId1171" Type="http://schemas.openxmlformats.org/officeDocument/2006/relationships/hyperlink" Target="https://advanced.onlinelibrary.wiley.com/doi/10.1002/aenm.202505089?af=R" TargetMode="External"/><Relationship Id="rId1172" Type="http://schemas.openxmlformats.org/officeDocument/2006/relationships/hyperlink" Target="https://doi.org/10.1002/aenm.202505089" TargetMode="External"/><Relationship Id="rId1173" Type="http://schemas.openxmlformats.org/officeDocument/2006/relationships/hyperlink" Target="https://advanced.onlinelibrary.wiley.com/doi/10.1002/aenm.202506017?af=R" TargetMode="External"/><Relationship Id="rId1174" Type="http://schemas.openxmlformats.org/officeDocument/2006/relationships/hyperlink" Target="https://doi.org/10.1002/aenm.202506017" TargetMode="External"/><Relationship Id="rId1175" Type="http://schemas.openxmlformats.org/officeDocument/2006/relationships/hyperlink" Target="https://onlinelibrary.wiley.com/doi/10.1002/anie.202521473?af=R" TargetMode="External"/><Relationship Id="rId1176" Type="http://schemas.openxmlformats.org/officeDocument/2006/relationships/hyperlink" Target="https://doi.org/10.1002/anie.202521473" TargetMode="External"/><Relationship Id="rId1177" Type="http://schemas.openxmlformats.org/officeDocument/2006/relationships/hyperlink" Target="https://advanced.onlinelibrary.wiley.com/doi/10.1002/adma.202522467?af=R" TargetMode="External"/><Relationship Id="rId1178" Type="http://schemas.openxmlformats.org/officeDocument/2006/relationships/hyperlink" Target="https://doi.org/10.1002/adma.202522467" TargetMode="External"/><Relationship Id="rId1179" Type="http://schemas.openxmlformats.org/officeDocument/2006/relationships/hyperlink" Target="https://advanced.onlinelibrary.wiley.com/doi/10.1002/adma.202521164?af=R" TargetMode="External"/><Relationship Id="rId1180" Type="http://schemas.openxmlformats.org/officeDocument/2006/relationships/hyperlink" Target="https://doi.org/10.1002/adma.202521164" TargetMode="External"/><Relationship Id="rId1181" Type="http://schemas.openxmlformats.org/officeDocument/2006/relationships/hyperlink" Target="https://onlinelibrary.wiley.com/doi/10.1002/anie.202523391?af=R" TargetMode="External"/><Relationship Id="rId1182" Type="http://schemas.openxmlformats.org/officeDocument/2006/relationships/hyperlink" Target="https://doi.org/10.1002/anie.202523391" TargetMode="External"/><Relationship Id="rId1183" Type="http://schemas.openxmlformats.org/officeDocument/2006/relationships/hyperlink" Target="https://advanced.onlinelibrary.wiley.com/doi/10.1002/adma.202520754?af=R" TargetMode="External"/><Relationship Id="rId1184" Type="http://schemas.openxmlformats.org/officeDocument/2006/relationships/hyperlink" Target="https://doi.org/10.1002/adma.202520754" TargetMode="External"/><Relationship Id="rId1185" Type="http://schemas.openxmlformats.org/officeDocument/2006/relationships/hyperlink" Target="https://onlinelibrary.wiley.com/doi/10.1002/anie.202523771?af=R" TargetMode="External"/><Relationship Id="rId1186" Type="http://schemas.openxmlformats.org/officeDocument/2006/relationships/hyperlink" Target="https://doi.org/10.1002/anie.202523771" TargetMode="External"/><Relationship Id="rId1187" Type="http://schemas.openxmlformats.org/officeDocument/2006/relationships/hyperlink" Target="https://advanced.onlinelibrary.wiley.com/doi/10.1002/adma.202517111?af=R" TargetMode="External"/><Relationship Id="rId1188" Type="http://schemas.openxmlformats.org/officeDocument/2006/relationships/hyperlink" Target="https://doi.org/10.1002/adma.202517111" TargetMode="External"/><Relationship Id="rId1189" Type="http://schemas.openxmlformats.org/officeDocument/2006/relationships/hyperlink" Target="http://dx.doi.org/10.1021/acsenergylett.5c04078" TargetMode="External"/><Relationship Id="rId1190" Type="http://schemas.openxmlformats.org/officeDocument/2006/relationships/hyperlink" Target="https://doi.org/10.1021/acsenergylett.5c04078" TargetMode="External"/><Relationship Id="rId1191" Type="http://schemas.openxmlformats.org/officeDocument/2006/relationships/hyperlink" Target="https://advanced.onlinelibrary.wiley.com/doi/10.1002/aenm.70448?af=R" TargetMode="External"/><Relationship Id="rId1192" Type="http://schemas.openxmlformats.org/officeDocument/2006/relationships/hyperlink" Target="https://doi.org/10.1002/aenm.70448" TargetMode="External"/><Relationship Id="rId1193" Type="http://schemas.openxmlformats.org/officeDocument/2006/relationships/hyperlink" Target="https://advanced.onlinelibrary.wiley.com/doi/10.1002/aenm.70449?af=R" TargetMode="External"/><Relationship Id="rId1194" Type="http://schemas.openxmlformats.org/officeDocument/2006/relationships/hyperlink" Target="https://doi.org/10.1002/aenm.70449" TargetMode="External"/><Relationship Id="rId1195" Type="http://schemas.openxmlformats.org/officeDocument/2006/relationships/hyperlink" Target="http://dx.doi.org/10.1021/jacs.5c17377" TargetMode="External"/><Relationship Id="rId1196" Type="http://schemas.openxmlformats.org/officeDocument/2006/relationships/hyperlink" Target="https://doi.org/10.1021/jacs.5c17377" TargetMode="External"/><Relationship Id="rId1197" Type="http://schemas.openxmlformats.org/officeDocument/2006/relationships/hyperlink" Target="http://dx.doi.org/10.1021/jacs.5c17976" TargetMode="External"/><Relationship Id="rId1198" Type="http://schemas.openxmlformats.org/officeDocument/2006/relationships/hyperlink" Target="https://doi.org/10.1021/jacs.5c17976" TargetMode="External"/><Relationship Id="rId1199" Type="http://schemas.openxmlformats.org/officeDocument/2006/relationships/hyperlink" Target="https://onlinelibrary.wiley.com/doi/10.1002/anie.202519600?af=R" TargetMode="External"/><Relationship Id="rId1200" Type="http://schemas.openxmlformats.org/officeDocument/2006/relationships/hyperlink" Target="https://doi.org/10.1002/anie.202519600" TargetMode="External"/><Relationship Id="rId1201" Type="http://schemas.openxmlformats.org/officeDocument/2006/relationships/hyperlink" Target="https://onlinelibrary.wiley.com/doi/10.1002/anie.202523520?af=R" TargetMode="External"/><Relationship Id="rId1202" Type="http://schemas.openxmlformats.org/officeDocument/2006/relationships/hyperlink" Target="https://doi.org/10.1002/anie.202523520" TargetMode="External"/><Relationship Id="rId1203" Type="http://schemas.openxmlformats.org/officeDocument/2006/relationships/hyperlink" Target="http://dx.doi.org/10.1021/jacs.5c11463" TargetMode="External"/><Relationship Id="rId1204" Type="http://schemas.openxmlformats.org/officeDocument/2006/relationships/hyperlink" Target="https://doi.org/10.1021/jacs.5c11463" TargetMode="External"/><Relationship Id="rId1205" Type="http://schemas.openxmlformats.org/officeDocument/2006/relationships/hyperlink" Target="http://dx.doi.org/10.1021/jacs.5c18223" TargetMode="External"/><Relationship Id="rId1206" Type="http://schemas.openxmlformats.org/officeDocument/2006/relationships/hyperlink" Target="https://doi.org/10.1021/jacs.5c18223" TargetMode="External"/><Relationship Id="rId1207" Type="http://schemas.openxmlformats.org/officeDocument/2006/relationships/hyperlink" Target="http://dx.doi.org/10.1021/acsenergylett.5c03483" TargetMode="External"/><Relationship Id="rId1208" Type="http://schemas.openxmlformats.org/officeDocument/2006/relationships/hyperlink" Target="https://doi.org/10.1021/acsenergylett.5c03483" TargetMode="External"/><Relationship Id="rId1209" Type="http://schemas.openxmlformats.org/officeDocument/2006/relationships/hyperlink" Target="http://dx.doi.org/10.1021/jacs.5c17145" TargetMode="External"/><Relationship Id="rId1210" Type="http://schemas.openxmlformats.org/officeDocument/2006/relationships/hyperlink" Target="https://doi.org/10.1021/jacs.5c17145" TargetMode="External"/><Relationship Id="rId1211" Type="http://schemas.openxmlformats.org/officeDocument/2006/relationships/hyperlink" Target="http://dx.doi.org/10.1021/acsenergylett.5c03804" TargetMode="External"/><Relationship Id="rId1212" Type="http://schemas.openxmlformats.org/officeDocument/2006/relationships/hyperlink" Target="https://doi.org/10.1021/acsenergylett.5c03804" TargetMode="External"/><Relationship Id="rId1213" Type="http://schemas.openxmlformats.org/officeDocument/2006/relationships/hyperlink" Target="https://onlinelibrary.wiley.com/doi/10.1002/anie.202519002?af=R" TargetMode="External"/><Relationship Id="rId1214" Type="http://schemas.openxmlformats.org/officeDocument/2006/relationships/hyperlink" Target="https://doi.org/10.1002/anie.202519002" TargetMode="External"/><Relationship Id="rId1215" Type="http://schemas.openxmlformats.org/officeDocument/2006/relationships/hyperlink" Target="https://advanced.onlinelibrary.wiley.com/doi/10.1002/adma.202514994?af=R" TargetMode="External"/><Relationship Id="rId1216" Type="http://schemas.openxmlformats.org/officeDocument/2006/relationships/hyperlink" Target="https://doi.org/10.1002/adma.202514994" TargetMode="External"/><Relationship Id="rId1217" Type="http://schemas.openxmlformats.org/officeDocument/2006/relationships/hyperlink" Target="https://advanced.onlinelibrary.wiley.com/doi/10.1002/aenm.202505447?af=R" TargetMode="External"/><Relationship Id="rId1218" Type="http://schemas.openxmlformats.org/officeDocument/2006/relationships/hyperlink" Target="https://doi.org/10.1002/aenm.202505447" TargetMode="External"/><Relationship Id="rId1219" Type="http://schemas.openxmlformats.org/officeDocument/2006/relationships/hyperlink" Target="https://advanced.onlinelibrary.wiley.com/doi/10.1002/adma.202519708?af=R" TargetMode="External"/><Relationship Id="rId1220" Type="http://schemas.openxmlformats.org/officeDocument/2006/relationships/hyperlink" Target="https://doi.org/10.1002/adma.202519708" TargetMode="External"/><Relationship Id="rId1221" Type="http://schemas.openxmlformats.org/officeDocument/2006/relationships/hyperlink" Target="https://onlinelibrary.wiley.com/doi/10.1002/anie.202521454?af=R" TargetMode="External"/><Relationship Id="rId1222" Type="http://schemas.openxmlformats.org/officeDocument/2006/relationships/hyperlink" Target="https://doi.org/10.1002/anie.202521454" TargetMode="External"/><Relationship Id="rId1223" Type="http://schemas.openxmlformats.org/officeDocument/2006/relationships/hyperlink" Target="http://dx.doi.org/10.1021/jacs.5c14419" TargetMode="External"/><Relationship Id="rId1224" Type="http://schemas.openxmlformats.org/officeDocument/2006/relationships/hyperlink" Target="https://doi.org/10.1021/jacs.5c14419" TargetMode="External"/><Relationship Id="rId1225" Type="http://schemas.openxmlformats.org/officeDocument/2006/relationships/hyperlink" Target="http://dx.doi.org/10.1021/jacs.5c18522" TargetMode="External"/><Relationship Id="rId1226" Type="http://schemas.openxmlformats.org/officeDocument/2006/relationships/hyperlink" Target="https://doi.org/10.1021/jacs.5c18522" TargetMode="External"/><Relationship Id="rId1227" Type="http://schemas.openxmlformats.org/officeDocument/2006/relationships/hyperlink" Target="http://dx.doi.org/10.1021/jacs.5c18964" TargetMode="External"/><Relationship Id="rId1228" Type="http://schemas.openxmlformats.org/officeDocument/2006/relationships/hyperlink" Target="https://doi.org/10.1021/jacs.5c18964" TargetMode="External"/><Relationship Id="rId1229" Type="http://schemas.openxmlformats.org/officeDocument/2006/relationships/hyperlink" Target="http://dx.doi.org/10.1021/acsenergylett.5c02835" TargetMode="External"/><Relationship Id="rId1230" Type="http://schemas.openxmlformats.org/officeDocument/2006/relationships/hyperlink" Target="https://doi.org/10.1021/acsenergylett.5c02835" TargetMode="External"/><Relationship Id="rId1231" Type="http://schemas.openxmlformats.org/officeDocument/2006/relationships/hyperlink" Target="http://dx.doi.org/10.1021/jacs.5c19015" TargetMode="External"/><Relationship Id="rId1232" Type="http://schemas.openxmlformats.org/officeDocument/2006/relationships/hyperlink" Target="https://doi.org/10.1021/jacs.5c19015" TargetMode="External"/><Relationship Id="rId1233" Type="http://schemas.openxmlformats.org/officeDocument/2006/relationships/hyperlink" Target="http://dx.doi.org/10.1021/jacs.5c19331" TargetMode="External"/><Relationship Id="rId1234" Type="http://schemas.openxmlformats.org/officeDocument/2006/relationships/hyperlink" Target="https://doi.org/10.1021/jacs.5c19331" TargetMode="External"/><Relationship Id="rId1235" Type="http://schemas.openxmlformats.org/officeDocument/2006/relationships/hyperlink" Target="http://dx.doi.org/10.1021/jacs.5c20554" TargetMode="External"/><Relationship Id="rId1236" Type="http://schemas.openxmlformats.org/officeDocument/2006/relationships/hyperlink" Target="https://doi.org/10.1021/jacs.5c20554" TargetMode="External"/><Relationship Id="rId1237" Type="http://schemas.openxmlformats.org/officeDocument/2006/relationships/hyperlink" Target="http://dx.doi.org/10.1021/jacs.5c17879" TargetMode="External"/><Relationship Id="rId1238" Type="http://schemas.openxmlformats.org/officeDocument/2006/relationships/hyperlink" Target="https://doi.org/10.1021/jacs.5c17879" TargetMode="External"/><Relationship Id="rId1239" Type="http://schemas.openxmlformats.org/officeDocument/2006/relationships/hyperlink" Target="http://dx.doi.org/10.1021/acsenergylett.5c03612" TargetMode="External"/><Relationship Id="rId1240" Type="http://schemas.openxmlformats.org/officeDocument/2006/relationships/hyperlink" Target="https://doi.org/10.1021/acsenergylett.5c03612" TargetMode="External"/><Relationship Id="rId1241" Type="http://schemas.openxmlformats.org/officeDocument/2006/relationships/hyperlink" Target="http://dx.doi.org/10.1021/jacs.5c19459" TargetMode="External"/><Relationship Id="rId1242" Type="http://schemas.openxmlformats.org/officeDocument/2006/relationships/hyperlink" Target="https://doi.org/10.1021/jacs.5c19459" TargetMode="External"/><Relationship Id="rId1243" Type="http://schemas.openxmlformats.org/officeDocument/2006/relationships/hyperlink" Target="http://dx.doi.org/10.1021/acs.chemrev.5c00825" TargetMode="External"/><Relationship Id="rId1244" Type="http://schemas.openxmlformats.org/officeDocument/2006/relationships/hyperlink" Target="https://doi.org/10.1021/acs.chemrev.5c008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